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574C9" w14:paraId="7487181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D36953" w14:textId="77777777" w:rsidR="005E5FA1" w:rsidRPr="00403364" w:rsidRDefault="005619FF" w:rsidP="00C85D0F">
            <w:pPr>
              <w:pStyle w:val="EPName"/>
            </w:pPr>
            <w:r>
              <w:t>Parlament Europejski</w:t>
            </w:r>
          </w:p>
          <w:p w14:paraId="6C7CA071" w14:textId="77777777" w:rsidR="005E5FA1" w:rsidRPr="00403364" w:rsidRDefault="005619FF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42402AB" w14:textId="77777777" w:rsidR="005E5FA1" w:rsidRPr="00403364" w:rsidRDefault="005619FF" w:rsidP="00C85D0F">
            <w:pPr>
              <w:pStyle w:val="EPLogo"/>
            </w:pPr>
            <w:r w:rsidRPr="00403364">
              <w:rPr>
                <w:noProof/>
              </w:rPr>
              <w:drawing>
                <wp:inline distT="0" distB="0" distL="0" distR="0" wp14:anchorId="22C1875F" wp14:editId="75731EC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B3E625" w14:textId="77777777" w:rsidR="00CF4E9D" w:rsidRPr="00403364" w:rsidRDefault="00CF4E9D" w:rsidP="00CF4E9D">
      <w:pPr>
        <w:pStyle w:val="LineTop"/>
      </w:pPr>
    </w:p>
    <w:p w14:paraId="799117D8" w14:textId="77777777" w:rsidR="00CF4E9D" w:rsidRPr="008D03DA" w:rsidRDefault="005619FF" w:rsidP="00CF4E9D">
      <w:pPr>
        <w:pStyle w:val="EPBody"/>
      </w:pPr>
      <w:r w:rsidRPr="005619FF">
        <w:rPr>
          <w:rStyle w:val="HideTWBExt"/>
        </w:rPr>
        <w:t>&lt;</w:t>
      </w:r>
      <w:r w:rsidRPr="005619FF">
        <w:rPr>
          <w:rStyle w:val="HideTWBExt"/>
          <w:i w:val="0"/>
        </w:rPr>
        <w:t>Commission</w:t>
      </w:r>
      <w:r w:rsidRPr="005619FF">
        <w:rPr>
          <w:rStyle w:val="HideTWBExt"/>
        </w:rPr>
        <w:t>&gt;</w:t>
      </w:r>
      <w:r w:rsidRPr="005619FF">
        <w:rPr>
          <w:rStyle w:val="HideTWBInt"/>
          <w:color w:val="auto"/>
        </w:rPr>
        <w:t>{CONT}</w:t>
      </w:r>
      <w:r>
        <w:t>Komisja Kontroli Budżetowej</w:t>
      </w:r>
      <w:r w:rsidRPr="005619FF">
        <w:rPr>
          <w:rStyle w:val="HideTWBExt"/>
        </w:rPr>
        <w:t>&lt;/</w:t>
      </w:r>
      <w:r w:rsidRPr="005619FF">
        <w:rPr>
          <w:rStyle w:val="HideTWBExt"/>
          <w:i w:val="0"/>
        </w:rPr>
        <w:t>Commission</w:t>
      </w:r>
      <w:r w:rsidRPr="005619FF">
        <w:rPr>
          <w:rStyle w:val="HideTWBExt"/>
        </w:rPr>
        <w:t>&gt;</w:t>
      </w:r>
    </w:p>
    <w:p w14:paraId="4E4CA3CB" w14:textId="77777777" w:rsidR="00CF4E9D" w:rsidRPr="005619FF" w:rsidRDefault="00CF4E9D" w:rsidP="00CF4E9D">
      <w:pPr>
        <w:pStyle w:val="LineBottom"/>
      </w:pPr>
    </w:p>
    <w:p w14:paraId="6D3472FE" w14:textId="77777777" w:rsidR="00794E41" w:rsidRPr="008D03DA" w:rsidRDefault="005619FF" w:rsidP="00794E41">
      <w:pPr>
        <w:pStyle w:val="CoverReference"/>
      </w:pPr>
      <w:r w:rsidRPr="005619FF">
        <w:rPr>
          <w:rStyle w:val="HideTWBExt"/>
          <w:b w:val="0"/>
        </w:rPr>
        <w:t>&lt;RefProc&gt;</w:t>
      </w:r>
      <w:r>
        <w:t>2025/2155</w:t>
      </w:r>
      <w:r w:rsidRPr="005619FF">
        <w:rPr>
          <w:rStyle w:val="HideTWBExt"/>
          <w:b w:val="0"/>
        </w:rPr>
        <w:t>&lt;/RefProc&gt;&lt;RefTypeProc&gt;</w:t>
      </w:r>
      <w:r>
        <w:t>(DEC)</w:t>
      </w:r>
      <w:r w:rsidRPr="005619FF">
        <w:rPr>
          <w:rStyle w:val="HideTWBExt"/>
          <w:b w:val="0"/>
        </w:rPr>
        <w:t>&lt;/RefTypeProc&gt;</w:t>
      </w:r>
    </w:p>
    <w:p w14:paraId="102C68B9" w14:textId="77777777" w:rsidR="00794E41" w:rsidRPr="005619FF" w:rsidRDefault="005619FF" w:rsidP="00794E41">
      <w:pPr>
        <w:pStyle w:val="CoverDate"/>
        <w:rPr>
          <w:lang w:val="en-GB"/>
        </w:rPr>
      </w:pPr>
      <w:r w:rsidRPr="005619FF">
        <w:rPr>
          <w:rStyle w:val="HideTWBExt"/>
          <w:lang w:val="en-GB"/>
        </w:rPr>
        <w:t>&lt;Date&gt;</w:t>
      </w:r>
      <w:r w:rsidRPr="005619FF">
        <w:rPr>
          <w:rStyle w:val="HideTWBInt"/>
          <w:color w:val="auto"/>
          <w:lang w:val="en-GB"/>
        </w:rPr>
        <w:t>{28/01/2026}</w:t>
      </w:r>
      <w:r w:rsidRPr="005619FF">
        <w:rPr>
          <w:lang w:val="en-GB"/>
        </w:rPr>
        <w:t>28.1.2026</w:t>
      </w:r>
      <w:r w:rsidRPr="005619FF">
        <w:rPr>
          <w:rStyle w:val="HideTWBExt"/>
          <w:lang w:val="en-GB"/>
        </w:rPr>
        <w:t>&lt;/Date&gt;</w:t>
      </w:r>
    </w:p>
    <w:p w14:paraId="12BA2ACC" w14:textId="77777777" w:rsidR="00794E41" w:rsidRPr="005619FF" w:rsidRDefault="005619FF" w:rsidP="00794E41">
      <w:pPr>
        <w:pStyle w:val="CoverDocType"/>
        <w:rPr>
          <w:lang w:val="en-GB"/>
        </w:rPr>
      </w:pPr>
      <w:r w:rsidRPr="005619FF">
        <w:rPr>
          <w:rStyle w:val="HideTWBExt"/>
          <w:b w:val="0"/>
          <w:lang w:val="en-GB"/>
        </w:rPr>
        <w:t>&lt;TypeAM&gt;</w:t>
      </w:r>
      <w:r w:rsidRPr="005619FF">
        <w:rPr>
          <w:lang w:val="en-GB"/>
        </w:rPr>
        <w:t>POPRAWKI</w:t>
      </w:r>
      <w:r w:rsidRPr="005619FF">
        <w:rPr>
          <w:rStyle w:val="HideTWBExt"/>
          <w:b w:val="0"/>
          <w:lang w:val="en-GB"/>
        </w:rPr>
        <w:t>&lt;/TypeAM&gt;</w:t>
      </w:r>
    </w:p>
    <w:p w14:paraId="0B088052" w14:textId="77777777" w:rsidR="00794E41" w:rsidRPr="005619FF" w:rsidRDefault="005619FF" w:rsidP="00794E41">
      <w:pPr>
        <w:pStyle w:val="CoverDocType24a"/>
        <w:rPr>
          <w:lang w:val="en-GB"/>
        </w:rPr>
      </w:pPr>
      <w:r w:rsidRPr="005619FF">
        <w:rPr>
          <w:rStyle w:val="HideTWBExt"/>
          <w:b w:val="0"/>
          <w:lang w:val="en-GB"/>
        </w:rPr>
        <w:t>&lt;RangeAM&gt;</w:t>
      </w:r>
      <w:r w:rsidRPr="005619FF">
        <w:rPr>
          <w:lang w:val="en-GB"/>
        </w:rPr>
        <w:t>1 - 69</w:t>
      </w:r>
      <w:r w:rsidRPr="005619FF">
        <w:rPr>
          <w:rStyle w:val="HideTWBExt"/>
          <w:b w:val="0"/>
          <w:lang w:val="en-GB"/>
        </w:rPr>
        <w:t>&lt;/RangeAM&gt;</w:t>
      </w:r>
    </w:p>
    <w:p w14:paraId="602F83B5" w14:textId="77777777" w:rsidR="00794E41" w:rsidRPr="005619FF" w:rsidRDefault="005619FF" w:rsidP="007B1846">
      <w:pPr>
        <w:pStyle w:val="CoverBold"/>
        <w:rPr>
          <w:lang w:val="fr-BE"/>
        </w:rPr>
      </w:pPr>
      <w:r w:rsidRPr="005619FF">
        <w:rPr>
          <w:rStyle w:val="HideTWBExt"/>
          <w:b w:val="0"/>
          <w:lang w:val="fr-BE"/>
        </w:rPr>
        <w:t>&lt;TitreType&gt;</w:t>
      </w:r>
      <w:r w:rsidRPr="005619FF">
        <w:rPr>
          <w:lang w:val="fr-BE"/>
        </w:rPr>
        <w:t xml:space="preserve">Projekt </w:t>
      </w:r>
      <w:proofErr w:type="spellStart"/>
      <w:r w:rsidRPr="005619FF">
        <w:rPr>
          <w:lang w:val="fr-BE"/>
        </w:rPr>
        <w:t>sprawozdania</w:t>
      </w:r>
      <w:proofErr w:type="spellEnd"/>
      <w:r w:rsidRPr="005619FF">
        <w:rPr>
          <w:rStyle w:val="HideTWBExt"/>
          <w:b w:val="0"/>
          <w:lang w:val="fr-BE"/>
        </w:rPr>
        <w:t>&lt;/TitreType&gt;</w:t>
      </w:r>
    </w:p>
    <w:p w14:paraId="19DCA041" w14:textId="77777777" w:rsidR="00794E41" w:rsidRPr="005619FF" w:rsidRDefault="005619FF" w:rsidP="007B1846">
      <w:pPr>
        <w:pStyle w:val="CoverBold"/>
        <w:rPr>
          <w:lang w:val="fr-BE"/>
        </w:rPr>
      </w:pPr>
      <w:r w:rsidRPr="005619FF">
        <w:rPr>
          <w:rStyle w:val="HideTWBExt"/>
          <w:b w:val="0"/>
          <w:lang w:val="fr-BE"/>
        </w:rPr>
        <w:t>&lt;Rapporteur&gt;</w:t>
      </w:r>
      <w:r w:rsidRPr="005619FF">
        <w:rPr>
          <w:lang w:val="fr-BE"/>
        </w:rPr>
        <w:t xml:space="preserve">Pasquale </w:t>
      </w:r>
      <w:proofErr w:type="spellStart"/>
      <w:r w:rsidRPr="005619FF">
        <w:rPr>
          <w:lang w:val="fr-BE"/>
        </w:rPr>
        <w:t>Tridico</w:t>
      </w:r>
      <w:proofErr w:type="spellEnd"/>
      <w:r w:rsidRPr="005619FF">
        <w:rPr>
          <w:rStyle w:val="HideTWBExt"/>
          <w:b w:val="0"/>
          <w:lang w:val="fr-BE"/>
        </w:rPr>
        <w:t>&lt;/Rapporteur&gt;</w:t>
      </w:r>
    </w:p>
    <w:p w14:paraId="3FFCADDD" w14:textId="77777777" w:rsidR="00794E41" w:rsidRPr="005619FF" w:rsidRDefault="005619FF" w:rsidP="00794E41">
      <w:pPr>
        <w:pStyle w:val="CoverNormal24a"/>
        <w:rPr>
          <w:lang w:val="fr-BE"/>
        </w:rPr>
      </w:pPr>
      <w:r w:rsidRPr="005619FF">
        <w:rPr>
          <w:rStyle w:val="HideTWBExt"/>
          <w:lang w:val="fr-BE"/>
        </w:rPr>
        <w:t>&lt;DocRefPE&gt;</w:t>
      </w:r>
      <w:r w:rsidRPr="005619FF">
        <w:rPr>
          <w:lang w:val="fr-BE"/>
        </w:rPr>
        <w:t>(PE784.137v01-</w:t>
      </w:r>
      <w:proofErr w:type="gramStart"/>
      <w:r w:rsidRPr="005619FF">
        <w:rPr>
          <w:lang w:val="fr-BE"/>
        </w:rPr>
        <w:t>00)</w:t>
      </w:r>
      <w:r w:rsidRPr="005619FF">
        <w:rPr>
          <w:rStyle w:val="HideTWBExt"/>
          <w:lang w:val="fr-BE"/>
        </w:rPr>
        <w:t>&lt;</w:t>
      </w:r>
      <w:proofErr w:type="gramEnd"/>
      <w:r w:rsidRPr="005619FF">
        <w:rPr>
          <w:rStyle w:val="HideTWBExt"/>
          <w:lang w:val="fr-BE"/>
        </w:rPr>
        <w:t>/DocRefPE&gt;</w:t>
      </w:r>
    </w:p>
    <w:p w14:paraId="5BA6BF5D" w14:textId="77777777" w:rsidR="00794E41" w:rsidRPr="005619FF" w:rsidRDefault="005619FF" w:rsidP="00794E41">
      <w:pPr>
        <w:pStyle w:val="CoverNormal"/>
        <w:rPr>
          <w:lang w:val="fr-BE"/>
        </w:rPr>
      </w:pPr>
      <w:r w:rsidRPr="005619FF">
        <w:rPr>
          <w:rStyle w:val="HideTWBExt"/>
          <w:lang w:val="fr-BE"/>
        </w:rPr>
        <w:t>&lt;Titre&gt;</w:t>
      </w:r>
      <w:proofErr w:type="spellStart"/>
      <w:r w:rsidRPr="005619FF">
        <w:rPr>
          <w:lang w:val="fr-BE"/>
        </w:rPr>
        <w:t>Absolutorium</w:t>
      </w:r>
      <w:proofErr w:type="spellEnd"/>
      <w:r w:rsidRPr="005619FF">
        <w:rPr>
          <w:lang w:val="fr-BE"/>
        </w:rPr>
        <w:t xml:space="preserve"> </w:t>
      </w:r>
      <w:proofErr w:type="spellStart"/>
      <w:r w:rsidRPr="005619FF">
        <w:rPr>
          <w:lang w:val="fr-BE"/>
        </w:rPr>
        <w:t>za</w:t>
      </w:r>
      <w:proofErr w:type="spellEnd"/>
      <w:r w:rsidRPr="005619FF">
        <w:rPr>
          <w:lang w:val="fr-BE"/>
        </w:rPr>
        <w:t xml:space="preserve"> </w:t>
      </w:r>
      <w:proofErr w:type="spellStart"/>
      <w:r w:rsidRPr="005619FF">
        <w:rPr>
          <w:lang w:val="fr-BE"/>
        </w:rPr>
        <w:t>rok</w:t>
      </w:r>
      <w:proofErr w:type="spellEnd"/>
      <w:r w:rsidRPr="005619FF">
        <w:rPr>
          <w:lang w:val="fr-BE"/>
        </w:rPr>
        <w:t xml:space="preserve"> </w:t>
      </w:r>
      <w:proofErr w:type="gramStart"/>
      <w:r w:rsidRPr="005619FF">
        <w:rPr>
          <w:lang w:val="fr-BE"/>
        </w:rPr>
        <w:t>2024:</w:t>
      </w:r>
      <w:proofErr w:type="gramEnd"/>
      <w:r w:rsidRPr="005619FF">
        <w:rPr>
          <w:lang w:val="fr-BE"/>
        </w:rPr>
        <w:t xml:space="preserve"> </w:t>
      </w:r>
      <w:proofErr w:type="spellStart"/>
      <w:r w:rsidRPr="005619FF">
        <w:rPr>
          <w:lang w:val="fr-BE"/>
        </w:rPr>
        <w:t>budżet</w:t>
      </w:r>
      <w:proofErr w:type="spellEnd"/>
      <w:r w:rsidRPr="005619FF">
        <w:rPr>
          <w:lang w:val="fr-BE"/>
        </w:rPr>
        <w:t xml:space="preserve"> </w:t>
      </w:r>
      <w:proofErr w:type="spellStart"/>
      <w:r w:rsidRPr="005619FF">
        <w:rPr>
          <w:lang w:val="fr-BE"/>
        </w:rPr>
        <w:t>ogólny</w:t>
      </w:r>
      <w:proofErr w:type="spellEnd"/>
      <w:r w:rsidRPr="005619FF">
        <w:rPr>
          <w:lang w:val="fr-BE"/>
        </w:rPr>
        <w:t xml:space="preserve"> UE – </w:t>
      </w:r>
      <w:proofErr w:type="spellStart"/>
      <w:r w:rsidRPr="005619FF">
        <w:rPr>
          <w:lang w:val="fr-BE"/>
        </w:rPr>
        <w:t>Prokuratura</w:t>
      </w:r>
      <w:proofErr w:type="spellEnd"/>
      <w:r w:rsidRPr="005619FF">
        <w:rPr>
          <w:lang w:val="fr-BE"/>
        </w:rPr>
        <w:t xml:space="preserve"> </w:t>
      </w:r>
      <w:proofErr w:type="spellStart"/>
      <w:r w:rsidRPr="005619FF">
        <w:rPr>
          <w:lang w:val="fr-BE"/>
        </w:rPr>
        <w:t>Europejska</w:t>
      </w:r>
      <w:proofErr w:type="spellEnd"/>
      <w:r w:rsidRPr="005619FF">
        <w:rPr>
          <w:lang w:val="fr-BE"/>
        </w:rPr>
        <w:t xml:space="preserve"> (EPPO)</w:t>
      </w:r>
      <w:r w:rsidRPr="005619FF">
        <w:rPr>
          <w:rStyle w:val="HideTWBExt"/>
          <w:lang w:val="fr-BE"/>
        </w:rPr>
        <w:t>&lt;/Titre&gt;</w:t>
      </w:r>
    </w:p>
    <w:p w14:paraId="270848F3" w14:textId="77777777" w:rsidR="00794E41" w:rsidRPr="005619FF" w:rsidRDefault="005619FF" w:rsidP="00794E41">
      <w:pPr>
        <w:pStyle w:val="CoverNormal24a"/>
        <w:rPr>
          <w:lang w:val="fr-BE"/>
        </w:rPr>
      </w:pPr>
      <w:r w:rsidRPr="005619FF">
        <w:rPr>
          <w:rStyle w:val="HideTWBExt"/>
          <w:lang w:val="fr-BE"/>
        </w:rPr>
        <w:t>&lt;DocRef&gt;</w:t>
      </w:r>
      <w:r w:rsidRPr="005619FF">
        <w:rPr>
          <w:lang w:val="fr-BE"/>
        </w:rPr>
        <w:t>(2025/2155(DEC))</w:t>
      </w:r>
      <w:r w:rsidRPr="005619FF">
        <w:rPr>
          <w:rStyle w:val="HideTWBExt"/>
          <w:lang w:val="fr-BE"/>
        </w:rPr>
        <w:t>&lt;/DocRef&gt;</w:t>
      </w:r>
    </w:p>
    <w:p w14:paraId="03E356EA" w14:textId="77777777" w:rsidR="00794E41" w:rsidRPr="005619FF" w:rsidRDefault="005619FF" w:rsidP="008B040A">
      <w:pPr>
        <w:widowControl/>
        <w:tabs>
          <w:tab w:val="center" w:pos="4677"/>
        </w:tabs>
        <w:rPr>
          <w:lang w:val="fr-BE"/>
        </w:rPr>
      </w:pPr>
      <w:r w:rsidRPr="005619FF">
        <w:rPr>
          <w:lang w:val="fr-BE"/>
        </w:rPr>
        <w:br w:type="page"/>
      </w:r>
      <w:proofErr w:type="spellStart"/>
      <w:r w:rsidRPr="005619FF">
        <w:rPr>
          <w:lang w:val="fr-BE"/>
        </w:rPr>
        <w:lastRenderedPageBreak/>
        <w:t>AM_Com_NonLegReport</w:t>
      </w:r>
      <w:proofErr w:type="spellEnd"/>
    </w:p>
    <w:p w14:paraId="28A1784C" w14:textId="4E40ED4B" w:rsidR="005619FF" w:rsidRPr="005619FF" w:rsidRDefault="005619FF" w:rsidP="005619FF">
      <w:pPr>
        <w:pStyle w:val="AmNumberTabs"/>
        <w:rPr>
          <w:lang w:val="fr-BE"/>
        </w:rPr>
      </w:pPr>
      <w:r w:rsidRPr="005619FF">
        <w:rPr>
          <w:lang w:val="fr-BE"/>
        </w:rPr>
        <w:br w:type="page"/>
      </w:r>
      <w:r w:rsidRPr="005619FF">
        <w:rPr>
          <w:rStyle w:val="HideTWBExt"/>
          <w:b w:val="0"/>
          <w:lang w:val="fr-BE"/>
        </w:rPr>
        <w:lastRenderedPageBreak/>
        <w:t>&lt;RepeatBlock-Amend&gt;</w:t>
      </w:r>
      <w:r w:rsidRPr="005619FF">
        <w:rPr>
          <w:rStyle w:val="HideTWBExt"/>
          <w:lang w:val="fr-BE"/>
        </w:rPr>
        <w:t>&lt;Amend&gt;</w:t>
      </w:r>
      <w:proofErr w:type="spellStart"/>
      <w:r w:rsidRPr="005619FF">
        <w:rPr>
          <w:lang w:val="fr-BE"/>
        </w:rPr>
        <w:t>Poprawka</w:t>
      </w:r>
      <w:proofErr w:type="spellEnd"/>
      <w:r w:rsidRPr="005619FF">
        <w:rPr>
          <w:lang w:val="fr-BE"/>
        </w:rPr>
        <w:tab/>
      </w:r>
      <w:r w:rsidRPr="005619FF">
        <w:rPr>
          <w:lang w:val="fr-BE"/>
        </w:rPr>
        <w:tab/>
      </w:r>
      <w:r w:rsidRPr="005619FF">
        <w:rPr>
          <w:rStyle w:val="HideTWBExt"/>
          <w:lang w:val="fr-BE"/>
        </w:rPr>
        <w:t>&lt;NumAm&gt;</w:t>
      </w:r>
      <w:r w:rsidRPr="005619FF">
        <w:rPr>
          <w:lang w:val="fr-BE"/>
        </w:rPr>
        <w:t>1</w:t>
      </w:r>
      <w:r w:rsidRPr="005619FF">
        <w:rPr>
          <w:rStyle w:val="HideTWBExt"/>
          <w:lang w:val="fr-BE"/>
        </w:rPr>
        <w:t>&lt;/</w:t>
      </w:r>
      <w:proofErr w:type="spellStart"/>
      <w:r w:rsidRPr="005619FF">
        <w:rPr>
          <w:rStyle w:val="HideTWBExt"/>
          <w:lang w:val="fr-BE"/>
        </w:rPr>
        <w:t>NumAm</w:t>
      </w:r>
      <w:proofErr w:type="spellEnd"/>
      <w:r w:rsidRPr="005619FF">
        <w:rPr>
          <w:rStyle w:val="HideTWBExt"/>
          <w:lang w:val="fr-BE"/>
        </w:rPr>
        <w:t>&gt;</w:t>
      </w:r>
    </w:p>
    <w:p w14:paraId="5590CC32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&lt;RepeatBlock-By&gt;&lt;Members&gt;</w:t>
      </w:r>
      <w:proofErr w:type="spellStart"/>
      <w:r w:rsidRPr="005619FF">
        <w:rPr>
          <w:lang w:val="fr-BE"/>
        </w:rPr>
        <w:t>Csaba</w:t>
      </w:r>
      <w:proofErr w:type="spellEnd"/>
      <w:r w:rsidRPr="005619FF">
        <w:rPr>
          <w:lang w:val="fr-BE"/>
        </w:rPr>
        <w:t xml:space="preserve"> </w:t>
      </w:r>
      <w:proofErr w:type="spellStart"/>
      <w:r w:rsidRPr="005619FF">
        <w:rPr>
          <w:lang w:val="fr-BE"/>
        </w:rPr>
        <w:t>Molnár</w:t>
      </w:r>
      <w:proofErr w:type="spellEnd"/>
      <w:r w:rsidRPr="005619FF">
        <w:rPr>
          <w:rStyle w:val="HideTWBExt"/>
          <w:b w:val="0"/>
          <w:lang w:val="fr-BE"/>
        </w:rPr>
        <w:t>&lt;/Members&gt;</w:t>
      </w:r>
    </w:p>
    <w:p w14:paraId="2EF6856D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&lt;/RepeatBlock-By&gt;</w:t>
      </w:r>
    </w:p>
    <w:p w14:paraId="42696DEE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lang w:val="fr-BE"/>
        </w:rPr>
        <w:t>&lt;DocAmend&gt;</w:t>
      </w:r>
      <w:r w:rsidRPr="005619FF">
        <w:rPr>
          <w:lang w:val="fr-BE"/>
        </w:rPr>
        <w:t xml:space="preserve">Projekt </w:t>
      </w:r>
      <w:proofErr w:type="spellStart"/>
      <w:r w:rsidRPr="005619FF">
        <w:rPr>
          <w:lang w:val="fr-BE"/>
        </w:rPr>
        <w:t>rezolucji</w:t>
      </w:r>
      <w:proofErr w:type="spellEnd"/>
      <w:r w:rsidRPr="005619FF">
        <w:rPr>
          <w:rStyle w:val="HideTWBExt"/>
          <w:lang w:val="fr-BE"/>
        </w:rPr>
        <w:t>&lt;/DocAmend&gt;</w:t>
      </w:r>
    </w:p>
    <w:p w14:paraId="61AB1A4D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lang w:val="fr-BE"/>
        </w:rPr>
        <w:t>&lt;Article&gt;</w:t>
      </w:r>
      <w:proofErr w:type="spellStart"/>
      <w:r w:rsidRPr="005619FF">
        <w:rPr>
          <w:lang w:val="fr-BE"/>
        </w:rPr>
        <w:t>Motyw</w:t>
      </w:r>
      <w:proofErr w:type="spellEnd"/>
      <w:r w:rsidRPr="005619FF">
        <w:rPr>
          <w:lang w:val="fr-BE"/>
        </w:rPr>
        <w:t xml:space="preserve"> B</w:t>
      </w:r>
      <w:r w:rsidRPr="005619FF">
        <w:rPr>
          <w:rStyle w:val="HideTWBExt"/>
          <w:lang w:val="fr-BE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7C42DBB3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CE9D0" w14:textId="77777777" w:rsidR="005619FF" w:rsidRPr="005619FF" w:rsidRDefault="005619FF" w:rsidP="00FB1419">
            <w:pPr>
              <w:rPr>
                <w:lang w:val="fr-BE"/>
              </w:rPr>
            </w:pPr>
          </w:p>
        </w:tc>
      </w:tr>
      <w:tr w:rsidR="005619FF" w14:paraId="07EF76CC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36E12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D26EBF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3EA95C36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AD28AF" w14:textId="77777777" w:rsidR="005619FF" w:rsidRPr="008D03DA" w:rsidRDefault="005619FF" w:rsidP="00FB1419">
            <w:pPr>
              <w:pStyle w:val="Normal6a"/>
            </w:pPr>
            <w:r>
              <w:t>B.</w:t>
            </w:r>
            <w:r>
              <w:tab/>
              <w:t>mając na uwadze, że kompetencje EPPO obejmują szereg nadużyć finansowych, w tym oszustwa związane z VAT na szkodę o łącznej wartości co najmniej 10 mln EUR, pranie pieniędzy, korupcję, przestępczość zorganizowaną i inne przestępstwa, w przypadku których EPPO pełni funkcje prokuratorskie przed właściwymi sądami uczestniczących państw członkowskich do czasu zakończenia postępowania;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E7A5E" w14:textId="77777777" w:rsidR="005619FF" w:rsidRPr="008D03DA" w:rsidRDefault="005619FF" w:rsidP="00FB1419">
            <w:pPr>
              <w:pStyle w:val="Normal6a"/>
            </w:pPr>
            <w:r>
              <w:t>B.</w:t>
            </w:r>
            <w:r>
              <w:tab/>
              <w:t xml:space="preserve">mając na uwadze, że kompetencje EPPO obejmują szereg nadużyć finansowych, w tym oszustwa </w:t>
            </w:r>
            <w:r>
              <w:rPr>
                <w:b/>
                <w:i/>
              </w:rPr>
              <w:t xml:space="preserve">transgraniczne </w:t>
            </w:r>
            <w:r>
              <w:t>związane z VAT na szkodę o łącznej wartości co najmniej 10 mln EUR, pranie pieniędzy, korupcję, przestępczość zorganizowaną i inne przestępstwa, w przypadku których EPPO pełni funkcje prokuratorskie przed właściwymi sądami uczestniczących państw członkowskich do czasu zakończenia postępowania;</w:t>
            </w:r>
          </w:p>
        </w:tc>
      </w:tr>
    </w:tbl>
    <w:p w14:paraId="02436B66" w14:textId="77777777" w:rsidR="005619FF" w:rsidRPr="008D03DA" w:rsidRDefault="005619FF" w:rsidP="005619FF">
      <w:pPr>
        <w:pStyle w:val="AmOrLang"/>
        <w:rPr>
          <w:lang w:val="en-GB" w:eastAsia="en-US"/>
        </w:rPr>
      </w:pPr>
      <w:r w:rsidRPr="008D03DA">
        <w:rPr>
          <w:lang w:val="en-GB"/>
        </w:rPr>
        <w:t xml:space="preserve">Or. </w:t>
      </w:r>
      <w:r w:rsidRPr="008D03DA">
        <w:rPr>
          <w:rStyle w:val="HideTWBExt"/>
          <w:lang w:val="en-GB"/>
        </w:rPr>
        <w:t>&lt;Original&gt;</w:t>
      </w:r>
      <w:r w:rsidRPr="008D03DA">
        <w:rPr>
          <w:rStyle w:val="HideTWBInt"/>
          <w:lang w:val="en-GB"/>
        </w:rPr>
        <w:t>{EN}</w:t>
      </w:r>
      <w:proofErr w:type="spellStart"/>
      <w:r w:rsidRPr="008D03DA">
        <w:rPr>
          <w:lang w:val="en-GB"/>
        </w:rPr>
        <w:t>en</w:t>
      </w:r>
      <w:proofErr w:type="spellEnd"/>
      <w:r w:rsidRPr="008D03DA">
        <w:rPr>
          <w:rStyle w:val="HideTWBExt"/>
          <w:lang w:val="en-GB"/>
        </w:rPr>
        <w:t>&lt;/Original&gt;</w:t>
      </w:r>
    </w:p>
    <w:p w14:paraId="6F7BCB1E" w14:textId="77777777" w:rsidR="005619FF" w:rsidRPr="005619FF" w:rsidRDefault="005619FF" w:rsidP="005619FF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14:paraId="65B91C36" w14:textId="77777777" w:rsidR="005619FF" w:rsidRPr="005619FF" w:rsidRDefault="005619FF" w:rsidP="005619FF">
      <w:pPr>
        <w:pStyle w:val="AmNumberTabs"/>
        <w:rPr>
          <w:lang w:val="en-GB"/>
        </w:rPr>
      </w:pPr>
      <w:r>
        <w:rPr>
          <w:rStyle w:val="HideTWBExt"/>
          <w:lang w:val="en-GB"/>
        </w:rPr>
        <w:t>&lt;Amend&gt;</w:t>
      </w:r>
      <w:proofErr w:type="spellStart"/>
      <w:r w:rsidRPr="005619FF">
        <w:rPr>
          <w:lang w:val="en-GB"/>
        </w:rPr>
        <w:t>Poprawka</w:t>
      </w:r>
      <w:proofErr w:type="spellEnd"/>
      <w:r w:rsidRPr="005619FF">
        <w:rPr>
          <w:lang w:val="en-GB"/>
        </w:rPr>
        <w:tab/>
      </w:r>
      <w:r w:rsidRPr="005619FF">
        <w:rPr>
          <w:lang w:val="en-GB"/>
        </w:rPr>
        <w:tab/>
      </w:r>
      <w:r>
        <w:rPr>
          <w:rStyle w:val="HideTWBExt"/>
          <w:lang w:val="en-GB"/>
        </w:rPr>
        <w:t>&lt;NumAm&gt;</w:t>
      </w:r>
      <w:r w:rsidRPr="005619FF">
        <w:rPr>
          <w:lang w:val="en-GB"/>
        </w:rPr>
        <w:t>2</w:t>
      </w:r>
      <w:r>
        <w:rPr>
          <w:rStyle w:val="HideTWBExt"/>
          <w:lang w:val="en-GB"/>
        </w:rPr>
        <w:t>&lt;/</w:t>
      </w:r>
      <w:proofErr w:type="spellStart"/>
      <w:r>
        <w:rPr>
          <w:rStyle w:val="HideTWBExt"/>
          <w:lang w:val="en-GB"/>
        </w:rPr>
        <w:t>NumAm</w:t>
      </w:r>
      <w:proofErr w:type="spellEnd"/>
      <w:r>
        <w:rPr>
          <w:rStyle w:val="HideTWBExt"/>
          <w:lang w:val="en-GB"/>
        </w:rPr>
        <w:t>&gt;</w:t>
      </w:r>
    </w:p>
    <w:p w14:paraId="097C2507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proofErr w:type="spellStart"/>
      <w:r w:rsidRPr="005619FF">
        <w:rPr>
          <w:lang w:val="en-GB"/>
        </w:rPr>
        <w:t>Ondřej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Knotek</w:t>
      </w:r>
      <w:proofErr w:type="spellEnd"/>
      <w:r w:rsidRPr="005619FF">
        <w:rPr>
          <w:lang w:val="en-GB"/>
        </w:rPr>
        <w:t xml:space="preserve">, Virginie </w:t>
      </w:r>
      <w:proofErr w:type="spellStart"/>
      <w:r w:rsidRPr="005619FF">
        <w:rPr>
          <w:lang w:val="en-GB"/>
        </w:rPr>
        <w:t>Joron</w:t>
      </w:r>
      <w:proofErr w:type="spellEnd"/>
      <w:r w:rsidRPr="005619FF">
        <w:rPr>
          <w:lang w:val="en-GB"/>
        </w:rPr>
        <w:t>, Julien Sanchez</w:t>
      </w:r>
      <w:r>
        <w:rPr>
          <w:rStyle w:val="HideTWBExt"/>
          <w:b w:val="0"/>
          <w:lang w:val="en-GB"/>
        </w:rPr>
        <w:t>&lt;/Members&gt;</w:t>
      </w:r>
    </w:p>
    <w:p w14:paraId="7AA5361C" w14:textId="77777777" w:rsidR="005619FF" w:rsidRPr="008D03DA" w:rsidRDefault="005619FF" w:rsidP="005619FF">
      <w:pPr>
        <w:pStyle w:val="NormalBold"/>
      </w:pPr>
      <w:r>
        <w:rPr>
          <w:rStyle w:val="HideTWBExt"/>
          <w:b w:val="0"/>
          <w:lang w:val="en-GB"/>
        </w:rPr>
        <w:t>&lt;/RepeatBlock-By&gt;</w:t>
      </w:r>
    </w:p>
    <w:p w14:paraId="2F19D5B2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0D27DB85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Motyw D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72505FA6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D263A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34143267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268AE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69AFA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404194E7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E5B22" w14:textId="77777777" w:rsidR="005619FF" w:rsidRPr="008D03DA" w:rsidRDefault="005619FF" w:rsidP="00FB1419">
            <w:pPr>
              <w:pStyle w:val="Normal6a"/>
            </w:pPr>
            <w:r>
              <w:t>D.</w:t>
            </w:r>
            <w:r>
              <w:tab/>
              <w:t xml:space="preserve">mając na uwadze, że EPPO interweniuje, gdy prerogatywy organów krajowych prowadzących postępowania przygotowawcze oraz wnoszących i popierających oskarżenia w sprawach dotyczących przestępstw kończą się na granicach ich kraju, a inne organizacje, takie jak </w:t>
            </w:r>
            <w:proofErr w:type="spellStart"/>
            <w:r>
              <w:t>Eurojust</w:t>
            </w:r>
            <w:proofErr w:type="spellEnd"/>
            <w:r>
              <w:t>, OLAF i Europol, nie mają uprawnień niezbędnych do prowadzenia odpowiednich postępowań przygotowawczych oraz wnoszenia i popierania oskarżeń;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AE64B" w14:textId="77777777" w:rsidR="005619FF" w:rsidRPr="008D03DA" w:rsidRDefault="005619FF" w:rsidP="00FB1419">
            <w:pPr>
              <w:pStyle w:val="Normal6a"/>
            </w:pPr>
            <w:r>
              <w:t>D.</w:t>
            </w:r>
            <w:r>
              <w:tab/>
              <w:t xml:space="preserve">mając na uwadze, że EPPO interweniuje, gdy prerogatywy organów krajowych prowadzących postępowania przygotowawcze oraz wnoszących i popierających oskarżenia w sprawach dotyczących przestępstw kończą się na granicach ich kraju, a inne organizacje, takie jak </w:t>
            </w:r>
            <w:proofErr w:type="spellStart"/>
            <w:r>
              <w:t>Eurojust</w:t>
            </w:r>
            <w:proofErr w:type="spellEnd"/>
            <w:r>
              <w:t xml:space="preserve">, OLAF i Europol, nie mają uprawnień niezbędnych do prowadzenia odpowiednich postępowań przygotowawczych oraz wnoszenia i popierania oskarżeń; </w:t>
            </w:r>
            <w:r>
              <w:rPr>
                <w:b/>
                <w:i/>
              </w:rPr>
              <w:t xml:space="preserve">mając na uwadze, że wykonywanie uprawnień prokuratorskich na szczeblu Unii wymaga ścisłych gwarancji poufności i dyskrecji, a także </w:t>
            </w:r>
            <w:r>
              <w:rPr>
                <w:b/>
                <w:i/>
              </w:rPr>
              <w:lastRenderedPageBreak/>
              <w:t>solidnych zabezpieczeń, aby zapobiegać wszelkim formom wpływów lub ingerencji politycznych;</w:t>
            </w:r>
          </w:p>
        </w:tc>
      </w:tr>
    </w:tbl>
    <w:p w14:paraId="2EFA2A9A" w14:textId="77777777" w:rsidR="005619FF" w:rsidRPr="008D03DA" w:rsidRDefault="005619FF" w:rsidP="005619FF">
      <w:pPr>
        <w:pStyle w:val="AmOrLang"/>
        <w:rPr>
          <w:lang w:val="en-GB" w:eastAsia="en-US"/>
        </w:rPr>
      </w:pPr>
      <w:r w:rsidRPr="008D03DA">
        <w:rPr>
          <w:lang w:val="en-GB"/>
        </w:rPr>
        <w:lastRenderedPageBreak/>
        <w:t xml:space="preserve">Or. </w:t>
      </w:r>
      <w:r w:rsidRPr="008D03DA">
        <w:rPr>
          <w:rStyle w:val="HideTWBExt"/>
          <w:lang w:val="en-GB"/>
        </w:rPr>
        <w:t>&lt;Original&gt;</w:t>
      </w:r>
      <w:r w:rsidRPr="008D03DA">
        <w:rPr>
          <w:rStyle w:val="HideTWBInt"/>
          <w:lang w:val="en-GB"/>
        </w:rPr>
        <w:t>{EN}</w:t>
      </w:r>
      <w:proofErr w:type="spellStart"/>
      <w:r w:rsidRPr="008D03DA">
        <w:rPr>
          <w:lang w:val="en-GB"/>
        </w:rPr>
        <w:t>en</w:t>
      </w:r>
      <w:proofErr w:type="spellEnd"/>
      <w:r w:rsidRPr="008D03DA">
        <w:rPr>
          <w:rStyle w:val="HideTWBExt"/>
          <w:lang w:val="en-GB"/>
        </w:rPr>
        <w:t>&lt;/Original&gt;</w:t>
      </w:r>
    </w:p>
    <w:p w14:paraId="4E4110C3" w14:textId="77777777" w:rsidR="005619FF" w:rsidRPr="005619FF" w:rsidRDefault="005619FF" w:rsidP="005619FF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14:paraId="6E9B4CC0" w14:textId="77777777" w:rsidR="005619FF" w:rsidRPr="005619FF" w:rsidRDefault="005619FF" w:rsidP="005619FF">
      <w:pPr>
        <w:pStyle w:val="AmNumberTabs"/>
        <w:rPr>
          <w:lang w:val="en-GB"/>
        </w:rPr>
      </w:pPr>
      <w:r>
        <w:rPr>
          <w:rStyle w:val="HideTWBExt"/>
          <w:lang w:val="en-GB"/>
        </w:rPr>
        <w:t>&lt;Amend&gt;</w:t>
      </w:r>
      <w:proofErr w:type="spellStart"/>
      <w:r w:rsidRPr="005619FF">
        <w:rPr>
          <w:lang w:val="en-GB"/>
        </w:rPr>
        <w:t>Poprawka</w:t>
      </w:r>
      <w:proofErr w:type="spellEnd"/>
      <w:r w:rsidRPr="005619FF">
        <w:rPr>
          <w:lang w:val="en-GB"/>
        </w:rPr>
        <w:tab/>
      </w:r>
      <w:r w:rsidRPr="005619FF">
        <w:rPr>
          <w:lang w:val="en-GB"/>
        </w:rPr>
        <w:tab/>
      </w:r>
      <w:r>
        <w:rPr>
          <w:rStyle w:val="HideTWBExt"/>
          <w:lang w:val="en-GB"/>
        </w:rPr>
        <w:t>&lt;NumAm&gt;</w:t>
      </w:r>
      <w:r w:rsidRPr="005619FF">
        <w:rPr>
          <w:lang w:val="en-GB"/>
        </w:rPr>
        <w:t>3</w:t>
      </w:r>
      <w:r>
        <w:rPr>
          <w:rStyle w:val="HideTWBExt"/>
          <w:lang w:val="en-GB"/>
        </w:rPr>
        <w:t>&lt;/</w:t>
      </w:r>
      <w:proofErr w:type="spellStart"/>
      <w:r>
        <w:rPr>
          <w:rStyle w:val="HideTWBExt"/>
          <w:lang w:val="en-GB"/>
        </w:rPr>
        <w:t>NumAm</w:t>
      </w:r>
      <w:proofErr w:type="spellEnd"/>
      <w:r>
        <w:rPr>
          <w:rStyle w:val="HideTWBExt"/>
          <w:lang w:val="en-GB"/>
        </w:rPr>
        <w:t>&gt;</w:t>
      </w:r>
    </w:p>
    <w:p w14:paraId="56DC5C2F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5619FF">
        <w:rPr>
          <w:lang w:val="en-GB"/>
        </w:rPr>
        <w:t xml:space="preserve">Gilles Boyer, Olivier </w:t>
      </w:r>
      <w:proofErr w:type="spellStart"/>
      <w:r w:rsidRPr="005619FF">
        <w:rPr>
          <w:lang w:val="en-GB"/>
        </w:rPr>
        <w:t>Chastel</w:t>
      </w:r>
      <w:proofErr w:type="spellEnd"/>
      <w:r w:rsidRPr="005619FF">
        <w:rPr>
          <w:lang w:val="en-GB"/>
        </w:rPr>
        <w:t xml:space="preserve">, Vlad </w:t>
      </w:r>
      <w:proofErr w:type="spellStart"/>
      <w:r w:rsidRPr="005619FF">
        <w:rPr>
          <w:lang w:val="en-GB"/>
        </w:rPr>
        <w:t>Vasile-Voiculescu</w:t>
      </w:r>
      <w:proofErr w:type="spellEnd"/>
      <w:r w:rsidRPr="005619FF">
        <w:rPr>
          <w:lang w:val="en-GB"/>
        </w:rPr>
        <w:t xml:space="preserve">, Michal </w:t>
      </w:r>
      <w:proofErr w:type="spellStart"/>
      <w:r w:rsidRPr="005619FF">
        <w:rPr>
          <w:lang w:val="en-GB"/>
        </w:rPr>
        <w:t>Wiezik</w:t>
      </w:r>
      <w:proofErr w:type="spellEnd"/>
      <w:r>
        <w:rPr>
          <w:rStyle w:val="HideTWBExt"/>
          <w:b w:val="0"/>
          <w:lang w:val="en-GB"/>
        </w:rPr>
        <w:t>&lt;/Members&gt;</w:t>
      </w:r>
    </w:p>
    <w:p w14:paraId="5EC9496B" w14:textId="77777777" w:rsidR="005619FF" w:rsidRPr="008D03DA" w:rsidRDefault="005619FF" w:rsidP="005619FF">
      <w:pPr>
        <w:pStyle w:val="NormalBold"/>
      </w:pPr>
      <w:r>
        <w:rPr>
          <w:rStyle w:val="HideTWBExt"/>
          <w:b w:val="0"/>
          <w:lang w:val="en-GB"/>
        </w:rPr>
        <w:t>&lt;/RepeatBlock-By&gt;</w:t>
      </w:r>
    </w:p>
    <w:p w14:paraId="6B127F9C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3FB67989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Motyw D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6DAC42B5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14BF8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63F03187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87FCE3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D4FED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4222C47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900C1" w14:textId="77777777" w:rsidR="005619FF" w:rsidRPr="008D03DA" w:rsidRDefault="005619FF" w:rsidP="00FB1419">
            <w:pPr>
              <w:pStyle w:val="Normal6a"/>
            </w:pPr>
            <w:r>
              <w:t>D.</w:t>
            </w:r>
            <w:r>
              <w:tab/>
              <w:t xml:space="preserve">mając na uwadze, że EPPO </w:t>
            </w:r>
            <w:r>
              <w:rPr>
                <w:b/>
                <w:i/>
              </w:rPr>
              <w:t>interweniuje, gdy prerogatywy organów krajowych prowadzących postępowania przygotowawcze</w:t>
            </w:r>
            <w:r>
              <w:t xml:space="preserve"> oraz wnoszących i popierających oskarżenia w sprawach dotyczących przestępstw </w:t>
            </w:r>
            <w:r>
              <w:rPr>
                <w:b/>
                <w:i/>
              </w:rPr>
              <w:t>kończą się na granicach ich kraju</w:t>
            </w:r>
            <w:r>
              <w:t xml:space="preserve">, a inne organizacje, takie jak </w:t>
            </w:r>
            <w:proofErr w:type="spellStart"/>
            <w:r>
              <w:t>Eurojust</w:t>
            </w:r>
            <w:proofErr w:type="spellEnd"/>
            <w:r>
              <w:t>, OLAF i Europol, nie mają uprawnień niezbędnych do prowadzenia odpowiednich postępowań przygotowawczych oraz wnoszenia i popierania oskarżeń;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EB77E" w14:textId="77777777" w:rsidR="005619FF" w:rsidRPr="008D03DA" w:rsidRDefault="005619FF" w:rsidP="00FB1419">
            <w:pPr>
              <w:pStyle w:val="Normal6a"/>
            </w:pPr>
            <w:r>
              <w:t>D.</w:t>
            </w:r>
            <w:r>
              <w:tab/>
              <w:t xml:space="preserve">mając na uwadze, że EPPO </w:t>
            </w:r>
            <w:r>
              <w:rPr>
                <w:b/>
                <w:i/>
              </w:rPr>
              <w:t>jest włączona do krajowych systemów sądowych uczestniczących państw członkowskich i ma nadrzędne uprawnienia w zakresie postępowań przygotowawczych</w:t>
            </w:r>
            <w:r>
              <w:t xml:space="preserve"> oraz wnoszących i popierających oskarżenia w sprawach dotyczących przestępstw </w:t>
            </w:r>
            <w:r>
              <w:rPr>
                <w:b/>
                <w:i/>
              </w:rPr>
              <w:t>godzących w interesy finansowe UE</w:t>
            </w:r>
            <w:r>
              <w:t xml:space="preserve">, a inne organizacje, takie jak </w:t>
            </w:r>
            <w:proofErr w:type="spellStart"/>
            <w:r>
              <w:t>Eurojust</w:t>
            </w:r>
            <w:proofErr w:type="spellEnd"/>
            <w:r>
              <w:t>, OLAF i Europol, nie mają uprawnień niezbędnych do prowadzenia odpowiednich postępowań przygotowawczych oraz wnoszenia i popierania oskarżeń;</w:t>
            </w:r>
          </w:p>
        </w:tc>
      </w:tr>
    </w:tbl>
    <w:p w14:paraId="2E09488E" w14:textId="77777777" w:rsidR="005619FF" w:rsidRPr="008D03DA" w:rsidRDefault="005619FF" w:rsidP="005619FF">
      <w:pPr>
        <w:pStyle w:val="AmOrLang"/>
        <w:rPr>
          <w:lang w:val="en-GB" w:eastAsia="en-US"/>
        </w:rPr>
      </w:pPr>
      <w:r w:rsidRPr="008D03DA">
        <w:rPr>
          <w:lang w:val="en-GB"/>
        </w:rPr>
        <w:t xml:space="preserve">Or. </w:t>
      </w:r>
      <w:r w:rsidRPr="008D03DA">
        <w:rPr>
          <w:rStyle w:val="HideTWBExt"/>
          <w:lang w:val="en-GB"/>
        </w:rPr>
        <w:t>&lt;Original&gt;</w:t>
      </w:r>
      <w:r w:rsidRPr="008D03DA">
        <w:rPr>
          <w:rStyle w:val="HideTWBInt"/>
          <w:lang w:val="en-GB"/>
        </w:rPr>
        <w:t>{EN}</w:t>
      </w:r>
      <w:proofErr w:type="spellStart"/>
      <w:r w:rsidRPr="008D03DA">
        <w:rPr>
          <w:lang w:val="en-GB"/>
        </w:rPr>
        <w:t>en</w:t>
      </w:r>
      <w:proofErr w:type="spellEnd"/>
      <w:r w:rsidRPr="008D03DA">
        <w:rPr>
          <w:rStyle w:val="HideTWBExt"/>
          <w:lang w:val="en-GB"/>
        </w:rPr>
        <w:t>&lt;/Original&gt;</w:t>
      </w:r>
    </w:p>
    <w:p w14:paraId="3531423C" w14:textId="77777777" w:rsidR="005619FF" w:rsidRPr="005619FF" w:rsidRDefault="005619FF" w:rsidP="005619FF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14:paraId="636CE6DE" w14:textId="77777777" w:rsidR="005619FF" w:rsidRPr="005619FF" w:rsidRDefault="005619FF" w:rsidP="005619FF">
      <w:pPr>
        <w:pStyle w:val="AmNumberTabs"/>
        <w:rPr>
          <w:lang w:val="en-GB"/>
        </w:rPr>
      </w:pPr>
      <w:r>
        <w:rPr>
          <w:rStyle w:val="HideTWBExt"/>
          <w:lang w:val="en-GB"/>
        </w:rPr>
        <w:t>&lt;Amend&gt;</w:t>
      </w:r>
      <w:proofErr w:type="spellStart"/>
      <w:r w:rsidRPr="005619FF">
        <w:rPr>
          <w:lang w:val="en-GB"/>
        </w:rPr>
        <w:t>Poprawka</w:t>
      </w:r>
      <w:proofErr w:type="spellEnd"/>
      <w:r w:rsidRPr="005619FF">
        <w:rPr>
          <w:lang w:val="en-GB"/>
        </w:rPr>
        <w:tab/>
      </w:r>
      <w:r w:rsidRPr="005619FF">
        <w:rPr>
          <w:lang w:val="en-GB"/>
        </w:rPr>
        <w:tab/>
      </w:r>
      <w:r>
        <w:rPr>
          <w:rStyle w:val="HideTWBExt"/>
          <w:lang w:val="en-GB"/>
        </w:rPr>
        <w:t>&lt;NumAm&gt;</w:t>
      </w:r>
      <w:r w:rsidRPr="005619FF">
        <w:rPr>
          <w:lang w:val="en-GB"/>
        </w:rPr>
        <w:t>4</w:t>
      </w:r>
      <w:r>
        <w:rPr>
          <w:rStyle w:val="HideTWBExt"/>
          <w:lang w:val="en-GB"/>
        </w:rPr>
        <w:t>&lt;/NumAm&gt;</w:t>
      </w:r>
    </w:p>
    <w:p w14:paraId="63E1D0C0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5619FF">
        <w:rPr>
          <w:lang w:val="en-GB"/>
        </w:rPr>
        <w:t xml:space="preserve">Caterina </w:t>
      </w:r>
      <w:proofErr w:type="spellStart"/>
      <w:r w:rsidRPr="005619FF">
        <w:rPr>
          <w:lang w:val="en-GB"/>
        </w:rPr>
        <w:t>Chinnici</w:t>
      </w:r>
      <w:proofErr w:type="spellEnd"/>
      <w:r>
        <w:rPr>
          <w:rStyle w:val="HideTWBExt"/>
          <w:b w:val="0"/>
          <w:lang w:val="en-GB"/>
        </w:rPr>
        <w:t>&lt;/Members&gt;</w:t>
      </w:r>
    </w:p>
    <w:p w14:paraId="69124A7C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&lt;/RepeatBlock-By&gt;</w:t>
      </w:r>
    </w:p>
    <w:p w14:paraId="7DC07719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5BA5E42E" w14:textId="77777777" w:rsidR="005619FF" w:rsidRPr="005619FF" w:rsidRDefault="005619FF" w:rsidP="005619FF">
      <w:pPr>
        <w:pStyle w:val="NormalBold"/>
        <w:rPr>
          <w:lang w:val="en-GB"/>
        </w:rPr>
      </w:pPr>
      <w:r w:rsidRPr="005619FF"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Motyw</w:t>
      </w:r>
      <w:proofErr w:type="spellEnd"/>
      <w:r w:rsidRPr="005619FF">
        <w:rPr>
          <w:lang w:val="en-GB"/>
        </w:rPr>
        <w:t xml:space="preserve"> E</w:t>
      </w:r>
      <w:r w:rsidRPr="005619FF"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6B40EF71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F9A59" w14:textId="77777777" w:rsidR="005619FF" w:rsidRPr="005619FF" w:rsidRDefault="005619FF" w:rsidP="00FB1419">
            <w:pPr>
              <w:rPr>
                <w:lang w:val="en-GB"/>
              </w:rPr>
            </w:pPr>
          </w:p>
        </w:tc>
      </w:tr>
      <w:tr w:rsidR="005619FF" w14:paraId="529C0D0E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EBB36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0D584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6A8FCD57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DC5B3" w14:textId="77777777" w:rsidR="005619FF" w:rsidRPr="008D03DA" w:rsidRDefault="005619FF" w:rsidP="00FB1419">
            <w:pPr>
              <w:pStyle w:val="Normal6a"/>
            </w:pPr>
            <w:r>
              <w:t>E.</w:t>
            </w:r>
            <w:r>
              <w:tab/>
              <w:t xml:space="preserve">mając na uwadze, że akty proceduralne EPPO podlegają kontroli sądowej sprawowanej przez sądy krajowe, a Trybunał Sprawiedliwości Unii Europejskiej („Trybunał Sprawiedliwości”) </w:t>
            </w:r>
            <w:r>
              <w:lastRenderedPageBreak/>
              <w:t xml:space="preserve">– w drodze orzeczeń w trybie prejudycjalnym lub kontroli sądowej tych aktów – </w:t>
            </w:r>
            <w:r>
              <w:rPr>
                <w:b/>
                <w:i/>
              </w:rPr>
              <w:t>ma uprawnienia uzupełniające</w:t>
            </w:r>
            <w:r>
              <w:t xml:space="preserve">, </w:t>
            </w:r>
            <w:r>
              <w:rPr>
                <w:b/>
                <w:i/>
              </w:rPr>
              <w:t>aby zapewnić spójne stosowanie prawa Unii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64847" w14:textId="77777777" w:rsidR="005619FF" w:rsidRPr="008D03DA" w:rsidRDefault="005619FF" w:rsidP="00FB1419">
            <w:pPr>
              <w:pStyle w:val="Normal6a"/>
            </w:pPr>
            <w:r>
              <w:lastRenderedPageBreak/>
              <w:t>E.</w:t>
            </w:r>
            <w:r>
              <w:tab/>
              <w:t>mając na uwadze, że akty proceduralne EPPO podlegają kontroli sądowej sprawowanej przez sądy krajowe</w:t>
            </w:r>
            <w:r>
              <w:rPr>
                <w:b/>
                <w:i/>
              </w:rPr>
              <w:t xml:space="preserve"> zgodnie z prawem krajowym</w:t>
            </w:r>
            <w:r>
              <w:t xml:space="preserve">, a Trybunał Sprawiedliwości Unii Europejskiej </w:t>
            </w:r>
            <w:r>
              <w:lastRenderedPageBreak/>
              <w:t xml:space="preserve">(„Trybunał Sprawiedliwości”) – w drodze orzeczeń w trybie prejudycjalnym lub kontroli sądowej tych aktów – </w:t>
            </w:r>
            <w:r>
              <w:rPr>
                <w:b/>
                <w:i/>
              </w:rPr>
              <w:t>zapewnia spójne stosowanie prawa Unii</w:t>
            </w:r>
            <w:r>
              <w:t xml:space="preserve">, </w:t>
            </w:r>
            <w:r>
              <w:rPr>
                <w:b/>
                <w:i/>
              </w:rPr>
              <w:t>w szczególności jednolitą interpretację rozporządzenia w sprawie EPPO i dyrektywy PIF</w:t>
            </w:r>
            <w:r>
              <w:t>;</w:t>
            </w:r>
          </w:p>
        </w:tc>
      </w:tr>
    </w:tbl>
    <w:p w14:paraId="29C5850F" w14:textId="77777777" w:rsidR="005619FF" w:rsidRPr="008D03DA" w:rsidRDefault="005619FF" w:rsidP="005619FF">
      <w:pPr>
        <w:pStyle w:val="AmOrLang"/>
        <w:rPr>
          <w:lang w:val="en-GB" w:eastAsia="en-US"/>
        </w:rPr>
      </w:pPr>
      <w:r w:rsidRPr="008D03DA">
        <w:rPr>
          <w:lang w:val="en-GB"/>
        </w:rPr>
        <w:lastRenderedPageBreak/>
        <w:t xml:space="preserve">Or. </w:t>
      </w:r>
      <w:r w:rsidRPr="008D03DA">
        <w:rPr>
          <w:rStyle w:val="HideTWBExt"/>
          <w:lang w:val="en-GB"/>
        </w:rPr>
        <w:t>&lt;Original&gt;</w:t>
      </w:r>
      <w:r w:rsidRPr="008D03DA">
        <w:rPr>
          <w:rStyle w:val="HideTWBInt"/>
          <w:lang w:val="en-GB"/>
        </w:rPr>
        <w:t>{EN}</w:t>
      </w:r>
      <w:proofErr w:type="spellStart"/>
      <w:r w:rsidRPr="008D03DA">
        <w:rPr>
          <w:lang w:val="en-GB"/>
        </w:rPr>
        <w:t>en</w:t>
      </w:r>
      <w:proofErr w:type="spellEnd"/>
      <w:r w:rsidRPr="008D03DA">
        <w:rPr>
          <w:rStyle w:val="HideTWBExt"/>
          <w:lang w:val="en-GB"/>
        </w:rPr>
        <w:t>&lt;/Original&gt;</w:t>
      </w:r>
    </w:p>
    <w:p w14:paraId="198E4CFE" w14:textId="77777777" w:rsidR="005619FF" w:rsidRPr="005619FF" w:rsidRDefault="005619FF" w:rsidP="005619FF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14:paraId="3A1E8D58" w14:textId="77777777" w:rsidR="005619FF" w:rsidRPr="005619FF" w:rsidRDefault="005619FF" w:rsidP="005619FF">
      <w:pPr>
        <w:pStyle w:val="AmNumberTabs"/>
        <w:rPr>
          <w:lang w:val="en-GB"/>
        </w:rPr>
      </w:pPr>
      <w:r>
        <w:rPr>
          <w:rStyle w:val="HideTWBExt"/>
          <w:lang w:val="en-GB"/>
        </w:rPr>
        <w:t>&lt;Amend&gt;</w:t>
      </w:r>
      <w:proofErr w:type="spellStart"/>
      <w:r w:rsidRPr="005619FF">
        <w:rPr>
          <w:lang w:val="en-GB"/>
        </w:rPr>
        <w:t>Poprawka</w:t>
      </w:r>
      <w:proofErr w:type="spellEnd"/>
      <w:r w:rsidRPr="005619FF">
        <w:rPr>
          <w:lang w:val="en-GB"/>
        </w:rPr>
        <w:tab/>
      </w:r>
      <w:r w:rsidRPr="005619FF">
        <w:rPr>
          <w:lang w:val="en-GB"/>
        </w:rPr>
        <w:tab/>
      </w:r>
      <w:r>
        <w:rPr>
          <w:rStyle w:val="HideTWBExt"/>
          <w:lang w:val="en-GB"/>
        </w:rPr>
        <w:t>&lt;NumAm&gt;</w:t>
      </w:r>
      <w:r w:rsidRPr="005619FF">
        <w:rPr>
          <w:lang w:val="en-GB"/>
        </w:rPr>
        <w:t>5</w:t>
      </w:r>
      <w:r>
        <w:rPr>
          <w:rStyle w:val="HideTWBExt"/>
          <w:lang w:val="en-GB"/>
        </w:rPr>
        <w:t>&lt;/NumAm&gt;</w:t>
      </w:r>
    </w:p>
    <w:p w14:paraId="41213A0B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5619FF">
        <w:rPr>
          <w:lang w:val="en-GB"/>
        </w:rPr>
        <w:t xml:space="preserve">Caterina </w:t>
      </w:r>
      <w:proofErr w:type="spellStart"/>
      <w:r w:rsidRPr="005619FF">
        <w:rPr>
          <w:lang w:val="en-GB"/>
        </w:rPr>
        <w:t>Chinnici</w:t>
      </w:r>
      <w:proofErr w:type="spellEnd"/>
      <w:r>
        <w:rPr>
          <w:rStyle w:val="HideTWBExt"/>
          <w:b w:val="0"/>
          <w:lang w:val="en-GB"/>
        </w:rPr>
        <w:t>&lt;/Members&gt;</w:t>
      </w:r>
    </w:p>
    <w:p w14:paraId="32BC9702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&lt;/RepeatBlock-By&gt;</w:t>
      </w:r>
    </w:p>
    <w:p w14:paraId="07F9E77F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1932965B" w14:textId="77777777" w:rsidR="005619FF" w:rsidRPr="005619FF" w:rsidRDefault="005619FF" w:rsidP="005619FF">
      <w:pPr>
        <w:pStyle w:val="NormalBold"/>
        <w:rPr>
          <w:lang w:val="en-GB"/>
        </w:rPr>
      </w:pPr>
      <w:r w:rsidRPr="005619FF"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Motyw</w:t>
      </w:r>
      <w:proofErr w:type="spellEnd"/>
      <w:r w:rsidRPr="005619FF">
        <w:rPr>
          <w:lang w:val="en-GB"/>
        </w:rPr>
        <w:t xml:space="preserve"> F</w:t>
      </w:r>
      <w:r w:rsidRPr="005619FF"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6A0E84DE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EE2C5" w14:textId="77777777" w:rsidR="005619FF" w:rsidRPr="005619FF" w:rsidRDefault="005619FF" w:rsidP="00FB1419">
            <w:pPr>
              <w:rPr>
                <w:lang w:val="en-GB"/>
              </w:rPr>
            </w:pPr>
          </w:p>
        </w:tc>
      </w:tr>
      <w:tr w:rsidR="005619FF" w14:paraId="20A2C9A8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C28AA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0F0CD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4C503B09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EFC10" w14:textId="77777777" w:rsidR="005619FF" w:rsidRPr="008D03DA" w:rsidRDefault="005619FF" w:rsidP="00FB1419">
            <w:pPr>
              <w:pStyle w:val="Normal6a"/>
            </w:pPr>
            <w:r>
              <w:t>F.</w:t>
            </w:r>
            <w:r>
              <w:tab/>
              <w:t xml:space="preserve">mając na uwadze, że EPPO składa się ze szczebla centralnego, którego siedziba główna mieści się w Luksemburgu i w którego skład wchodzą Europejski Prokurator Generalny, 24 prokuratorów europejskich (po jednym z każdego uczestniczącego państwa członkowskiego od przystąpienia Polski i Szwecji do EPPO, </w:t>
            </w:r>
            <w:r>
              <w:rPr>
                <w:b/>
                <w:i/>
              </w:rPr>
              <w:t>odpowiednio od</w:t>
            </w:r>
            <w:r>
              <w:t xml:space="preserve"> 20 marca i 19 lipca 2024 r.) i dyrektor administracyjny, a także szczebla zdecentralizowanego, krajowego, w którego skład wchodzą delegowani prokuratorzy europejscy (EDP) w 24 uczestniczących państwach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8B6F8" w14:textId="77777777" w:rsidR="005619FF" w:rsidRPr="008D03DA" w:rsidRDefault="005619FF" w:rsidP="00FB1419">
            <w:pPr>
              <w:pStyle w:val="Normal6a"/>
            </w:pPr>
            <w:r>
              <w:t>F.</w:t>
            </w:r>
            <w:r>
              <w:tab/>
              <w:t xml:space="preserve">mając na uwadze, że EPPO składa się ze szczebla centralnego, którego siedziba główna mieści się w Luksemburgu i w którego skład wchodzą Europejski Prokurator Generalny, 24 prokuratorów europejskich (po jednym z każdego uczestniczącego państwa członkowskiego od przystąpienia Polski i Szwecji do EPPO, </w:t>
            </w:r>
            <w:r>
              <w:rPr>
                <w:b/>
                <w:i/>
              </w:rPr>
              <w:t>co miało miejsce odpowiednio</w:t>
            </w:r>
            <w:r>
              <w:t xml:space="preserve"> 20 marca i 19 lipca 2024 r.) i dyrektor administracyjny, a także szczebla zdecentralizowanego, krajowego, w którego skład wchodzą delegowani prokuratorzy europejscy (EDP) w 24 uczestniczących państwach członkowskich;</w:t>
            </w:r>
          </w:p>
        </w:tc>
      </w:tr>
    </w:tbl>
    <w:p w14:paraId="3CF5942C" w14:textId="77777777" w:rsidR="005619FF" w:rsidRPr="008D03DA" w:rsidRDefault="005619FF" w:rsidP="005619FF">
      <w:pPr>
        <w:pStyle w:val="AmOrLang"/>
        <w:rPr>
          <w:lang w:val="en-GB" w:eastAsia="en-US"/>
        </w:rPr>
      </w:pPr>
      <w:r w:rsidRPr="008D03DA">
        <w:rPr>
          <w:lang w:val="en-GB"/>
        </w:rPr>
        <w:t xml:space="preserve">Or. </w:t>
      </w:r>
      <w:r w:rsidRPr="008D03DA">
        <w:rPr>
          <w:rStyle w:val="HideTWBExt"/>
          <w:lang w:val="en-GB"/>
        </w:rPr>
        <w:t>&lt;Original&gt;</w:t>
      </w:r>
      <w:r w:rsidRPr="008D03DA">
        <w:rPr>
          <w:rStyle w:val="HideTWBInt"/>
          <w:lang w:val="en-GB"/>
        </w:rPr>
        <w:t>{EN}</w:t>
      </w:r>
      <w:proofErr w:type="spellStart"/>
      <w:r w:rsidRPr="008D03DA">
        <w:rPr>
          <w:lang w:val="en-GB"/>
        </w:rPr>
        <w:t>en</w:t>
      </w:r>
      <w:proofErr w:type="spellEnd"/>
      <w:r w:rsidRPr="008D03DA">
        <w:rPr>
          <w:rStyle w:val="HideTWBExt"/>
          <w:lang w:val="en-GB"/>
        </w:rPr>
        <w:t>&lt;/Original&gt;</w:t>
      </w:r>
    </w:p>
    <w:p w14:paraId="344235E6" w14:textId="77777777" w:rsidR="005619FF" w:rsidRPr="005619FF" w:rsidRDefault="005619FF" w:rsidP="005619FF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14:paraId="5F286142" w14:textId="77777777" w:rsidR="005619FF" w:rsidRPr="005619FF" w:rsidRDefault="005619FF" w:rsidP="005619FF">
      <w:pPr>
        <w:pStyle w:val="AmNumberTabs"/>
        <w:rPr>
          <w:lang w:val="en-GB"/>
        </w:rPr>
      </w:pPr>
      <w:r>
        <w:rPr>
          <w:rStyle w:val="HideTWBExt"/>
          <w:lang w:val="en-GB"/>
        </w:rPr>
        <w:t>&lt;Amend&gt;</w:t>
      </w:r>
      <w:proofErr w:type="spellStart"/>
      <w:r w:rsidRPr="005619FF">
        <w:rPr>
          <w:lang w:val="en-GB"/>
        </w:rPr>
        <w:t>Poprawka</w:t>
      </w:r>
      <w:proofErr w:type="spellEnd"/>
      <w:r w:rsidRPr="005619FF">
        <w:rPr>
          <w:lang w:val="en-GB"/>
        </w:rPr>
        <w:tab/>
      </w:r>
      <w:r w:rsidRPr="005619FF">
        <w:rPr>
          <w:lang w:val="en-GB"/>
        </w:rPr>
        <w:tab/>
      </w:r>
      <w:r>
        <w:rPr>
          <w:rStyle w:val="HideTWBExt"/>
          <w:lang w:val="en-GB"/>
        </w:rPr>
        <w:t>&lt;NumAm&gt;</w:t>
      </w:r>
      <w:r w:rsidRPr="005619FF">
        <w:rPr>
          <w:lang w:val="en-GB"/>
        </w:rPr>
        <w:t>6</w:t>
      </w:r>
      <w:r>
        <w:rPr>
          <w:rStyle w:val="HideTWBExt"/>
          <w:lang w:val="en-GB"/>
        </w:rPr>
        <w:t>&lt;/NumAm&gt;</w:t>
      </w:r>
    </w:p>
    <w:p w14:paraId="2B27FC77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5619FF">
        <w:rPr>
          <w:lang w:val="en-GB"/>
        </w:rPr>
        <w:t xml:space="preserve">Gilles Boyer, Olivier </w:t>
      </w:r>
      <w:proofErr w:type="spellStart"/>
      <w:r w:rsidRPr="005619FF">
        <w:rPr>
          <w:lang w:val="en-GB"/>
        </w:rPr>
        <w:t>Chastel</w:t>
      </w:r>
      <w:proofErr w:type="spellEnd"/>
      <w:r w:rsidRPr="005619FF">
        <w:rPr>
          <w:lang w:val="en-GB"/>
        </w:rPr>
        <w:t xml:space="preserve">, Vlad </w:t>
      </w:r>
      <w:proofErr w:type="spellStart"/>
      <w:r w:rsidRPr="005619FF">
        <w:rPr>
          <w:lang w:val="en-GB"/>
        </w:rPr>
        <w:t>Vasile-Voiculescu</w:t>
      </w:r>
      <w:proofErr w:type="spellEnd"/>
      <w:r w:rsidRPr="005619FF">
        <w:rPr>
          <w:lang w:val="en-GB"/>
        </w:rPr>
        <w:t xml:space="preserve">, Michal </w:t>
      </w:r>
      <w:proofErr w:type="spellStart"/>
      <w:r w:rsidRPr="005619FF">
        <w:rPr>
          <w:lang w:val="en-GB"/>
        </w:rPr>
        <w:t>Wiezik</w:t>
      </w:r>
      <w:proofErr w:type="spellEnd"/>
      <w:r>
        <w:rPr>
          <w:rStyle w:val="HideTWBExt"/>
          <w:b w:val="0"/>
          <w:lang w:val="en-GB"/>
        </w:rPr>
        <w:t>&lt;/Members&gt;</w:t>
      </w:r>
    </w:p>
    <w:p w14:paraId="380D32C1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&lt;/RepeatBlock-By&gt;</w:t>
      </w:r>
    </w:p>
    <w:p w14:paraId="6D60E190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38BA4E25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Motyw</w:t>
      </w:r>
      <w:proofErr w:type="spellEnd"/>
      <w:r w:rsidRPr="005619FF">
        <w:rPr>
          <w:lang w:val="en-GB"/>
        </w:rPr>
        <w:t xml:space="preserve"> G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716E242C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4AC98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74B92806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EADD6" w14:textId="77777777" w:rsidR="005619FF" w:rsidRPr="00403364" w:rsidRDefault="005619FF" w:rsidP="00FB1419">
            <w:pPr>
              <w:pStyle w:val="AmColumnHeading"/>
            </w:pPr>
            <w: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FBC58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775214B2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166E3" w14:textId="77777777" w:rsidR="005619FF" w:rsidRPr="008D03DA" w:rsidRDefault="005619FF" w:rsidP="00FB1419">
            <w:pPr>
              <w:pStyle w:val="Normal6a"/>
            </w:pPr>
            <w:r>
              <w:t>G.</w:t>
            </w:r>
            <w:r>
              <w:tab/>
              <w:t xml:space="preserve">mając na uwadze, że na szczeblu centralnym Europejski Prokurator Generalny i 24 prokuratorów europejskich tworzą kolegium EPPO („kolegium”) i </w:t>
            </w:r>
            <w:r>
              <w:rPr>
                <w:b/>
                <w:i/>
              </w:rPr>
              <w:t>nadzorują</w:t>
            </w:r>
            <w:r>
              <w:t xml:space="preserve"> postępowania przygotowawcze oraz wnoszenie i popieranie oskarżeń prowadzone przez EDP, którzy działają na szczeblu krajowym całkowicie niezależnie od swoich organów krajowych;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50448" w14:textId="77777777" w:rsidR="005619FF" w:rsidRPr="008D03DA" w:rsidRDefault="005619FF" w:rsidP="00FB1419">
            <w:pPr>
              <w:pStyle w:val="Normal6a"/>
            </w:pPr>
            <w:r>
              <w:t>G.</w:t>
            </w:r>
            <w:r>
              <w:tab/>
              <w:t xml:space="preserve">mając na uwadze, że na szczeblu centralnym Europejski Prokurator Generalny i 24 prokuratorów europejskich tworzą kolegium EPPO („kolegium”), </w:t>
            </w:r>
            <w:r>
              <w:rPr>
                <w:b/>
                <w:i/>
              </w:rPr>
              <w:t>którzy są przypisani do 15 stałych izb</w:t>
            </w:r>
            <w:r>
              <w:t xml:space="preserve"> i nadzorują postępowania przygotowawcze oraz wnoszenie i popieranie oskarżeń prowadzone przez EDP, którzy działają na szczeblu krajowym całkowicie niezależnie od swoich organów krajowych;</w:t>
            </w:r>
          </w:p>
        </w:tc>
      </w:tr>
    </w:tbl>
    <w:p w14:paraId="22F0E900" w14:textId="77777777" w:rsidR="005619FF" w:rsidRPr="008D03DA" w:rsidRDefault="005619FF" w:rsidP="005619FF">
      <w:pPr>
        <w:pStyle w:val="AmOrLang"/>
        <w:rPr>
          <w:lang w:val="en-GB" w:eastAsia="en-US"/>
        </w:rPr>
      </w:pPr>
      <w:r w:rsidRPr="008D03DA">
        <w:rPr>
          <w:lang w:val="en-GB"/>
        </w:rPr>
        <w:t xml:space="preserve">Or. </w:t>
      </w:r>
      <w:r w:rsidRPr="008D03DA">
        <w:rPr>
          <w:rStyle w:val="HideTWBExt"/>
          <w:lang w:val="en-GB"/>
        </w:rPr>
        <w:t>&lt;Original&gt;</w:t>
      </w:r>
      <w:r w:rsidRPr="008D03DA">
        <w:rPr>
          <w:rStyle w:val="HideTWBInt"/>
          <w:lang w:val="en-GB"/>
        </w:rPr>
        <w:t>{EN}</w:t>
      </w:r>
      <w:proofErr w:type="spellStart"/>
      <w:r w:rsidRPr="008D03DA">
        <w:rPr>
          <w:lang w:val="en-GB"/>
        </w:rPr>
        <w:t>en</w:t>
      </w:r>
      <w:proofErr w:type="spellEnd"/>
      <w:r w:rsidRPr="008D03DA">
        <w:rPr>
          <w:rStyle w:val="HideTWBExt"/>
          <w:lang w:val="en-GB"/>
        </w:rPr>
        <w:t>&lt;/Original&gt;</w:t>
      </w:r>
    </w:p>
    <w:p w14:paraId="0F27740D" w14:textId="77777777" w:rsidR="005619FF" w:rsidRPr="005619FF" w:rsidRDefault="005619FF" w:rsidP="005619FF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14:paraId="725830DF" w14:textId="77777777" w:rsidR="005619FF" w:rsidRPr="005619FF" w:rsidRDefault="005619FF" w:rsidP="005619FF">
      <w:pPr>
        <w:pStyle w:val="AmNumberTabs"/>
        <w:rPr>
          <w:lang w:val="en-GB"/>
        </w:rPr>
      </w:pPr>
      <w:r>
        <w:rPr>
          <w:rStyle w:val="HideTWBExt"/>
          <w:lang w:val="en-GB"/>
        </w:rPr>
        <w:t>&lt;Amend&gt;</w:t>
      </w:r>
      <w:proofErr w:type="spellStart"/>
      <w:r w:rsidRPr="005619FF">
        <w:rPr>
          <w:lang w:val="en-GB"/>
        </w:rPr>
        <w:t>Poprawka</w:t>
      </w:r>
      <w:proofErr w:type="spellEnd"/>
      <w:r w:rsidRPr="005619FF">
        <w:rPr>
          <w:lang w:val="en-GB"/>
        </w:rPr>
        <w:tab/>
      </w:r>
      <w:r w:rsidRPr="005619FF">
        <w:rPr>
          <w:lang w:val="en-GB"/>
        </w:rPr>
        <w:tab/>
      </w:r>
      <w:r>
        <w:rPr>
          <w:rStyle w:val="HideTWBExt"/>
          <w:lang w:val="en-GB"/>
        </w:rPr>
        <w:t>&lt;NumAm&gt;</w:t>
      </w:r>
      <w:r w:rsidRPr="005619FF">
        <w:rPr>
          <w:lang w:val="en-GB"/>
        </w:rPr>
        <w:t>7</w:t>
      </w:r>
      <w:r>
        <w:rPr>
          <w:rStyle w:val="HideTWBExt"/>
          <w:lang w:val="en-GB"/>
        </w:rPr>
        <w:t>&lt;/NumAm&gt;</w:t>
      </w:r>
    </w:p>
    <w:p w14:paraId="3C57BDD8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5619FF">
        <w:rPr>
          <w:lang w:val="en-GB"/>
        </w:rPr>
        <w:t xml:space="preserve">Gilles Boyer, Olivier </w:t>
      </w:r>
      <w:proofErr w:type="spellStart"/>
      <w:r w:rsidRPr="005619FF">
        <w:rPr>
          <w:lang w:val="en-GB"/>
        </w:rPr>
        <w:t>Chastel</w:t>
      </w:r>
      <w:proofErr w:type="spellEnd"/>
      <w:r w:rsidRPr="005619FF">
        <w:rPr>
          <w:lang w:val="en-GB"/>
        </w:rPr>
        <w:t xml:space="preserve">, Vlad </w:t>
      </w:r>
      <w:proofErr w:type="spellStart"/>
      <w:r w:rsidRPr="005619FF">
        <w:rPr>
          <w:lang w:val="en-GB"/>
        </w:rPr>
        <w:t>Vasile-Voiculescu</w:t>
      </w:r>
      <w:proofErr w:type="spellEnd"/>
      <w:r w:rsidRPr="005619FF">
        <w:rPr>
          <w:lang w:val="en-GB"/>
        </w:rPr>
        <w:t xml:space="preserve">, Michal </w:t>
      </w:r>
      <w:proofErr w:type="spellStart"/>
      <w:r w:rsidRPr="005619FF">
        <w:rPr>
          <w:lang w:val="en-GB"/>
        </w:rPr>
        <w:t>Wiezik</w:t>
      </w:r>
      <w:proofErr w:type="spellEnd"/>
      <w:r>
        <w:rPr>
          <w:rStyle w:val="HideTWBExt"/>
          <w:b w:val="0"/>
          <w:lang w:val="en-GB"/>
        </w:rPr>
        <w:t>&lt;/Members&gt;</w:t>
      </w:r>
    </w:p>
    <w:p w14:paraId="0D1AD16D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&lt;/RepeatBlock-By&gt;</w:t>
      </w:r>
    </w:p>
    <w:p w14:paraId="58E100C9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4AE81615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Motyw</w:t>
      </w:r>
      <w:proofErr w:type="spellEnd"/>
      <w:r w:rsidRPr="005619FF">
        <w:rPr>
          <w:lang w:val="en-GB"/>
        </w:rPr>
        <w:t xml:space="preserve"> K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601AAEF7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3EF28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5E30D643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726F9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F1837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D364C25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8B1D8" w14:textId="77777777" w:rsidR="005619FF" w:rsidRPr="008D03DA" w:rsidRDefault="005619FF" w:rsidP="00FB1419">
            <w:pPr>
              <w:pStyle w:val="Normal6a"/>
            </w:pPr>
            <w:r>
              <w:t>K.</w:t>
            </w:r>
            <w:r>
              <w:tab/>
              <w:t xml:space="preserve">mając na uwadze, że w kontroli zarządzania zasobami EPPO i związanymi z nimi wydatkami </w:t>
            </w:r>
            <w:r>
              <w:rPr>
                <w:b/>
                <w:i/>
              </w:rPr>
              <w:t>nie można pomijać badania działań operacyjnych</w:t>
            </w:r>
            <w:r>
              <w:t xml:space="preserve">, </w:t>
            </w:r>
            <w:r>
              <w:rPr>
                <w:b/>
                <w:i/>
              </w:rPr>
              <w:t xml:space="preserve">ich konsekwencji i wpływu oraz metod ich realizacji, jak </w:t>
            </w:r>
            <w:proofErr w:type="gramStart"/>
            <w:r>
              <w:rPr>
                <w:b/>
                <w:i/>
              </w:rPr>
              <w:t>również</w:t>
            </w:r>
            <w:proofErr w:type="gramEnd"/>
            <w:r>
              <w:rPr>
                <w:b/>
                <w:i/>
              </w:rPr>
              <w:t xml:space="preserve"> że oczekuje się uwzględniania w tej kontroli specyfiki działań prokuratorskich</w:t>
            </w:r>
            <w:r>
              <w:t xml:space="preserve"> i </w:t>
            </w:r>
            <w:r>
              <w:rPr>
                <w:b/>
                <w:i/>
              </w:rPr>
              <w:t>dochodzeniowych przez ciągłą ocenę w celu dopilnowania</w:t>
            </w:r>
            <w:r>
              <w:t xml:space="preserve">, aby </w:t>
            </w:r>
            <w:r>
              <w:rPr>
                <w:b/>
                <w:i/>
              </w:rPr>
              <w:t>zasoby pozostawały wystarczające do zapewnienia skuteczności operacyjnej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B555C" w14:textId="77777777" w:rsidR="005619FF" w:rsidRPr="008D03DA" w:rsidRDefault="005619FF" w:rsidP="00FB1419">
            <w:pPr>
              <w:pStyle w:val="Normal6a"/>
            </w:pPr>
            <w:r>
              <w:t>K.</w:t>
            </w:r>
            <w:r>
              <w:tab/>
              <w:t xml:space="preserve">mając na uwadze, że w kontroli zarządzania zasobami EPPO i związanymi z nimi wydatkami </w:t>
            </w:r>
            <w:r>
              <w:rPr>
                <w:b/>
                <w:i/>
              </w:rPr>
              <w:t>należy również stale oceniać</w:t>
            </w:r>
            <w:r>
              <w:t xml:space="preserve">, </w:t>
            </w:r>
            <w:r>
              <w:rPr>
                <w:b/>
                <w:i/>
              </w:rPr>
              <w:t>czy zasoby pozostają wystarczające</w:t>
            </w:r>
            <w:r>
              <w:t xml:space="preserve"> i </w:t>
            </w:r>
            <w:r>
              <w:rPr>
                <w:b/>
                <w:i/>
              </w:rPr>
              <w:t>czy są efektywnie wydawane</w:t>
            </w:r>
            <w:r>
              <w:t xml:space="preserve">, aby </w:t>
            </w:r>
            <w:r>
              <w:rPr>
                <w:b/>
                <w:i/>
              </w:rPr>
              <w:t>zapewnić sukces operacyjny</w:t>
            </w:r>
            <w:r>
              <w:t>;</w:t>
            </w:r>
          </w:p>
        </w:tc>
      </w:tr>
    </w:tbl>
    <w:p w14:paraId="7713D0E0" w14:textId="77777777" w:rsidR="005619FF" w:rsidRPr="008D03DA" w:rsidRDefault="005619FF" w:rsidP="005619FF">
      <w:pPr>
        <w:pStyle w:val="AmOrLang"/>
        <w:rPr>
          <w:lang w:val="en-GB" w:eastAsia="en-US"/>
        </w:rPr>
      </w:pPr>
      <w:r w:rsidRPr="008D03DA">
        <w:rPr>
          <w:lang w:val="en-GB"/>
        </w:rPr>
        <w:t xml:space="preserve">Or. </w:t>
      </w:r>
      <w:r w:rsidRPr="008D03DA">
        <w:rPr>
          <w:rStyle w:val="HideTWBExt"/>
          <w:lang w:val="en-GB"/>
        </w:rPr>
        <w:t>&lt;Original&gt;</w:t>
      </w:r>
      <w:r w:rsidRPr="008D03DA">
        <w:rPr>
          <w:rStyle w:val="HideTWBInt"/>
          <w:lang w:val="en-GB"/>
        </w:rPr>
        <w:t>{EN}</w:t>
      </w:r>
      <w:proofErr w:type="spellStart"/>
      <w:r w:rsidRPr="008D03DA">
        <w:rPr>
          <w:lang w:val="en-GB"/>
        </w:rPr>
        <w:t>en</w:t>
      </w:r>
      <w:proofErr w:type="spellEnd"/>
      <w:r w:rsidRPr="008D03DA">
        <w:rPr>
          <w:rStyle w:val="HideTWBExt"/>
          <w:lang w:val="en-GB"/>
        </w:rPr>
        <w:t>&lt;/Original&gt;</w:t>
      </w:r>
    </w:p>
    <w:p w14:paraId="4E410C5F" w14:textId="77777777" w:rsidR="005619FF" w:rsidRPr="005619FF" w:rsidRDefault="005619FF" w:rsidP="005619FF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14:paraId="2066FB9E" w14:textId="77777777" w:rsidR="005619FF" w:rsidRPr="005619FF" w:rsidRDefault="005619FF" w:rsidP="005619FF">
      <w:pPr>
        <w:pStyle w:val="AmNumberTabs"/>
        <w:rPr>
          <w:lang w:val="en-GB"/>
        </w:rPr>
      </w:pPr>
      <w:r>
        <w:rPr>
          <w:rStyle w:val="HideTWBExt"/>
          <w:lang w:val="en-GB"/>
        </w:rPr>
        <w:t>&lt;Amend&gt;</w:t>
      </w:r>
      <w:proofErr w:type="spellStart"/>
      <w:r w:rsidRPr="005619FF">
        <w:rPr>
          <w:lang w:val="en-GB"/>
        </w:rPr>
        <w:t>Poprawka</w:t>
      </w:r>
      <w:proofErr w:type="spellEnd"/>
      <w:r w:rsidRPr="005619FF">
        <w:rPr>
          <w:lang w:val="en-GB"/>
        </w:rPr>
        <w:tab/>
      </w:r>
      <w:r w:rsidRPr="005619FF">
        <w:rPr>
          <w:lang w:val="en-GB"/>
        </w:rPr>
        <w:tab/>
      </w:r>
      <w:r>
        <w:rPr>
          <w:rStyle w:val="HideTWBExt"/>
          <w:lang w:val="en-GB"/>
        </w:rPr>
        <w:t>&lt;NumAm&gt;</w:t>
      </w:r>
      <w:r w:rsidRPr="005619FF">
        <w:rPr>
          <w:lang w:val="en-GB"/>
        </w:rPr>
        <w:t>8</w:t>
      </w:r>
      <w:r>
        <w:rPr>
          <w:rStyle w:val="HideTWBExt"/>
          <w:lang w:val="en-GB"/>
        </w:rPr>
        <w:t>&lt;/NumAm&gt;</w:t>
      </w:r>
    </w:p>
    <w:p w14:paraId="29CFA9F3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5619FF">
        <w:rPr>
          <w:lang w:val="en-GB"/>
        </w:rPr>
        <w:t xml:space="preserve">Caterina </w:t>
      </w:r>
      <w:proofErr w:type="spellStart"/>
      <w:r w:rsidRPr="005619FF">
        <w:rPr>
          <w:lang w:val="en-GB"/>
        </w:rPr>
        <w:t>Chinnici</w:t>
      </w:r>
      <w:proofErr w:type="spellEnd"/>
      <w:r>
        <w:rPr>
          <w:rStyle w:val="HideTWBExt"/>
          <w:b w:val="0"/>
          <w:lang w:val="en-GB"/>
        </w:rPr>
        <w:t>&lt;/Members&gt;</w:t>
      </w:r>
    </w:p>
    <w:p w14:paraId="1EB7A90B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&lt;/RepeatBlock-By&gt;</w:t>
      </w:r>
    </w:p>
    <w:p w14:paraId="06DCD5B4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60FF1189" w14:textId="77777777" w:rsidR="005619FF" w:rsidRPr="005619FF" w:rsidRDefault="005619FF" w:rsidP="005619FF">
      <w:pPr>
        <w:pStyle w:val="NormalBold"/>
        <w:rPr>
          <w:lang w:val="en-GB"/>
        </w:rPr>
      </w:pPr>
      <w:r w:rsidRPr="005619FF"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Motyw</w:t>
      </w:r>
      <w:proofErr w:type="spellEnd"/>
      <w:r w:rsidRPr="005619FF">
        <w:rPr>
          <w:lang w:val="en-GB"/>
        </w:rPr>
        <w:t xml:space="preserve"> K</w:t>
      </w:r>
      <w:r w:rsidRPr="005619FF"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156F9AD3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0A8FC" w14:textId="77777777" w:rsidR="005619FF" w:rsidRPr="005619FF" w:rsidRDefault="005619FF" w:rsidP="00FB1419">
            <w:pPr>
              <w:rPr>
                <w:lang w:val="en-GB"/>
              </w:rPr>
            </w:pPr>
          </w:p>
        </w:tc>
      </w:tr>
      <w:tr w:rsidR="005619FF" w14:paraId="1E21A1F2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34ADE" w14:textId="77777777" w:rsidR="005619FF" w:rsidRPr="00403364" w:rsidRDefault="005619FF" w:rsidP="00FB1419">
            <w:pPr>
              <w:pStyle w:val="AmColumnHeading"/>
            </w:pPr>
            <w: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AC2C06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01BC924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E8A7F" w14:textId="77777777" w:rsidR="005619FF" w:rsidRPr="008D03DA" w:rsidRDefault="005619FF" w:rsidP="00FB1419">
            <w:pPr>
              <w:pStyle w:val="Normal6a"/>
            </w:pPr>
            <w:r>
              <w:t>K.</w:t>
            </w:r>
            <w:r>
              <w:tab/>
              <w:t xml:space="preserve">mając na uwadze, że w kontroli zarządzania zasobami EPPO i związanymi z nimi wydatkami nie można pomijać </w:t>
            </w:r>
            <w:r>
              <w:rPr>
                <w:b/>
                <w:i/>
              </w:rPr>
              <w:t xml:space="preserve">badania </w:t>
            </w:r>
            <w:r>
              <w:t>działań operacyjnych, ich konsekwencji i wpływu</w:t>
            </w:r>
            <w:r>
              <w:rPr>
                <w:b/>
                <w:i/>
              </w:rPr>
              <w:t xml:space="preserve"> oraz metod ich realizacji</w:t>
            </w:r>
            <w:r>
              <w:t xml:space="preserve">, jak </w:t>
            </w:r>
            <w:proofErr w:type="gramStart"/>
            <w:r>
              <w:t>również</w:t>
            </w:r>
            <w:proofErr w:type="gramEnd"/>
            <w:r>
              <w:t xml:space="preserve"> że oczekuje się uwzględniania w tej kontroli specyfiki działań prokuratorskich i dochodzeniowych przez ciągłą ocenę w celu dopilnowania, aby zasoby pozostawały wystarczające do zapewnienia skuteczności operacyjnej;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3EBD9" w14:textId="77777777" w:rsidR="005619FF" w:rsidRPr="008D03DA" w:rsidRDefault="005619FF" w:rsidP="00FB1419">
            <w:pPr>
              <w:pStyle w:val="Normal6a"/>
            </w:pPr>
            <w:r>
              <w:t>K.</w:t>
            </w:r>
            <w:r>
              <w:tab/>
              <w:t>mając na uwadze, że w kontroli zarządzania zasobami EPPO i związanymi z nimi wydatkami nie można pomijać działań operacyjnych,</w:t>
            </w:r>
            <w:r>
              <w:rPr>
                <w:b/>
                <w:i/>
              </w:rPr>
              <w:t xml:space="preserve"> w tym</w:t>
            </w:r>
            <w:r>
              <w:t xml:space="preserve"> ich konsekwencji i wpływu, jak </w:t>
            </w:r>
            <w:proofErr w:type="gramStart"/>
            <w:r>
              <w:t>również</w:t>
            </w:r>
            <w:proofErr w:type="gramEnd"/>
            <w:r>
              <w:t xml:space="preserve"> że oczekuje się uwzględniania w tej kontroli specyfiki działań prokuratorskich i dochodzeniowych przez ciągłą ocenę w celu dopilnowania, aby zasoby pozostawały wystarczające do zapewnienia skuteczności operacyjnej;</w:t>
            </w:r>
          </w:p>
        </w:tc>
      </w:tr>
    </w:tbl>
    <w:p w14:paraId="45000D5F" w14:textId="77777777" w:rsidR="005619FF" w:rsidRPr="008D03DA" w:rsidRDefault="005619FF" w:rsidP="005619FF">
      <w:pPr>
        <w:pStyle w:val="AmOrLang"/>
        <w:rPr>
          <w:lang w:val="en-GB" w:eastAsia="en-US"/>
        </w:rPr>
      </w:pPr>
      <w:r w:rsidRPr="008D03DA">
        <w:rPr>
          <w:lang w:val="en-GB"/>
        </w:rPr>
        <w:t xml:space="preserve">Or. </w:t>
      </w:r>
      <w:r w:rsidRPr="008D03DA">
        <w:rPr>
          <w:rStyle w:val="HideTWBExt"/>
          <w:lang w:val="en-GB"/>
        </w:rPr>
        <w:t>&lt;Original&gt;</w:t>
      </w:r>
      <w:r w:rsidRPr="008D03DA">
        <w:rPr>
          <w:rStyle w:val="HideTWBInt"/>
          <w:lang w:val="en-GB"/>
        </w:rPr>
        <w:t>{EN}</w:t>
      </w:r>
      <w:proofErr w:type="spellStart"/>
      <w:r w:rsidRPr="008D03DA">
        <w:rPr>
          <w:lang w:val="en-GB"/>
        </w:rPr>
        <w:t>en</w:t>
      </w:r>
      <w:proofErr w:type="spellEnd"/>
      <w:r w:rsidRPr="008D03DA">
        <w:rPr>
          <w:rStyle w:val="HideTWBExt"/>
          <w:lang w:val="en-GB"/>
        </w:rPr>
        <w:t>&lt;/Original&gt;</w:t>
      </w:r>
    </w:p>
    <w:p w14:paraId="2E0DBE32" w14:textId="77777777" w:rsidR="005619FF" w:rsidRPr="005619FF" w:rsidRDefault="005619FF" w:rsidP="005619FF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14:paraId="5C6D695B" w14:textId="77777777" w:rsidR="005619FF" w:rsidRPr="005619FF" w:rsidRDefault="005619FF" w:rsidP="005619FF">
      <w:pPr>
        <w:pStyle w:val="AmNumberTabs"/>
        <w:rPr>
          <w:lang w:val="en-GB"/>
        </w:rPr>
      </w:pPr>
      <w:r>
        <w:rPr>
          <w:rStyle w:val="HideTWBExt"/>
          <w:lang w:val="en-GB"/>
        </w:rPr>
        <w:t>&lt;Amend&gt;</w:t>
      </w:r>
      <w:proofErr w:type="spellStart"/>
      <w:r w:rsidRPr="005619FF">
        <w:rPr>
          <w:lang w:val="en-GB"/>
        </w:rPr>
        <w:t>Poprawka</w:t>
      </w:r>
      <w:proofErr w:type="spellEnd"/>
      <w:r w:rsidRPr="005619FF">
        <w:rPr>
          <w:lang w:val="en-GB"/>
        </w:rPr>
        <w:tab/>
      </w:r>
      <w:r w:rsidRPr="005619FF">
        <w:rPr>
          <w:lang w:val="en-GB"/>
        </w:rPr>
        <w:tab/>
      </w:r>
      <w:r>
        <w:rPr>
          <w:rStyle w:val="HideTWBExt"/>
          <w:lang w:val="en-GB"/>
        </w:rPr>
        <w:t>&lt;NumAm&gt;</w:t>
      </w:r>
      <w:r w:rsidRPr="005619FF">
        <w:rPr>
          <w:lang w:val="en-GB"/>
        </w:rPr>
        <w:t>9</w:t>
      </w:r>
      <w:r>
        <w:rPr>
          <w:rStyle w:val="HideTWBExt"/>
          <w:lang w:val="en-GB"/>
        </w:rPr>
        <w:t>&lt;/NumAm&gt;</w:t>
      </w:r>
    </w:p>
    <w:p w14:paraId="6C6FAD82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5619FF">
        <w:rPr>
          <w:lang w:val="en-GB"/>
        </w:rPr>
        <w:t>Csaba Molnár</w:t>
      </w:r>
      <w:r>
        <w:rPr>
          <w:rStyle w:val="HideTWBExt"/>
          <w:b w:val="0"/>
          <w:lang w:val="en-GB"/>
        </w:rPr>
        <w:t>&lt;/Members&gt;</w:t>
      </w:r>
    </w:p>
    <w:p w14:paraId="1360522F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&lt;/RepeatBlock-By&gt;</w:t>
      </w:r>
    </w:p>
    <w:p w14:paraId="713D9596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62A08464" w14:textId="77777777" w:rsidR="005619FF" w:rsidRPr="005619FF" w:rsidRDefault="005619FF" w:rsidP="005619FF">
      <w:pPr>
        <w:pStyle w:val="NormalBold"/>
        <w:rPr>
          <w:lang w:val="en-GB"/>
        </w:rPr>
      </w:pPr>
      <w:r w:rsidRPr="005619FF"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Ustęp</w:t>
      </w:r>
      <w:proofErr w:type="spellEnd"/>
      <w:r w:rsidRPr="005619FF">
        <w:rPr>
          <w:lang w:val="en-GB"/>
        </w:rPr>
        <w:t xml:space="preserve"> 2</w:t>
      </w:r>
      <w:r w:rsidRPr="005619FF"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052491A4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3D58E" w14:textId="77777777" w:rsidR="005619FF" w:rsidRPr="005619FF" w:rsidRDefault="005619FF" w:rsidP="00FB1419">
            <w:pPr>
              <w:rPr>
                <w:lang w:val="en-GB"/>
              </w:rPr>
            </w:pPr>
          </w:p>
        </w:tc>
      </w:tr>
      <w:tr w:rsidR="005619FF" w14:paraId="2F2388E4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3E704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26543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E71B440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76C99" w14:textId="77777777" w:rsidR="005619FF" w:rsidRPr="008D03DA" w:rsidRDefault="005619FF" w:rsidP="00FB1419">
            <w:pPr>
              <w:pStyle w:val="Normal6a"/>
            </w:pPr>
            <w:r>
              <w:t>2.</w:t>
            </w:r>
            <w:r>
              <w:tab/>
              <w:t>uznaje znaczenie EPPO w odniesieniu do ochrony interesów finansowych Unii, a w szczególności budżetu Unii; przypomina o zdecydowanym poparciu Parlamentu dla ustanowienia EPPO i wyraża uznanie dla pracy, jaką EPPO wykonuje w zakresie prowadzenia postępowań przygotowawczych oraz wnoszenia i popierania oskarżeń w związku z takimi przestępstwami, jak: nadużycia finansowe, korupcja i poważne transgraniczne oszustwa związane z 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DCDEC" w14:textId="77777777" w:rsidR="005619FF" w:rsidRPr="008D03DA" w:rsidRDefault="005619FF" w:rsidP="00FB1419">
            <w:pPr>
              <w:pStyle w:val="Normal6a"/>
            </w:pPr>
            <w:r>
              <w:t>2.</w:t>
            </w:r>
            <w:r>
              <w:tab/>
              <w:t xml:space="preserve">uznaje znaczenie EPPO w odniesieniu do ochrony interesów finansowych Unii, a w szczególności budżetu Unii; przypomina o zdecydowanym poparciu Parlamentu dla ustanowienia EPPO i wyraża uznanie dla pracy, jaką EPPO wykonuje w zakresie prowadzenia postępowań przygotowawczych oraz wnoszenia i popierania oskarżeń w związku z takimi przestępstwami, jak: nadużycia finansowe, korupcja i poważne transgraniczne oszustwa związane z VAT; </w:t>
            </w:r>
            <w:r>
              <w:rPr>
                <w:b/>
                <w:i/>
              </w:rPr>
              <w:t>ponownie podkreśla kluczową rolę EPPO w ochronie interesów finansowych Unii i podkreśla, że stanowi ona podstawę unijnych ram zwalczania nadużyć finansowych oraz szerszego systemu zarządzania opartego na uczciwości, rozliczalności, przejrzystości i należytym zarządzaniu finansowym;</w:t>
            </w:r>
          </w:p>
        </w:tc>
      </w:tr>
    </w:tbl>
    <w:p w14:paraId="3B1CAE3D" w14:textId="77777777" w:rsidR="005619FF" w:rsidRPr="005619FF" w:rsidRDefault="005619FF" w:rsidP="005619FF">
      <w:pPr>
        <w:pStyle w:val="AmOrLang"/>
        <w:rPr>
          <w:lang w:val="sv-SE" w:eastAsia="en-US"/>
        </w:rPr>
      </w:pPr>
      <w:r w:rsidRPr="005619FF">
        <w:rPr>
          <w:lang w:val="sv-SE"/>
        </w:rPr>
        <w:lastRenderedPageBreak/>
        <w:t xml:space="preserve">Or. </w:t>
      </w:r>
      <w:r w:rsidRPr="005619FF">
        <w:rPr>
          <w:rStyle w:val="HideTWBExt"/>
          <w:lang w:val="sv-SE"/>
        </w:rPr>
        <w:t>&lt;Original&gt;</w:t>
      </w:r>
      <w:r w:rsidRPr="005619FF">
        <w:rPr>
          <w:rStyle w:val="HideTWBInt"/>
          <w:lang w:val="sv-SE"/>
        </w:rPr>
        <w:t>{EN}</w:t>
      </w:r>
      <w:r w:rsidRPr="005619FF">
        <w:rPr>
          <w:lang w:val="sv-SE"/>
        </w:rPr>
        <w:t>en</w:t>
      </w:r>
      <w:r w:rsidRPr="005619FF">
        <w:rPr>
          <w:rStyle w:val="HideTWBExt"/>
          <w:lang w:val="sv-SE"/>
        </w:rPr>
        <w:t>&lt;/Original&gt;</w:t>
      </w:r>
    </w:p>
    <w:p w14:paraId="56553815" w14:textId="77777777" w:rsidR="005619FF" w:rsidRPr="005619FF" w:rsidRDefault="005619FF" w:rsidP="005619FF">
      <w:pPr>
        <w:rPr>
          <w:lang w:val="sv-SE"/>
        </w:rPr>
      </w:pPr>
      <w:r w:rsidRPr="005619FF">
        <w:rPr>
          <w:rStyle w:val="HideTWBExt"/>
          <w:lang w:val="sv-SE"/>
        </w:rPr>
        <w:t>&lt;/Amend&gt;</w:t>
      </w:r>
    </w:p>
    <w:p w14:paraId="49004363" w14:textId="77777777" w:rsidR="005619FF" w:rsidRPr="005619FF" w:rsidRDefault="005619FF" w:rsidP="005619FF">
      <w:pPr>
        <w:pStyle w:val="AmNumberTabs"/>
        <w:rPr>
          <w:lang w:val="sv-SE"/>
        </w:rPr>
      </w:pPr>
      <w:r w:rsidRPr="005619FF">
        <w:rPr>
          <w:rStyle w:val="HideTWBExt"/>
          <w:lang w:val="sv-SE"/>
        </w:rPr>
        <w:t>&lt;Amend&gt;</w:t>
      </w:r>
      <w:proofErr w:type="spellStart"/>
      <w:r w:rsidRPr="005619FF">
        <w:rPr>
          <w:lang w:val="sv-SE"/>
        </w:rPr>
        <w:t>Poprawka</w:t>
      </w:r>
      <w:proofErr w:type="spellEnd"/>
      <w:r w:rsidRPr="005619FF">
        <w:rPr>
          <w:lang w:val="sv-SE"/>
        </w:rPr>
        <w:tab/>
      </w:r>
      <w:r w:rsidRPr="005619FF">
        <w:rPr>
          <w:lang w:val="sv-SE"/>
        </w:rPr>
        <w:tab/>
      </w:r>
      <w:r w:rsidRPr="005619FF">
        <w:rPr>
          <w:rStyle w:val="HideTWBExt"/>
          <w:lang w:val="sv-SE"/>
        </w:rPr>
        <w:t>&lt;NumAm&gt;</w:t>
      </w:r>
      <w:r w:rsidRPr="005619FF">
        <w:rPr>
          <w:lang w:val="sv-SE"/>
        </w:rPr>
        <w:t>10</w:t>
      </w:r>
      <w:r w:rsidRPr="005619FF">
        <w:rPr>
          <w:rStyle w:val="HideTWBExt"/>
          <w:lang w:val="sv-SE"/>
        </w:rPr>
        <w:t>&lt;/NumAm&gt;</w:t>
      </w:r>
    </w:p>
    <w:p w14:paraId="2A260323" w14:textId="77777777" w:rsidR="005619FF" w:rsidRPr="005619FF" w:rsidRDefault="005619FF" w:rsidP="005619FF">
      <w:pPr>
        <w:pStyle w:val="NormalBold"/>
        <w:rPr>
          <w:lang w:val="sv-SE"/>
        </w:rPr>
      </w:pPr>
      <w:r w:rsidRPr="005619FF">
        <w:rPr>
          <w:rStyle w:val="HideTWBExt"/>
          <w:b w:val="0"/>
          <w:lang w:val="sv-SE"/>
        </w:rPr>
        <w:t>&lt;RepeatBlock-By&gt;&lt;Members&gt;</w:t>
      </w:r>
      <w:r w:rsidRPr="005619FF">
        <w:rPr>
          <w:lang w:val="sv-SE"/>
        </w:rPr>
        <w:t xml:space="preserve">Damian </w:t>
      </w:r>
      <w:proofErr w:type="spellStart"/>
      <w:r w:rsidRPr="005619FF">
        <w:rPr>
          <w:lang w:val="sv-SE"/>
        </w:rPr>
        <w:t>Boeselager</w:t>
      </w:r>
      <w:proofErr w:type="spellEnd"/>
      <w:r w:rsidRPr="005619FF">
        <w:rPr>
          <w:rStyle w:val="HideTWBExt"/>
          <w:b w:val="0"/>
          <w:lang w:val="sv-SE"/>
        </w:rPr>
        <w:t>&lt;/Members&gt;</w:t>
      </w:r>
    </w:p>
    <w:p w14:paraId="0F531BDA" w14:textId="77777777" w:rsidR="005619FF" w:rsidRPr="005619FF" w:rsidRDefault="005619FF" w:rsidP="005619FF">
      <w:r w:rsidRPr="005619FF">
        <w:rPr>
          <w:rStyle w:val="HideTWBExt"/>
        </w:rPr>
        <w:t>&lt;AuNomDe&gt;</w:t>
      </w:r>
      <w:r w:rsidRPr="005619FF">
        <w:rPr>
          <w:rStyle w:val="HideTWBInt"/>
          <w:color w:val="auto"/>
        </w:rPr>
        <w:t>{Verts/ALE}</w:t>
      </w:r>
      <w:r w:rsidRPr="005619FF">
        <w:t xml:space="preserve">w imieniu grupy </w:t>
      </w:r>
      <w:proofErr w:type="spellStart"/>
      <w:r w:rsidRPr="005619FF">
        <w:t>Verts</w:t>
      </w:r>
      <w:proofErr w:type="spellEnd"/>
      <w:r w:rsidRPr="005619FF">
        <w:t>/ALE</w:t>
      </w:r>
      <w:r w:rsidRPr="005619FF">
        <w:rPr>
          <w:rStyle w:val="HideTWBExt"/>
        </w:rPr>
        <w:t>&lt;/AuNomDe&gt;</w:t>
      </w:r>
    </w:p>
    <w:p w14:paraId="02602E46" w14:textId="77777777" w:rsidR="005619FF" w:rsidRPr="005619FF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3EDBF01F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1697B40D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Ustęp</w:t>
      </w:r>
      <w:proofErr w:type="spellEnd"/>
      <w:r w:rsidRPr="005619FF">
        <w:rPr>
          <w:lang w:val="en-GB"/>
        </w:rPr>
        <w:t xml:space="preserve"> 3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2732FF5F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31895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674BAE2E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BA0EC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D96D88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70F771D3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60841" w14:textId="77777777" w:rsidR="005619FF" w:rsidRPr="008D03DA" w:rsidRDefault="005619FF" w:rsidP="00FB1419">
            <w:pPr>
              <w:pStyle w:val="Normal6a"/>
            </w:pPr>
            <w:r>
              <w:t>3.</w:t>
            </w:r>
            <w:r>
              <w:tab/>
              <w:t>podkreśla wyjątkową rolę EPPO jako prokuratury w odniesieniu do ścigania przestępstw w Unii i zwraca uwagę, że ze względu na swój charakter EPPO jest zobowiązana do prowadzenia postępowań przygotowawczych we wszystkich sprawach wchodzących w zakres jej kompetencji, gdy zostanie o nich powiadomiona; podkreśla w związku z tym potrzebę niezwłocznego przeznaczenia zasobów niezbędnych do wypełniania jej obowiązków oraz zapewnienia postępów i terminowego zakończenia dochodzeń;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794E2" w14:textId="77777777" w:rsidR="005619FF" w:rsidRPr="008D03DA" w:rsidRDefault="005619FF" w:rsidP="00FB1419">
            <w:pPr>
              <w:pStyle w:val="Normal6a"/>
            </w:pPr>
            <w:r>
              <w:t>3.</w:t>
            </w:r>
            <w:r>
              <w:tab/>
              <w:t xml:space="preserve">podkreśla wyjątkową rolę EPPO jako prokuratury w odniesieniu do ścigania przestępstw w Unii i zwraca uwagę, że ze względu na swój charakter EPPO jest zobowiązana do prowadzenia postępowań przygotowawczych we wszystkich sprawach wchodzących w zakres jej kompetencji, gdy zostanie o nich powiadomiona; podkreśla w związku z tym potrzebę niezwłocznego przeznaczenia zasobów niezbędnych do wypełniania jej obowiązków oraz zapewnienia postępów i terminowego zakończenia dochodzeń; </w:t>
            </w:r>
            <w:r>
              <w:rPr>
                <w:b/>
                <w:i/>
              </w:rPr>
              <w:t>przypomina, że zgodnie ze sprawozdaniem rocznym EPPO za 2024 r. do końca 2024 r. EPPO prowadziła 2666 postępowań przygotowawczych przy szacowanej szkodzie w wysokości 24,8 mld EUR, oraz że sędziowie wydali nakazy zabezpieczenia o wartości 2,42 mld EUR; podkreśla, że dane te potwierdzają strukturalną rozbieżność między wzrostem obciążenia pracą a przydzielonymi zasobami;</w:t>
            </w:r>
          </w:p>
        </w:tc>
      </w:tr>
    </w:tbl>
    <w:p w14:paraId="5FD68FAE" w14:textId="77777777" w:rsidR="005619FF" w:rsidRPr="005619FF" w:rsidRDefault="005619FF" w:rsidP="005619FF">
      <w:pPr>
        <w:pStyle w:val="AmOrLang"/>
        <w:rPr>
          <w:lang w:val="fr-BE" w:eastAsia="en-US"/>
        </w:rPr>
      </w:pPr>
      <w:r w:rsidRPr="005619FF">
        <w:rPr>
          <w:lang w:val="fr-BE"/>
        </w:rPr>
        <w:t xml:space="preserve">Or. </w:t>
      </w:r>
      <w:r w:rsidRPr="005619FF">
        <w:rPr>
          <w:rStyle w:val="HideTWBExt"/>
          <w:lang w:val="fr-BE"/>
        </w:rPr>
        <w:t>&lt;Original&gt;</w:t>
      </w:r>
      <w:r w:rsidRPr="005619FF">
        <w:rPr>
          <w:rStyle w:val="HideTWBInt"/>
          <w:lang w:val="fr-BE"/>
        </w:rPr>
        <w:t>{EN}</w:t>
      </w:r>
      <w:proofErr w:type="gramStart"/>
      <w:r w:rsidRPr="005619FF">
        <w:rPr>
          <w:lang w:val="fr-BE"/>
        </w:rPr>
        <w:t>en</w:t>
      </w:r>
      <w:proofErr w:type="gramEnd"/>
      <w:r w:rsidRPr="005619FF">
        <w:rPr>
          <w:rStyle w:val="HideTWBExt"/>
          <w:lang w:val="fr-BE"/>
        </w:rPr>
        <w:t>&lt;/Original&gt;</w:t>
      </w:r>
    </w:p>
    <w:p w14:paraId="4552F2EF" w14:textId="77777777" w:rsidR="005619FF" w:rsidRPr="005619FF" w:rsidRDefault="005619FF" w:rsidP="005619FF">
      <w:pPr>
        <w:rPr>
          <w:lang w:val="fr-BE"/>
        </w:rPr>
      </w:pPr>
      <w:r w:rsidRPr="005619FF">
        <w:rPr>
          <w:rStyle w:val="HideTWBExt"/>
          <w:lang w:val="fr-BE"/>
        </w:rPr>
        <w:t>&lt;/Amend&gt;</w:t>
      </w:r>
    </w:p>
    <w:p w14:paraId="4BD510CF" w14:textId="77777777" w:rsidR="005619FF" w:rsidRPr="005619FF" w:rsidRDefault="005619FF" w:rsidP="005619FF">
      <w:pPr>
        <w:pStyle w:val="AmNumberTabs"/>
        <w:rPr>
          <w:lang w:val="fr-BE"/>
        </w:rPr>
      </w:pPr>
      <w:r w:rsidRPr="005619FF">
        <w:rPr>
          <w:rStyle w:val="HideTWBExt"/>
          <w:lang w:val="fr-BE"/>
        </w:rPr>
        <w:t>&lt;Amend&gt;</w:t>
      </w:r>
      <w:proofErr w:type="spellStart"/>
      <w:r w:rsidRPr="005619FF">
        <w:rPr>
          <w:lang w:val="fr-BE"/>
        </w:rPr>
        <w:t>Poprawka</w:t>
      </w:r>
      <w:proofErr w:type="spellEnd"/>
      <w:r w:rsidRPr="005619FF">
        <w:rPr>
          <w:lang w:val="fr-BE"/>
        </w:rPr>
        <w:tab/>
      </w:r>
      <w:r w:rsidRPr="005619FF">
        <w:rPr>
          <w:lang w:val="fr-BE"/>
        </w:rPr>
        <w:tab/>
      </w:r>
      <w:r w:rsidRPr="005619FF">
        <w:rPr>
          <w:rStyle w:val="HideTWBExt"/>
          <w:lang w:val="fr-BE"/>
        </w:rPr>
        <w:t>&lt;NumAm&gt;</w:t>
      </w:r>
      <w:r w:rsidRPr="005619FF">
        <w:rPr>
          <w:lang w:val="fr-BE"/>
        </w:rPr>
        <w:t>11</w:t>
      </w:r>
      <w:r w:rsidRPr="005619FF">
        <w:rPr>
          <w:rStyle w:val="HideTWBExt"/>
          <w:lang w:val="fr-BE"/>
        </w:rPr>
        <w:t>&lt;/NumAm&gt;</w:t>
      </w:r>
    </w:p>
    <w:p w14:paraId="47F2A23A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&lt;RepeatBlock-By&gt;&lt;Members&gt;</w:t>
      </w:r>
      <w:r w:rsidRPr="005619FF">
        <w:rPr>
          <w:lang w:val="fr-BE"/>
        </w:rPr>
        <w:t xml:space="preserve">Pasquale </w:t>
      </w:r>
      <w:proofErr w:type="spellStart"/>
      <w:r w:rsidRPr="005619FF">
        <w:rPr>
          <w:lang w:val="fr-BE"/>
        </w:rPr>
        <w:t>Tridico</w:t>
      </w:r>
      <w:proofErr w:type="spellEnd"/>
      <w:r w:rsidRPr="005619FF">
        <w:rPr>
          <w:rStyle w:val="HideTWBExt"/>
          <w:b w:val="0"/>
          <w:lang w:val="fr-BE"/>
        </w:rPr>
        <w:t>&lt;/Members&gt;</w:t>
      </w:r>
    </w:p>
    <w:p w14:paraId="42465A6B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&lt;/RepeatBlock-By&gt;</w:t>
      </w:r>
    </w:p>
    <w:p w14:paraId="2007A26D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5FEEE41F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Ustęp</w:t>
      </w:r>
      <w:proofErr w:type="spellEnd"/>
      <w:r w:rsidRPr="005619FF">
        <w:rPr>
          <w:lang w:val="en-GB"/>
        </w:rPr>
        <w:t xml:space="preserve"> 3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5810A843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25FC3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3BC7CA49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3E5D0" w14:textId="77777777" w:rsidR="005619FF" w:rsidRPr="00403364" w:rsidRDefault="005619FF" w:rsidP="00FB1419">
            <w:pPr>
              <w:pStyle w:val="AmColumnHeading"/>
            </w:pPr>
            <w: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641D61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668F2CB1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A82743" w14:textId="77777777" w:rsidR="005619FF" w:rsidRPr="008D03DA" w:rsidRDefault="005619FF" w:rsidP="00FB1419">
            <w:pPr>
              <w:pStyle w:val="Normal6a"/>
            </w:pPr>
            <w:r>
              <w:t>3.</w:t>
            </w:r>
            <w:r>
              <w:tab/>
              <w:t>podkreśla wyjątkową rolę EPPO jako prokuratury w odniesieniu do ścigania przestępstw w Unii i zwraca uwagę, że ze względu na swój charakter EPPO jest zobowiązana do prowadzenia postępowań przygotowawczych we wszystkich sprawach wchodzących w zakres jej kompetencji, gdy zostanie o nich powiadomiona; podkreśla w związku z tym potrzebę niezwłocznego przeznaczenia zasobów niezbędnych do wypełniania jej obowiązków oraz zapewnienia postępów i terminowego zakończenia dochodzeń;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F71FE4" w14:textId="77777777" w:rsidR="005619FF" w:rsidRPr="008D03DA" w:rsidRDefault="005619FF" w:rsidP="00FB1419">
            <w:pPr>
              <w:pStyle w:val="Normal6a"/>
            </w:pPr>
            <w:r>
              <w:t>3.</w:t>
            </w:r>
            <w:r>
              <w:tab/>
              <w:t>podkreśla wyjątkową rolę EPPO jako prokuratury w odniesieniu do ścigania przestępstw w Unii i zwraca uwagę, że ze względu na swój charakter EPPO jest zobowiązana do prowadzenia postępowań przygotowawczych we wszystkich sprawach wchodzących w zakres jej kompetencji, gdy zostanie o nich powiadomiona; podkreśla w związku z tym potrzebę niezwłocznego przeznaczenia zasobów niezbędnych do wypełniania jej obowiązków oraz zapewnienia postępów i terminowego zakończenia dochodzeń</w:t>
            </w:r>
            <w:r>
              <w:rPr>
                <w:b/>
                <w:i/>
              </w:rPr>
              <w:t>, w tym dochodzenia w sprawie zakupu szczepionki przeciwko COVID-19 w Unii, które leży w istotnym interesie publicznym i zostało rozpoczęte w 2022 r., ale do tej pory nie podjęto w jego sprawie żadnej decyzji ani nie zaktualizowano go</w:t>
            </w:r>
            <w:r>
              <w:t>;</w:t>
            </w:r>
          </w:p>
        </w:tc>
      </w:tr>
    </w:tbl>
    <w:p w14:paraId="1DB26B5A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&lt;/Original&gt;</w:t>
      </w:r>
    </w:p>
    <w:p w14:paraId="60CD287F" w14:textId="77777777" w:rsidR="005619FF" w:rsidRPr="005619FF" w:rsidRDefault="005619FF" w:rsidP="005619FF">
      <w:r w:rsidRPr="005619FF">
        <w:rPr>
          <w:rStyle w:val="HideTWBExt"/>
        </w:rPr>
        <w:t>&lt;/Amend&gt;</w:t>
      </w:r>
    </w:p>
    <w:p w14:paraId="0613ADB6" w14:textId="77777777" w:rsidR="005619FF" w:rsidRPr="005619FF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 w:rsidRPr="005619FF">
        <w:t>Poprawka</w:t>
      </w:r>
      <w:r w:rsidRPr="005619FF">
        <w:tab/>
      </w:r>
      <w:r w:rsidRPr="005619FF">
        <w:tab/>
      </w:r>
      <w:r w:rsidRPr="005619FF">
        <w:rPr>
          <w:rStyle w:val="HideTWBExt"/>
        </w:rPr>
        <w:t>&lt;NumAm&gt;</w:t>
      </w:r>
      <w:r w:rsidRPr="005619FF">
        <w:t>12</w:t>
      </w:r>
      <w:r w:rsidRPr="005619FF">
        <w:rPr>
          <w:rStyle w:val="HideTWBExt"/>
        </w:rPr>
        <w:t>&lt;/NumAm&gt;</w:t>
      </w:r>
    </w:p>
    <w:p w14:paraId="3BFBD4EB" w14:textId="77777777" w:rsidR="005619FF" w:rsidRPr="005619FF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 w:rsidRPr="005619FF">
        <w:t>Gilles</w:t>
      </w:r>
      <w:proofErr w:type="spellEnd"/>
      <w:r w:rsidRPr="005619FF">
        <w:t xml:space="preserve"> </w:t>
      </w:r>
      <w:proofErr w:type="spellStart"/>
      <w:r w:rsidRPr="005619FF">
        <w:t>Boyer</w:t>
      </w:r>
      <w:proofErr w:type="spellEnd"/>
      <w:r w:rsidRPr="005619FF">
        <w:t xml:space="preserve">, Olivier </w:t>
      </w:r>
      <w:proofErr w:type="spellStart"/>
      <w:r w:rsidRPr="005619FF">
        <w:t>Chastel</w:t>
      </w:r>
      <w:proofErr w:type="spellEnd"/>
      <w:r w:rsidRPr="005619FF">
        <w:t xml:space="preserve">, </w:t>
      </w:r>
      <w:proofErr w:type="spellStart"/>
      <w:r w:rsidRPr="005619FF">
        <w:t>Vlad</w:t>
      </w:r>
      <w:proofErr w:type="spellEnd"/>
      <w:r w:rsidRPr="005619FF">
        <w:t xml:space="preserve"> </w:t>
      </w:r>
      <w:proofErr w:type="spellStart"/>
      <w:r w:rsidRPr="005619FF">
        <w:t>Vasile-Voiculescu</w:t>
      </w:r>
      <w:proofErr w:type="spellEnd"/>
      <w:r w:rsidRPr="005619FF">
        <w:t xml:space="preserve">, Michal </w:t>
      </w:r>
      <w:proofErr w:type="spellStart"/>
      <w:r w:rsidRPr="005619FF"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4723FEE2" w14:textId="77777777" w:rsidR="005619FF" w:rsidRPr="005619FF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4AF5F0D4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5824CEDA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Ustęp</w:t>
      </w:r>
      <w:proofErr w:type="spellEnd"/>
      <w:r w:rsidRPr="005619FF">
        <w:rPr>
          <w:lang w:val="en-GB"/>
        </w:rPr>
        <w:t xml:space="preserve"> 3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53D7A5D2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0793C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333249C0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015DE1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7B4C7E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5ADCA427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42BA2" w14:textId="77777777" w:rsidR="005619FF" w:rsidRPr="008D03DA" w:rsidRDefault="005619FF" w:rsidP="00FB1419">
            <w:pPr>
              <w:pStyle w:val="Normal6a"/>
            </w:pPr>
            <w:r>
              <w:t>3.</w:t>
            </w:r>
            <w:r>
              <w:tab/>
              <w:t>podkreśla wyjątkową rolę EPPO jako prokuratury w odniesieniu do ścigania przestępstw w Unii i zwraca uwagę, że ze względu na swój charakter EPPO jest zobowiązana do prowadzenia postępowań przygotowawczych we wszystkich sprawach wchodzących w zakres jej kompetencji, gdy zostanie o nich powiadomiona; podkreśla w związku z tym potrzebę niezwłocznego przeznaczenia zasobów niezbędnych do wypełniania jej obowiązków oraz zapewnienia postępów i terminowego zakończenia dochodzeń;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ABA5E" w14:textId="77777777" w:rsidR="005619FF" w:rsidRPr="008D03DA" w:rsidRDefault="005619FF" w:rsidP="00FB1419">
            <w:pPr>
              <w:pStyle w:val="Normal6a"/>
            </w:pPr>
            <w:r>
              <w:t>3.</w:t>
            </w:r>
            <w:r>
              <w:tab/>
              <w:t>podkreśla wyjątkową rolę EPPO jako prokuratury w odniesieniu do ścigania przestępstw w Unii i zwraca uwagę, że ze względu na swój charakter EPPO jest zobowiązana do prowadzenia postępowań przygotowawczych we wszystkich sprawach wchodzących w zakres jej kompetencji, gdy zostanie o nich powiadomiona</w:t>
            </w:r>
            <w:r>
              <w:rPr>
                <w:b/>
                <w:i/>
              </w:rPr>
              <w:t>, z ograniczonym marginesem swobody</w:t>
            </w:r>
            <w:r>
              <w:t xml:space="preserve">; podkreśla w związku z tym potrzebę </w:t>
            </w:r>
            <w:r>
              <w:rPr>
                <w:b/>
                <w:i/>
              </w:rPr>
              <w:t xml:space="preserve">ram zasobów dostosowanych do jej kompetencji obligatoryjnych; wzywa Komisję do </w:t>
            </w:r>
            <w:r>
              <w:lastRenderedPageBreak/>
              <w:t>niezwłocznego przeznaczenia zasobów niezbędnych do</w:t>
            </w:r>
            <w:r>
              <w:rPr>
                <w:b/>
                <w:i/>
              </w:rPr>
              <w:t xml:space="preserve"> umożliwienia EPPO</w:t>
            </w:r>
            <w:r>
              <w:t xml:space="preserve"> wypełniania jej obowiązków oraz zapewnienia postępów i terminowego zakończenia dochodzeń;</w:t>
            </w:r>
          </w:p>
        </w:tc>
      </w:tr>
    </w:tbl>
    <w:p w14:paraId="5D925DAF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&lt;/Original&gt;</w:t>
      </w:r>
    </w:p>
    <w:p w14:paraId="5320E388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75EA3BAC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13</w:t>
      </w:r>
      <w:r w:rsidRPr="005619FF">
        <w:rPr>
          <w:rStyle w:val="HideTWBExt"/>
          <w:lang w:val="it-IT"/>
        </w:rPr>
        <w:t>&lt;/NumAm&gt;</w:t>
      </w:r>
    </w:p>
    <w:p w14:paraId="36003C95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&lt;/Members&gt;</w:t>
      </w:r>
    </w:p>
    <w:p w14:paraId="4220E6C9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034291E1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2BE30496" w14:textId="77777777" w:rsidR="005619FF" w:rsidRPr="005619FF" w:rsidRDefault="005619FF" w:rsidP="005619FF">
      <w:pPr>
        <w:pStyle w:val="NormalBold"/>
        <w:rPr>
          <w:lang w:val="en-GB"/>
        </w:rPr>
      </w:pPr>
      <w:r w:rsidRPr="005619FF"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Ustęp</w:t>
      </w:r>
      <w:proofErr w:type="spellEnd"/>
      <w:r w:rsidRPr="005619FF">
        <w:rPr>
          <w:lang w:val="en-GB"/>
        </w:rPr>
        <w:t xml:space="preserve"> 3</w:t>
      </w:r>
      <w:r w:rsidRPr="005619FF"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3BFBE2B5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3A98A" w14:textId="77777777" w:rsidR="005619FF" w:rsidRPr="005619FF" w:rsidRDefault="005619FF" w:rsidP="00FB1419">
            <w:pPr>
              <w:rPr>
                <w:lang w:val="en-GB"/>
              </w:rPr>
            </w:pPr>
          </w:p>
        </w:tc>
      </w:tr>
      <w:tr w:rsidR="005619FF" w14:paraId="0C9F78B0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350FD9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DC65C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6339A766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E5B36E" w14:textId="77777777" w:rsidR="005619FF" w:rsidRPr="008D03DA" w:rsidRDefault="005619FF" w:rsidP="00FB1419">
            <w:pPr>
              <w:pStyle w:val="Normal6a"/>
            </w:pPr>
            <w:r>
              <w:t>3.</w:t>
            </w:r>
            <w:r>
              <w:tab/>
              <w:t>podkreśla wyjątkową rolę EPPO jako prokuratury w odniesieniu do ścigania przestępstw w Unii i zwraca uwagę, że ze względu na swój charakter EPPO jest zobowiązana do prowadzenia postępowań przygotowawczych we wszystkich sprawach wchodzących w zakres jej kompetencji, gdy zostanie o nich powiadomiona; podkreśla w związku z tym potrzebę niezwłocznego przeznaczenia zasobów niezbędnych do wypełniania jej obowiązków oraz zapewnienia postępów i terminowego zakończenia dochodzeń;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16557" w14:textId="77777777" w:rsidR="005619FF" w:rsidRPr="008D03DA" w:rsidRDefault="005619FF" w:rsidP="00FB1419">
            <w:pPr>
              <w:pStyle w:val="Normal6a"/>
            </w:pPr>
            <w:r>
              <w:t>3.</w:t>
            </w:r>
            <w:r>
              <w:tab/>
              <w:t xml:space="preserve">podkreśla wyjątkową rolę EPPO jako prokuratury w odniesieniu do ścigania przestępstw w Unii i zwraca uwagę, że ze względu na swój charakter EPPO jest zobowiązana do prowadzenia postępowań przygotowawczych we wszystkich sprawach wchodzących w zakres jej kompetencji, gdy zostanie o nich powiadomiona; </w:t>
            </w:r>
            <w:r>
              <w:rPr>
                <w:b/>
                <w:i/>
              </w:rPr>
              <w:t>podkreśla, że zasoby powinny być dostosowane do potrzeb operacyjnych;</w:t>
            </w:r>
            <w:r>
              <w:t xml:space="preserve"> podkreśla w związku z tym potrzebę niezwłocznego przeznaczenia zasobów niezbędnych do wypełniania jej obowiązków oraz zapewnienia postępów i terminowego zakończenia dochodzeń;</w:t>
            </w:r>
          </w:p>
        </w:tc>
      </w:tr>
    </w:tbl>
    <w:p w14:paraId="35D7EA5E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&lt;/Original&gt;</w:t>
      </w:r>
    </w:p>
    <w:p w14:paraId="3746EAB8" w14:textId="77777777" w:rsidR="005619FF" w:rsidRPr="005619FF" w:rsidRDefault="005619FF" w:rsidP="005619FF">
      <w:r w:rsidRPr="005619FF">
        <w:rPr>
          <w:rStyle w:val="HideTWBExt"/>
        </w:rPr>
        <w:t>&lt;/Amend&gt;</w:t>
      </w:r>
    </w:p>
    <w:p w14:paraId="4CDC53C1" w14:textId="77777777" w:rsidR="005619FF" w:rsidRPr="005619FF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 w:rsidRPr="005619FF">
        <w:t>Poprawka</w:t>
      </w:r>
      <w:r w:rsidRPr="005619FF">
        <w:tab/>
      </w:r>
      <w:r w:rsidRPr="005619FF">
        <w:tab/>
      </w:r>
      <w:r w:rsidRPr="005619FF">
        <w:rPr>
          <w:rStyle w:val="HideTWBExt"/>
        </w:rPr>
        <w:t>&lt;NumAm&gt;</w:t>
      </w:r>
      <w:r w:rsidRPr="005619FF">
        <w:t>14</w:t>
      </w:r>
      <w:r w:rsidRPr="005619FF">
        <w:rPr>
          <w:rStyle w:val="HideTWBExt"/>
        </w:rPr>
        <w:t>&lt;/NumAm&gt;</w:t>
      </w:r>
    </w:p>
    <w:p w14:paraId="3B85FBF0" w14:textId="77777777" w:rsidR="005619FF" w:rsidRPr="005619FF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 w:rsidRPr="005619FF">
        <w:t>Gilles</w:t>
      </w:r>
      <w:proofErr w:type="spellEnd"/>
      <w:r w:rsidRPr="005619FF">
        <w:t xml:space="preserve"> </w:t>
      </w:r>
      <w:proofErr w:type="spellStart"/>
      <w:r w:rsidRPr="005619FF">
        <w:t>Boyer</w:t>
      </w:r>
      <w:proofErr w:type="spellEnd"/>
      <w:r w:rsidRPr="005619FF">
        <w:t xml:space="preserve">, Olivier </w:t>
      </w:r>
      <w:proofErr w:type="spellStart"/>
      <w:r w:rsidRPr="005619FF">
        <w:t>Chastel</w:t>
      </w:r>
      <w:proofErr w:type="spellEnd"/>
      <w:r w:rsidRPr="005619FF">
        <w:t xml:space="preserve">, </w:t>
      </w:r>
      <w:proofErr w:type="spellStart"/>
      <w:r w:rsidRPr="005619FF">
        <w:t>Vlad</w:t>
      </w:r>
      <w:proofErr w:type="spellEnd"/>
      <w:r w:rsidRPr="005619FF">
        <w:t xml:space="preserve"> </w:t>
      </w:r>
      <w:proofErr w:type="spellStart"/>
      <w:r w:rsidRPr="005619FF">
        <w:t>Vasile-Voiculescu</w:t>
      </w:r>
      <w:proofErr w:type="spellEnd"/>
      <w:r w:rsidRPr="005619FF">
        <w:t xml:space="preserve">, Michal </w:t>
      </w:r>
      <w:proofErr w:type="spellStart"/>
      <w:r w:rsidRPr="005619FF"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1E1F0473" w14:textId="77777777" w:rsidR="005619FF" w:rsidRPr="005619FF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26FA7696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71A424EB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Ustęp</w:t>
      </w:r>
      <w:proofErr w:type="spellEnd"/>
      <w:r w:rsidRPr="005619FF">
        <w:rPr>
          <w:lang w:val="en-GB"/>
        </w:rPr>
        <w:t xml:space="preserve"> 5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6417C842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92FB3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55E681B8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6A6AD5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16BEF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30BF866E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B5E24" w14:textId="77777777" w:rsidR="005619FF" w:rsidRPr="008D03DA" w:rsidRDefault="005619FF" w:rsidP="00FB1419">
            <w:pPr>
              <w:pStyle w:val="Normal6a"/>
            </w:pPr>
            <w:r>
              <w:t>5.</w:t>
            </w:r>
            <w:r>
              <w:tab/>
              <w:t xml:space="preserve">zwraca uwagę, że początkowy budżet na 2024 r. (wynoszący 71 888 </w:t>
            </w:r>
            <w:r>
              <w:lastRenderedPageBreak/>
              <w:t>321 EUR) zatwierdzony przez władzę budżetową Unii był o 24 % niższy niż ten, o który wnioskowała EPPO w swoim preliminarzu dochodów i wydatków na 2024 r., mimo że był wyższy o 9 % w porównaniu z poprzednim rokiem; zauważa, że w 2024 r. przyjęto dwa budżety korygujące i że na wniosek EPPO z lutego 2024 r. budżet zwiększono w czerwcu 2024 r. o 3 600 000 EUR, która to kwota przeznaczona była na zasoby finansowe i ludzkie mające pokryć zwiększone koszty związane z udziałem Polski i Szwecji w EPPO; podkreśla fakt, że wzrost ten służył pokryciu wynagrodzeń dodatkowych EDP, którzy mieli zostać powołani w Polsce i Szwecji, oraz pracowników, którzy mieli zostać zatrudnieni, a także powiązanych wydatków operacyjnych, ale część tych dodatkowych środków przeznaczono na personel biura centralnego na potrzeby przygotowania się do realizacji projektu dotyczącego osiągnięcia autonomii informatycznej, który związany był z zaprzestaniem świadczenia przez Komisję usług w obszarze IT; zauważa, że w drugim budżecie korygującym w listopadzie 2024 r. zwiększono środki o 894 047 EUR na wniosek władzy budżetowej Unii, aby uwzględnić wysoki wskaźnik indeksacji wynagrodzeń w 2024 r.; odnotowuje również, że ponieważ EPPO przydzieliła już część swojego pierwszego budżetu korygującego, aby uwzględnić wyższą niż oczekiwano indeksację wynagrodzeń, drugą pulę dodatkowych środków przesunięto na wydatki związane z bezpieczeństwem;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74CF0" w14:textId="77777777" w:rsidR="005619FF" w:rsidRPr="008D03DA" w:rsidRDefault="005619FF" w:rsidP="00FB1419">
            <w:pPr>
              <w:pStyle w:val="Normal6a"/>
            </w:pPr>
            <w:r>
              <w:lastRenderedPageBreak/>
              <w:t>5.</w:t>
            </w:r>
            <w:r>
              <w:tab/>
              <w:t xml:space="preserve">zwraca uwagę, że początkowy budżet na 2024 r. (wynoszący 71 888 </w:t>
            </w:r>
            <w:r>
              <w:lastRenderedPageBreak/>
              <w:t xml:space="preserve">321 EUR) zatwierdzony przez władzę budżetową Unii był o 24 % niższy niż ten, o który wnioskowała EPPO w swoim preliminarzu dochodów i wydatków na 2024 r., mimo że był wyższy o 9 % w porównaniu z poprzednim rokiem; zauważa, że w 2024 r. przyjęto dwa budżety korygujące i że na wniosek EPPO z lutego 2024 r. budżet zwiększono w czerwcu 2024 r. o 3 600 000 EUR, która to kwota przeznaczona była na zasoby finansowe i ludzkie mające pokryć zwiększone koszty związane z udziałem Polski i Szwecji w EPPO; podkreśla fakt, że wzrost ten służył pokryciu wynagrodzeń dodatkowych EDP, którzy mieli zostać powołani w Polsce i Szwecji, oraz pracowników, którzy mieli zostać zatrudnieni, a także powiązanych wydatków operacyjnych, ale część tych dodatkowych środków przeznaczono na personel biura centralnego na potrzeby przygotowania się do realizacji projektu dotyczącego osiągnięcia autonomii informatycznej, który związany był z zaprzestaniem świadczenia przez Komisję usług w obszarze IT; zauważa, że w drugim budżecie korygującym w listopadzie 2024 r. zwiększono środki o 894 047 EUR na wniosek władzy budżetowej Unii, aby uwzględnić wysoki wskaźnik indeksacji wynagrodzeń w 2024 r.; odnotowuje również, że ponieważ EPPO przydzieliła już część swojego pierwszego budżetu korygującego, aby uwzględnić wyższą niż oczekiwano indeksację wynagrodzeń, drugą pulę dodatkowych środków przesunięto na wydatki związane z bezpieczeństwem; </w:t>
            </w:r>
            <w:r>
              <w:rPr>
                <w:b/>
                <w:i/>
              </w:rPr>
              <w:t xml:space="preserve">uważa, że to powtarzające się poleganie na budżetach korygujących uwypukla potrzebę bardziej realistycznego podejścia polegającego na budżetowaniu ex </w:t>
            </w:r>
            <w:proofErr w:type="spellStart"/>
            <w:r>
              <w:rPr>
                <w:b/>
                <w:i/>
              </w:rPr>
              <w:t>ante</w:t>
            </w:r>
            <w:proofErr w:type="spellEnd"/>
            <w:r>
              <w:rPr>
                <w:b/>
                <w:i/>
              </w:rPr>
              <w:t xml:space="preserve"> oraz wcześniejszego i bardziej ustrukturyzowanego zaangażowania we współpracę z EPPO podczas rocznej procedury budżetowej;</w:t>
            </w:r>
          </w:p>
        </w:tc>
      </w:tr>
    </w:tbl>
    <w:p w14:paraId="3E94EB60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&lt;/Original&gt;</w:t>
      </w:r>
    </w:p>
    <w:p w14:paraId="72168B4D" w14:textId="77777777" w:rsidR="005619FF" w:rsidRPr="005619FF" w:rsidRDefault="005619FF" w:rsidP="005619FF">
      <w:r w:rsidRPr="005619FF">
        <w:rPr>
          <w:rStyle w:val="HideTWBExt"/>
        </w:rPr>
        <w:t>&lt;/Amend&gt;</w:t>
      </w:r>
    </w:p>
    <w:p w14:paraId="7396BD5C" w14:textId="77777777" w:rsidR="005619FF" w:rsidRPr="005619FF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 w:rsidRPr="005619FF">
        <w:t>Poprawka</w:t>
      </w:r>
      <w:r w:rsidRPr="005619FF">
        <w:tab/>
      </w:r>
      <w:r w:rsidRPr="005619FF">
        <w:tab/>
      </w:r>
      <w:r w:rsidRPr="005619FF">
        <w:rPr>
          <w:rStyle w:val="HideTWBExt"/>
        </w:rPr>
        <w:t>&lt;NumAm&gt;</w:t>
      </w:r>
      <w:r w:rsidRPr="005619FF">
        <w:t>15</w:t>
      </w:r>
      <w:r w:rsidRPr="005619FF">
        <w:rPr>
          <w:rStyle w:val="HideTWBExt"/>
        </w:rPr>
        <w:t>&lt;/NumAm&gt;</w:t>
      </w:r>
    </w:p>
    <w:p w14:paraId="78EB58FF" w14:textId="77777777" w:rsidR="005619FF" w:rsidRPr="005619FF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 w:rsidRPr="005619FF">
        <w:t>Gilles</w:t>
      </w:r>
      <w:proofErr w:type="spellEnd"/>
      <w:r w:rsidRPr="005619FF">
        <w:t xml:space="preserve"> </w:t>
      </w:r>
      <w:proofErr w:type="spellStart"/>
      <w:r w:rsidRPr="005619FF">
        <w:t>Boyer</w:t>
      </w:r>
      <w:proofErr w:type="spellEnd"/>
      <w:r w:rsidRPr="005619FF">
        <w:t xml:space="preserve">, Olivier </w:t>
      </w:r>
      <w:proofErr w:type="spellStart"/>
      <w:r w:rsidRPr="005619FF">
        <w:t>Chastel</w:t>
      </w:r>
      <w:proofErr w:type="spellEnd"/>
      <w:r w:rsidRPr="005619FF">
        <w:t xml:space="preserve">, </w:t>
      </w:r>
      <w:proofErr w:type="spellStart"/>
      <w:r w:rsidRPr="005619FF">
        <w:t>Vlad</w:t>
      </w:r>
      <w:proofErr w:type="spellEnd"/>
      <w:r w:rsidRPr="005619FF">
        <w:t xml:space="preserve"> </w:t>
      </w:r>
      <w:proofErr w:type="spellStart"/>
      <w:r w:rsidRPr="005619FF">
        <w:t>Vasile-Voiculescu</w:t>
      </w:r>
      <w:proofErr w:type="spellEnd"/>
      <w:r w:rsidRPr="005619FF">
        <w:t xml:space="preserve">, Michal </w:t>
      </w:r>
      <w:proofErr w:type="spellStart"/>
      <w:r w:rsidRPr="005619FF"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77C22219" w14:textId="77777777" w:rsidR="005619FF" w:rsidRPr="005619FF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6DA315D6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24899D38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Ustęp</w:t>
      </w:r>
      <w:proofErr w:type="spellEnd"/>
      <w:r w:rsidRPr="005619FF">
        <w:rPr>
          <w:lang w:val="en-GB"/>
        </w:rPr>
        <w:t xml:space="preserve"> 7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7FDBA275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1252A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6588436A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F4596B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71B89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5436B18A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F21E2" w14:textId="77777777" w:rsidR="005619FF" w:rsidRPr="008D03DA" w:rsidRDefault="005619FF" w:rsidP="00FB1419">
            <w:pPr>
              <w:pStyle w:val="Normal6a"/>
            </w:pPr>
            <w:r>
              <w:t>7.</w:t>
            </w:r>
            <w:r>
              <w:tab/>
              <w:t>przyznaje, że oszacowanie wszelkich potrzeb budżetowych związanych z działalnością EPPO pozostaje bardzo trudne ze względu na specyfikę działalności EPPO, związaną z nieprzewidywalnym poziomem wykrywalności nadużyć finansowych i dużą różnorodnością prowadzonych spraw; ma świadomość, że EPPO nie ma swobody decyzyjnej w odniesieniu do wnoszenia i popierania oskarżeń, a jednocześnie nie ma wpływu na zasoby i ograniczenia proceduralne systemów krajowych, od których zależą jej czynności w ramach postępowań przygotowawczych; zauważa, że brak stałej korelacji między liczbą postępowań przygotowawczych a ich kosztami również uniemożliwia prognozowanie wydatków, ale przypomina, że zasoby Unii, które mają być chronione, rosną, a złożoność ram regulacyjnych regulujących ich wykorzystanie utrudnia postępowania przygotowawcze – nie tylko z uwagi na Instrument na rzecz Odbudowy i Zwiększania Odporności (RRF) oraz jego bezprecedensowy tryb wdrażania, lecz także ze względu na dużą ilość przydzielonych zasobów; uważa, że kontekst ten wskazuje na potrzebę przydzielenia dodatkowych środków na finansowanie działalności EPPO, i ponownie podkreśla, że należy zapewniać EPPO wystarczające zasoby, aby mogła odpowiednio wypełniać swój mandat;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3B5EB" w14:textId="77777777" w:rsidR="005619FF" w:rsidRPr="008D03DA" w:rsidRDefault="005619FF" w:rsidP="00FB1419">
            <w:pPr>
              <w:pStyle w:val="Normal6a"/>
            </w:pPr>
            <w:r>
              <w:t>7.</w:t>
            </w:r>
            <w:r>
              <w:tab/>
              <w:t xml:space="preserve">przyznaje, że oszacowanie wszelkich potrzeb budżetowych związanych z działalnością EPPO pozostaje bardzo trudne ze względu na specyfikę działalności EPPO, związaną z nieprzewidywalnym poziomem wykrywalności nadużyć finansowych i dużą różnorodnością prowadzonych spraw; ma świadomość, że EPPO nie ma swobody decyzyjnej w odniesieniu do wnoszenia i popierania oskarżeń, a jednocześnie nie ma wpływu na zasoby i ograniczenia proceduralne systemów krajowych, od których zależą jej czynności w ramach postępowań przygotowawczych; zauważa, że brak stałej korelacji między liczbą postępowań przygotowawczych a ich kosztami również uniemożliwia prognozowanie wydatków, ale przypomina, że zasoby Unii, które mają być chronione, rosną, a złożoność ram regulacyjnych regulujących ich wykorzystanie utrudnia postępowania przygotowawcze – nie tylko z uwagi na Instrument na rzecz Odbudowy i Zwiększania Odporności (RRF) oraz jego bezprecedensowy tryb wdrażania, lecz także ze względu na dużą ilość przydzielonych zasobów; uważa, że kontekst ten wskazuje na potrzebę przydzielenia dodatkowych środków na finansowanie działalności EPPO, i ponownie podkreśla, że należy zapewniać EPPO wystarczające zasoby, aby mogła odpowiednio wypełniać swój mandat; </w:t>
            </w:r>
            <w:r>
              <w:rPr>
                <w:b/>
                <w:i/>
              </w:rPr>
              <w:lastRenderedPageBreak/>
              <w:t>uważa, że taka nieprzewidywalność mogłaby uzasadniać ustanowienie specjalnego budżetowego mechanizmu awaryjnego, aby umożliwić EPPO skuteczne reagowanie na nagły wzrost obciążenia pracą;</w:t>
            </w:r>
          </w:p>
        </w:tc>
      </w:tr>
    </w:tbl>
    <w:p w14:paraId="5145EBAD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&lt;/Original&gt;</w:t>
      </w:r>
    </w:p>
    <w:p w14:paraId="026F1EF2" w14:textId="77777777" w:rsidR="005619FF" w:rsidRPr="005619FF" w:rsidRDefault="005619FF" w:rsidP="005619FF">
      <w:r w:rsidRPr="005619FF">
        <w:rPr>
          <w:rStyle w:val="HideTWBExt"/>
        </w:rPr>
        <w:t>&lt;/Amend&gt;</w:t>
      </w:r>
    </w:p>
    <w:p w14:paraId="14F09EC8" w14:textId="77777777" w:rsidR="005619FF" w:rsidRPr="005619FF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 w:rsidRPr="005619FF">
        <w:t>Poprawka</w:t>
      </w:r>
      <w:r w:rsidRPr="005619FF">
        <w:tab/>
      </w:r>
      <w:r w:rsidRPr="005619FF">
        <w:tab/>
      </w:r>
      <w:r w:rsidRPr="005619FF">
        <w:rPr>
          <w:rStyle w:val="HideTWBExt"/>
        </w:rPr>
        <w:t>&lt;NumAm&gt;</w:t>
      </w:r>
      <w:r w:rsidRPr="005619FF">
        <w:t>16</w:t>
      </w:r>
      <w:r w:rsidRPr="005619FF">
        <w:rPr>
          <w:rStyle w:val="HideTWBExt"/>
        </w:rPr>
        <w:t>&lt;/NumAm&gt;</w:t>
      </w:r>
    </w:p>
    <w:p w14:paraId="6E08211D" w14:textId="77777777" w:rsidR="005619FF" w:rsidRPr="005619FF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 w:rsidRPr="005619FF">
        <w:t>Gilles</w:t>
      </w:r>
      <w:proofErr w:type="spellEnd"/>
      <w:r w:rsidRPr="005619FF">
        <w:t xml:space="preserve"> </w:t>
      </w:r>
      <w:proofErr w:type="spellStart"/>
      <w:r w:rsidRPr="005619FF">
        <w:t>Boyer</w:t>
      </w:r>
      <w:proofErr w:type="spellEnd"/>
      <w:r w:rsidRPr="005619FF">
        <w:t xml:space="preserve">, Olivier </w:t>
      </w:r>
      <w:proofErr w:type="spellStart"/>
      <w:r w:rsidRPr="005619FF">
        <w:t>Chastel</w:t>
      </w:r>
      <w:proofErr w:type="spellEnd"/>
      <w:r w:rsidRPr="005619FF">
        <w:t xml:space="preserve">, </w:t>
      </w:r>
      <w:proofErr w:type="spellStart"/>
      <w:r w:rsidRPr="005619FF">
        <w:t>Vlad</w:t>
      </w:r>
      <w:proofErr w:type="spellEnd"/>
      <w:r w:rsidRPr="005619FF">
        <w:t xml:space="preserve"> </w:t>
      </w:r>
      <w:proofErr w:type="spellStart"/>
      <w:r w:rsidRPr="005619FF">
        <w:t>Vasile-Voiculescu</w:t>
      </w:r>
      <w:proofErr w:type="spellEnd"/>
      <w:r w:rsidRPr="005619FF">
        <w:t xml:space="preserve">, Michal </w:t>
      </w:r>
      <w:proofErr w:type="spellStart"/>
      <w:r w:rsidRPr="005619FF"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48EB5A28" w14:textId="77777777" w:rsidR="005619FF" w:rsidRPr="005619FF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07EE9DDB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&lt;DocAmend&gt;</w:t>
      </w:r>
      <w:proofErr w:type="spellStart"/>
      <w:r w:rsidRPr="005619FF">
        <w:rPr>
          <w:lang w:val="en-GB"/>
        </w:rPr>
        <w:t>Projekt</w:t>
      </w:r>
      <w:proofErr w:type="spellEnd"/>
      <w:r w:rsidRPr="005619FF">
        <w:rPr>
          <w:lang w:val="en-GB"/>
        </w:rPr>
        <w:t xml:space="preserve"> </w:t>
      </w:r>
      <w:proofErr w:type="spellStart"/>
      <w:r w:rsidRPr="005619FF">
        <w:rPr>
          <w:lang w:val="en-GB"/>
        </w:rPr>
        <w:t>rezolucji</w:t>
      </w:r>
      <w:proofErr w:type="spellEnd"/>
      <w:r>
        <w:rPr>
          <w:rStyle w:val="HideTWBExt"/>
          <w:lang w:val="en-GB"/>
        </w:rPr>
        <w:t>&lt;/DocAmend&gt;</w:t>
      </w:r>
    </w:p>
    <w:p w14:paraId="682A8E8F" w14:textId="77777777" w:rsidR="005619FF" w:rsidRPr="005619FF" w:rsidRDefault="005619FF" w:rsidP="005619FF">
      <w:pPr>
        <w:pStyle w:val="NormalBold"/>
        <w:rPr>
          <w:lang w:val="en-GB"/>
        </w:rPr>
      </w:pPr>
      <w:r>
        <w:rPr>
          <w:rStyle w:val="HideTWBExt"/>
          <w:lang w:val="en-GB"/>
        </w:rPr>
        <w:t>&lt;Article&gt;</w:t>
      </w:r>
      <w:proofErr w:type="spellStart"/>
      <w:r w:rsidRPr="005619FF">
        <w:rPr>
          <w:lang w:val="en-GB"/>
        </w:rPr>
        <w:t>Ustęp</w:t>
      </w:r>
      <w:proofErr w:type="spellEnd"/>
      <w:r w:rsidRPr="005619FF">
        <w:rPr>
          <w:lang w:val="en-GB"/>
        </w:rPr>
        <w:t xml:space="preserve"> 7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:rsidRPr="005619FF" w14:paraId="33BE9C2D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BE009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5AF9E3AE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A3B32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DC6A2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7B50F8AA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07835" w14:textId="77777777" w:rsidR="005619FF" w:rsidRPr="008D03DA" w:rsidRDefault="005619FF" w:rsidP="00FB1419">
            <w:pPr>
              <w:pStyle w:val="Normal6a"/>
            </w:pPr>
            <w:r>
              <w:t>7.</w:t>
            </w:r>
            <w:r>
              <w:tab/>
              <w:t xml:space="preserve">przyznaje, że oszacowanie wszelkich potrzeb budżetowych związanych z działalnością EPPO pozostaje bardzo trudne ze względu na specyfikę działalności EPPO, związaną z nieprzewidywalnym poziomem wykrywalności nadużyć finansowych i dużą różnorodnością prowadzonych spraw; ma świadomość, że EPPO nie ma swobody decyzyjnej w odniesieniu do wnoszenia i popierania oskarżeń, a jednocześnie nie ma wpływu na zasoby i ograniczenia proceduralne systemów krajowych, od których zależą jej czynności w ramach postępowań przygotowawczych; zauważa, że brak stałej korelacji między liczbą postępowań przygotowawczych a ich kosztami również uniemożliwia prognozowanie wydatków, ale przypomina, że zasoby Unii, które mają być chronione, rosną, a złożoność ram regulacyjnych regulujących ich wykorzystanie utrudnia postępowania przygotowawcze – nie tylko z uwagi na Instrument na rzecz Odbudowy i Zwiększania Odporności (RRF) oraz jego bezprecedensowy tryb wdrażania, lecz także ze względu na dużą ilość </w:t>
            </w:r>
            <w:r>
              <w:lastRenderedPageBreak/>
              <w:t>przydzielonych zasobów; uważa, że kontekst ten wskazuje na potrzebę przydzielenia dodatkowych środków na finansowanie działalności EPPO, i ponownie podkreśla, że należy zapewniać EPPO wystarczające zasoby, aby mogła odpowiednio wypełniać swój mandat;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0559C" w14:textId="77777777" w:rsidR="005619FF" w:rsidRPr="008D03DA" w:rsidRDefault="005619FF" w:rsidP="00FB1419">
            <w:pPr>
              <w:pStyle w:val="Normal6a"/>
            </w:pPr>
            <w:r>
              <w:lastRenderedPageBreak/>
              <w:t>7.</w:t>
            </w:r>
            <w:r>
              <w:tab/>
              <w:t xml:space="preserve">przyznaje, że oszacowanie wszelkich potrzeb budżetowych związanych z działalnością EPPO pozostaje bardzo trudne ze względu na specyfikę działalności EPPO, związaną z nieprzewidywalnym poziomem wykrywalności nadużyć finansowych i dużą różnorodnością prowadzonych spraw; ma świadomość, że EPPO nie ma swobody decyzyjnej w odniesieniu do wnoszenia i popierania oskarżeń, a jednocześnie nie ma wpływu na zasoby i ograniczenia proceduralne systemów krajowych, od których zależą jej czynności w ramach postępowań przygotowawczych; zauważa, że brak stałej korelacji między liczbą postępowań przygotowawczych a ich kosztami również uniemożliwia prognozowanie wydatków, ale przypomina, że zasoby Unii, które mają być chronione, rosną, a złożoność ram regulacyjnych regulujących ich wykorzystanie utrudnia postępowania przygotowawcze – nie tylko z uwagi na Instrument na rzecz Odbudowy i Zwiększania Odporności (RRF) oraz jego bezprecedensowy tryb wdrażania, lecz także ze względu na dużą ilość </w:t>
            </w:r>
            <w:r>
              <w:lastRenderedPageBreak/>
              <w:t xml:space="preserve">przydzielonych zasobów; uważa, że kontekst ten wskazuje na potrzebę przydzielenia dodatkowych środków na finansowanie działalności EPPO, i ponownie podkreśla, że należy zapewniać EPPO wystarczające zasoby, aby mogła odpowiednio wypełniać swój mandat; </w:t>
            </w:r>
            <w:r>
              <w:rPr>
                <w:b/>
                <w:i/>
              </w:rPr>
              <w:t>wzywa Komisję do przedstawienia szczegółowej i zaktualizowanej oceny sytuacji kadrowej w EPPO wraz z uzasadnieniem każdego odstępstwa od wniosków EPPO;</w:t>
            </w:r>
          </w:p>
        </w:tc>
      </w:tr>
    </w:tbl>
    <w:p w14:paraId="6C609E65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&lt;/Original&gt;</w:t>
      </w:r>
    </w:p>
    <w:p w14:paraId="51A986A5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31609F3B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17</w:t>
      </w:r>
      <w:r w:rsidRPr="005619FF">
        <w:rPr>
          <w:rStyle w:val="HideTWBExt"/>
          <w:lang w:val="it-IT"/>
        </w:rPr>
        <w:t>&lt;/NumAm&gt;</w:t>
      </w:r>
    </w:p>
    <w:p w14:paraId="62C95FAA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&lt;/Members&gt;</w:t>
      </w:r>
    </w:p>
    <w:p w14:paraId="6267F6AA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496EC5E7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39AB0935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4AFA228A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D0B5F" w14:textId="77777777" w:rsidR="005619FF" w:rsidRPr="00403364" w:rsidRDefault="005619FF" w:rsidP="00FB1419"/>
        </w:tc>
      </w:tr>
      <w:tr w:rsidR="005619FF" w14:paraId="31A98416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BD8AD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46F2A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6C9D3C87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D1410" w14:textId="77777777" w:rsidR="005619FF" w:rsidRPr="008D03DA" w:rsidRDefault="005619FF" w:rsidP="00FB1419">
            <w:pPr>
              <w:pStyle w:val="Normal6a"/>
            </w:pPr>
            <w:r>
              <w:t>7.</w:t>
            </w:r>
            <w:r>
              <w:tab/>
              <w:t xml:space="preserve">przyznaje, że oszacowanie wszelkich potrzeb budżetowych związanych z działalnością EPPO pozostaje bardzo trudne ze względu na specyfikę działalności EPPO, związaną z nieprzewidywalnym poziomem wykrywalności nadużyć finansowych i dużą różnorodnością prowadzonych spraw; ma świadomość, że EPPO nie ma swobody decyzyjnej w odniesieniu do wnoszenia i popierania oskarżeń, a jednocześnie nie ma wpływu na zasoby i ograniczenia proceduralne systemów krajowych, od których zależą jej czynności w ramach postępowań przygotowawczych; zauważa, że brak stałej korelacji między liczbą postępowań przygotowawczych a ich kosztami również uniemożliwia prognozowanie wydatków, ale przypomina, że zasoby Unii, które mają być chronione, rosną, a złożoność ram regulacyjnych regulujących ich wykorzystanie utrudnia postępowania </w:t>
            </w:r>
            <w:r>
              <w:lastRenderedPageBreak/>
              <w:t xml:space="preserve">przygotowawcze – nie tylko z uwagi na Instrument na rzecz Odbudowy i Zwiększania Odporności (RRF) oraz jego bezprecedensowy tryb wdrażania, lecz także ze względu na dużą ilość </w:t>
            </w:r>
            <w:r>
              <w:rPr>
                <w:b/>
                <w:i/>
              </w:rPr>
              <w:t>przydzielonych zasobów</w:t>
            </w:r>
            <w:r>
              <w:t>; uważa, że kontekst ten wskazuje na potrzebę przydzielenia dodatkowych środków na finansowanie działalności EPPO, i ponownie podkreśla, że należy zapewniać EPPO wystarczające zasoby, aby mogła odpowiednio wypełniać swój mandat;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77C02" w14:textId="77777777" w:rsidR="005619FF" w:rsidRPr="008D03DA" w:rsidRDefault="005619FF" w:rsidP="00FB1419">
            <w:pPr>
              <w:pStyle w:val="Normal6a"/>
            </w:pPr>
            <w:r>
              <w:lastRenderedPageBreak/>
              <w:t>7.</w:t>
            </w:r>
            <w:r>
              <w:tab/>
              <w:t xml:space="preserve">przyznaje, że oszacowanie wszelkich potrzeb budżetowych związanych z działalnością EPPO pozostaje bardzo trudne ze względu na specyfikę działalności EPPO, związaną z nieprzewidywalnym poziomem wykrywalności nadużyć finansowych i dużą różnorodnością prowadzonych spraw; ma świadomość, że EPPO nie ma swobody decyzyjnej w odniesieniu do wnoszenia i popierania oskarżeń, a jednocześnie nie ma wpływu na zasoby i ograniczenia proceduralne systemów krajowych, od których zależą jej czynności w ramach postępowań przygotowawczych; zauważa, że brak stałej korelacji między liczbą postępowań przygotowawczych a ich kosztami również uniemożliwia prognozowanie wydatków, ale przypomina, że zasoby Unii, które mają być chronione, rosną, a złożoność ram regulacyjnych regulujących ich wykorzystanie utrudnia postępowania </w:t>
            </w:r>
            <w:r>
              <w:lastRenderedPageBreak/>
              <w:t xml:space="preserve">przygotowawcze – nie tylko z uwagi na Instrument na rzecz Odbudowy i Zwiększania Odporności (RRF) oraz jego bezprecedensowy tryb wdrażania, lecz także ze względu na dużą ilość </w:t>
            </w:r>
            <w:r>
              <w:rPr>
                <w:b/>
                <w:i/>
              </w:rPr>
              <w:t>wydatków</w:t>
            </w:r>
            <w:r>
              <w:t>; uważa, że kontekst ten wskazuje na potrzebę przydzielenia dodatkowych środków na finansowanie działalności EPPO, i ponownie podkreśla, że należy zapewniać EPPO wystarczające zasoby, aby mogła odpowiednio wypełniać swój mandat;</w:t>
            </w:r>
          </w:p>
        </w:tc>
      </w:tr>
    </w:tbl>
    <w:p w14:paraId="67280525" w14:textId="77777777" w:rsidR="005619FF" w:rsidRPr="005619FF" w:rsidRDefault="005619FF" w:rsidP="005619FF">
      <w:pPr>
        <w:pStyle w:val="AmOrLang"/>
        <w:rPr>
          <w:lang w:val="sv-SE" w:eastAsia="en-US"/>
        </w:rPr>
      </w:pPr>
      <w:r w:rsidRPr="005619FF">
        <w:rPr>
          <w:lang w:val="sv-SE"/>
        </w:rPr>
        <w:lastRenderedPageBreak/>
        <w:t xml:space="preserve">Or. </w:t>
      </w:r>
      <w:r w:rsidRPr="005619FF">
        <w:rPr>
          <w:rStyle w:val="HideTWBExt"/>
          <w:lang w:val="sv-SE"/>
        </w:rPr>
        <w:t>&lt;Original&gt;</w:t>
      </w:r>
      <w:r w:rsidRPr="005619FF">
        <w:rPr>
          <w:rStyle w:val="HideTWBInt"/>
          <w:lang w:val="sv-SE"/>
        </w:rPr>
        <w:t>{EN}</w:t>
      </w:r>
      <w:r w:rsidRPr="005619FF">
        <w:rPr>
          <w:lang w:val="sv-SE"/>
        </w:rPr>
        <w:t>en</w:t>
      </w:r>
      <w:r w:rsidRPr="005619FF">
        <w:rPr>
          <w:rStyle w:val="HideTWBExt"/>
          <w:lang w:val="sv-SE"/>
        </w:rPr>
        <w:t>&lt;/Original&gt;</w:t>
      </w:r>
    </w:p>
    <w:p w14:paraId="055A5142" w14:textId="77777777" w:rsidR="005619FF" w:rsidRPr="005619FF" w:rsidRDefault="005619FF" w:rsidP="005619FF">
      <w:pPr>
        <w:rPr>
          <w:lang w:val="sv-SE"/>
        </w:rPr>
      </w:pPr>
      <w:r w:rsidRPr="005619FF">
        <w:rPr>
          <w:rStyle w:val="HideTWBExt"/>
          <w:lang w:val="sv-SE"/>
        </w:rPr>
        <w:t>&lt;/Amend&gt;</w:t>
      </w:r>
    </w:p>
    <w:p w14:paraId="04542A83" w14:textId="77777777" w:rsidR="005619FF" w:rsidRPr="005619FF" w:rsidRDefault="005619FF" w:rsidP="005619FF">
      <w:pPr>
        <w:pStyle w:val="AmNumberTabs"/>
        <w:rPr>
          <w:lang w:val="sv-SE"/>
        </w:rPr>
      </w:pPr>
      <w:r w:rsidRPr="005619FF">
        <w:rPr>
          <w:rStyle w:val="HideTWBExt"/>
          <w:lang w:val="sv-SE"/>
        </w:rPr>
        <w:t>&lt;Amend&gt;</w:t>
      </w:r>
      <w:proofErr w:type="spellStart"/>
      <w:r w:rsidRPr="005619FF">
        <w:rPr>
          <w:lang w:val="sv-SE"/>
        </w:rPr>
        <w:t>Poprawka</w:t>
      </w:r>
      <w:proofErr w:type="spellEnd"/>
      <w:r w:rsidRPr="005619FF">
        <w:rPr>
          <w:lang w:val="sv-SE"/>
        </w:rPr>
        <w:tab/>
      </w:r>
      <w:r w:rsidRPr="005619FF">
        <w:rPr>
          <w:lang w:val="sv-SE"/>
        </w:rPr>
        <w:tab/>
      </w:r>
      <w:r w:rsidRPr="005619FF">
        <w:rPr>
          <w:rStyle w:val="HideTWBExt"/>
          <w:lang w:val="sv-SE"/>
        </w:rPr>
        <w:t>&lt;NumAm&gt;</w:t>
      </w:r>
      <w:r w:rsidRPr="005619FF">
        <w:rPr>
          <w:lang w:val="sv-SE"/>
        </w:rPr>
        <w:t>18</w:t>
      </w:r>
      <w:r w:rsidRPr="005619FF">
        <w:rPr>
          <w:rStyle w:val="HideTWBExt"/>
          <w:lang w:val="sv-SE"/>
        </w:rPr>
        <w:t>&lt;/NumAm&gt;</w:t>
      </w:r>
    </w:p>
    <w:p w14:paraId="2BEFA18F" w14:textId="77777777" w:rsidR="005619FF" w:rsidRPr="005619FF" w:rsidRDefault="005619FF" w:rsidP="005619FF">
      <w:pPr>
        <w:pStyle w:val="NormalBold"/>
        <w:rPr>
          <w:lang w:val="sv-SE"/>
        </w:rPr>
      </w:pPr>
      <w:r w:rsidRPr="005619FF">
        <w:rPr>
          <w:rStyle w:val="HideTWBExt"/>
          <w:b w:val="0"/>
          <w:lang w:val="sv-SE"/>
        </w:rPr>
        <w:t>&lt;RepeatBlock-By&gt;&lt;Members&gt;</w:t>
      </w:r>
      <w:r w:rsidRPr="005619FF">
        <w:rPr>
          <w:lang w:val="sv-SE"/>
        </w:rPr>
        <w:t xml:space="preserve">Damian </w:t>
      </w:r>
      <w:proofErr w:type="spellStart"/>
      <w:r w:rsidRPr="005619FF">
        <w:rPr>
          <w:lang w:val="sv-SE"/>
        </w:rPr>
        <w:t>Boeselager</w:t>
      </w:r>
      <w:proofErr w:type="spellEnd"/>
      <w:r w:rsidRPr="005619FF">
        <w:rPr>
          <w:rStyle w:val="HideTWBExt"/>
          <w:b w:val="0"/>
          <w:lang w:val="sv-SE"/>
        </w:rPr>
        <w:t>&lt;/Members&gt;</w:t>
      </w:r>
    </w:p>
    <w:p w14:paraId="2315A6BE" w14:textId="77777777" w:rsidR="005619FF" w:rsidRPr="008D03DA" w:rsidRDefault="005619FF" w:rsidP="005619FF">
      <w:r w:rsidRPr="005619FF">
        <w:rPr>
          <w:rStyle w:val="HideTWBExt"/>
        </w:rPr>
        <w:t>&lt;AuNomDe&gt;</w:t>
      </w:r>
      <w:r w:rsidRPr="005619FF">
        <w:rPr>
          <w:rStyle w:val="HideTWBInt"/>
          <w:color w:val="auto"/>
        </w:rPr>
        <w:t>{Verts/ALE}</w:t>
      </w:r>
      <w:r>
        <w:t xml:space="preserve">w imieniu grupy </w:t>
      </w:r>
      <w:proofErr w:type="spellStart"/>
      <w:r>
        <w:t>Verts</w:t>
      </w:r>
      <w:proofErr w:type="spellEnd"/>
      <w:r>
        <w:t>/ALE</w:t>
      </w:r>
      <w:r w:rsidRPr="005619FF">
        <w:rPr>
          <w:rStyle w:val="HideTWBExt"/>
        </w:rPr>
        <w:t>&lt;/AuNomDe&gt;</w:t>
      </w:r>
    </w:p>
    <w:p w14:paraId="10AA9EEB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7C9F5351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074C423D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8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78278E66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5E2B9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1A1FB9C7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ECBEE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21A17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7E02869C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26BD77" w14:textId="77777777" w:rsidR="005619FF" w:rsidRPr="008D03DA" w:rsidRDefault="005619FF" w:rsidP="00FB1419">
            <w:pPr>
              <w:pStyle w:val="Normal6a"/>
            </w:pPr>
            <w:r>
              <w:t>8.</w:t>
            </w:r>
            <w:r>
              <w:tab/>
              <w:t>rozumie, że rok 2024 był dla EPPO trudny, ponieważ musiało poradzić sobie ze wzrostem obciążenia pracą w 22 uczestniczących państwach członkowskich oraz z przystąpieniem Polski i Szwecji, a jednocześnie uzyskać autonomię informatyczną od Komisji; zauważa, że w 2024 r. EPPO wystąpiło z wnioskiem o 45 stanowisk na potrzeby autonomii informatycznej w planie zatrudnienia, a później o 37 stanowisk w budżecie korygującym, ale oba wnioski zostały odrzucone; zauważa, że w szczególności brak dodatkowych zasobów przeznaczonych na osiągnięcie autonomii informatycznej spowodował konieczność przekierowania do sektora IT pracowników, którzy początkowo mieli wspierać operacje, i korzystania z usług wykonawców pracujących na miejscu;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F6495" w14:textId="77777777" w:rsidR="005619FF" w:rsidRPr="008D03DA" w:rsidRDefault="005619FF" w:rsidP="00FB1419">
            <w:pPr>
              <w:pStyle w:val="Normal6a"/>
            </w:pPr>
            <w:r>
              <w:t>8.</w:t>
            </w:r>
            <w:r>
              <w:tab/>
              <w:t xml:space="preserve">rozumie, że rok 2024 był dla EPPO trudny, ponieważ musiało poradzić sobie ze wzrostem obciążenia pracą w 22 uczestniczących państwach członkowskich oraz z przystąpieniem Polski i Szwecji, a jednocześnie uzyskać autonomię informatyczną od Komisji; zauważa, że w 2024 r. EPPO wystąpiło z wnioskiem o 45 stanowisk na potrzeby autonomii informatycznej w planie zatrudnienia, a później o 37 stanowisk w budżecie korygującym, ale oba wnioski zostały odrzucone; zauważa, że w szczególności brak dodatkowych zasobów przeznaczonych na osiągnięcie autonomii informatycznej spowodował konieczność przekierowania do sektora IT pracowników, którzy początkowo mieli wspierać operacje, i korzystania z usług wykonawców pracujących na miejscu; </w:t>
            </w:r>
            <w:r>
              <w:rPr>
                <w:b/>
                <w:i/>
              </w:rPr>
              <w:t xml:space="preserve">podkreśla, że ciągłe poleganie na wykonawcach zewnętrznych i </w:t>
            </w:r>
            <w:r>
              <w:rPr>
                <w:b/>
                <w:i/>
              </w:rPr>
              <w:lastRenderedPageBreak/>
              <w:t xml:space="preserve">przekierowywanie personelu operacyjnego do zadań informatycznych, wynikające z braku stanowisk w ujętych planie zatrudnienia na potrzeby autonomii informatycznej, grozi osłabieniem zdolności dochodzeniowych EPPO i długoterminowej odporności instytucjonalnej; wzywa władzę budżetową do zapewnienia specjalnego, zrównoważonego personelu na potrzeby autonomii cyfrowej EPPO w celu ochrony skuteczności postępowań przygotowawczych i </w:t>
            </w:r>
            <w:proofErr w:type="spellStart"/>
            <w:r>
              <w:rPr>
                <w:b/>
                <w:i/>
              </w:rPr>
              <w:t>cyberbezpieczeństwa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41F310BF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&lt;/Original&gt;</w:t>
      </w:r>
    </w:p>
    <w:p w14:paraId="24D655D1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490080A0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19</w:t>
      </w:r>
      <w:r w:rsidRPr="005619FF">
        <w:rPr>
          <w:rStyle w:val="HideTWBExt"/>
        </w:rPr>
        <w:t>&lt;/NumAm&gt;</w:t>
      </w:r>
    </w:p>
    <w:p w14:paraId="33535F6E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</w:t>
      </w:r>
      <w:proofErr w:type="spellStart"/>
      <w:r>
        <w:t>Vasile-Voiculescu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2080C89E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079D1E15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3197C673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8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212A115C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4F3CF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2DAF51D5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8C2FF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DA2E7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30ABB498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33105" w14:textId="77777777" w:rsidR="005619FF" w:rsidRPr="008D03DA" w:rsidRDefault="005619FF" w:rsidP="00FB1419">
            <w:pPr>
              <w:pStyle w:val="Normal6a"/>
            </w:pPr>
            <w:r>
              <w:t>8.</w:t>
            </w:r>
            <w:r>
              <w:tab/>
              <w:t xml:space="preserve">rozumie, że rok 2024 był dla EPPO trudny, ponieważ musiało poradzić sobie ze wzrostem obciążenia pracą w 22 uczestniczących państwach członkowskich oraz z przystąpieniem Polski i Szwecji, a jednocześnie </w:t>
            </w:r>
            <w:r>
              <w:rPr>
                <w:b/>
                <w:i/>
              </w:rPr>
              <w:t>uzyskać</w:t>
            </w:r>
            <w:r>
              <w:t xml:space="preserve"> autonomię informatyczną od Komisji; zauważa, że w 2024 r. EPPO wystąpiło z wnioskiem o 45 stanowisk na potrzeby autonomii informatycznej w planie zatrudnienia, a później o 37 stanowisk w budżecie korygującym, ale oba wnioski zostały odrzucone; zauważa, że w szczególności brak dodatkowych zasobów przeznaczonych na osiągnięcie autonomii informatycznej spowodował konieczność przekierowania do sektora IT pracowników, którzy początkowo mieli wspierać operacje, i korzystania z usług wykonawców pracujących na miejscu;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C6215" w14:textId="77777777" w:rsidR="005619FF" w:rsidRPr="008D03DA" w:rsidRDefault="005619FF" w:rsidP="00FB1419">
            <w:pPr>
              <w:pStyle w:val="Normal6a"/>
            </w:pPr>
            <w:r>
              <w:t>8.</w:t>
            </w:r>
            <w:r>
              <w:tab/>
              <w:t xml:space="preserve">rozumie, że rok 2024 był dla EPPO trudny, ponieważ musiało poradzić sobie ze wzrostem obciążenia pracą w 22 uczestniczących państwach członkowskich oraz z przystąpieniem Polski i Szwecji, a jednocześnie </w:t>
            </w:r>
            <w:r>
              <w:rPr>
                <w:b/>
                <w:i/>
              </w:rPr>
              <w:t>przygotować</w:t>
            </w:r>
            <w:r>
              <w:t xml:space="preserve"> autonomię informatyczną od Komisji; zauważa, że w 2024 r. EPPO wystąpiło z wnioskiem o 45 stanowisk na potrzeby autonomii informatycznej w planie zatrudnienia, a później o 37 stanowisk w budżecie korygującym, ale oba wnioski zostały odrzucone; zauważa, że w szczególności brak dodatkowych zasobów przeznaczonych na osiągnięcie autonomii informatycznej spowodował konieczność przekierowania do sektora IT pracowników, którzy początkowo mieli wspierać operacje, i korzystania z usług wykonawców pracujących na miejscu; </w:t>
            </w:r>
            <w:r>
              <w:rPr>
                <w:b/>
                <w:i/>
              </w:rPr>
              <w:t xml:space="preserve">uważa, że nadal zasadnicze znaczenie ma </w:t>
            </w:r>
            <w:r>
              <w:rPr>
                <w:b/>
                <w:i/>
              </w:rPr>
              <w:lastRenderedPageBreak/>
              <w:t xml:space="preserve">przyznawanie finansowania, aby zapewnić EPPO pełną autonomię informatyczną i solidne ramy </w:t>
            </w:r>
            <w:proofErr w:type="spellStart"/>
            <w:r>
              <w:rPr>
                <w:b/>
                <w:i/>
              </w:rPr>
              <w:t>cyberbezpieczeństwa</w:t>
            </w:r>
            <w:proofErr w:type="spellEnd"/>
            <w:r>
              <w:rPr>
                <w:b/>
                <w:i/>
              </w:rPr>
              <w:t>, aby zapobiec zakłóceniom operacyjnym;</w:t>
            </w:r>
          </w:p>
        </w:tc>
      </w:tr>
    </w:tbl>
    <w:p w14:paraId="463BF373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&lt;/Original&gt;</w:t>
      </w:r>
    </w:p>
    <w:p w14:paraId="04F76084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499AA873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20</w:t>
      </w:r>
      <w:r w:rsidRPr="005619FF">
        <w:rPr>
          <w:rStyle w:val="HideTWBExt"/>
        </w:rPr>
        <w:t>&lt;/NumAm&gt;</w:t>
      </w:r>
    </w:p>
    <w:p w14:paraId="4D3D31C6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</w:t>
      </w:r>
      <w:proofErr w:type="spellStart"/>
      <w:r>
        <w:t>Vasile-Voiculescu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3FAB4548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288DB885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5FEC863B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12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1388B61D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65CF4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1A032C7C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F3639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011AF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4A2F7BD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E5696" w14:textId="77777777" w:rsidR="005619FF" w:rsidRPr="008D03DA" w:rsidRDefault="005619FF" w:rsidP="00FB1419">
            <w:pPr>
              <w:pStyle w:val="Normal6a"/>
            </w:pPr>
            <w:r>
              <w:t>12.</w:t>
            </w:r>
            <w:r>
              <w:tab/>
              <w:t xml:space="preserve">zauważa, że koszty operacyjne podróży służbowych nieznacznie wzrosły w 2024 r. do 1 292 000 EUR (w porównaniu z 1 175 000 EUR w 2023 r. i 980 000 EUR w 2022 r.) i pochłonęły około 3,7 % ogólnych środków operacyjnych (34,1 mln EUR), ale ogólnie odpowiadały rosnącej intensywności postępowań przygotowawczych i były stabilne pod względem wartości; rozumie, że nastąpił spadek ogólnych wydatków na podróże służbowe, że EPPO propaguje korzystanie z wideokonferencji jako opłacalnej i bezpiecznej alternatywy dla podróży służbowych pracowników oraz że udział w posiedzeniach zdalnych jest standardową praktyką w zakresie wewnętrznej koordynacji i wymiany informacji z organami państw członkowskich i partnerami unijnymi, ale podróże służbowe pozostają </w:t>
            </w:r>
            <w:r>
              <w:rPr>
                <w:b/>
                <w:i/>
              </w:rPr>
              <w:t>istotną praktyką</w:t>
            </w:r>
            <w:r>
              <w:t xml:space="preserve"> w kontekście operacyjnym;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DC5B2F" w14:textId="77777777" w:rsidR="005619FF" w:rsidRPr="008D03DA" w:rsidRDefault="005619FF" w:rsidP="00FB1419">
            <w:pPr>
              <w:pStyle w:val="Normal6a"/>
            </w:pPr>
            <w:r>
              <w:t>12.</w:t>
            </w:r>
            <w:r>
              <w:tab/>
              <w:t xml:space="preserve">zauważa, że koszty operacyjne podróży służbowych nieznacznie wzrosły w 2024 r. do 1 292 000 EUR (w porównaniu z 1 175 000 EUR w 2023 r. i 980 000 EUR w 2022 r.) i pochłonęły około 3,7 % ogólnych środków operacyjnych (34,1 mln EUR), ale ogólnie odpowiadały rosnącej intensywności postępowań przygotowawczych i były stabilne pod względem wartości; rozumie, że nastąpił spadek ogólnych wydatków na podróże służbowe, że EPPO propaguje korzystanie z wideokonferencji jako opłacalnej i bezpiecznej alternatywy dla podróży służbowych pracowników oraz że udział w posiedzeniach zdalnych jest standardową praktyką w zakresie wewnętrznej koordynacji i wymiany informacji z organami państw członkowskich i partnerami unijnymi, ale podróże służbowe pozostają </w:t>
            </w:r>
            <w:r>
              <w:rPr>
                <w:b/>
                <w:i/>
              </w:rPr>
              <w:t>konieczne</w:t>
            </w:r>
            <w:r>
              <w:t xml:space="preserve"> w kontekście operacyjnym</w:t>
            </w:r>
            <w:r>
              <w:rPr>
                <w:b/>
                <w:i/>
              </w:rPr>
              <w:t xml:space="preserve"> i sądowym, w celu zapewnienia spójnego podejścia w całej EPPO w zakresie szkoleń lub podnoszenia świadomości zainteresowanych stron</w:t>
            </w:r>
            <w:r>
              <w:t>;</w:t>
            </w:r>
          </w:p>
        </w:tc>
      </w:tr>
    </w:tbl>
    <w:p w14:paraId="7B06C315" w14:textId="77777777" w:rsidR="005619FF" w:rsidRPr="005619FF" w:rsidRDefault="005619FF" w:rsidP="005619FF">
      <w:pPr>
        <w:pStyle w:val="AmOrLang"/>
        <w:rPr>
          <w:lang w:val="es-ES" w:eastAsia="en-US"/>
        </w:rPr>
      </w:pPr>
      <w:proofErr w:type="spellStart"/>
      <w:r w:rsidRPr="005619FF">
        <w:rPr>
          <w:lang w:val="es-ES"/>
        </w:rPr>
        <w:t>Or</w:t>
      </w:r>
      <w:proofErr w:type="spellEnd"/>
      <w:r w:rsidRPr="005619FF">
        <w:rPr>
          <w:lang w:val="es-ES"/>
        </w:rPr>
        <w:t xml:space="preserve">. </w:t>
      </w:r>
      <w:r w:rsidRPr="005619FF">
        <w:rPr>
          <w:rStyle w:val="HideTWBExt"/>
          <w:lang w:val="es-ES"/>
        </w:rPr>
        <w:t>&lt;Original&gt;</w:t>
      </w:r>
      <w:r w:rsidRPr="005619FF">
        <w:rPr>
          <w:rStyle w:val="HideTWBInt"/>
          <w:lang w:val="es-ES"/>
        </w:rPr>
        <w:t>{EN}</w:t>
      </w:r>
      <w:r w:rsidRPr="005619FF">
        <w:rPr>
          <w:lang w:val="es-ES"/>
        </w:rPr>
        <w:t>en</w:t>
      </w:r>
      <w:r w:rsidRPr="005619FF">
        <w:rPr>
          <w:rStyle w:val="HideTWBExt"/>
          <w:lang w:val="es-ES"/>
        </w:rPr>
        <w:t>&lt;/Original&gt;</w:t>
      </w:r>
    </w:p>
    <w:p w14:paraId="4D76EA06" w14:textId="77777777" w:rsidR="005619FF" w:rsidRPr="005619FF" w:rsidRDefault="005619FF" w:rsidP="005619FF">
      <w:pPr>
        <w:rPr>
          <w:lang w:val="es-ES"/>
        </w:rPr>
      </w:pPr>
      <w:r w:rsidRPr="005619FF">
        <w:rPr>
          <w:rStyle w:val="HideTWBExt"/>
          <w:lang w:val="es-ES"/>
        </w:rPr>
        <w:t>&lt;/Amend&gt;</w:t>
      </w:r>
    </w:p>
    <w:p w14:paraId="47682DA4" w14:textId="77777777" w:rsidR="005619FF" w:rsidRPr="005619FF" w:rsidRDefault="005619FF" w:rsidP="005619FF">
      <w:pPr>
        <w:pStyle w:val="AmNumberTabs"/>
        <w:rPr>
          <w:lang w:val="es-ES"/>
        </w:rPr>
      </w:pPr>
      <w:r w:rsidRPr="005619FF">
        <w:rPr>
          <w:rStyle w:val="HideTWBExt"/>
          <w:lang w:val="es-ES"/>
        </w:rPr>
        <w:lastRenderedPageBreak/>
        <w:t>&lt;Amend&gt;</w:t>
      </w:r>
      <w:proofErr w:type="spellStart"/>
      <w:r w:rsidRPr="005619FF">
        <w:rPr>
          <w:lang w:val="es-ES"/>
        </w:rPr>
        <w:t>Poprawka</w:t>
      </w:r>
      <w:proofErr w:type="spellEnd"/>
      <w:r w:rsidRPr="005619FF">
        <w:rPr>
          <w:lang w:val="es-ES"/>
        </w:rPr>
        <w:tab/>
      </w:r>
      <w:r w:rsidRPr="005619FF">
        <w:rPr>
          <w:lang w:val="es-ES"/>
        </w:rPr>
        <w:tab/>
      </w:r>
      <w:r w:rsidRPr="005619FF">
        <w:rPr>
          <w:rStyle w:val="HideTWBExt"/>
          <w:lang w:val="es-ES"/>
        </w:rPr>
        <w:t>&lt;NumAm&gt;</w:t>
      </w:r>
      <w:r w:rsidRPr="005619FF">
        <w:rPr>
          <w:lang w:val="es-ES"/>
        </w:rPr>
        <w:t>21</w:t>
      </w:r>
      <w:r w:rsidRPr="005619FF">
        <w:rPr>
          <w:rStyle w:val="HideTWBExt"/>
          <w:lang w:val="es-ES"/>
        </w:rPr>
        <w:t>&lt;/NumAm&gt;</w:t>
      </w:r>
    </w:p>
    <w:p w14:paraId="02ABC84B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&lt;RepeatBlock-By&gt;&lt;Members&gt;</w:t>
      </w:r>
      <w:proofErr w:type="spellStart"/>
      <w:r w:rsidRPr="005619FF">
        <w:rPr>
          <w:lang w:val="es-ES"/>
        </w:rPr>
        <w:t>Csaba</w:t>
      </w:r>
      <w:proofErr w:type="spellEnd"/>
      <w:r w:rsidRPr="005619FF">
        <w:rPr>
          <w:lang w:val="es-ES"/>
        </w:rPr>
        <w:t xml:space="preserve"> </w:t>
      </w:r>
      <w:proofErr w:type="spellStart"/>
      <w:r w:rsidRPr="005619FF">
        <w:rPr>
          <w:lang w:val="es-ES"/>
        </w:rPr>
        <w:t>Molnár</w:t>
      </w:r>
      <w:proofErr w:type="spellEnd"/>
      <w:r w:rsidRPr="005619FF">
        <w:rPr>
          <w:rStyle w:val="HideTWBExt"/>
          <w:b w:val="0"/>
          <w:lang w:val="es-ES"/>
        </w:rPr>
        <w:t>&lt;/Members&gt;</w:t>
      </w:r>
    </w:p>
    <w:p w14:paraId="132FA550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&lt;/RepeatBlock-By&gt;</w:t>
      </w:r>
    </w:p>
    <w:p w14:paraId="25E5AD28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&lt;DocAmend&gt;</w:t>
      </w:r>
      <w:r>
        <w:t>Projekt rezolucji</w:t>
      </w:r>
      <w:r w:rsidRPr="005619FF">
        <w:rPr>
          <w:rStyle w:val="HideTWBExt"/>
        </w:rPr>
        <w:t>&lt;/DocAmend&gt;</w:t>
      </w:r>
    </w:p>
    <w:p w14:paraId="77309FC2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14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5440BF3B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DD994" w14:textId="77777777" w:rsidR="005619FF" w:rsidRPr="00403364" w:rsidRDefault="005619FF" w:rsidP="00FB1419"/>
        </w:tc>
      </w:tr>
      <w:tr w:rsidR="005619FF" w14:paraId="32B0D325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52AAD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730C6F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422746D6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0FD98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D912C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podkreśla znaczenie zamówień publicznych jako narzędzia realizacji celów politycznych, w tym celów społecznych i środowiskowych; wzywa EPPO, aby w większym stopniu uwzględniała w swoich procedurach udzielania zamówień kryteria strategiczne dotyczące odpowiedzialności społecznej i zrównoważenia środowiskowego;</w:t>
            </w:r>
          </w:p>
        </w:tc>
      </w:tr>
    </w:tbl>
    <w:p w14:paraId="77D55156" w14:textId="77777777" w:rsidR="005619FF" w:rsidRPr="005619FF" w:rsidRDefault="005619FF" w:rsidP="005619FF">
      <w:pPr>
        <w:pStyle w:val="AmOrLang"/>
        <w:rPr>
          <w:lang w:val="sv-SE" w:eastAsia="en-US"/>
        </w:rPr>
      </w:pPr>
      <w:r w:rsidRPr="005619FF">
        <w:rPr>
          <w:lang w:val="sv-SE"/>
        </w:rPr>
        <w:t xml:space="preserve">Or. </w:t>
      </w:r>
      <w:r w:rsidRPr="005619FF">
        <w:rPr>
          <w:rStyle w:val="HideTWBExt"/>
          <w:lang w:val="sv-SE"/>
        </w:rPr>
        <w:t>&lt;Original&gt;</w:t>
      </w:r>
      <w:r w:rsidRPr="005619FF">
        <w:rPr>
          <w:rStyle w:val="HideTWBInt"/>
          <w:lang w:val="sv-SE"/>
        </w:rPr>
        <w:t>{EN}</w:t>
      </w:r>
      <w:r w:rsidRPr="005619FF">
        <w:rPr>
          <w:lang w:val="sv-SE"/>
        </w:rPr>
        <w:t>en</w:t>
      </w:r>
      <w:r w:rsidRPr="005619FF">
        <w:rPr>
          <w:rStyle w:val="HideTWBExt"/>
          <w:lang w:val="sv-SE"/>
        </w:rPr>
        <w:t>&lt;/Original&gt;</w:t>
      </w:r>
    </w:p>
    <w:p w14:paraId="4D9E4907" w14:textId="77777777" w:rsidR="005619FF" w:rsidRPr="005619FF" w:rsidRDefault="005619FF" w:rsidP="005619FF">
      <w:pPr>
        <w:rPr>
          <w:lang w:val="sv-SE"/>
        </w:rPr>
      </w:pPr>
      <w:r w:rsidRPr="005619FF">
        <w:rPr>
          <w:rStyle w:val="HideTWBExt"/>
          <w:lang w:val="sv-SE"/>
        </w:rPr>
        <w:t>&lt;/Amend&gt;</w:t>
      </w:r>
    </w:p>
    <w:p w14:paraId="44DDF5C6" w14:textId="77777777" w:rsidR="005619FF" w:rsidRPr="005619FF" w:rsidRDefault="005619FF" w:rsidP="005619FF">
      <w:pPr>
        <w:pStyle w:val="AmNumberTabs"/>
        <w:rPr>
          <w:lang w:val="sv-SE"/>
        </w:rPr>
      </w:pPr>
      <w:r w:rsidRPr="005619FF">
        <w:rPr>
          <w:rStyle w:val="HideTWBExt"/>
          <w:lang w:val="sv-SE"/>
        </w:rPr>
        <w:t>&lt;Amend&gt;</w:t>
      </w:r>
      <w:proofErr w:type="spellStart"/>
      <w:r w:rsidRPr="005619FF">
        <w:rPr>
          <w:lang w:val="sv-SE"/>
        </w:rPr>
        <w:t>Poprawka</w:t>
      </w:r>
      <w:proofErr w:type="spellEnd"/>
      <w:r w:rsidRPr="005619FF">
        <w:rPr>
          <w:lang w:val="sv-SE"/>
        </w:rPr>
        <w:tab/>
      </w:r>
      <w:r w:rsidRPr="005619FF">
        <w:rPr>
          <w:lang w:val="sv-SE"/>
        </w:rPr>
        <w:tab/>
      </w:r>
      <w:r w:rsidRPr="005619FF">
        <w:rPr>
          <w:rStyle w:val="HideTWBExt"/>
          <w:lang w:val="sv-SE"/>
        </w:rPr>
        <w:t>&lt;NumAm&gt;</w:t>
      </w:r>
      <w:r w:rsidRPr="005619FF">
        <w:rPr>
          <w:lang w:val="sv-SE"/>
        </w:rPr>
        <w:t>22</w:t>
      </w:r>
      <w:r w:rsidRPr="005619FF">
        <w:rPr>
          <w:rStyle w:val="HideTWBExt"/>
          <w:lang w:val="sv-SE"/>
        </w:rPr>
        <w:t>&lt;/NumAm&gt;</w:t>
      </w:r>
    </w:p>
    <w:p w14:paraId="122A9143" w14:textId="77777777" w:rsidR="005619FF" w:rsidRPr="005619FF" w:rsidRDefault="005619FF" w:rsidP="005619FF">
      <w:pPr>
        <w:pStyle w:val="NormalBold"/>
        <w:rPr>
          <w:lang w:val="sv-SE"/>
        </w:rPr>
      </w:pPr>
      <w:r w:rsidRPr="005619FF">
        <w:rPr>
          <w:rStyle w:val="HideTWBExt"/>
          <w:b w:val="0"/>
          <w:lang w:val="sv-SE"/>
        </w:rPr>
        <w:t>&lt;RepeatBlock-By&gt;&lt;Members&gt;</w:t>
      </w:r>
      <w:r w:rsidRPr="005619FF">
        <w:rPr>
          <w:lang w:val="sv-SE"/>
        </w:rPr>
        <w:t xml:space="preserve">Damian </w:t>
      </w:r>
      <w:proofErr w:type="spellStart"/>
      <w:r w:rsidRPr="005619FF">
        <w:rPr>
          <w:lang w:val="sv-SE"/>
        </w:rPr>
        <w:t>Boeselager</w:t>
      </w:r>
      <w:proofErr w:type="spellEnd"/>
      <w:r w:rsidRPr="005619FF">
        <w:rPr>
          <w:rStyle w:val="HideTWBExt"/>
          <w:b w:val="0"/>
          <w:lang w:val="sv-SE"/>
        </w:rPr>
        <w:t>&lt;/Members&gt;</w:t>
      </w:r>
    </w:p>
    <w:p w14:paraId="06137323" w14:textId="77777777" w:rsidR="005619FF" w:rsidRPr="008D03DA" w:rsidRDefault="005619FF" w:rsidP="005619FF">
      <w:r w:rsidRPr="005619FF">
        <w:rPr>
          <w:rStyle w:val="HideTWBExt"/>
        </w:rPr>
        <w:t>&lt;AuNomDe&gt;</w:t>
      </w:r>
      <w:r w:rsidRPr="005619FF">
        <w:rPr>
          <w:rStyle w:val="HideTWBInt"/>
          <w:color w:val="auto"/>
        </w:rPr>
        <w:t>{</w:t>
      </w:r>
      <w:proofErr w:type="spellStart"/>
      <w:r w:rsidRPr="005619FF">
        <w:rPr>
          <w:rStyle w:val="HideTWBInt"/>
          <w:color w:val="auto"/>
        </w:rPr>
        <w:t>Verts</w:t>
      </w:r>
      <w:proofErr w:type="spellEnd"/>
      <w:r w:rsidRPr="005619FF">
        <w:rPr>
          <w:rStyle w:val="HideTWBInt"/>
          <w:color w:val="auto"/>
        </w:rPr>
        <w:t>/ALE}</w:t>
      </w:r>
      <w:r>
        <w:t xml:space="preserve">w imieniu grupy </w:t>
      </w:r>
      <w:proofErr w:type="spellStart"/>
      <w:r>
        <w:t>Verts</w:t>
      </w:r>
      <w:proofErr w:type="spellEnd"/>
      <w:r>
        <w:t>/ALE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AuNomDe</w:t>
      </w:r>
      <w:proofErr w:type="spellEnd"/>
      <w:r w:rsidRPr="005619FF">
        <w:rPr>
          <w:rStyle w:val="HideTWBExt"/>
        </w:rPr>
        <w:t>&gt;</w:t>
      </w:r>
    </w:p>
    <w:p w14:paraId="3334B73E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0866A1D7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&lt;DocAmend&gt;</w:t>
      </w:r>
      <w:r>
        <w:t>Projekt rezolucji</w:t>
      </w:r>
      <w:r w:rsidRPr="005619FF">
        <w:rPr>
          <w:rStyle w:val="HideTWBExt"/>
        </w:rPr>
        <w:t>&lt;/DocAmend&gt;</w:t>
      </w:r>
    </w:p>
    <w:p w14:paraId="645B6030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&lt;Article&gt;</w:t>
      </w:r>
      <w:r>
        <w:t>Ustęp 17 a (nowy)</w:t>
      </w:r>
      <w:r w:rsidRPr="005619F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4F2C571B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5FC4A" w14:textId="77777777" w:rsidR="005619FF" w:rsidRPr="005619FF" w:rsidRDefault="005619FF" w:rsidP="00FB1419"/>
        </w:tc>
      </w:tr>
      <w:tr w:rsidR="005619FF" w14:paraId="2451ED80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1697CC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A6A04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6D3A090D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11D5D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07F23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 xml:space="preserve">przypomina, że zasoby budżetowe i ludzkie przydzielone EPPO pozostają strukturalnie niewystarczające ze względu na jej szybko rosnące obciążenie pracą, w szczególności w odniesieniu do oszustw transgranicznych związanych z VAT oraz spraw związanych z Instrumentem na rzecz Odbudowy i Zwiększania Odporności; ubolewa, że Komisja nie przedstawiła oceny sytuacji kadrowej zapowiedzianej w liście w sprawie poprawek nr 1/2022 ani nie zaangażowała się w konstruktywny dialog z EPPO na temat jej rzeczywistych potrzeb w zakresie zasobów; wzywa Komisję do pilnego zaradzenia tej sytuacji oraz do dopilnowania, aby przyszłe wnioski </w:t>
            </w:r>
            <w:r>
              <w:rPr>
                <w:b/>
                <w:i/>
              </w:rPr>
              <w:lastRenderedPageBreak/>
              <w:t>budżetowe opierały się na zaktualizowanych wskaźnikach obciążenia pracą, a nie na nieaktualnych założeniach;</w:t>
            </w:r>
          </w:p>
        </w:tc>
      </w:tr>
    </w:tbl>
    <w:p w14:paraId="667A1F6C" w14:textId="77777777" w:rsidR="005619FF" w:rsidRPr="005619FF" w:rsidRDefault="005619FF" w:rsidP="005619FF">
      <w:pPr>
        <w:pStyle w:val="AmOrLang"/>
        <w:rPr>
          <w:lang w:val="sv-SE" w:eastAsia="en-US"/>
        </w:rPr>
      </w:pPr>
      <w:r w:rsidRPr="005619FF">
        <w:rPr>
          <w:lang w:val="sv-SE"/>
        </w:rPr>
        <w:lastRenderedPageBreak/>
        <w:t xml:space="preserve">Or. </w:t>
      </w:r>
      <w:r w:rsidRPr="005619FF">
        <w:rPr>
          <w:rStyle w:val="HideTWBExt"/>
          <w:lang w:val="sv-SE"/>
        </w:rPr>
        <w:t>&lt;Original&gt;</w:t>
      </w:r>
      <w:r w:rsidRPr="005619FF">
        <w:rPr>
          <w:rStyle w:val="HideTWBInt"/>
          <w:lang w:val="sv-SE"/>
        </w:rPr>
        <w:t>{EN}</w:t>
      </w:r>
      <w:r w:rsidRPr="005619FF">
        <w:rPr>
          <w:lang w:val="sv-SE"/>
        </w:rPr>
        <w:t>en</w:t>
      </w:r>
      <w:r w:rsidRPr="005619FF">
        <w:rPr>
          <w:rStyle w:val="HideTWBExt"/>
          <w:lang w:val="sv-SE"/>
        </w:rPr>
        <w:t>&lt;/Original&gt;</w:t>
      </w:r>
    </w:p>
    <w:p w14:paraId="76145B0E" w14:textId="77777777" w:rsidR="005619FF" w:rsidRPr="005619FF" w:rsidRDefault="005619FF" w:rsidP="005619FF">
      <w:pPr>
        <w:rPr>
          <w:lang w:val="sv-SE"/>
        </w:rPr>
      </w:pPr>
      <w:r w:rsidRPr="005619FF">
        <w:rPr>
          <w:rStyle w:val="HideTWBExt"/>
          <w:lang w:val="sv-SE"/>
        </w:rPr>
        <w:t>&lt;/Amend&gt;</w:t>
      </w:r>
    </w:p>
    <w:p w14:paraId="75C10F02" w14:textId="77777777" w:rsidR="005619FF" w:rsidRPr="005619FF" w:rsidRDefault="005619FF" w:rsidP="005619FF">
      <w:pPr>
        <w:pStyle w:val="AmNumberTabs"/>
        <w:rPr>
          <w:lang w:val="sv-SE"/>
        </w:rPr>
      </w:pPr>
      <w:r w:rsidRPr="005619FF">
        <w:rPr>
          <w:rStyle w:val="HideTWBExt"/>
          <w:lang w:val="sv-SE"/>
        </w:rPr>
        <w:t>&lt;Amend&gt;</w:t>
      </w:r>
      <w:proofErr w:type="spellStart"/>
      <w:r w:rsidRPr="005619FF">
        <w:rPr>
          <w:lang w:val="sv-SE"/>
        </w:rPr>
        <w:t>Poprawka</w:t>
      </w:r>
      <w:proofErr w:type="spellEnd"/>
      <w:r w:rsidRPr="005619FF">
        <w:rPr>
          <w:lang w:val="sv-SE"/>
        </w:rPr>
        <w:tab/>
      </w:r>
      <w:r w:rsidRPr="005619FF">
        <w:rPr>
          <w:lang w:val="sv-SE"/>
        </w:rPr>
        <w:tab/>
      </w:r>
      <w:r w:rsidRPr="005619FF">
        <w:rPr>
          <w:rStyle w:val="HideTWBExt"/>
          <w:lang w:val="sv-SE"/>
        </w:rPr>
        <w:t>&lt;NumAm&gt;</w:t>
      </w:r>
      <w:r w:rsidRPr="005619FF">
        <w:rPr>
          <w:lang w:val="sv-SE"/>
        </w:rPr>
        <w:t>23</w:t>
      </w:r>
      <w:r w:rsidRPr="005619FF">
        <w:rPr>
          <w:rStyle w:val="HideTWBExt"/>
          <w:lang w:val="sv-SE"/>
        </w:rPr>
        <w:t>&lt;/</w:t>
      </w:r>
      <w:proofErr w:type="spellStart"/>
      <w:r w:rsidRPr="005619FF">
        <w:rPr>
          <w:rStyle w:val="HideTWBExt"/>
          <w:lang w:val="sv-SE"/>
        </w:rPr>
        <w:t>NumAm</w:t>
      </w:r>
      <w:proofErr w:type="spellEnd"/>
      <w:r w:rsidRPr="005619FF">
        <w:rPr>
          <w:rStyle w:val="HideTWBExt"/>
          <w:lang w:val="sv-SE"/>
        </w:rPr>
        <w:t>&gt;</w:t>
      </w:r>
    </w:p>
    <w:p w14:paraId="0A69C0E8" w14:textId="77777777" w:rsidR="005619FF" w:rsidRPr="005619FF" w:rsidRDefault="005619FF" w:rsidP="005619FF">
      <w:pPr>
        <w:pStyle w:val="NormalBold"/>
        <w:rPr>
          <w:lang w:val="sv-SE"/>
        </w:rPr>
      </w:pPr>
      <w:r w:rsidRPr="005619FF">
        <w:rPr>
          <w:rStyle w:val="HideTWBExt"/>
          <w:b w:val="0"/>
          <w:lang w:val="sv-SE"/>
        </w:rPr>
        <w:t>&lt;RepeatBlock-By&gt;&lt;Members&gt;</w:t>
      </w:r>
      <w:r w:rsidRPr="005619FF">
        <w:rPr>
          <w:lang w:val="sv-SE"/>
        </w:rPr>
        <w:t xml:space="preserve">Damian </w:t>
      </w:r>
      <w:proofErr w:type="spellStart"/>
      <w:r w:rsidRPr="005619FF">
        <w:rPr>
          <w:lang w:val="sv-SE"/>
        </w:rPr>
        <w:t>Boeselager</w:t>
      </w:r>
      <w:proofErr w:type="spellEnd"/>
      <w:r w:rsidRPr="005619FF">
        <w:rPr>
          <w:rStyle w:val="HideTWBExt"/>
          <w:b w:val="0"/>
          <w:lang w:val="sv-SE"/>
        </w:rPr>
        <w:t>&lt;/Members&gt;</w:t>
      </w:r>
    </w:p>
    <w:p w14:paraId="161A3D74" w14:textId="77777777" w:rsidR="005619FF" w:rsidRPr="008D03DA" w:rsidRDefault="005619FF" w:rsidP="005619FF">
      <w:r w:rsidRPr="005619FF">
        <w:rPr>
          <w:rStyle w:val="HideTWBExt"/>
        </w:rPr>
        <w:t>&lt;AuNomDe&gt;</w:t>
      </w:r>
      <w:r w:rsidRPr="005619FF">
        <w:rPr>
          <w:rStyle w:val="HideTWBInt"/>
          <w:color w:val="auto"/>
        </w:rPr>
        <w:t>{</w:t>
      </w:r>
      <w:proofErr w:type="spellStart"/>
      <w:r w:rsidRPr="005619FF">
        <w:rPr>
          <w:rStyle w:val="HideTWBInt"/>
          <w:color w:val="auto"/>
        </w:rPr>
        <w:t>Verts</w:t>
      </w:r>
      <w:proofErr w:type="spellEnd"/>
      <w:r w:rsidRPr="005619FF">
        <w:rPr>
          <w:rStyle w:val="HideTWBInt"/>
          <w:color w:val="auto"/>
        </w:rPr>
        <w:t>/ALE}</w:t>
      </w:r>
      <w:r>
        <w:t xml:space="preserve">w imieniu grupy </w:t>
      </w:r>
      <w:proofErr w:type="spellStart"/>
      <w:r>
        <w:t>Verts</w:t>
      </w:r>
      <w:proofErr w:type="spellEnd"/>
      <w:r>
        <w:t>/ALE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AuNomDe</w:t>
      </w:r>
      <w:proofErr w:type="spellEnd"/>
      <w:r w:rsidRPr="005619FF">
        <w:rPr>
          <w:rStyle w:val="HideTWBExt"/>
        </w:rPr>
        <w:t>&gt;</w:t>
      </w:r>
    </w:p>
    <w:p w14:paraId="07B45553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2C39FDE3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&lt;DocAmend&gt;</w:t>
      </w:r>
      <w:r>
        <w:t>Projekt rezolucji</w:t>
      </w:r>
      <w:r w:rsidRPr="005619FF">
        <w:rPr>
          <w:rStyle w:val="HideTWBExt"/>
        </w:rPr>
        <w:t>&lt;/DocAmend&gt;</w:t>
      </w:r>
    </w:p>
    <w:p w14:paraId="47CDB1CD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&lt;Article&gt;</w:t>
      </w:r>
      <w:r>
        <w:t>Ustęp 17 b (nowy)</w:t>
      </w:r>
      <w:r w:rsidRPr="005619F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3ACBE87F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AD220" w14:textId="77777777" w:rsidR="005619FF" w:rsidRPr="005619FF" w:rsidRDefault="005619FF" w:rsidP="00FB1419"/>
        </w:tc>
      </w:tr>
      <w:tr w:rsidR="005619FF" w14:paraId="0F99BE12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A325EE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F2F479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10DDB665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D729C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C29BBF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17b.</w:t>
            </w:r>
            <w:r>
              <w:tab/>
            </w:r>
            <w:r>
              <w:rPr>
                <w:b/>
                <w:i/>
              </w:rPr>
              <w:t>ubolewa, że Komisja nie przedstawiła oceny sytuacji kadrowej zapowiedzianej w liście w sprawie poprawek nr 1/2022 i nie zaangażowała się w konstruktywny dialog z EPPO na temat zaktualizowanych potrzeb; podkreśla, że zmiana nieaktualnej oceny skutków finansowych regulacji z 2017 r. jest konieczna, aby odzwierciedlić rzeczywiste wskaźniki obciążenia pracą, i nie może być uzależniona od zmiany mandatu, biorąc pod uwagę rozszerzenie odnośnych interesów finansowych Unii; wzywa Komisję do niezwłocznego przedstawienia zaktualizowanej oceny sytuacji kadrowej i finansowania przygotowanej w ścisłym porozumieniu z EPPO i opartej na wymiernych wskaźnikach obciążenia pracą i złożoności spraw;</w:t>
            </w:r>
          </w:p>
        </w:tc>
      </w:tr>
    </w:tbl>
    <w:p w14:paraId="24AB0986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Original</w:t>
      </w:r>
      <w:proofErr w:type="spellEnd"/>
      <w:r w:rsidRPr="005619FF">
        <w:rPr>
          <w:rStyle w:val="HideTWBExt"/>
        </w:rPr>
        <w:t>&gt;</w:t>
      </w:r>
    </w:p>
    <w:p w14:paraId="5099226F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41EB319F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24</w:t>
      </w:r>
      <w:r w:rsidRPr="005619FF">
        <w:rPr>
          <w:rStyle w:val="HideTWBExt"/>
        </w:rPr>
        <w:t>&lt;/NumAm&gt;</w:t>
      </w:r>
    </w:p>
    <w:p w14:paraId="76DB72BB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</w:t>
      </w:r>
      <w:proofErr w:type="spellStart"/>
      <w:r>
        <w:t>Vasile-Voiculescu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5BCD6532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71B01357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0AE2EB31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lastRenderedPageBreak/>
        <w:t>&lt;Article&gt;</w:t>
      </w:r>
      <w:r>
        <w:t>Ustęp 18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549C6C9A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57092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20094EA9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FF2870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F1805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67B28BC5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B70E1" w14:textId="77777777" w:rsidR="005619FF" w:rsidRPr="008D03DA" w:rsidRDefault="005619FF" w:rsidP="00FB1419">
            <w:pPr>
              <w:pStyle w:val="Normal6a"/>
            </w:pPr>
            <w:r>
              <w:t>18.</w:t>
            </w:r>
            <w:r>
              <w:tab/>
              <w:t>podkreśla, że sposób działania organizacji przestępczych jest w coraz większym stopniu ponadnarodowy i opiera się na powtarzającym się zaangażowaniu złożonych struktur korporacyjnych wykorzystywanych jako przykrywka i na nieprzejrzystych narzędziach prawnych stosowanych w wielu jurysdykcjach o nierównym poziomie egzekwowania prawa Unii; podkreśla fakt, że strategia przestępczości zorganizowanej ma na celu oszukańcze przekierowanie środków unijnych i ukrywanie dochodów z przestępstw w drodze operacji prania pieniędzy, które mają wpływ na legalną gospodarkę, a także stają się transgranicznymi oszustwami związanymi z VAT na dużą skalę; zwraca uwagę, że te systemy przestępcze systematycznie wykorzystują fragmentację regulacyjną i asymetrie proceduralne między państwami członkowskimi, a także ograniczenia wynikające z krajowego ukierunkowania organów ścigania i organów sądowych; podkreśla w tym względzie wartość dodaną działań EPPO, które pozwalają wypełnić lukę pozostawioną przez nieskoordynowane inicjatywy krajowe i które stanowią najskuteczniejszy instrument zakłócania międzynarodowej działalności przestępczej i ingerowania w ochronę interesów finansowych Unii i rynku wewnętrznego;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62627" w14:textId="77777777" w:rsidR="005619FF" w:rsidRPr="008D03DA" w:rsidRDefault="005619FF" w:rsidP="00FB1419">
            <w:pPr>
              <w:pStyle w:val="Normal6a"/>
            </w:pPr>
            <w:r>
              <w:t>18.</w:t>
            </w:r>
            <w:r>
              <w:tab/>
              <w:t xml:space="preserve">podkreśla, że sposób działania organizacji przestępczych jest w coraz większym stopniu ponadnarodowy i opiera się na powtarzającym się zaangażowaniu złożonych struktur korporacyjnych wykorzystywanych jako przykrywka i na nieprzejrzystych narzędziach prawnych stosowanych w wielu jurysdykcjach o nierównym poziomie egzekwowania prawa Unii; podkreśla fakt, że strategia przestępczości zorganizowanej ma na celu oszukańcze przekierowanie środków unijnych i ukrywanie dochodów z przestępstw w drodze operacji prania pieniędzy, które mają wpływ na legalną gospodarkę, a także stają się transgranicznymi oszustwami związanymi z VAT na dużą skalę; zwraca uwagę, że te systemy przestępcze systematycznie wykorzystują fragmentację regulacyjną i asymetrie proceduralne między państwami członkowskimi, a także ograniczenia wynikające z krajowego ukierunkowania organów ścigania i organów sądowych; podkreśla w tym względzie wartość dodaną działań EPPO, które pozwalają wypełnić lukę pozostawioną przez nieskoordynowane inicjatywy krajowe i które stanowią najskuteczniejszy instrument zakłócania międzynarodowej działalności przestępczej i ingerowania w ochronę interesów finansowych Unii i rynku wewnętrznego; </w:t>
            </w:r>
            <w:r>
              <w:rPr>
                <w:b/>
                <w:i/>
              </w:rPr>
              <w:t xml:space="preserve">wzywa do podjęcia konkretnych środków w celu zwiększenia skuteczności operacyjnej postępowań przygotowawczych prowadzonych przez EPPO, w szczególności poprzez usunięcie przeszkód strukturalnych, które nadal utrudniają prowadzenie transgranicznych postępowań przygotowawczych; podkreśla potrzebę minimalnego poziomu harmonizacji proceduralnej między uczestniczącymi państwami członkowskimi w obszarach, które mają </w:t>
            </w:r>
            <w:r>
              <w:rPr>
                <w:b/>
                <w:i/>
              </w:rPr>
              <w:lastRenderedPageBreak/>
              <w:t>bezpośredni wpływ na pracę EDP, w tym dostępu do dowodów, terminów wydawania zezwoleń sądowych oraz przepisów regulujących czynności dochodzeniowe; wzywa państwa członkowskie do przyznania EPPO bezpośredniego i bezpiecznego dostępu do kluczowych krajowych baz danych, takich jak systemy celne, rejestry podatkowe i rejestry beneficjentów rzeczywistych, przy jednoczesnym zapewnieniu pełnej zgodności z wymogami ochrony danych;</w:t>
            </w:r>
          </w:p>
        </w:tc>
      </w:tr>
    </w:tbl>
    <w:p w14:paraId="47A8EA18" w14:textId="77777777" w:rsidR="005619FF" w:rsidRPr="005619FF" w:rsidRDefault="005619FF" w:rsidP="005619FF">
      <w:pPr>
        <w:pStyle w:val="AmOrLang"/>
        <w:rPr>
          <w:lang w:val="es-ES" w:eastAsia="en-US"/>
        </w:rPr>
      </w:pPr>
      <w:proofErr w:type="spellStart"/>
      <w:r w:rsidRPr="005619FF">
        <w:rPr>
          <w:lang w:val="es-ES"/>
        </w:rPr>
        <w:lastRenderedPageBreak/>
        <w:t>Or</w:t>
      </w:r>
      <w:proofErr w:type="spellEnd"/>
      <w:r w:rsidRPr="005619FF">
        <w:rPr>
          <w:lang w:val="es-ES"/>
        </w:rPr>
        <w:t xml:space="preserve">. </w:t>
      </w:r>
      <w:r w:rsidRPr="005619FF">
        <w:rPr>
          <w:rStyle w:val="HideTWBExt"/>
          <w:lang w:val="es-ES"/>
        </w:rPr>
        <w:t>&lt;Original&gt;</w:t>
      </w:r>
      <w:r w:rsidRPr="005619FF">
        <w:rPr>
          <w:rStyle w:val="HideTWBInt"/>
          <w:lang w:val="es-ES"/>
        </w:rPr>
        <w:t>{EN}</w:t>
      </w:r>
      <w:r w:rsidRPr="005619FF">
        <w:rPr>
          <w:lang w:val="es-ES"/>
        </w:rPr>
        <w:t>en</w:t>
      </w:r>
      <w:r w:rsidRPr="005619FF">
        <w:rPr>
          <w:rStyle w:val="HideTWBExt"/>
          <w:lang w:val="es-ES"/>
        </w:rPr>
        <w:t>&lt;/Original&gt;</w:t>
      </w:r>
    </w:p>
    <w:p w14:paraId="36297947" w14:textId="77777777" w:rsidR="005619FF" w:rsidRPr="005619FF" w:rsidRDefault="005619FF" w:rsidP="005619FF">
      <w:pPr>
        <w:rPr>
          <w:lang w:val="es-ES"/>
        </w:rPr>
      </w:pPr>
      <w:r w:rsidRPr="005619FF">
        <w:rPr>
          <w:rStyle w:val="HideTWBExt"/>
          <w:lang w:val="es-ES"/>
        </w:rPr>
        <w:t>&lt;/Amend&gt;</w:t>
      </w:r>
    </w:p>
    <w:p w14:paraId="3A807613" w14:textId="77777777" w:rsidR="005619FF" w:rsidRPr="005619FF" w:rsidRDefault="005619FF" w:rsidP="005619FF">
      <w:pPr>
        <w:pStyle w:val="AmNumberTabs"/>
        <w:rPr>
          <w:lang w:val="es-ES"/>
        </w:rPr>
      </w:pPr>
      <w:r w:rsidRPr="005619FF">
        <w:rPr>
          <w:rStyle w:val="HideTWBExt"/>
          <w:lang w:val="es-ES"/>
        </w:rPr>
        <w:t>&lt;Amend&gt;</w:t>
      </w:r>
      <w:proofErr w:type="spellStart"/>
      <w:r w:rsidRPr="005619FF">
        <w:rPr>
          <w:lang w:val="es-ES"/>
        </w:rPr>
        <w:t>Poprawka</w:t>
      </w:r>
      <w:proofErr w:type="spellEnd"/>
      <w:r w:rsidRPr="005619FF">
        <w:rPr>
          <w:lang w:val="es-ES"/>
        </w:rPr>
        <w:tab/>
      </w:r>
      <w:r w:rsidRPr="005619FF">
        <w:rPr>
          <w:lang w:val="es-ES"/>
        </w:rPr>
        <w:tab/>
      </w:r>
      <w:r w:rsidRPr="005619FF">
        <w:rPr>
          <w:rStyle w:val="HideTWBExt"/>
          <w:lang w:val="es-ES"/>
        </w:rPr>
        <w:t>&lt;NumAm&gt;</w:t>
      </w:r>
      <w:r w:rsidRPr="005619FF">
        <w:rPr>
          <w:lang w:val="es-ES"/>
        </w:rPr>
        <w:t>25</w:t>
      </w:r>
      <w:r w:rsidRPr="005619FF">
        <w:rPr>
          <w:rStyle w:val="HideTWBExt"/>
          <w:lang w:val="es-ES"/>
        </w:rPr>
        <w:t>&lt;/</w:t>
      </w:r>
      <w:proofErr w:type="spellStart"/>
      <w:r w:rsidRPr="005619FF">
        <w:rPr>
          <w:rStyle w:val="HideTWBExt"/>
          <w:lang w:val="es-ES"/>
        </w:rPr>
        <w:t>NumAm</w:t>
      </w:r>
      <w:proofErr w:type="spellEnd"/>
      <w:r w:rsidRPr="005619FF">
        <w:rPr>
          <w:rStyle w:val="HideTWBExt"/>
          <w:lang w:val="es-ES"/>
        </w:rPr>
        <w:t>&gt;</w:t>
      </w:r>
    </w:p>
    <w:p w14:paraId="6D3E9D41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&lt;RepeatBlock-By&gt;&lt;Members&gt;</w:t>
      </w:r>
      <w:proofErr w:type="spellStart"/>
      <w:r w:rsidRPr="005619FF">
        <w:rPr>
          <w:lang w:val="es-ES"/>
        </w:rPr>
        <w:t>Csaba</w:t>
      </w:r>
      <w:proofErr w:type="spellEnd"/>
      <w:r w:rsidRPr="005619FF">
        <w:rPr>
          <w:lang w:val="es-ES"/>
        </w:rPr>
        <w:t xml:space="preserve"> </w:t>
      </w:r>
      <w:proofErr w:type="spellStart"/>
      <w:r w:rsidRPr="005619FF">
        <w:rPr>
          <w:lang w:val="es-ES"/>
        </w:rPr>
        <w:t>Molnár</w:t>
      </w:r>
      <w:proofErr w:type="spellEnd"/>
      <w:r w:rsidRPr="005619FF">
        <w:rPr>
          <w:rStyle w:val="HideTWBExt"/>
          <w:b w:val="0"/>
          <w:lang w:val="es-ES"/>
        </w:rPr>
        <w:t>&lt;/Members&gt;</w:t>
      </w:r>
    </w:p>
    <w:p w14:paraId="1623A51A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&lt;/RepeatBlock-By&gt;</w:t>
      </w:r>
    </w:p>
    <w:p w14:paraId="70818BDE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34DFB10B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4FB9727B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7D455" w14:textId="77777777" w:rsidR="005619FF" w:rsidRPr="00403364" w:rsidRDefault="005619FF" w:rsidP="00FB1419"/>
        </w:tc>
      </w:tr>
      <w:tr w:rsidR="005619FF" w14:paraId="2040C450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9BBF7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CC00F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15B99159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7E1C3" w14:textId="77777777" w:rsidR="005619FF" w:rsidRPr="008D03DA" w:rsidRDefault="005619FF" w:rsidP="00FB1419">
            <w:pPr>
              <w:pStyle w:val="Normal6a"/>
            </w:pPr>
            <w:r>
              <w:t>19.</w:t>
            </w:r>
            <w:r>
              <w:tab/>
              <w:t>odnotowuje wnioski i zalecenia sformułowane przez Trybunał w przeglądzie 02/2025 pt. „Ukierunkowanie na wyniki, rozliczalność i przejrzystość – z niedociągnięć RRF warto wyciągnąć wnioski na przyszłość”</w:t>
            </w:r>
            <w:r>
              <w:rPr>
                <w:vertAlign w:val="superscript"/>
              </w:rPr>
              <w:t>3</w:t>
            </w:r>
            <w:r>
              <w:t>; apeluje o specjalne zwiększenie finansowania w ramach następnych WRF, aby zapewnić EPPO możliwość dalszego realizowania swoich celów i zobowiązań w obliczu zwiększonej złożoności instrumentów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CF896" w14:textId="77777777" w:rsidR="005619FF" w:rsidRPr="008D03DA" w:rsidRDefault="005619FF" w:rsidP="00FB1419">
            <w:pPr>
              <w:pStyle w:val="Normal6a"/>
            </w:pPr>
            <w:r>
              <w:t>19.</w:t>
            </w:r>
            <w:r>
              <w:tab/>
              <w:t>odnotowuje wnioski i zalecenia sformułowane przez Trybunał w przeglądzie 02/2025 pt. „Ukierunkowanie na wyniki, rozliczalność i przejrzystość – z niedociągnięć RRF warto wyciągnąć wnioski na przyszłość”</w:t>
            </w:r>
            <w:r>
              <w:rPr>
                <w:vertAlign w:val="superscript"/>
              </w:rPr>
              <w:t>3</w:t>
            </w:r>
            <w:r>
              <w:t>; apeluje o specjalne zwiększenie finansowania w ramach następnych WRF, aby zapewnić EPPO możliwość dalszego realizowania swoich celów i zobowiązań w obliczu zwiększonej złożoności instrumentów finansowych</w:t>
            </w:r>
            <w:r>
              <w:rPr>
                <w:b/>
                <w:i/>
              </w:rPr>
              <w:t>, co może narazić fundusze unijne na większe ryzyko nadużyć finansowych i niewłaściwego zarządzania finansowaniem</w:t>
            </w:r>
            <w:r>
              <w:t>;</w:t>
            </w:r>
          </w:p>
        </w:tc>
      </w:tr>
      <w:tr w:rsidR="005619FF" w14:paraId="3106EF52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9CABE" w14:textId="77777777" w:rsidR="005619FF" w:rsidRPr="00403364" w:rsidRDefault="005619FF" w:rsidP="00FB1419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B39279" w14:textId="77777777" w:rsidR="005619FF" w:rsidRPr="00403364" w:rsidRDefault="005619FF" w:rsidP="00FB1419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619FF" w14:paraId="418DBBD4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7DB94" w14:textId="77777777" w:rsidR="005619FF" w:rsidRPr="00403364" w:rsidRDefault="005619FF" w:rsidP="00FB1419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https://www.eca.europa.eu/ECAPublications/RV-2025-02/RV-2025-02_FR.pdf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F9ED9" w14:textId="77777777" w:rsidR="005619FF" w:rsidRPr="00403364" w:rsidRDefault="005619FF" w:rsidP="00FB1419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https://www.eca.europa.eu/ECAPublications/RV-2025-02/RV-2025-02_FR.pdf</w:t>
            </w:r>
          </w:p>
        </w:tc>
      </w:tr>
    </w:tbl>
    <w:p w14:paraId="756B9B6A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3C3624D3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lastRenderedPageBreak/>
        <w:t>&lt;/Amend&gt;</w:t>
      </w:r>
    </w:p>
    <w:p w14:paraId="6B2BD851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26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0C1694E3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595A8CE0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01DB4100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53594563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63AFADD9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7BD23" w14:textId="77777777" w:rsidR="005619FF" w:rsidRPr="00403364" w:rsidRDefault="005619FF" w:rsidP="00FB1419"/>
        </w:tc>
      </w:tr>
      <w:tr w:rsidR="005619FF" w14:paraId="64768E0B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AD3845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4921F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79B4E67D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43395" w14:textId="77777777" w:rsidR="005619FF" w:rsidRPr="008D03DA" w:rsidRDefault="005619FF" w:rsidP="00FB1419">
            <w:pPr>
              <w:pStyle w:val="Normal6a"/>
            </w:pPr>
            <w:r>
              <w:t>20.</w:t>
            </w:r>
            <w:r>
              <w:tab/>
              <w:t>zauważa, że w 2024 r. koszty związane z przepisami art. 91 ust. 6 rozporządzenia (UE) 2017/1939 (pokrywane przez EPPO szczególnie wysokie koszty czynności prowadzonych przez organy krajowe) pozostały marginalne (0,1 % budżetu operacyjnego w porównaniu z 0,4 % w 2023 r.); rozumie, że w 2023 r. podpisano pierwszą umowę w sprawie finansowania w ramach projektu pilotażowego dotyczącego zwrotu kosztów, o który wnioskuje się na podstawie art. 91 ust. 6 rozporządzenia (UE) 2017/1939, aby pokrywać koszty czynności prowadzonych na szczeblu krajowym w imieniu EPPO, oraz że Trybunał skontrolował tę pozycję w 2023 r. i uznał ją za legalną i prawidłową; uważa, że przepis ten daje EPPO możliwość skutecznej interwencji w ponadnarodowych scenariuszach postępowania przygotowawczego, w których państwo członkowskie może wahać się przed wykorzystaniem swoich zasobów, biorąc pod uwagę niezrównoważony rezultat analizy kosztów i korzyści; wzywa Komisję do zbadania, w jaki sposób korzystanie z tej możliwości przez państwa członkowskie i EPPO mogłoby stać się bardziej skuteczne pod względem strategicznym;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BB112" w14:textId="77777777" w:rsidR="005619FF" w:rsidRPr="008D03DA" w:rsidRDefault="005619FF" w:rsidP="00FB1419">
            <w:pPr>
              <w:pStyle w:val="Normal6a"/>
            </w:pPr>
            <w:r>
              <w:t>20.</w:t>
            </w:r>
            <w:r>
              <w:tab/>
              <w:t>zauważa, że w 2024 r. koszty związane z przepisami art. 91 ust. 6 rozporządzenia (UE) 2017/1939 (pokrywane przez EPPO szczególnie wysokie koszty czynności prowadzonych przez organy krajowe) pozostały marginalne (0,1 % budżetu operacyjnego w porównaniu z 0,4 % w 2023 r.); rozumie, że w 2023 r. podpisano pierwszą umowę w sprawie finansowania w ramach projektu pilotażowego dotyczącego zwrotu kosztów, o który wnioskuje się na podstawie art. 91 ust. 6 rozporządzenia (UE) 2017/1939, aby pokrywać koszty czynności prowadzonych na szczeblu krajowym w imieniu EPPO, oraz że Trybunał skontrolował tę pozycję w 2023 r. i uznał ją za legalną i prawidłową; uważa, że przepis ten daje EPPO możliwość skutecznej interwencji w ponadnarodowych scenariuszach postępowania przygotowawczego, w których państwo członkowskie może wahać się przed wykorzystaniem swoich zasobów, biorąc pod uwagę niezrównoważony rezultat analizy kosztów i korzyści; wzywa Komisję do zbadania, w jaki sposób korzystanie z tej możliwości przez państwa członkowskie i EPPO mogłoby stać się bardziej skuteczne pod względem strategicznym</w:t>
            </w:r>
            <w:r>
              <w:rPr>
                <w:b/>
                <w:i/>
              </w:rPr>
              <w:t xml:space="preserve"> oraz zapewnienia EPPO niezbędnych środków do tego celu</w:t>
            </w:r>
            <w:r>
              <w:t>;</w:t>
            </w:r>
          </w:p>
        </w:tc>
      </w:tr>
    </w:tbl>
    <w:p w14:paraId="2BFB396E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Original</w:t>
      </w:r>
      <w:proofErr w:type="spellEnd"/>
      <w:r w:rsidRPr="005619FF">
        <w:rPr>
          <w:rStyle w:val="HideTWBExt"/>
        </w:rPr>
        <w:t>&gt;</w:t>
      </w:r>
    </w:p>
    <w:p w14:paraId="5FD6F9B7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4818C3B5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27</w:t>
      </w:r>
      <w:r w:rsidRPr="005619FF">
        <w:rPr>
          <w:rStyle w:val="HideTWBExt"/>
        </w:rPr>
        <w:t>&lt;/NumAm&gt;</w:t>
      </w:r>
    </w:p>
    <w:p w14:paraId="7918C4C0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lastRenderedPageBreak/>
        <w:t>&lt;RepeatBlock-By&gt;&lt;Members&gt;</w:t>
      </w:r>
      <w:proofErr w:type="spellStart"/>
      <w:r>
        <w:t>Ondřej</w:t>
      </w:r>
      <w:proofErr w:type="spellEnd"/>
      <w:r>
        <w:t xml:space="preserve"> Knotek, Virginie </w:t>
      </w:r>
      <w:proofErr w:type="spellStart"/>
      <w:r>
        <w:t>Joron</w:t>
      </w:r>
      <w:proofErr w:type="spellEnd"/>
      <w:r>
        <w:t xml:space="preserve">, </w:t>
      </w:r>
      <w:proofErr w:type="spellStart"/>
      <w:r>
        <w:t>Julien</w:t>
      </w:r>
      <w:proofErr w:type="spellEnd"/>
      <w:r>
        <w:t xml:space="preserve"> Sanchez</w:t>
      </w:r>
      <w:r w:rsidRPr="005619FF">
        <w:rPr>
          <w:rStyle w:val="HideTWBExt"/>
          <w:b w:val="0"/>
        </w:rPr>
        <w:t>&lt;/Members&gt;</w:t>
      </w:r>
    </w:p>
    <w:p w14:paraId="4640FD53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4643317E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&lt;DocAmend&gt;</w:t>
      </w:r>
      <w:r>
        <w:t>Projekt rezolucji</w:t>
      </w:r>
      <w:r w:rsidRPr="005619FF">
        <w:rPr>
          <w:rStyle w:val="HideTWBExt"/>
        </w:rPr>
        <w:t>&lt;/DocAmend&gt;</w:t>
      </w:r>
    </w:p>
    <w:p w14:paraId="1ACE8E89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&lt;Article&gt;</w:t>
      </w:r>
      <w:r>
        <w:t>Ustęp 21 a (nowy)</w:t>
      </w:r>
      <w:r w:rsidRPr="005619F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62B76681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ED67F" w14:textId="77777777" w:rsidR="005619FF" w:rsidRPr="005619FF" w:rsidRDefault="005619FF" w:rsidP="00FB1419"/>
        </w:tc>
      </w:tr>
      <w:tr w:rsidR="005619FF" w14:paraId="6BE02C2C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E44EB0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AB837D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996A886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B850E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C214E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podkreśla, że skuteczność i legitymacja EPPO zależą od ścisłego przestrzegania poufności i dyskrecji prokuratury; podkreśla, że niezależność EPPO musi być chroniona nie tylko formalnie, ale również w praktyce, w tym za pomocą zabezpieczeń zapobiegających presji politycznej, ingerencji w reputację lub instrumentalizacji toczących się postępowań przygotowawczych;</w:t>
            </w:r>
          </w:p>
        </w:tc>
      </w:tr>
    </w:tbl>
    <w:p w14:paraId="73CBC177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6AC9F98C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66AA1491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28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25E3FCEF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366B12C6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44BC0760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7C73D8B8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64275BD0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E0BCD" w14:textId="77777777" w:rsidR="005619FF" w:rsidRPr="00403364" w:rsidRDefault="005619FF" w:rsidP="00FB1419"/>
        </w:tc>
      </w:tr>
      <w:tr w:rsidR="005619FF" w14:paraId="0A0459B0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FA1813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A75C2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3539110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16FFB" w14:textId="77777777" w:rsidR="005619FF" w:rsidRPr="008D03DA" w:rsidRDefault="005619FF" w:rsidP="00FB1419">
            <w:pPr>
              <w:pStyle w:val="Normal6a"/>
            </w:pPr>
            <w:r>
              <w:t>26.</w:t>
            </w:r>
            <w:r>
              <w:tab/>
              <w:t xml:space="preserve">zauważa, że EPPO kontynuowała prace nad wprowadzeniem systemu monitorowania wzrostu wydajności i oszczędności kosztów, i zauważa, że w 2024 r. rozpoczęło przegląd procesów planowania strategicznego i operacyjnego oraz monitorowania (w celu zwiększenia zdolności do przyczyniania się do strategicznego ukierunkowania działań EPPO i osiągnięcia trwałego wysokiego wskaźnika wykonania lub absorpcji dostępnych zasobów) oraz wprowadziło średniookresowe planowanie strategiczne zasobów ludzkich, aby umożliwić pełniejszą realizację planu zatrudnienia i wyeliminować luki kadrowe przez zatrudnianie lub rozwój zawodowy; zauważa, że w związku z tym EPPO </w:t>
            </w:r>
            <w:r>
              <w:rPr>
                <w:b/>
                <w:i/>
              </w:rPr>
              <w:lastRenderedPageBreak/>
              <w:t>ustanowiło</w:t>
            </w:r>
            <w:r>
              <w:t xml:space="preserve"> również </w:t>
            </w:r>
            <w:r>
              <w:rPr>
                <w:b/>
                <w:i/>
              </w:rPr>
              <w:t>ścieżki kariery i</w:t>
            </w:r>
            <w:r>
              <w:t xml:space="preserve"> bardziej </w:t>
            </w:r>
            <w:r>
              <w:rPr>
                <w:b/>
                <w:i/>
              </w:rPr>
              <w:t>szczegółowe ramy</w:t>
            </w:r>
            <w:r>
              <w:t xml:space="preserve"> opisu stanowisk pracy, aby dostosować personel do strategii i wspomóc utrzymanie wysokiego zaangażowania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61CF1E" w14:textId="77777777" w:rsidR="005619FF" w:rsidRPr="008D03DA" w:rsidRDefault="005619FF" w:rsidP="00FB1419">
            <w:pPr>
              <w:pStyle w:val="Normal6a"/>
            </w:pPr>
            <w:r>
              <w:lastRenderedPageBreak/>
              <w:t>26.</w:t>
            </w:r>
            <w:r>
              <w:tab/>
              <w:t xml:space="preserve">zauważa, że EPPO kontynuowała prace nad wprowadzeniem systemu monitorowania wzrostu wydajności i oszczędności kosztów, i zauważa, że w 2024 r. rozpoczęło przegląd procesów planowania strategicznego i operacyjnego oraz monitorowania (w celu zwiększenia zdolności do przyczyniania się do strategicznego ukierunkowania działań EPPO i osiągnięcia trwałego wysokiego wskaźnika wykonania lub absorpcji dostępnych zasobów) oraz wprowadziło średniookresowe planowanie strategiczne zasobów ludzkich, aby umożliwić pełniejszą realizację planu zatrudnienia i wyeliminować luki kadrowe przez zatrudnianie lub rozwój zawodowy; zauważa, że w związku z tym EPPO </w:t>
            </w:r>
            <w:r>
              <w:rPr>
                <w:b/>
                <w:i/>
              </w:rPr>
              <w:lastRenderedPageBreak/>
              <w:t>rozpoczęła</w:t>
            </w:r>
            <w:r>
              <w:t xml:space="preserve"> również </w:t>
            </w:r>
            <w:r>
              <w:rPr>
                <w:b/>
                <w:i/>
              </w:rPr>
              <w:t>prace nad</w:t>
            </w:r>
            <w:r>
              <w:t xml:space="preserve"> bardziej </w:t>
            </w:r>
            <w:r>
              <w:rPr>
                <w:b/>
                <w:i/>
              </w:rPr>
              <w:t>szczegółowymi ramami</w:t>
            </w:r>
            <w:r>
              <w:t xml:space="preserve"> opisu stanowisk pracy, aby dostosować personel do strategii i wspomóc utrzymanie wysokiego zaangażowania pracowników;</w:t>
            </w:r>
          </w:p>
        </w:tc>
      </w:tr>
    </w:tbl>
    <w:p w14:paraId="37F0BA27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Original</w:t>
      </w:r>
      <w:proofErr w:type="spellEnd"/>
      <w:r w:rsidRPr="005619FF">
        <w:rPr>
          <w:rStyle w:val="HideTWBExt"/>
        </w:rPr>
        <w:t>&gt;</w:t>
      </w:r>
    </w:p>
    <w:p w14:paraId="29222B82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780E9641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29</w:t>
      </w:r>
      <w:r w:rsidRPr="005619FF">
        <w:rPr>
          <w:rStyle w:val="HideTWBExt"/>
        </w:rPr>
        <w:t>&lt;/NumAm&gt;</w:t>
      </w:r>
    </w:p>
    <w:p w14:paraId="62A73E49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</w:t>
      </w:r>
      <w:proofErr w:type="spellStart"/>
      <w:r>
        <w:t>Vasile-Voiculescu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450D6E54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2F4E775D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7046055F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31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10587169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8FE81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52525A31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374C1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2DF04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D3BA708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5AFD6A" w14:textId="77777777" w:rsidR="005619FF" w:rsidRPr="008D03DA" w:rsidRDefault="005619FF" w:rsidP="00FB1419">
            <w:pPr>
              <w:pStyle w:val="Normal6a"/>
            </w:pPr>
            <w:r>
              <w:t>31.</w:t>
            </w:r>
            <w:r>
              <w:tab/>
              <w:t>zauważa, że strategia EPPO w zakresie zwalczania nadużyć finansowych na lata 2023–2025, zaktualizowana w 2023 r. zgodnie z wymogami określonymi w rozporządzeniu (UE) 2017/1939 i przepisach finansowych EPPO, jest powiązana z planem działania, który jest częścią środowiska kontroli wewnętrznej EPPO, jest monitorowany co roku i został poddany przeglądowi w 2024 r.; zauważa, że w 2024 r. wdrażanie koncentrowało się na podnoszeniu świadomości – zorganizowano 17 sesji szkoleniowych na temat ram etycznych EPPO, strategii zwalczania nadużyć finansowych i kodeksu dobrego postępowania administracyjnego, przy czym zapewniono szeroki udział pracowników; wyraża zadowolenie z powodu przyjęcia na początku 2025 r. procedury sygnalizowania nieprawidłowości; zauważa, że do czasu przyjęcia kompleksowej polityki w zakresie konfliktów interesów nadal obowiązują procedury dotyczące obowiązków i oświadczeń dla kadry kierowniczej wyższego szczebla i pracowników zaangażowanych w obieg środków finansowych, zamówienia i rekrutację;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8AFC4" w14:textId="77777777" w:rsidR="005619FF" w:rsidRPr="008D03DA" w:rsidRDefault="005619FF" w:rsidP="00FB1419">
            <w:pPr>
              <w:pStyle w:val="Normal6a"/>
            </w:pPr>
            <w:r>
              <w:t>31.</w:t>
            </w:r>
            <w:r>
              <w:tab/>
              <w:t xml:space="preserve">zauważa, że strategia EPPO w zakresie zwalczania nadużyć finansowych na lata 2023–2025, zaktualizowana w 2023 r. zgodnie z wymogami określonymi w rozporządzeniu (UE) 2017/1939 i przepisach finansowych EPPO, jest powiązana z planem działania, który jest częścią środowiska kontroli wewnętrznej EPPO, jest monitorowany co roku i został poddany przeglądowi w 2024 r.; zauważa, że w 2024 r. wdrażanie koncentrowało się na podnoszeniu świadomości – zorganizowano 17 sesji szkoleniowych na temat ram etycznych EPPO, strategii zwalczania nadużyć finansowych i kodeksu dobrego postępowania administracyjnego, przy czym zapewniono szeroki udział pracowników; wyraża zadowolenie z powodu przyjęcia na początku 2025 r. procedury sygnalizowania nieprawidłowości; zauważa, że do czasu przyjęcia kompleksowej polityki w zakresie konfliktów interesów nadal obowiązują procedury dotyczące obowiązków i oświadczeń dla kadry kierowniczej wyższego szczebla i pracowników zaangażowanych w obieg środków finansowych, zamówienia i rekrutację; </w:t>
            </w:r>
            <w:r>
              <w:rPr>
                <w:b/>
                <w:i/>
              </w:rPr>
              <w:t xml:space="preserve">wzywa do szybkiego przyjęcia </w:t>
            </w:r>
            <w:r>
              <w:rPr>
                <w:b/>
                <w:i/>
              </w:rPr>
              <w:lastRenderedPageBreak/>
              <w:t>kompleksowej polityki dotyczącej konfliktów interesów w celu zapewnienia zaufania publicznego do ram uczciwości EPPO;</w:t>
            </w:r>
          </w:p>
        </w:tc>
      </w:tr>
    </w:tbl>
    <w:p w14:paraId="4483938E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06C08A87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51EE6511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30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41A81D29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69737B85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0E567E0D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272E7F4F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7059A209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6B139" w14:textId="77777777" w:rsidR="005619FF" w:rsidRPr="00403364" w:rsidRDefault="005619FF" w:rsidP="00FB1419"/>
        </w:tc>
      </w:tr>
      <w:tr w:rsidR="005619FF" w14:paraId="5655193B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A144D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D9B081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536C9650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B5DA82" w14:textId="77777777" w:rsidR="005619FF" w:rsidRPr="008D03DA" w:rsidRDefault="005619FF" w:rsidP="00FB1419">
            <w:pPr>
              <w:pStyle w:val="Normal6a"/>
            </w:pPr>
            <w:r>
              <w:t>32.</w:t>
            </w:r>
            <w:r>
              <w:tab/>
              <w:t xml:space="preserve">zauważa, że w odniesieniu do swoich funkcji w zakresie postępowań przygotowawczych oraz wnoszenia i popierania oskarżeń EPPO przeprojektowała istniejące procesy wewnętrzne w celu wsparcia swoich postępowań przygotowawczych, m.in. przez opracowanie narzędzi służących poprawie skuteczności przetwarzania informacji i łączności z wieloma partnerami, opracowanie specjalnego oprogramowania, poprawę jakości usług tłumaczenia pisemnego oraz zmniejszenie zapotrzebowania na tłumaczenie pisemne wykonywane przez człowieka i ograniczenie związanych z tym kosztów, zbadanie sposobów wykorzystania AI do lepszego zarządzania ogromną ilością przetwarzanych informacji, obejmujące ocenę tych sposobów zarówno z technicznego, jak i prawnego/etycznego punktu widzenia; docenia w związku z tym wysiłki EPPO na rzecz ustanowienia kluczowych wskaźników efektywności związanych z jej szczególnym modelem działalności; podtrzymuje swoją uwagę dotyczącą potrzeby podawania kwot zajętych, skonfiskowanych i ostatecznie odzyskanych na rzecz budżetu Unii, których zabezpieczenie jest ostatecznie powodem istnienia unijnej architektury </w:t>
            </w:r>
            <w:r>
              <w:lastRenderedPageBreak/>
              <w:t>zwalczania nadużyć finansowych, obejmującej EPPO jako ważny element;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C5A2E" w14:textId="77777777" w:rsidR="005619FF" w:rsidRPr="008D03DA" w:rsidRDefault="005619FF" w:rsidP="00FB1419">
            <w:pPr>
              <w:pStyle w:val="Normal6a"/>
            </w:pPr>
            <w:r>
              <w:lastRenderedPageBreak/>
              <w:t>32.</w:t>
            </w:r>
            <w:r>
              <w:tab/>
              <w:t xml:space="preserve">zauważa, że w odniesieniu do swoich funkcji w zakresie postępowań przygotowawczych oraz wnoszenia i popierania oskarżeń EPPO przeprojektowała istniejące procesy wewnętrzne w celu wsparcia swoich postępowań przygotowawczych, m.in. przez opracowanie narzędzi służących poprawie skuteczności przetwarzania informacji i łączności z wieloma partnerami, opracowanie specjalnego oprogramowania, poprawę jakości usług tłumaczenia pisemnego oraz zmniejszenie zapotrzebowania na tłumaczenie pisemne wykonywane przez człowieka i ograniczenie związanych z tym kosztów, zbadanie sposobów wykorzystania AI do lepszego zarządzania ogromną ilością przetwarzanych informacji, obejmujące ocenę tych sposobów zarówno z technicznego, jak i prawnego/etycznego punktu widzenia; docenia w związku z tym wysiłki EPPO na rzecz ustanowienia kluczowych wskaźników efektywności związanych z jej szczególnym modelem działalności; </w:t>
            </w:r>
            <w:r>
              <w:rPr>
                <w:b/>
                <w:i/>
              </w:rPr>
              <w:t xml:space="preserve">z zadowoleniem przyjmuje inicjatywy mające na celu poprawę sprawozdawczości z wyników i podkreśla znaczenie terminowej, dokładnej i przejrzystej sprawozdawczości dla Parlamentu w celu wykazania wpływu </w:t>
            </w:r>
            <w:r>
              <w:rPr>
                <w:b/>
                <w:i/>
              </w:rPr>
              <w:lastRenderedPageBreak/>
              <w:t>działań EPPO na ochronę interesów finansowych Unii;</w:t>
            </w:r>
            <w:r>
              <w:t xml:space="preserve"> podtrzymuje swoją uwagę dotyczącą potrzeby podawania kwot zajętych, skonfiskowanych i ostatecznie odzyskanych na rzecz budżetu Unii, których zabezpieczenie jest ostatecznie powodem istnienia unijnej architektury zwalczania nadużyć finansowych, obejmującej EPPO jako ważny element;</w:t>
            </w:r>
          </w:p>
        </w:tc>
      </w:tr>
    </w:tbl>
    <w:p w14:paraId="07CF61CB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Original</w:t>
      </w:r>
      <w:proofErr w:type="spellEnd"/>
      <w:r w:rsidRPr="005619FF">
        <w:rPr>
          <w:rStyle w:val="HideTWBExt"/>
        </w:rPr>
        <w:t>&gt;</w:t>
      </w:r>
    </w:p>
    <w:p w14:paraId="39E75D59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0F0D5100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31</w:t>
      </w:r>
      <w:r w:rsidRPr="005619FF">
        <w:rPr>
          <w:rStyle w:val="HideTWBExt"/>
        </w:rPr>
        <w:t>&lt;/NumAm&gt;</w:t>
      </w:r>
    </w:p>
    <w:p w14:paraId="0CE929FF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</w:t>
      </w:r>
      <w:proofErr w:type="spellStart"/>
      <w:r>
        <w:t>Vasile-Voiculescu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67FCC991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67CDA6C6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5783F7BC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33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7CAFCF11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3C029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54D86B4F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7A7D9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F2698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2DA074C2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99AA97" w14:textId="77777777" w:rsidR="005619FF" w:rsidRPr="008D03DA" w:rsidRDefault="005619FF" w:rsidP="00FB1419">
            <w:pPr>
              <w:pStyle w:val="Normal6a"/>
            </w:pPr>
            <w:r>
              <w:t>33.</w:t>
            </w:r>
            <w:r>
              <w:tab/>
              <w:t>rozumie, że monitorowanie i działania następcze, w tym zgłaszanie wyników odzyskiwania, nie wchodzą w zakres kompetencji EPPO i wymagają zasobów i szczególnych prerogatyw</w:t>
            </w:r>
            <w:r>
              <w:rPr>
                <w:b/>
                <w:i/>
              </w:rPr>
              <w:t>, które nie są częścią misji EPPO</w:t>
            </w:r>
            <w:r>
              <w:t>; ponownie zwraca się do Komisji,</w:t>
            </w:r>
            <w:r>
              <w:rPr>
                <w:b/>
                <w:i/>
              </w:rPr>
              <w:t xml:space="preserve"> by wsparła EPPO w określeniu wskaźników związanych z realizacją tego podstawowego zadania oraz</w:t>
            </w:r>
            <w:r>
              <w:t xml:space="preserve"> by określiła w ramach przeglądu struktury zwalczania nadużyć finansowych najodpowiedniejsze funkcje w celu zapewnienia ciągłego przepływu danych i informacji umożliwiającego właściwą analizę; podkreśla, że lepszy system monitorowania oraz więcej danych o dobrym poziomie szczegółowości i zagregowanych w klastry według typologii uchybień, sektora zainteresowania lub obszaru geograficznego są niezbędne do identyfikacji schematów nadużyć finansowych i zapewniłyby bardziej namacalny wpływ postępowań przygotowawczych EPPO;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2241E" w14:textId="77777777" w:rsidR="005619FF" w:rsidRPr="008D03DA" w:rsidRDefault="005619FF" w:rsidP="00FB1419">
            <w:pPr>
              <w:pStyle w:val="Normal6a"/>
            </w:pPr>
            <w:r>
              <w:t>33.</w:t>
            </w:r>
            <w:r>
              <w:tab/>
              <w:t>rozumie, że monitorowanie i działania następcze, w tym zgłaszanie wyników odzyskiwania, nie wchodzą w zakres kompetencji EPPO i wymagają zasobów i szczególnych prerogatyw; ponownie zwraca się do Komisji, by określiła w ramach przeglądu struktury zwalczania nadużyć finansowych najodpowiedniejsze funkcje w celu zapewnienia ciągłego przepływu danych i informacji umożliwiającego właściwą analizę; podkreśla, że lepszy system monitorowania oraz więcej danych o dobrym poziomie szczegółowości i zagregowanych w klastry według typologii uchybień, sektora zainteresowania lub obszaru geograficznego są niezbędne do identyfikacji schematów nadużyć finansowych i zapewniłyby bardziej namacalny wpływ postępowań przygotowawczych EPPO;</w:t>
            </w:r>
          </w:p>
        </w:tc>
      </w:tr>
    </w:tbl>
    <w:p w14:paraId="7FABF27E" w14:textId="77777777" w:rsidR="005619FF" w:rsidRPr="005619FF" w:rsidRDefault="005619FF" w:rsidP="005619FF">
      <w:pPr>
        <w:pStyle w:val="AmOrLang"/>
        <w:rPr>
          <w:lang w:val="sv-SE" w:eastAsia="en-US"/>
        </w:rPr>
      </w:pPr>
      <w:r w:rsidRPr="005619FF">
        <w:rPr>
          <w:lang w:val="sv-SE"/>
        </w:rPr>
        <w:lastRenderedPageBreak/>
        <w:t xml:space="preserve">Or. </w:t>
      </w:r>
      <w:r w:rsidRPr="005619FF">
        <w:rPr>
          <w:rStyle w:val="HideTWBExt"/>
          <w:lang w:val="sv-SE"/>
        </w:rPr>
        <w:t>&lt;Original&gt;</w:t>
      </w:r>
      <w:r w:rsidRPr="005619FF">
        <w:rPr>
          <w:rStyle w:val="HideTWBInt"/>
          <w:lang w:val="sv-SE"/>
        </w:rPr>
        <w:t>{EN}</w:t>
      </w:r>
      <w:r w:rsidRPr="005619FF">
        <w:rPr>
          <w:lang w:val="sv-SE"/>
        </w:rPr>
        <w:t>en</w:t>
      </w:r>
      <w:r w:rsidRPr="005619FF">
        <w:rPr>
          <w:rStyle w:val="HideTWBExt"/>
          <w:lang w:val="sv-SE"/>
        </w:rPr>
        <w:t>&lt;/Original&gt;</w:t>
      </w:r>
    </w:p>
    <w:p w14:paraId="0282B893" w14:textId="77777777" w:rsidR="005619FF" w:rsidRPr="005619FF" w:rsidRDefault="005619FF" w:rsidP="005619FF">
      <w:pPr>
        <w:rPr>
          <w:lang w:val="sv-SE"/>
        </w:rPr>
      </w:pPr>
      <w:r w:rsidRPr="005619FF">
        <w:rPr>
          <w:rStyle w:val="HideTWBExt"/>
          <w:lang w:val="sv-SE"/>
        </w:rPr>
        <w:t>&lt;/Amend&gt;</w:t>
      </w:r>
    </w:p>
    <w:p w14:paraId="6FAD60B7" w14:textId="77777777" w:rsidR="005619FF" w:rsidRPr="005619FF" w:rsidRDefault="005619FF" w:rsidP="005619FF">
      <w:pPr>
        <w:pStyle w:val="AmNumberTabs"/>
        <w:rPr>
          <w:lang w:val="sv-SE"/>
        </w:rPr>
      </w:pPr>
      <w:r w:rsidRPr="005619FF">
        <w:rPr>
          <w:rStyle w:val="HideTWBExt"/>
          <w:lang w:val="sv-SE"/>
        </w:rPr>
        <w:t>&lt;Amend&gt;</w:t>
      </w:r>
      <w:proofErr w:type="spellStart"/>
      <w:r w:rsidRPr="005619FF">
        <w:rPr>
          <w:lang w:val="sv-SE"/>
        </w:rPr>
        <w:t>Poprawka</w:t>
      </w:r>
      <w:proofErr w:type="spellEnd"/>
      <w:r w:rsidRPr="005619FF">
        <w:rPr>
          <w:lang w:val="sv-SE"/>
        </w:rPr>
        <w:tab/>
      </w:r>
      <w:r w:rsidRPr="005619FF">
        <w:rPr>
          <w:lang w:val="sv-SE"/>
        </w:rPr>
        <w:tab/>
      </w:r>
      <w:r w:rsidRPr="005619FF">
        <w:rPr>
          <w:rStyle w:val="HideTWBExt"/>
          <w:lang w:val="sv-SE"/>
        </w:rPr>
        <w:t>&lt;NumAm&gt;</w:t>
      </w:r>
      <w:r w:rsidRPr="005619FF">
        <w:rPr>
          <w:lang w:val="sv-SE"/>
        </w:rPr>
        <w:t>32</w:t>
      </w:r>
      <w:r w:rsidRPr="005619FF">
        <w:rPr>
          <w:rStyle w:val="HideTWBExt"/>
          <w:lang w:val="sv-SE"/>
        </w:rPr>
        <w:t>&lt;/</w:t>
      </w:r>
      <w:proofErr w:type="spellStart"/>
      <w:r w:rsidRPr="005619FF">
        <w:rPr>
          <w:rStyle w:val="HideTWBExt"/>
          <w:lang w:val="sv-SE"/>
        </w:rPr>
        <w:t>NumAm</w:t>
      </w:r>
      <w:proofErr w:type="spellEnd"/>
      <w:r w:rsidRPr="005619FF">
        <w:rPr>
          <w:rStyle w:val="HideTWBExt"/>
          <w:lang w:val="sv-SE"/>
        </w:rPr>
        <w:t>&gt;</w:t>
      </w:r>
    </w:p>
    <w:p w14:paraId="696431DB" w14:textId="77777777" w:rsidR="005619FF" w:rsidRPr="005619FF" w:rsidRDefault="005619FF" w:rsidP="005619FF">
      <w:pPr>
        <w:pStyle w:val="NormalBold"/>
        <w:rPr>
          <w:lang w:val="sv-SE"/>
        </w:rPr>
      </w:pPr>
      <w:r w:rsidRPr="005619FF">
        <w:rPr>
          <w:rStyle w:val="HideTWBExt"/>
          <w:b w:val="0"/>
          <w:lang w:val="sv-SE"/>
        </w:rPr>
        <w:t>&lt;RepeatBlock-By&gt;&lt;Members&gt;</w:t>
      </w:r>
      <w:r w:rsidRPr="005619FF">
        <w:rPr>
          <w:lang w:val="sv-SE"/>
        </w:rPr>
        <w:t xml:space="preserve">Damian </w:t>
      </w:r>
      <w:proofErr w:type="spellStart"/>
      <w:r w:rsidRPr="005619FF">
        <w:rPr>
          <w:lang w:val="sv-SE"/>
        </w:rPr>
        <w:t>Boeselager</w:t>
      </w:r>
      <w:proofErr w:type="spellEnd"/>
      <w:r w:rsidRPr="005619FF">
        <w:rPr>
          <w:rStyle w:val="HideTWBExt"/>
          <w:b w:val="0"/>
          <w:lang w:val="sv-SE"/>
        </w:rPr>
        <w:t>&lt;/Members&gt;</w:t>
      </w:r>
    </w:p>
    <w:p w14:paraId="43D9959F" w14:textId="77777777" w:rsidR="005619FF" w:rsidRPr="008D03DA" w:rsidRDefault="005619FF" w:rsidP="005619FF">
      <w:r w:rsidRPr="005619FF">
        <w:rPr>
          <w:rStyle w:val="HideTWBExt"/>
        </w:rPr>
        <w:t>&lt;AuNomDe&gt;</w:t>
      </w:r>
      <w:r w:rsidRPr="005619FF">
        <w:rPr>
          <w:rStyle w:val="HideTWBInt"/>
          <w:color w:val="auto"/>
        </w:rPr>
        <w:t>{</w:t>
      </w:r>
      <w:proofErr w:type="spellStart"/>
      <w:r w:rsidRPr="005619FF">
        <w:rPr>
          <w:rStyle w:val="HideTWBInt"/>
          <w:color w:val="auto"/>
        </w:rPr>
        <w:t>Verts</w:t>
      </w:r>
      <w:proofErr w:type="spellEnd"/>
      <w:r w:rsidRPr="005619FF">
        <w:rPr>
          <w:rStyle w:val="HideTWBInt"/>
          <w:color w:val="auto"/>
        </w:rPr>
        <w:t>/ALE}</w:t>
      </w:r>
      <w:r>
        <w:t xml:space="preserve">w imieniu grupy </w:t>
      </w:r>
      <w:proofErr w:type="spellStart"/>
      <w:r>
        <w:t>Verts</w:t>
      </w:r>
      <w:proofErr w:type="spellEnd"/>
      <w:r>
        <w:t>/ALE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AuNomDe</w:t>
      </w:r>
      <w:proofErr w:type="spellEnd"/>
      <w:r w:rsidRPr="005619FF">
        <w:rPr>
          <w:rStyle w:val="HideTWBExt"/>
        </w:rPr>
        <w:t>&gt;</w:t>
      </w:r>
    </w:p>
    <w:p w14:paraId="0D4DC04B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7AD6B451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19D074AD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38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693F00AF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8BE07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5430243F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A3A61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E57ED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43FC1761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B562F" w14:textId="77777777" w:rsidR="005619FF" w:rsidRPr="008D03DA" w:rsidRDefault="005619FF" w:rsidP="00FB1419">
            <w:pPr>
              <w:pStyle w:val="Normal6a"/>
            </w:pPr>
            <w:r>
              <w:t>38.</w:t>
            </w:r>
            <w:r>
              <w:tab/>
              <w:t>podkreśla rosnący poziom skuteczności EPPO, potwierdzony rosnącą liczbą aktów oskarżenia (205 w 2024 r. w porównaniu ze 139 w 2023 r., 87 w 2022 r. i 5 w 2021 r.) oraz uzyskanych nakazów zabezpieczenia (w 2024 r. na kwotę 2,42 mld EUR w porównaniu z 1,5 mld EUR w 2023 r., 359,1 mln EUR w 2022 r. i 147 mln EUR w 2021 r.); zauważa, że w 2024 r. 102 sprawy karne zakończyły się wyrokiem skazującym (48 spraw w 2023 r. w porównaniu z 20 sprawami w 2022 r.); ubolewa, że brak jasnych ram regulacyjnych uniemożliwił EPPO dostarczenie zaktualizowanych i wiarygodnych danych dotyczących konfiskaty za rok 2024 (przypomina, że w 2023 r. skonfiskowano 60 mln EUR w porównaniu z 2 mln EUR w 2022 r.);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625FC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38.</w:t>
            </w:r>
            <w:r>
              <w:tab/>
              <w:t>podkreśla rosnący poziom skuteczności EPPO, potwierdzony rosnącą liczbą aktów oskarżenia (205 w 2024 r. w porównaniu ze 139 w 2023 r., 87 w 2022 r. i 5 w 2021 r.) oraz uzyskanych nakazów zabezpieczenia (w 2024 r. na kwotę 2,42 mld EUR w porównaniu z 1,5 mld EUR w 2023 r., 359,1 mln EUR w 2022 r. i 147 mln EUR w 2021 r.)</w:t>
            </w:r>
            <w:r>
              <w:rPr>
                <w:b/>
                <w:i/>
              </w:rPr>
              <w:t>; ubolewa, że brak jasnych i możliwych do wyegzekwowania ram monitorowania i zgłaszania skonfiskowanych i odzyskanych kwot nadal uniemożliwia pełną ocenę wpływu postępowań przygotowawczych EPPO na budżet; ponawia apel o rozwiązania ustawodawcze i budżetowe w celu zapewnienia, aby kwoty odzyskane w następstwie postępowań przygotowawczych prowadzonych przez EPPO były skutecznie śledzone, zgłaszane i zwracane do budżetu Unii</w:t>
            </w:r>
            <w:r>
              <w:t>; zauważa, że w 2024 r. 102 sprawy karne zakończyły się wyrokiem skazującym (48 spraw w 2023 r. w porównaniu z 20 sprawami w 2022 r.); ubolewa, że brak jasnych ram regulacyjnych uniemożliwił EPPO dostarczenie zaktualizowanych i wiarygodnych danych dotyczących konfiskaty za rok 2024 (przypomina, że w 2023 r. skonfiskowano 60 mln EUR w porównaniu z 2 mln EUR w 2022 r.);</w:t>
            </w:r>
          </w:p>
        </w:tc>
      </w:tr>
    </w:tbl>
    <w:p w14:paraId="3919AE1E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2939927C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69515104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lastRenderedPageBreak/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33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6F9E01DC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1BBA34FC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518F55ED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02E04FA6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5AC364EE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C5204" w14:textId="77777777" w:rsidR="005619FF" w:rsidRPr="00403364" w:rsidRDefault="005619FF" w:rsidP="00FB1419"/>
        </w:tc>
      </w:tr>
      <w:tr w:rsidR="005619FF" w14:paraId="2A1A27A8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3EA96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B3417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37918576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700E94" w14:textId="77777777" w:rsidR="005619FF" w:rsidRPr="008D03DA" w:rsidRDefault="005619FF" w:rsidP="00FB1419">
            <w:pPr>
              <w:pStyle w:val="Normal6a"/>
            </w:pPr>
            <w:r>
              <w:t>39.</w:t>
            </w:r>
            <w:r>
              <w:tab/>
              <w:t xml:space="preserve">wyraża zaniepokojenie liczbą postępowań przygotowawczych wszczętych w sprawie wdrażania RRF; podkreśla, że do końca 2024 r. EPPO prowadziła 311 aktywnych spraw związanych z </w:t>
            </w:r>
            <w:proofErr w:type="spellStart"/>
            <w:r>
              <w:t>NextGenerationEU</w:t>
            </w:r>
            <w:proofErr w:type="spellEnd"/>
            <w:r>
              <w:t>, z czego 307 wynikało z RRF (233 na koniec 2023 r.), co odpowiada około 17 % wszystkich toczących się postępowań przygotowawczych w sprawach nadużyć finansowych związanych z wydatkami oraz szacowanej szkodzie dla interesów finansowych Unii w wysokości 2,8 mld EUR (co odpowiada 30 % całkowitej szacowanej szkody wskutek nadużyć finansowych związanych z wydatkami w porównaniu z 25 % w 2023 r.); zauważa, że postępowania przygotowawcze prowadzone przez EPPO w sprawie nadużyć mających wpływ na RRF ujawniają znaczne rozbieżności między państwami członkowskimi, co odzwierciedla różnice w przyznawaniu środków i zdolnościach wykrywania przestępstw oraz zróżnicowany charakter popełnianych nadużyć finansowych; ubolewa, że państwa członkowskie nie mają obowiązku zgłaszania Komisji spraw dotyczących RRF za pośrednictwem systemu zarządzania nieprawidłowościami, co de facto uniemożliwia monitorowanie i ustrukturyzowaną analizę spraw związanych z RRF; jest zaniepokojony, że liczba spraw zgłoszonych przez instytucje Unii, w tym Komisję, nie stanowi nawet 3 %, co budzi dalsze obawy co do zdolności Komisji do sprawowania nadzoru nad RRF;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EC2699" w14:textId="77777777" w:rsidR="005619FF" w:rsidRPr="008D03DA" w:rsidRDefault="005619FF" w:rsidP="00FB1419">
            <w:pPr>
              <w:pStyle w:val="Normal6a"/>
            </w:pPr>
            <w:r>
              <w:t>39.</w:t>
            </w:r>
            <w:r>
              <w:tab/>
              <w:t xml:space="preserve">wyraża zaniepokojenie liczbą postępowań przygotowawczych wszczętych w sprawie wdrażania RRF; podkreśla, że do końca 2024 r. EPPO prowadziła 311 aktywnych spraw związanych z </w:t>
            </w:r>
            <w:proofErr w:type="spellStart"/>
            <w:r>
              <w:t>NextGenerationEU</w:t>
            </w:r>
            <w:proofErr w:type="spellEnd"/>
            <w:r>
              <w:t xml:space="preserve">, z czego 307 wynikało z RRF (233 na koniec 2023 r.), co odpowiada około 17 % wszystkich toczących się postępowań przygotowawczych w sprawach nadużyć finansowych związanych z wydatkami oraz szacowanej szkodzie dla interesów finansowych Unii w wysokości 2,8 mld EUR (co odpowiada 30 % całkowitej szacowanej szkody wskutek nadużyć finansowych związanych z wydatkami w porównaniu z 25 % w 2023 r.); zauważa, że postępowania przygotowawcze prowadzone przez EPPO w sprawie nadużyć mających wpływ na RRF ujawniają znaczne rozbieżności między państwami członkowskimi, co odzwierciedla różnice w przyznawaniu środków i zdolnościach wykrywania przestępstw oraz zróżnicowany charakter popełnianych nadużyć finansowych; ubolewa, że państwa członkowskie nie mają obowiązku zgłaszania Komisji spraw dotyczących RRF za pośrednictwem systemu zarządzania nieprawidłowościami, co de facto uniemożliwia monitorowanie i ustrukturyzowaną analizę spraw związanych z RRF; </w:t>
            </w:r>
            <w:r>
              <w:rPr>
                <w:b/>
                <w:i/>
              </w:rPr>
              <w:t>podkreśla znaczenie współpracy między organami krajowymi, EPPO i Komisją w celu poprawy ustrukturyzowanej sprawozdawczości;</w:t>
            </w:r>
            <w:r>
              <w:t xml:space="preserve"> jest zaniepokojony, że liczba spraw zgłoszonych przez instytucje Unii, w tym Komisję, nie stanowi nawet 3 %, co budzi dalsze obawy co do zdolności Komisji do </w:t>
            </w:r>
            <w:r>
              <w:lastRenderedPageBreak/>
              <w:t xml:space="preserve">sprawowania nadzoru nad RRF; </w:t>
            </w:r>
            <w:r>
              <w:rPr>
                <w:b/>
                <w:i/>
              </w:rPr>
              <w:t>wzywa Komisję, aby we współpracy z EPPO poprawiła interoperacyjność systemów sprawozdawczości i wyjaśniła role w celu zapewnienia solidnego monitorowania nieprawidłowości związanych z RRF;</w:t>
            </w:r>
          </w:p>
        </w:tc>
      </w:tr>
    </w:tbl>
    <w:p w14:paraId="64B9DD73" w14:textId="77777777" w:rsidR="005619FF" w:rsidRPr="005619FF" w:rsidRDefault="005619FF" w:rsidP="005619FF">
      <w:pPr>
        <w:pStyle w:val="AmOrLang"/>
        <w:rPr>
          <w:lang w:val="sv-SE" w:eastAsia="en-US"/>
        </w:rPr>
      </w:pPr>
      <w:r w:rsidRPr="005619FF">
        <w:rPr>
          <w:lang w:val="sv-SE"/>
        </w:rPr>
        <w:lastRenderedPageBreak/>
        <w:t xml:space="preserve">Or. </w:t>
      </w:r>
      <w:r w:rsidRPr="005619FF">
        <w:rPr>
          <w:rStyle w:val="HideTWBExt"/>
          <w:lang w:val="sv-SE"/>
        </w:rPr>
        <w:t>&lt;Original&gt;</w:t>
      </w:r>
      <w:r w:rsidRPr="005619FF">
        <w:rPr>
          <w:rStyle w:val="HideTWBInt"/>
          <w:lang w:val="sv-SE"/>
        </w:rPr>
        <w:t>{EN}</w:t>
      </w:r>
      <w:r w:rsidRPr="005619FF">
        <w:rPr>
          <w:lang w:val="sv-SE"/>
        </w:rPr>
        <w:t>en</w:t>
      </w:r>
      <w:r w:rsidRPr="005619FF">
        <w:rPr>
          <w:rStyle w:val="HideTWBExt"/>
          <w:lang w:val="sv-SE"/>
        </w:rPr>
        <w:t>&lt;/Original&gt;</w:t>
      </w:r>
    </w:p>
    <w:p w14:paraId="49717FF6" w14:textId="77777777" w:rsidR="005619FF" w:rsidRPr="005619FF" w:rsidRDefault="005619FF" w:rsidP="005619FF">
      <w:pPr>
        <w:rPr>
          <w:lang w:val="sv-SE"/>
        </w:rPr>
      </w:pPr>
      <w:r w:rsidRPr="005619FF">
        <w:rPr>
          <w:rStyle w:val="HideTWBExt"/>
          <w:lang w:val="sv-SE"/>
        </w:rPr>
        <w:t>&lt;/Amend&gt;</w:t>
      </w:r>
    </w:p>
    <w:p w14:paraId="62A1AE5D" w14:textId="77777777" w:rsidR="005619FF" w:rsidRPr="005619FF" w:rsidRDefault="005619FF" w:rsidP="005619FF">
      <w:pPr>
        <w:pStyle w:val="AmNumberTabs"/>
        <w:rPr>
          <w:lang w:val="sv-SE"/>
        </w:rPr>
      </w:pPr>
      <w:r w:rsidRPr="005619FF">
        <w:rPr>
          <w:rStyle w:val="HideTWBExt"/>
          <w:lang w:val="sv-SE"/>
        </w:rPr>
        <w:t>&lt;Amend&gt;</w:t>
      </w:r>
      <w:proofErr w:type="spellStart"/>
      <w:r w:rsidRPr="005619FF">
        <w:rPr>
          <w:lang w:val="sv-SE"/>
        </w:rPr>
        <w:t>Poprawka</w:t>
      </w:r>
      <w:proofErr w:type="spellEnd"/>
      <w:r w:rsidRPr="005619FF">
        <w:rPr>
          <w:lang w:val="sv-SE"/>
        </w:rPr>
        <w:tab/>
      </w:r>
      <w:r w:rsidRPr="005619FF">
        <w:rPr>
          <w:lang w:val="sv-SE"/>
        </w:rPr>
        <w:tab/>
      </w:r>
      <w:r w:rsidRPr="005619FF">
        <w:rPr>
          <w:rStyle w:val="HideTWBExt"/>
          <w:lang w:val="sv-SE"/>
        </w:rPr>
        <w:t>&lt;NumAm&gt;</w:t>
      </w:r>
      <w:r w:rsidRPr="005619FF">
        <w:rPr>
          <w:lang w:val="sv-SE"/>
        </w:rPr>
        <w:t>34</w:t>
      </w:r>
      <w:r w:rsidRPr="005619FF">
        <w:rPr>
          <w:rStyle w:val="HideTWBExt"/>
          <w:lang w:val="sv-SE"/>
        </w:rPr>
        <w:t>&lt;/</w:t>
      </w:r>
      <w:proofErr w:type="spellStart"/>
      <w:r w:rsidRPr="005619FF">
        <w:rPr>
          <w:rStyle w:val="HideTWBExt"/>
          <w:lang w:val="sv-SE"/>
        </w:rPr>
        <w:t>NumAm</w:t>
      </w:r>
      <w:proofErr w:type="spellEnd"/>
      <w:r w:rsidRPr="005619FF">
        <w:rPr>
          <w:rStyle w:val="HideTWBExt"/>
          <w:lang w:val="sv-SE"/>
        </w:rPr>
        <w:t>&gt;</w:t>
      </w:r>
    </w:p>
    <w:p w14:paraId="6FAB0684" w14:textId="77777777" w:rsidR="005619FF" w:rsidRPr="005619FF" w:rsidRDefault="005619FF" w:rsidP="005619FF">
      <w:pPr>
        <w:pStyle w:val="NormalBold"/>
        <w:rPr>
          <w:lang w:val="sv-SE"/>
        </w:rPr>
      </w:pPr>
      <w:r w:rsidRPr="005619FF">
        <w:rPr>
          <w:rStyle w:val="HideTWBExt"/>
          <w:b w:val="0"/>
          <w:lang w:val="sv-SE"/>
        </w:rPr>
        <w:t>&lt;RepeatBlock-By&gt;&lt;Members&gt;</w:t>
      </w:r>
      <w:r w:rsidRPr="005619FF">
        <w:rPr>
          <w:lang w:val="sv-SE"/>
        </w:rPr>
        <w:t xml:space="preserve">Damian </w:t>
      </w:r>
      <w:proofErr w:type="spellStart"/>
      <w:r w:rsidRPr="005619FF">
        <w:rPr>
          <w:lang w:val="sv-SE"/>
        </w:rPr>
        <w:t>Boeselager</w:t>
      </w:r>
      <w:proofErr w:type="spellEnd"/>
      <w:r w:rsidRPr="005619FF">
        <w:rPr>
          <w:rStyle w:val="HideTWBExt"/>
          <w:b w:val="0"/>
          <w:lang w:val="sv-SE"/>
        </w:rPr>
        <w:t>&lt;/Members&gt;</w:t>
      </w:r>
    </w:p>
    <w:p w14:paraId="0F25E2E7" w14:textId="77777777" w:rsidR="005619FF" w:rsidRPr="008D03DA" w:rsidRDefault="005619FF" w:rsidP="005619FF">
      <w:r w:rsidRPr="005619FF">
        <w:rPr>
          <w:rStyle w:val="HideTWBExt"/>
        </w:rPr>
        <w:t>&lt;AuNomDe&gt;</w:t>
      </w:r>
      <w:r w:rsidRPr="005619FF">
        <w:rPr>
          <w:rStyle w:val="HideTWBInt"/>
          <w:color w:val="auto"/>
        </w:rPr>
        <w:t>{</w:t>
      </w:r>
      <w:proofErr w:type="spellStart"/>
      <w:r w:rsidRPr="005619FF">
        <w:rPr>
          <w:rStyle w:val="HideTWBInt"/>
          <w:color w:val="auto"/>
        </w:rPr>
        <w:t>Verts</w:t>
      </w:r>
      <w:proofErr w:type="spellEnd"/>
      <w:r w:rsidRPr="005619FF">
        <w:rPr>
          <w:rStyle w:val="HideTWBInt"/>
          <w:color w:val="auto"/>
        </w:rPr>
        <w:t>/ALE}</w:t>
      </w:r>
      <w:r>
        <w:t xml:space="preserve">w imieniu grupy </w:t>
      </w:r>
      <w:proofErr w:type="spellStart"/>
      <w:r>
        <w:t>Verts</w:t>
      </w:r>
      <w:proofErr w:type="spellEnd"/>
      <w:r>
        <w:t>/ALE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AuNomDe</w:t>
      </w:r>
      <w:proofErr w:type="spellEnd"/>
      <w:r w:rsidRPr="005619FF">
        <w:rPr>
          <w:rStyle w:val="HideTWBExt"/>
        </w:rPr>
        <w:t>&gt;</w:t>
      </w:r>
    </w:p>
    <w:p w14:paraId="3B7E6F97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7C8BCC1E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1A229A0E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39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1A119BB1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CC801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1001D2C2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E9A29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CEDF6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18B15B88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FF0E88" w14:textId="77777777" w:rsidR="005619FF" w:rsidRPr="008D03DA" w:rsidRDefault="005619FF" w:rsidP="00FB1419">
            <w:pPr>
              <w:pStyle w:val="Normal6a"/>
            </w:pPr>
            <w:r>
              <w:t>39.</w:t>
            </w:r>
            <w:r>
              <w:tab/>
              <w:t xml:space="preserve">wyraża zaniepokojenie liczbą postępowań przygotowawczych wszczętych w sprawie wdrażania RRF; podkreśla, że do końca 2024 r. EPPO prowadziła 311 aktywnych spraw związanych z </w:t>
            </w:r>
            <w:proofErr w:type="spellStart"/>
            <w:r>
              <w:t>NextGenerationEU</w:t>
            </w:r>
            <w:proofErr w:type="spellEnd"/>
            <w:r>
              <w:t xml:space="preserve">, z czego 307 wynikało z RRF (233 na koniec 2023 r.), co odpowiada około 17 % wszystkich toczących się postępowań przygotowawczych w sprawach nadużyć finansowych związanych z wydatkami oraz szacowanej szkodzie dla interesów finansowych Unii w wysokości 2,8 mld EUR (co odpowiada 30 % całkowitej szacowanej szkody wskutek nadużyć finansowych związanych z wydatkami w porównaniu z 25 % w 2023 r.); zauważa, że postępowania przygotowawcze prowadzone przez EPPO w sprawie nadużyć mających wpływ na RRF ujawniają znaczne rozbieżności między państwami członkowskimi, co odzwierciedla różnice w przyznawaniu środków i zdolnościach wykrywania przestępstw oraz zróżnicowany charakter popełnianych nadużyć finansowych; </w:t>
            </w:r>
            <w:r>
              <w:rPr>
                <w:b/>
                <w:i/>
              </w:rPr>
              <w:t>ubolewa</w:t>
            </w:r>
            <w:r>
              <w:t xml:space="preserve">, że państwa członkowskie nie mają obowiązku zgłaszania Komisji spraw </w:t>
            </w:r>
            <w:r>
              <w:lastRenderedPageBreak/>
              <w:t xml:space="preserve">dotyczących RRF za pośrednictwem systemu zarządzania nieprawidłowościami, co </w:t>
            </w:r>
            <w:r>
              <w:rPr>
                <w:b/>
                <w:i/>
              </w:rPr>
              <w:t>de facto uniemożliwia</w:t>
            </w:r>
            <w:r>
              <w:t xml:space="preserve"> monitorowanie i </w:t>
            </w:r>
            <w:r>
              <w:rPr>
                <w:b/>
                <w:i/>
              </w:rPr>
              <w:t>ustrukturyzowaną analizę</w:t>
            </w:r>
            <w:r>
              <w:t xml:space="preserve"> spraw związanych z RRF; jest zaniepokojony</w:t>
            </w:r>
            <w:r>
              <w:rPr>
                <w:b/>
                <w:i/>
              </w:rPr>
              <w:t>, że liczba</w:t>
            </w:r>
            <w:r>
              <w:t xml:space="preserve"> spraw zgłoszonych przez instytucje Unii, w tym Komisję, </w:t>
            </w:r>
            <w:r>
              <w:rPr>
                <w:b/>
                <w:i/>
              </w:rPr>
              <w:t>nie stanowi nawet 3 %, co budzi dalsze obawy co do zdolności Komisji do sprawowania nadzoru nad RRF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D37C5" w14:textId="77777777" w:rsidR="005619FF" w:rsidRPr="008D03DA" w:rsidRDefault="005619FF" w:rsidP="00FB1419">
            <w:pPr>
              <w:pStyle w:val="Normal6a"/>
            </w:pPr>
            <w:r>
              <w:lastRenderedPageBreak/>
              <w:t>39.</w:t>
            </w:r>
            <w:r>
              <w:tab/>
              <w:t xml:space="preserve">wyraża zaniepokojenie liczbą postępowań przygotowawczych wszczętych w sprawie wdrażania RRF; podkreśla, że do końca 2024 r. EPPO prowadziła 311 aktywnych spraw związanych z </w:t>
            </w:r>
            <w:proofErr w:type="spellStart"/>
            <w:r>
              <w:t>NextGenerationEU</w:t>
            </w:r>
            <w:proofErr w:type="spellEnd"/>
            <w:r>
              <w:t xml:space="preserve">, z czego 307 wynikało z RRF (233 na koniec 2023 r.), co odpowiada około 17 % wszystkich toczących się postępowań przygotowawczych w sprawach nadużyć finansowych związanych z wydatkami oraz szacowanej szkodzie dla interesów finansowych Unii w wysokości 2,8 mld EUR (co odpowiada 30 % całkowitej szacowanej szkody wskutek nadużyć finansowych związanych z wydatkami w porównaniu z 25 % w 2023 r.); zauważa, że postępowania przygotowawcze prowadzone przez EPPO w sprawie nadużyć mających wpływ na RRF ujawniają znaczne rozbieżności między państwami członkowskimi, co odzwierciedla różnice w przyznawaniu środków i zdolnościach wykrywania przestępstw oraz zróżnicowany charakter popełnianych nadużyć finansowych; </w:t>
            </w:r>
            <w:r>
              <w:rPr>
                <w:b/>
                <w:i/>
              </w:rPr>
              <w:t>wyraża ubolewanie z powodu: jest zaniepokojony</w:t>
            </w:r>
            <w:r>
              <w:t xml:space="preserve">, że państwa członkowskie </w:t>
            </w:r>
            <w:r>
              <w:lastRenderedPageBreak/>
              <w:t xml:space="preserve">nie mają obowiązku zgłaszania Komisji spraw dotyczących RRF za pośrednictwem systemu zarządzania nieprawidłowościami, co </w:t>
            </w:r>
            <w:r>
              <w:rPr>
                <w:b/>
                <w:i/>
              </w:rPr>
              <w:t>uniemożliwia ustrukturyzowane</w:t>
            </w:r>
            <w:r>
              <w:t xml:space="preserve"> monitorowanie i </w:t>
            </w:r>
            <w:r>
              <w:rPr>
                <w:b/>
                <w:i/>
              </w:rPr>
              <w:t>analizę ryzyka</w:t>
            </w:r>
            <w:r>
              <w:t xml:space="preserve"> spraw związanych z RRF; jest zaniepokojony</w:t>
            </w:r>
            <w:r>
              <w:rPr>
                <w:b/>
                <w:i/>
              </w:rPr>
              <w:t xml:space="preserve"> liczbą</w:t>
            </w:r>
            <w:r>
              <w:t xml:space="preserve"> spraw zgłoszonych przez instytucje Unii, w tym Komisję, </w:t>
            </w:r>
            <w:r>
              <w:rPr>
                <w:b/>
                <w:i/>
              </w:rPr>
              <w:t>aby pilnie wyeliminować te niedociągnięcia w celu ochrony interesów finansowych Unii</w:t>
            </w:r>
            <w:r>
              <w:t>;</w:t>
            </w:r>
          </w:p>
        </w:tc>
      </w:tr>
    </w:tbl>
    <w:p w14:paraId="67113783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Original</w:t>
      </w:r>
      <w:proofErr w:type="spellEnd"/>
      <w:r w:rsidRPr="005619FF">
        <w:rPr>
          <w:rStyle w:val="HideTWBExt"/>
        </w:rPr>
        <w:t>&gt;</w:t>
      </w:r>
    </w:p>
    <w:p w14:paraId="1A8B84E5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5714919D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35</w:t>
      </w:r>
      <w:r w:rsidRPr="005619FF">
        <w:rPr>
          <w:rStyle w:val="HideTWBExt"/>
        </w:rPr>
        <w:t>&lt;/NumAm&gt;</w:t>
      </w:r>
    </w:p>
    <w:p w14:paraId="4B2309C1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</w:t>
      </w:r>
      <w:proofErr w:type="spellStart"/>
      <w:r>
        <w:t>Vasile-Voiculescu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1A3A032A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3E9811C3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6AEE45D2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41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6B47ED86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97D47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79BBDF28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01AA0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A4A2A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441FCAE2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D00AF" w14:textId="77777777" w:rsidR="005619FF" w:rsidRPr="008D03DA" w:rsidRDefault="005619FF" w:rsidP="00FB1419">
            <w:pPr>
              <w:pStyle w:val="Normal6a"/>
            </w:pPr>
            <w:r>
              <w:t>41.</w:t>
            </w:r>
            <w:r>
              <w:tab/>
              <w:t xml:space="preserve">zauważa, że ok. 6 % przestępstw, w sprawie których EPPO prowadziła postępowania przygotowawcze do końca 2024 r., dotyczyło udziału w organizacji przestępczej, która koncentrowała działalność przestępczą na popełnianiu przestępstw przewidzianych w dyrektywie (UE) 2017/1371 (przestępstwa związane z PIF); powtarza, że tylko wzmocniona współpraca między elementami struktury zwalczania nadużyć finansowych może skutecznie przeciwdziałać takim nadużyciom oraz zagwarantować osiągnięcie celów RRF i ogólnie polityki Unii; uważa, że tylko wspólne skoordynowane stosowanie środków sądowych i administracyjnych może chronić interesy finansowe Unii, i ponownie wzywa Komisję, aby zapewniła odpowiednie wsparcie EPPO w zakresie tego, jak ułatwiać przyjmowanie środków zaradczych w następstwie niezależnych postępowań przygotowawczych oraz wnoszenia i popierania oskarżeń przez </w:t>
            </w:r>
            <w:r>
              <w:lastRenderedPageBreak/>
              <w:t>EPPO w związku z przestępstwami mającymi wpływ na RRF; wzywa Komisję, aby informowała władzę budżetową Unii o wynikach jej działań;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01CDA" w14:textId="77777777" w:rsidR="005619FF" w:rsidRPr="008D03DA" w:rsidRDefault="005619FF" w:rsidP="00FB1419">
            <w:pPr>
              <w:pStyle w:val="Normal6a"/>
            </w:pPr>
            <w:r>
              <w:lastRenderedPageBreak/>
              <w:t>41.</w:t>
            </w:r>
            <w:r>
              <w:tab/>
              <w:t xml:space="preserve">zauważa, że ok. 6 % przestępstw, w sprawie których EPPO prowadziła postępowania przygotowawcze do końca 2024 r., dotyczyło udziału w organizacji przestępczej, która koncentrowała działalność przestępczą na popełnianiu przestępstw przewidzianych w dyrektywie (UE) 2017/1371 (przestępstwa związane z PIF); powtarza, że tylko wzmocniona współpraca między elementami struktury zwalczania nadużyć finansowych może skutecznie przeciwdziałać takim nadużyciom oraz zagwarantować osiągnięcie celów RRF i ogólnie polityki Unii; uważa, że tylko wspólne skoordynowane stosowanie środków sądowych i administracyjnych może chronić interesy finansowe Unii, i ponownie wzywa Komisję, aby zapewniła odpowiednie wsparcie EPPO w zakresie tego, jak ułatwiać przyjmowanie środków zaradczych w następstwie niezależnych postępowań przygotowawczych oraz wnoszenia i popierania oskarżeń przez </w:t>
            </w:r>
            <w:r>
              <w:lastRenderedPageBreak/>
              <w:t xml:space="preserve">EPPO w związku z przestępstwami mającymi wpływ na RRF; </w:t>
            </w:r>
            <w:r>
              <w:rPr>
                <w:b/>
                <w:i/>
              </w:rPr>
              <w:t>wzywa do wzmocnienia ram koordynacji obejmujących EPPO, Komisję i państwa członkowskie, mających na celu wzmocnienie postępowań przygotowawczych w sprawie nadużyć finansowych i zapobiegania im w ramach RRF, zapewnienie systematycznych działań następczych w związku z postępowaniami przygotowawczymi prowadzonymi EPPO oraz poprawę wymiany istotnych informacji;</w:t>
            </w:r>
            <w:r>
              <w:t xml:space="preserve"> wzywa Komisję, aby informowała władzę budżetową Unii o wynikach jej działań;</w:t>
            </w:r>
          </w:p>
        </w:tc>
      </w:tr>
    </w:tbl>
    <w:p w14:paraId="12B72B54" w14:textId="77777777" w:rsidR="005619FF" w:rsidRPr="005619FF" w:rsidRDefault="005619FF" w:rsidP="005619FF">
      <w:pPr>
        <w:pStyle w:val="AmOrLang"/>
        <w:rPr>
          <w:lang w:val="es-ES" w:eastAsia="en-US"/>
        </w:rPr>
      </w:pPr>
      <w:proofErr w:type="spellStart"/>
      <w:r w:rsidRPr="005619FF">
        <w:rPr>
          <w:lang w:val="es-ES"/>
        </w:rPr>
        <w:lastRenderedPageBreak/>
        <w:t>Or</w:t>
      </w:r>
      <w:proofErr w:type="spellEnd"/>
      <w:r w:rsidRPr="005619FF">
        <w:rPr>
          <w:lang w:val="es-ES"/>
        </w:rPr>
        <w:t xml:space="preserve">. </w:t>
      </w:r>
      <w:r w:rsidRPr="005619FF">
        <w:rPr>
          <w:rStyle w:val="HideTWBExt"/>
          <w:lang w:val="es-ES"/>
        </w:rPr>
        <w:t>&lt;Original&gt;</w:t>
      </w:r>
      <w:r w:rsidRPr="005619FF">
        <w:rPr>
          <w:rStyle w:val="HideTWBInt"/>
          <w:lang w:val="es-ES"/>
        </w:rPr>
        <w:t>{EN}</w:t>
      </w:r>
      <w:r w:rsidRPr="005619FF">
        <w:rPr>
          <w:lang w:val="es-ES"/>
        </w:rPr>
        <w:t>en</w:t>
      </w:r>
      <w:r w:rsidRPr="005619FF">
        <w:rPr>
          <w:rStyle w:val="HideTWBExt"/>
          <w:lang w:val="es-ES"/>
        </w:rPr>
        <w:t>&lt;/Original&gt;</w:t>
      </w:r>
    </w:p>
    <w:p w14:paraId="1805E639" w14:textId="77777777" w:rsidR="005619FF" w:rsidRPr="005619FF" w:rsidRDefault="005619FF" w:rsidP="005619FF">
      <w:pPr>
        <w:rPr>
          <w:lang w:val="es-ES"/>
        </w:rPr>
      </w:pPr>
      <w:r w:rsidRPr="005619FF">
        <w:rPr>
          <w:rStyle w:val="HideTWBExt"/>
          <w:lang w:val="es-ES"/>
        </w:rPr>
        <w:t>&lt;/Amend&gt;</w:t>
      </w:r>
    </w:p>
    <w:p w14:paraId="333457DE" w14:textId="77777777" w:rsidR="005619FF" w:rsidRPr="005619FF" w:rsidRDefault="005619FF" w:rsidP="005619FF">
      <w:pPr>
        <w:pStyle w:val="AmNumberTabs"/>
        <w:rPr>
          <w:lang w:val="es-ES"/>
        </w:rPr>
      </w:pPr>
      <w:r w:rsidRPr="005619FF">
        <w:rPr>
          <w:rStyle w:val="HideTWBExt"/>
          <w:lang w:val="es-ES"/>
        </w:rPr>
        <w:t>&lt;Amend&gt;</w:t>
      </w:r>
      <w:proofErr w:type="spellStart"/>
      <w:r w:rsidRPr="005619FF">
        <w:rPr>
          <w:lang w:val="es-ES"/>
        </w:rPr>
        <w:t>Poprawka</w:t>
      </w:r>
      <w:proofErr w:type="spellEnd"/>
      <w:r w:rsidRPr="005619FF">
        <w:rPr>
          <w:lang w:val="es-ES"/>
        </w:rPr>
        <w:tab/>
      </w:r>
      <w:r w:rsidRPr="005619FF">
        <w:rPr>
          <w:lang w:val="es-ES"/>
        </w:rPr>
        <w:tab/>
      </w:r>
      <w:r w:rsidRPr="005619FF">
        <w:rPr>
          <w:rStyle w:val="HideTWBExt"/>
          <w:lang w:val="es-ES"/>
        </w:rPr>
        <w:t>&lt;NumAm&gt;</w:t>
      </w:r>
      <w:r w:rsidRPr="005619FF">
        <w:rPr>
          <w:lang w:val="es-ES"/>
        </w:rPr>
        <w:t>36</w:t>
      </w:r>
      <w:r w:rsidRPr="005619FF">
        <w:rPr>
          <w:rStyle w:val="HideTWBExt"/>
          <w:lang w:val="es-ES"/>
        </w:rPr>
        <w:t>&lt;/</w:t>
      </w:r>
      <w:proofErr w:type="spellStart"/>
      <w:r w:rsidRPr="005619FF">
        <w:rPr>
          <w:rStyle w:val="HideTWBExt"/>
          <w:lang w:val="es-ES"/>
        </w:rPr>
        <w:t>NumAm</w:t>
      </w:r>
      <w:proofErr w:type="spellEnd"/>
      <w:r w:rsidRPr="005619FF">
        <w:rPr>
          <w:rStyle w:val="HideTWBExt"/>
          <w:lang w:val="es-ES"/>
        </w:rPr>
        <w:t>&gt;</w:t>
      </w:r>
    </w:p>
    <w:p w14:paraId="7A1BA1F5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&lt;RepeatBlock-By&gt;&lt;Members&gt;</w:t>
      </w:r>
      <w:proofErr w:type="spellStart"/>
      <w:r w:rsidRPr="005619FF">
        <w:rPr>
          <w:lang w:val="es-ES"/>
        </w:rPr>
        <w:t>Csaba</w:t>
      </w:r>
      <w:proofErr w:type="spellEnd"/>
      <w:r w:rsidRPr="005619FF">
        <w:rPr>
          <w:lang w:val="es-ES"/>
        </w:rPr>
        <w:t xml:space="preserve"> </w:t>
      </w:r>
      <w:proofErr w:type="spellStart"/>
      <w:r w:rsidRPr="005619FF">
        <w:rPr>
          <w:lang w:val="es-ES"/>
        </w:rPr>
        <w:t>Molnár</w:t>
      </w:r>
      <w:proofErr w:type="spellEnd"/>
      <w:r w:rsidRPr="005619FF">
        <w:rPr>
          <w:rStyle w:val="HideTWBExt"/>
          <w:b w:val="0"/>
          <w:lang w:val="es-ES"/>
        </w:rPr>
        <w:t>&lt;/Members&gt;</w:t>
      </w:r>
    </w:p>
    <w:p w14:paraId="11212AB2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&lt;/RepeatBlock-By&gt;</w:t>
      </w:r>
    </w:p>
    <w:p w14:paraId="406F975A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140E2360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44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47C6691B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FDEE1" w14:textId="77777777" w:rsidR="005619FF" w:rsidRPr="00403364" w:rsidRDefault="005619FF" w:rsidP="00FB1419"/>
        </w:tc>
      </w:tr>
      <w:tr w:rsidR="005619FF" w14:paraId="5B7F0785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B04F5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9DDCF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57CEDBCB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50516F" w14:textId="77777777" w:rsidR="005619FF" w:rsidRPr="008D03DA" w:rsidRDefault="005619FF" w:rsidP="00FB1419">
            <w:pPr>
              <w:pStyle w:val="Normal6a"/>
            </w:pPr>
            <w:r>
              <w:t>44.</w:t>
            </w:r>
            <w:r>
              <w:tab/>
              <w:t xml:space="preserve">ma świadomość, że EPPO wystąpiła z wnioskiem o 419 stanowisk w planie zatrudnienia do końca 2024 r., natomiast przyznano jej 289 stanowisk; podkreśla, że w 2025 r. EPPO wnioskowała o 513 stanowisk i ponownie otrzymała jedynie 307 stanowisk, co zwiększa lukę między zasobami potrzebnymi a zasobami przydzielonymi; zgadza się z EPPO, że bez wnioskowanego zwiększenia liczby pracowników jej zdolność do skutecznego wypełniania jej mandatu, zgodnie z oczekiwaniami obywateli Unii, jest znacznie ograniczona, zaległości w rozpatrywaniu spraw będą nadal rosły, wymierzanie sprawiedliwości w sprawach dotyczących nadużyć finansowych naruszających interesy finansowe Unii będzie opóźnione, a walka ze zorganizowanymi grupami </w:t>
            </w:r>
            <w:r>
              <w:lastRenderedPageBreak/>
              <w:t>przestępczymi, kradnącymi środki publiczne i szkodzącymi gospodarkom europejskim, będzie znacznie mniej skuteczna; odnotowuje uwagi EPPO dotyczące rosnącej tendencji do akumulacji kredytu czasowego przez pracowników w wyniku ograniczonych zasobów i zwiększonego indywidualnego obciążenia pracą, co może prowadzić do indywidualnych zagrożeń dla odporności, a także potencjalnej zwiększonej rotacji;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0DA2E" w14:textId="77777777" w:rsidR="005619FF" w:rsidRPr="008D03DA" w:rsidRDefault="005619FF" w:rsidP="00FB1419">
            <w:pPr>
              <w:pStyle w:val="Normal6a"/>
            </w:pPr>
            <w:r>
              <w:lastRenderedPageBreak/>
              <w:t>44.</w:t>
            </w:r>
            <w:r>
              <w:tab/>
              <w:t xml:space="preserve">ma świadomość, że EPPO wystąpiła z wnioskiem o 419 stanowisk w planie zatrudnienia do końca 2024 r., natomiast przyznano jej 289 stanowisk; podkreśla, że w 2025 r. EPPO wnioskowała o 513 stanowisk i ponownie otrzymała jedynie 307 stanowisk, co zwiększa lukę między zasobami potrzebnymi a zasobami przydzielonymi; zgadza się z EPPO, że bez wnioskowanego zwiększenia liczby pracowników jej zdolność do skutecznego wypełniania jej mandatu, zgodnie z oczekiwaniami obywateli Unii, jest znacznie ograniczona, zaległości w rozpatrywaniu spraw będą nadal rosły, wymierzanie sprawiedliwości w sprawach dotyczących nadużyć finansowych naruszających interesy finansowe Unii będzie opóźnione, a walka ze zorganizowanymi grupami </w:t>
            </w:r>
            <w:r>
              <w:lastRenderedPageBreak/>
              <w:t xml:space="preserve">przestępczymi, kradnącymi środki publiczne i szkodzącymi gospodarkom europejskim, będzie znacznie mniej skuteczna; odnotowuje uwagi EPPO dotyczące rosnącej tendencji do akumulacji kredytu czasowego przez pracowników w wyniku ograniczonych zasobów i zwiększonego indywidualnego obciążenia pracą, co może prowadzić do indywidualnych zagrożeń dla odporności, a także potencjalnej zwiększonej rotacji; </w:t>
            </w:r>
            <w:r>
              <w:rPr>
                <w:b/>
                <w:i/>
              </w:rPr>
              <w:t>podkreśla w związku z tym, że EPPO musi dysponować odpowiednimi zasobami kadrowymi i budżetowymi zgodnie z powierzonymi jej zadaniami;</w:t>
            </w:r>
          </w:p>
        </w:tc>
      </w:tr>
    </w:tbl>
    <w:p w14:paraId="35D2E6B8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Original</w:t>
      </w:r>
      <w:proofErr w:type="spellEnd"/>
      <w:r w:rsidRPr="005619FF">
        <w:rPr>
          <w:rStyle w:val="HideTWBExt"/>
        </w:rPr>
        <w:t>&gt;</w:t>
      </w:r>
    </w:p>
    <w:p w14:paraId="76E9F0DD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1F1C0DE8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37</w:t>
      </w:r>
      <w:r w:rsidRPr="005619FF">
        <w:rPr>
          <w:rStyle w:val="HideTWBExt"/>
        </w:rPr>
        <w:t>&lt;/NumAm&gt;</w:t>
      </w:r>
    </w:p>
    <w:p w14:paraId="124E33AF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</w:t>
      </w:r>
      <w:proofErr w:type="spellStart"/>
      <w:r>
        <w:t>Vasile-Voiculescu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5D216F1A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66B030EE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1051F74D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45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28FDC1F6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8FA79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11F4208D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6B137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96352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67FF48C3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179F1" w14:textId="77777777" w:rsidR="005619FF" w:rsidRPr="008D03DA" w:rsidRDefault="005619FF" w:rsidP="00FB1419">
            <w:pPr>
              <w:pStyle w:val="Normal6a"/>
            </w:pPr>
            <w:r>
              <w:t>45.</w:t>
            </w:r>
            <w:r>
              <w:tab/>
              <w:t xml:space="preserve">docenia fakt, że przydział pracowników w całym EPPO jest ukierunkowany na maksymalizację wyników, i zauważa, że na koniec 2024 r. z 412 stanowisk 319 było przeznaczonych na działania operacyjne, co stanowi ponad 77 % (w porównaniu z 80 % w 2023 r.), natomiast 18 % przeznaczono na zadania administracyjne (w porównaniu z 14 % w 2023 r.), zgodnie z podejściem EPPO polegającym na priorytetowym traktowaniu działań operacyjnych; zauważa jednak, że wzrósł odsetek pracowników </w:t>
            </w:r>
            <w:r>
              <w:rPr>
                <w:b/>
                <w:i/>
              </w:rPr>
              <w:t>skierowanych</w:t>
            </w:r>
            <w:r>
              <w:t xml:space="preserve"> do zadań </w:t>
            </w:r>
            <w:r>
              <w:rPr>
                <w:b/>
                <w:i/>
              </w:rPr>
              <w:t>biurokratycznych</w:t>
            </w:r>
            <w:r>
              <w:t xml:space="preserve"> i </w:t>
            </w:r>
            <w:r>
              <w:rPr>
                <w:b/>
                <w:i/>
              </w:rPr>
              <w:t>administracyjnych</w:t>
            </w:r>
            <w:r>
              <w:t xml:space="preserve">; rozumie, że jest to w głównej mierze konsekwencja niedawnych zmian w polityce Komisji, takich jak zaprzestanie świadczenia usług informatycznych, co </w:t>
            </w:r>
            <w:r>
              <w:lastRenderedPageBreak/>
              <w:t>zmusiło EPPO do przeniesienia najważniejszych zadań na własnych pracowników, którzy w związku z tym zostali przydzieleni do stanowisk innych niż operacyjne;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FFFFA6" w14:textId="77777777" w:rsidR="005619FF" w:rsidRPr="008D03DA" w:rsidRDefault="005619FF" w:rsidP="00FB1419">
            <w:pPr>
              <w:pStyle w:val="Normal6a"/>
            </w:pPr>
            <w:r>
              <w:lastRenderedPageBreak/>
              <w:t>45.</w:t>
            </w:r>
            <w:r>
              <w:tab/>
              <w:t xml:space="preserve">docenia fakt, że przydział pracowników w całym EPPO jest ukierunkowany na maksymalizację wyników, i zauważa, że na koniec 2024 r. z 412 stanowisk 319 było przeznaczonych na działania operacyjne, co stanowi ponad 77 % (w porównaniu z 80 % w 2023 r.), natomiast 18 % przeznaczono na zadania administracyjne (w porównaniu z 14 % w 2023 r.), zgodnie z podejściem EPPO polegającym na priorytetowym traktowaniu działań operacyjnych; zauważa jednak, że wzrósł odsetek pracowników </w:t>
            </w:r>
            <w:r>
              <w:rPr>
                <w:b/>
                <w:i/>
              </w:rPr>
              <w:t>przydzielonych</w:t>
            </w:r>
            <w:r>
              <w:t xml:space="preserve"> do zadań </w:t>
            </w:r>
            <w:r>
              <w:rPr>
                <w:b/>
                <w:i/>
              </w:rPr>
              <w:t>administracyjnych</w:t>
            </w:r>
            <w:r>
              <w:t xml:space="preserve"> i </w:t>
            </w:r>
            <w:r>
              <w:rPr>
                <w:b/>
                <w:i/>
              </w:rPr>
              <w:t>pomocniczych</w:t>
            </w:r>
            <w:r>
              <w:t xml:space="preserve">; rozumie, że jest to w głównej mierze konsekwencja niedawnych zmian w polityce Komisji, takich jak zaprzestanie świadczenia usług informatycznych, co </w:t>
            </w:r>
            <w:r>
              <w:lastRenderedPageBreak/>
              <w:t>zmusiło EPPO do przeniesienia najważniejszych zadań na własnych pracowników, którzy w związku z tym zostali przydzieleni do stanowisk innych niż operacyjne;</w:t>
            </w:r>
          </w:p>
        </w:tc>
      </w:tr>
    </w:tbl>
    <w:p w14:paraId="4797494A" w14:textId="77777777" w:rsidR="005619FF" w:rsidRPr="005619FF" w:rsidRDefault="005619FF" w:rsidP="005619FF">
      <w:pPr>
        <w:pStyle w:val="AmOrLang"/>
        <w:rPr>
          <w:lang w:val="es-ES" w:eastAsia="en-US"/>
        </w:rPr>
      </w:pPr>
      <w:proofErr w:type="spellStart"/>
      <w:r w:rsidRPr="005619FF">
        <w:rPr>
          <w:lang w:val="es-ES"/>
        </w:rPr>
        <w:lastRenderedPageBreak/>
        <w:t>Or</w:t>
      </w:r>
      <w:proofErr w:type="spellEnd"/>
      <w:r w:rsidRPr="005619FF">
        <w:rPr>
          <w:lang w:val="es-ES"/>
        </w:rPr>
        <w:t xml:space="preserve">. </w:t>
      </w:r>
      <w:r w:rsidRPr="005619FF">
        <w:rPr>
          <w:rStyle w:val="HideTWBExt"/>
          <w:lang w:val="es-ES"/>
        </w:rPr>
        <w:t>&lt;Original&gt;</w:t>
      </w:r>
      <w:r w:rsidRPr="005619FF">
        <w:rPr>
          <w:rStyle w:val="HideTWBInt"/>
          <w:lang w:val="es-ES"/>
        </w:rPr>
        <w:t>{EN}</w:t>
      </w:r>
      <w:r w:rsidRPr="005619FF">
        <w:rPr>
          <w:lang w:val="es-ES"/>
        </w:rPr>
        <w:t>en</w:t>
      </w:r>
      <w:r w:rsidRPr="005619FF">
        <w:rPr>
          <w:rStyle w:val="HideTWBExt"/>
          <w:lang w:val="es-ES"/>
        </w:rPr>
        <w:t>&lt;/Original&gt;</w:t>
      </w:r>
    </w:p>
    <w:p w14:paraId="11E37DAB" w14:textId="77777777" w:rsidR="005619FF" w:rsidRPr="005619FF" w:rsidRDefault="005619FF" w:rsidP="005619FF">
      <w:pPr>
        <w:rPr>
          <w:lang w:val="es-ES"/>
        </w:rPr>
      </w:pPr>
      <w:r w:rsidRPr="005619FF">
        <w:rPr>
          <w:rStyle w:val="HideTWBExt"/>
          <w:lang w:val="es-ES"/>
        </w:rPr>
        <w:t>&lt;/Amend&gt;</w:t>
      </w:r>
    </w:p>
    <w:p w14:paraId="48DA53DD" w14:textId="77777777" w:rsidR="005619FF" w:rsidRPr="005619FF" w:rsidRDefault="005619FF" w:rsidP="005619FF">
      <w:pPr>
        <w:pStyle w:val="AmNumberTabs"/>
        <w:rPr>
          <w:lang w:val="es-ES"/>
        </w:rPr>
      </w:pPr>
      <w:r w:rsidRPr="005619FF">
        <w:rPr>
          <w:rStyle w:val="HideTWBExt"/>
          <w:lang w:val="es-ES"/>
        </w:rPr>
        <w:t>&lt;Amend&gt;</w:t>
      </w:r>
      <w:proofErr w:type="spellStart"/>
      <w:r w:rsidRPr="005619FF">
        <w:rPr>
          <w:lang w:val="es-ES"/>
        </w:rPr>
        <w:t>Poprawka</w:t>
      </w:r>
      <w:proofErr w:type="spellEnd"/>
      <w:r w:rsidRPr="005619FF">
        <w:rPr>
          <w:lang w:val="es-ES"/>
        </w:rPr>
        <w:tab/>
      </w:r>
      <w:r w:rsidRPr="005619FF">
        <w:rPr>
          <w:lang w:val="es-ES"/>
        </w:rPr>
        <w:tab/>
      </w:r>
      <w:r w:rsidRPr="005619FF">
        <w:rPr>
          <w:rStyle w:val="HideTWBExt"/>
          <w:lang w:val="es-ES"/>
        </w:rPr>
        <w:t>&lt;NumAm&gt;</w:t>
      </w:r>
      <w:r w:rsidRPr="005619FF">
        <w:rPr>
          <w:lang w:val="es-ES"/>
        </w:rPr>
        <w:t>38</w:t>
      </w:r>
      <w:r w:rsidRPr="005619FF">
        <w:rPr>
          <w:rStyle w:val="HideTWBExt"/>
          <w:lang w:val="es-ES"/>
        </w:rPr>
        <w:t>&lt;/</w:t>
      </w:r>
      <w:proofErr w:type="spellStart"/>
      <w:r w:rsidRPr="005619FF">
        <w:rPr>
          <w:rStyle w:val="HideTWBExt"/>
          <w:lang w:val="es-ES"/>
        </w:rPr>
        <w:t>NumAm</w:t>
      </w:r>
      <w:proofErr w:type="spellEnd"/>
      <w:r w:rsidRPr="005619FF">
        <w:rPr>
          <w:rStyle w:val="HideTWBExt"/>
          <w:lang w:val="es-ES"/>
        </w:rPr>
        <w:t>&gt;</w:t>
      </w:r>
    </w:p>
    <w:p w14:paraId="7AD02D95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&lt;RepeatBlock-By&gt;&lt;Members&gt;</w:t>
      </w:r>
      <w:proofErr w:type="spellStart"/>
      <w:r w:rsidRPr="005619FF">
        <w:rPr>
          <w:lang w:val="es-ES"/>
        </w:rPr>
        <w:t>Csaba</w:t>
      </w:r>
      <w:proofErr w:type="spellEnd"/>
      <w:r w:rsidRPr="005619FF">
        <w:rPr>
          <w:lang w:val="es-ES"/>
        </w:rPr>
        <w:t xml:space="preserve"> </w:t>
      </w:r>
      <w:proofErr w:type="spellStart"/>
      <w:r w:rsidRPr="005619FF">
        <w:rPr>
          <w:lang w:val="es-ES"/>
        </w:rPr>
        <w:t>Molnár</w:t>
      </w:r>
      <w:proofErr w:type="spellEnd"/>
      <w:r w:rsidRPr="005619FF">
        <w:rPr>
          <w:rStyle w:val="HideTWBExt"/>
          <w:b w:val="0"/>
          <w:lang w:val="es-ES"/>
        </w:rPr>
        <w:t>&lt;/Members&gt;</w:t>
      </w:r>
    </w:p>
    <w:p w14:paraId="1F71A757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&lt;/RepeatBlock-By&gt;</w:t>
      </w:r>
    </w:p>
    <w:p w14:paraId="662D71F8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787A2E3A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470906DA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C5FEF" w14:textId="77777777" w:rsidR="005619FF" w:rsidRPr="00403364" w:rsidRDefault="005619FF" w:rsidP="00FB1419"/>
        </w:tc>
      </w:tr>
      <w:tr w:rsidR="005619FF" w14:paraId="572E1F2F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8A76C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BBCFE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290A141F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F2FC8" w14:textId="77777777" w:rsidR="005619FF" w:rsidRPr="008D03DA" w:rsidRDefault="005619FF" w:rsidP="00FB1419">
            <w:pPr>
              <w:pStyle w:val="Normal6a"/>
            </w:pPr>
            <w:r>
              <w:t>50.</w:t>
            </w:r>
            <w:r>
              <w:tab/>
              <w:t>zauważa, że w latach 2024 i 2025 osiągnięto odpowiednią równowagę płci na stanowiskach kierowniczych (4 kobiety, 5 mężczyzn) dzięki powołaniu na stanowiska kierownicze średniego i wyższego szczebla osób płci niedostatecznie reprezentowanej; zauważa, że z punktu widzenia równowagi geograficznej wszystkie 26 państw członkowskich, które należą do EPPO, są reprezentowane wśród jej pracowników, przy czym niektóre narodowości są reprezentowane liczniej niż inne; wzywa EPPO do sfinalizowania strategii na rzecz różnorodności i włączenia społecznego, o której wdrożeniu zadecydowano w 2023 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8E01B" w14:textId="77777777" w:rsidR="005619FF" w:rsidRPr="008D03DA" w:rsidRDefault="005619FF" w:rsidP="00FB1419">
            <w:pPr>
              <w:pStyle w:val="Normal6a"/>
            </w:pPr>
            <w:r>
              <w:t>50.</w:t>
            </w:r>
            <w:r>
              <w:tab/>
              <w:t>zauważa</w:t>
            </w:r>
            <w:r>
              <w:rPr>
                <w:b/>
                <w:i/>
              </w:rPr>
              <w:t xml:space="preserve"> z zadowoleniem</w:t>
            </w:r>
            <w:r>
              <w:t>, że w latach 2024 i 2025 osiągnięto odpowiednią równowagę płci na stanowiskach kierowniczych (4 kobiety, 5 mężczyzn) dzięki powołaniu na stanowiska kierownicze średniego i wyższego szczebla osób płci niedostatecznie reprezentowanej; zauważa, że z punktu widzenia równowagi geograficznej wszystkie 26 państw członkowskich, które należą do EPPO, są reprezentowane wśród jej pracowników, przy czym niektóre narodowości są reprezentowane liczniej niż inne; wzywa EPPO do sfinalizowania strategii na rzecz różnorodności i włączenia społecznego, o której wdrożeniu zadecydowano w 2023 r.;</w:t>
            </w:r>
          </w:p>
        </w:tc>
      </w:tr>
    </w:tbl>
    <w:p w14:paraId="02B2B877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1D5B607C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7B1794D6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39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52B5C7C8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22BE2F2E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7524C449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1E8B16CA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6F11E755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5F702" w14:textId="77777777" w:rsidR="005619FF" w:rsidRPr="00403364" w:rsidRDefault="005619FF" w:rsidP="00FB1419"/>
        </w:tc>
      </w:tr>
      <w:tr w:rsidR="005619FF" w14:paraId="2E39EAEB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49F64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38E62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540B82AB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F5FE60" w14:textId="77777777" w:rsidR="005619FF" w:rsidRPr="008D03DA" w:rsidRDefault="005619FF" w:rsidP="00FB1419">
            <w:pPr>
              <w:pStyle w:val="Normal6a"/>
            </w:pPr>
            <w:r>
              <w:t>50.</w:t>
            </w:r>
            <w:r>
              <w:tab/>
              <w:t xml:space="preserve">zauważa, że w latach 2024 i 2025 osiągnięto odpowiednią równowagę płci na </w:t>
            </w:r>
            <w:r>
              <w:lastRenderedPageBreak/>
              <w:t>stanowiskach kierowniczych (4 kobiety, 5 mężczyzn) dzięki powołaniu na stanowiska kierownicze średniego i wyższego szczebla osób płci niedostatecznie reprezentowanej; zauważa, że z punktu widzenia równowagi geograficznej</w:t>
            </w:r>
            <w:r>
              <w:rPr>
                <w:b/>
                <w:i/>
              </w:rPr>
              <w:t xml:space="preserve"> wszystkie 26 państw członkowskich, które należą do EPPO, są reprezentowane wśród jej pracowników</w:t>
            </w:r>
            <w:r>
              <w:t>, przy czym niektóre narodowości są reprezentowane liczniej niż inne; wzywa EPPO do sfinalizowania strategii na rzecz różnorodności i włączenia społecznego, o której wdrożeniu zadecydowano w 2023 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CB43E" w14:textId="77777777" w:rsidR="005619FF" w:rsidRPr="008D03DA" w:rsidRDefault="005619FF" w:rsidP="00FB1419">
            <w:pPr>
              <w:pStyle w:val="Normal6a"/>
            </w:pPr>
            <w:r>
              <w:lastRenderedPageBreak/>
              <w:t>50.</w:t>
            </w:r>
            <w:r>
              <w:tab/>
              <w:t xml:space="preserve">zauważa, że w latach 2024 i 2025 osiągnięto odpowiednią równowagę płci na </w:t>
            </w:r>
            <w:r>
              <w:lastRenderedPageBreak/>
              <w:t xml:space="preserve">stanowiskach kierowniczych (4 kobiety, 5 mężczyzn) dzięki powołaniu na stanowiska kierownicze średniego i wyższego szczebla osób płci niedostatecznie reprezentowanej; zauważa, że z punktu widzenia równowagi geograficznej </w:t>
            </w:r>
            <w:r>
              <w:rPr>
                <w:b/>
                <w:i/>
              </w:rPr>
              <w:t>wśród jej pracowników w różnym stopniu reprezentowanych jest 26 narodowości UE</w:t>
            </w:r>
            <w:r>
              <w:t>, przy czym niektóre narodowości są reprezentowane liczniej niż inne; wzywa EPPO do sfinalizowania strategii na rzecz różnorodności i włączenia społecznego, o której wdrożeniu zadecydowano w 2023 r.;</w:t>
            </w:r>
          </w:p>
        </w:tc>
      </w:tr>
    </w:tbl>
    <w:p w14:paraId="58A0B349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280AD734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6CE9B583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40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5CE555AE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6514CE0C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6A319A64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0BFCEE16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52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0557C251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669DC" w14:textId="77777777" w:rsidR="005619FF" w:rsidRPr="00403364" w:rsidRDefault="005619FF" w:rsidP="00FB1419"/>
        </w:tc>
      </w:tr>
      <w:tr w:rsidR="005619FF" w14:paraId="2D7425A3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6430B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6C303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1479A57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49835" w14:textId="77777777" w:rsidR="005619FF" w:rsidRPr="008D03DA" w:rsidRDefault="005619FF" w:rsidP="00FB1419">
            <w:pPr>
              <w:pStyle w:val="Normal6a"/>
            </w:pPr>
            <w:r>
              <w:t>52.</w:t>
            </w:r>
            <w:r>
              <w:tab/>
              <w:t xml:space="preserve">podkreśla, że EPPO wskazała powołanie łącznie 172 EDP jako cel, który należy osiągnąć do końca 2024 r., bez uwzględnienia jakichkolwiek dodatkowych potrzeb wynikających z rozszerzenia o Polskę i Szwecję; zwraca uwagę, że władza budżetowa Unii zgodziła się na zwiększenie liczby EDP ze 140 do 166 wyłącznie pod warunkiem przydzielenia 24 EDP Polsce i dwóch Szwecji; podkreśla, że władza budżetowa Unii nadal przyznawała środki na pokrycie wynagrodzeń EDP odpowiadające wypłacie 80 % wynagrodzenia AD9 zamiast 100 % wynagrodzenia AD9, zgodnie z decyzją EPPO, aby zwiększyć atrakcyjność stanowiska dla prokuratorów wyższego szczebla posiadających długotrwałe doświadczenie zawodowe odpowiednie do rozpatrywania złożonych spraw EPPO; rozumie, że ze względu na ograniczenia finansowe wynikające z tej luki w </w:t>
            </w:r>
            <w:r>
              <w:lastRenderedPageBreak/>
              <w:t>przydzielonych zasobach EPPO do końca 2024 r. było w stanie rozmieścić oprócz dwóch EDP w Szwecji tylko ośmiu EDP w Polsce (zamiast potrzebnych 24 EDP) i 156 EDP w pozostałych państwach członkowskich; wzywa Komisję do oceny sytuacji z uwagi na rosnące obciążenie pracą i delikatny charakter rozpatrywanych spraw oraz do przedstawienia Parlamentowi wyników tej oceny oraz możliwych rozwiązań problemu luki finansowej;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019BA" w14:textId="77777777" w:rsidR="005619FF" w:rsidRPr="008D03DA" w:rsidRDefault="005619FF" w:rsidP="00FB1419">
            <w:pPr>
              <w:pStyle w:val="Normal6a"/>
            </w:pPr>
            <w:r>
              <w:lastRenderedPageBreak/>
              <w:t>52.</w:t>
            </w:r>
            <w:r>
              <w:tab/>
              <w:t xml:space="preserve">podkreśla, że EPPO wskazała powołanie łącznie 172 EDP jako cel, który należy osiągnąć do końca 2024 r., bez uwzględnienia jakichkolwiek dodatkowych potrzeb wynikających z rozszerzenia o Polskę i Szwecję; zwraca uwagę, że władza budżetowa Unii zgodziła się na zwiększenie liczby EDP ze 140 do 166 wyłącznie pod warunkiem przydzielenia 24 EDP Polsce i dwóch Szwecji; podkreśla, że władza budżetowa Unii nadal przyznawała środki na pokrycie wynagrodzeń EDP odpowiadające wypłacie 80 % wynagrodzenia AD9 zamiast 100 % wynagrodzenia AD9, zgodnie z decyzją EPPO, aby zwiększyć atrakcyjność stanowiska dla prokuratorów wyższego szczebla posiadających długotrwałe doświadczenie zawodowe odpowiednie do rozpatrywania złożonych spraw EPPO; rozumie, że ze względu na ograniczenia finansowe wynikające z tej luki w </w:t>
            </w:r>
            <w:r>
              <w:lastRenderedPageBreak/>
              <w:t xml:space="preserve">przydzielonych zasobach EPPO do końca 2024 r. było w stanie rozmieścić oprócz dwóch EDP w Szwecji tylko ośmiu EDP w Polsce (zamiast potrzebnych 24 EDP) i 156 EDP w pozostałych państwach członkowskich; </w:t>
            </w:r>
            <w:r>
              <w:rPr>
                <w:b/>
                <w:i/>
              </w:rPr>
              <w:t>zauważa, że spowolnienie przyjmowania dodatkowych EDP negatywnie wpływa na zdolność EPPO do kierowania coraz większą liczbą postępowań przygotowawczych oraz wnoszenia i popierania oskarżeń; zauważa ponadto, że ze względu na lukę w finansowaniu EPPO musiała również ograniczyć lub odroczyć inwestycje w system zarządzania sprawami, co uniemożliwiło jej poprawę zdolności do kierowania transgranicznymi postępowaniami przygotowawczymi;</w:t>
            </w:r>
            <w:r>
              <w:t xml:space="preserve"> wzywa Komisję do oceny sytuacji z uwagi na rosnące obciążenie pracą i delikatny charakter rozpatrywanych spraw oraz do przedstawienia Parlamentowi wyników tej oceny oraz możliwych rozwiązań problemu luki finansowej;</w:t>
            </w:r>
          </w:p>
        </w:tc>
      </w:tr>
    </w:tbl>
    <w:p w14:paraId="32F89DB3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06C6A84F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24296DD2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41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6466C8BC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562FBE05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0099AAF9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2240CE2D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53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4763F400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26546" w14:textId="77777777" w:rsidR="005619FF" w:rsidRPr="00403364" w:rsidRDefault="005619FF" w:rsidP="00FB1419"/>
        </w:tc>
      </w:tr>
      <w:tr w:rsidR="005619FF" w14:paraId="32521E2A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9483B8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E1897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226B7185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5C0BC6" w14:textId="77777777" w:rsidR="005619FF" w:rsidRPr="008D03DA" w:rsidRDefault="005619FF" w:rsidP="00FB1419">
            <w:pPr>
              <w:pStyle w:val="Normal6a"/>
            </w:pPr>
            <w:r>
              <w:t>53.</w:t>
            </w:r>
            <w:r>
              <w:tab/>
              <w:t xml:space="preserve">utrzymuje, że powoływanie EDP jest wspólnym obowiązkiem EPPO i państw członkowskich, ponieważ prokuratorzy europejscy są mianowani przez państwa członkowskie, a następnie powoływani przez Radę, natomiast EDP są mianowani przez państwa członkowskie i powoływani przez kolegium; zachęca państwa członkowskie, by przyczyniły się do pełnej niezależności EDP i EPPO; zauważa, że EPPO dążyła do poprawy </w:t>
            </w:r>
            <w:r>
              <w:lastRenderedPageBreak/>
              <w:t xml:space="preserve">statusu pracy EDP, aby stanowisko to było bardziej atrakcyjne, np. do dostosowania wynagrodzenia EDP do wynagrodzenia urzędników Unii o równoważnym poziomie odpowiedzialności, a nie pozostawiania go na poziomie 80 % wynagrodzenia urzędników UE, jak pierwotnie </w:t>
            </w:r>
            <w:r>
              <w:rPr>
                <w:b/>
                <w:i/>
              </w:rPr>
              <w:t>przewidziano</w:t>
            </w:r>
            <w:r>
              <w:t>, biorąc pod uwagę, że wynagrodzenie krajowe najbardziej doświadczonych prokuratorów krajowych było wyższe niż wynagrodzenie oferowane na stanowisku EDP, co zobowiązuje EPPO do interwencji w celu zastosowania art. 16 ust. 1 warunków zatrudnienia EDP, który to przepis stanowi, że w przypadku całkowitego wynagrodzenia netto niższego niż wynagrodzenie krajowe oferuje się kwotę uzupełniającą w celu dopilnowania, aby wynagrodzenie odpowiadało poprzedniemu poziomowi; ponawia apel o przewidzenie jasnej ścieżki rozwoju kariery dla EDP i korzystniejszej dyscypliny administracyjnej w zakresie zabezpieczenia społecznego i ubezpieczenia zdrowotnego; nalega na utworzenie specjalnego statusu EDP, zgodnie z charakterem ich funkcji sądowniczej, i wzywa Komisję, aby w związku z nadchodzącym przeglądem rozporządzenia (UE) 2017/1939 zaproponowała odpowiednie zmiany, które obejmą również problem luki w zabezpieczeniu społecznym i ubezpieczeniu zdrowotnym EDP, jeszcze nierozwiązany przez wszystkie państwa członkowskie w drodze ustaleń ustawodawczych lub administracyjnych, chociaż ich przyjęcie jest obowiązkowe na mocy rozporządzenia 2017/1939;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3C6E97" w14:textId="77777777" w:rsidR="005619FF" w:rsidRPr="008D03DA" w:rsidRDefault="005619FF" w:rsidP="00FB1419">
            <w:pPr>
              <w:pStyle w:val="Normal6a"/>
            </w:pPr>
            <w:r>
              <w:lastRenderedPageBreak/>
              <w:t>53.</w:t>
            </w:r>
            <w:r>
              <w:tab/>
              <w:t xml:space="preserve">utrzymuje, że powoływanie EDP jest wspólnym obowiązkiem EPPO i państw członkowskich, ponieważ prokuratorzy europejscy są mianowani przez państwa członkowskie, a następnie powoływani przez Radę, natomiast EDP są mianowani przez państwa członkowskie i powoływani przez kolegium; zachęca państwa członkowskie, by przyczyniły się do pełnej niezależności EDP i EPPO; zauważa, że EPPO dążyła do poprawy </w:t>
            </w:r>
            <w:r>
              <w:lastRenderedPageBreak/>
              <w:t>statusu pracy EDP, aby stanowisko to było bardziej atrakcyjne, np. do dostosowania wynagrodzenia EDP do wynagrodzenia urzędników Unii o równoważnym poziomie odpowiedzialności</w:t>
            </w:r>
            <w:r>
              <w:rPr>
                <w:b/>
                <w:i/>
              </w:rPr>
              <w:t xml:space="preserve"> (AD9)</w:t>
            </w:r>
            <w:r>
              <w:t xml:space="preserve">, a nie pozostawiania go na poziomie 80 % wynagrodzenia urzędników UE, jak pierwotnie </w:t>
            </w:r>
            <w:r>
              <w:rPr>
                <w:b/>
                <w:i/>
              </w:rPr>
              <w:t>zdecydowała Komisja</w:t>
            </w:r>
            <w:r>
              <w:t>, biorąc pod uwagę, że</w:t>
            </w:r>
            <w:r>
              <w:rPr>
                <w:b/>
                <w:i/>
              </w:rPr>
              <w:t xml:space="preserve"> kariera zawodowa pracowników EDP w systemach krajowych pozostaje niejasna, a w kilku przypadkach</w:t>
            </w:r>
            <w:r>
              <w:t xml:space="preserve"> wynagrodzenie krajowe najbardziej doświadczonych prokuratorów krajowych było wyższe niż wynagrodzenie oferowane na stanowisku EDP, co zobowiązuje EPPO do interwencji w celu zastosowania art. 16 ust. 1 warunków zatrudnienia EDP, który to przepis stanowi, że w przypadku całkowitego wynagrodzenia netto niższego niż wynagrodzenie krajowe oferuje się kwotę uzupełniającą w celu dopilnowania, aby wynagrodzenie odpowiadało poprzedniemu poziomowi; ponawia apel o przewidzenie jasnej ścieżki rozwoju kariery dla EDP i korzystniejszej dyscypliny administracyjnej w zakresie zabezpieczenia społecznego i ubezpieczenia zdrowotnego; nalega na utworzenie specjalnego statusu EDP, zgodnie z charakterem ich funkcji sądowniczej, i wzywa Komisję, aby w związku z nadchodzącym przeglądem rozporządzenia (UE) 2017/1939 zaproponowała odpowiednie zmiany, które obejmą również problem luki w zabezpieczeniu społecznym i ubezpieczeniu zdrowotnym EDP, jeszcze nierozwiązany przez wszystkie państwa członkowskie w drodze ustaleń ustawodawczych lub administracyjnych, chociaż ich przyjęcie jest obowiązkowe na mocy rozporządzenia 2017/1939;</w:t>
            </w:r>
          </w:p>
        </w:tc>
      </w:tr>
    </w:tbl>
    <w:p w14:paraId="0EEECCEB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Original</w:t>
      </w:r>
      <w:proofErr w:type="spellEnd"/>
      <w:r w:rsidRPr="005619FF">
        <w:rPr>
          <w:rStyle w:val="HideTWBExt"/>
        </w:rPr>
        <w:t>&gt;</w:t>
      </w:r>
    </w:p>
    <w:p w14:paraId="7A37FF6D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59617417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lastRenderedPageBreak/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42</w:t>
      </w:r>
      <w:r w:rsidRPr="005619FF">
        <w:rPr>
          <w:rStyle w:val="HideTWBExt"/>
        </w:rPr>
        <w:t>&lt;/NumAm&gt;</w:t>
      </w:r>
    </w:p>
    <w:p w14:paraId="0AAF6BED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</w:t>
      </w:r>
      <w:proofErr w:type="spellStart"/>
      <w:r>
        <w:t>Vasile-Voiculescu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 w:rsidRPr="005619FF">
        <w:rPr>
          <w:rStyle w:val="HideTWBExt"/>
          <w:b w:val="0"/>
        </w:rPr>
        <w:t>&lt;/Members&gt;</w:t>
      </w:r>
    </w:p>
    <w:p w14:paraId="06CC2736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6108FA5D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3079A105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54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6D62A5A0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3117C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4FBD5978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8D452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764EE4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5DE195B2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E25DD" w14:textId="77777777" w:rsidR="005619FF" w:rsidRPr="008D03DA" w:rsidRDefault="005619FF" w:rsidP="00FB1419">
            <w:pPr>
              <w:pStyle w:val="Normal6a"/>
            </w:pPr>
            <w:r>
              <w:t>54.</w:t>
            </w:r>
            <w:r>
              <w:tab/>
              <w:t>rozumie, że w 2024</w:t>
            </w:r>
            <w:r>
              <w:rPr>
                <w:b/>
                <w:i/>
              </w:rPr>
              <w:t> </w:t>
            </w:r>
            <w:r>
              <w:t xml:space="preserve">r. EPPO </w:t>
            </w:r>
            <w:r>
              <w:rPr>
                <w:b/>
                <w:i/>
              </w:rPr>
              <w:t>wolała przeprowadzić wewnętrzne badanie</w:t>
            </w:r>
            <w:r>
              <w:t xml:space="preserve"> zadowolenia pracowników</w:t>
            </w:r>
            <w:r>
              <w:rPr>
                <w:b/>
                <w:i/>
              </w:rPr>
              <w:t xml:space="preserve"> zamiast skorzystać</w:t>
            </w:r>
            <w:r>
              <w:t xml:space="preserve"> z usług zewnętrznego</w:t>
            </w:r>
            <w:r>
              <w:rPr>
                <w:b/>
                <w:i/>
              </w:rPr>
              <w:t>, kosztownego dostawcy</w:t>
            </w:r>
            <w:r>
              <w:t xml:space="preserve"> na podstawie obowiązującej umowy ramowej, ale </w:t>
            </w:r>
            <w:r>
              <w:rPr>
                <w:b/>
                <w:i/>
              </w:rPr>
              <w:t>ubolewa nad brakiem zaangażowania</w:t>
            </w:r>
            <w:r>
              <w:t xml:space="preserve"> komitetu pracowniczego</w:t>
            </w:r>
            <w:r>
              <w:rPr>
                <w:b/>
                <w:i/>
              </w:rPr>
              <w:t>, które byłoby bardziej odpowiednie; zauważa, że w ankiecie pracownicy wielokrotnie poruszali powtarzające się kwestie</w:t>
            </w:r>
            <w:r>
              <w:t xml:space="preserve">, </w:t>
            </w:r>
            <w:r>
              <w:rPr>
                <w:b/>
                <w:i/>
              </w:rPr>
              <w:t>koncentrując</w:t>
            </w:r>
            <w:r>
              <w:t xml:space="preserve"> się głównie na równowadze między życiem zawodowym a prywatnym oraz interpretacji dostępności telepracy z zagranicy </w:t>
            </w:r>
            <w:r>
              <w:rPr>
                <w:b/>
                <w:i/>
              </w:rPr>
              <w:t>ze względów</w:t>
            </w:r>
            <w:r>
              <w:t xml:space="preserve"> rodzinnych lub osobistych; zauważa, że EPPO wskazuje, iż jej </w:t>
            </w:r>
            <w:r>
              <w:rPr>
                <w:b/>
                <w:i/>
              </w:rPr>
              <w:t>sztywna dyscyplina w odniesieniu do</w:t>
            </w:r>
            <w:r>
              <w:t xml:space="preserve"> telepracy </w:t>
            </w:r>
            <w:r>
              <w:rPr>
                <w:b/>
                <w:i/>
              </w:rPr>
              <w:t>jest jednym z możliwych</w:t>
            </w:r>
            <w:r>
              <w:t xml:space="preserve"> czynników zniechęcających przy rekrutacji, i zachęca EPPO do dalszego </w:t>
            </w:r>
            <w:r>
              <w:rPr>
                <w:b/>
                <w:i/>
              </w:rPr>
              <w:t>poszukiwania rozwiązań alternatywnych</w:t>
            </w:r>
            <w:r>
              <w:t xml:space="preserve">, które – bez </w:t>
            </w:r>
            <w:r>
              <w:rPr>
                <w:b/>
                <w:i/>
              </w:rPr>
              <w:t>uszczerbku dla</w:t>
            </w:r>
            <w:r>
              <w:t xml:space="preserve"> skuteczności jej metod pracy </w:t>
            </w:r>
            <w:r>
              <w:rPr>
                <w:b/>
                <w:i/>
              </w:rPr>
              <w:t>i</w:t>
            </w:r>
            <w:r>
              <w:t xml:space="preserve"> kwestionowania kultury </w:t>
            </w:r>
            <w:r>
              <w:rPr>
                <w:b/>
                <w:i/>
              </w:rPr>
              <w:t>organizacji</w:t>
            </w:r>
            <w:r>
              <w:t xml:space="preserve"> – mogłyby </w:t>
            </w:r>
            <w:r>
              <w:rPr>
                <w:b/>
                <w:i/>
              </w:rPr>
              <w:t>zapewnić wyższy poziom autonomii</w:t>
            </w:r>
            <w:r>
              <w:t xml:space="preserve">, </w:t>
            </w:r>
            <w:r>
              <w:rPr>
                <w:b/>
                <w:i/>
              </w:rPr>
              <w:t>co z kolei mogłoby przynieść wyższy poziom zadowolenia</w:t>
            </w:r>
            <w:r>
              <w:t xml:space="preserve">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F5DE2" w14:textId="77777777" w:rsidR="005619FF" w:rsidRPr="008D03DA" w:rsidRDefault="005619FF" w:rsidP="00FB1419">
            <w:pPr>
              <w:pStyle w:val="Normal6a"/>
            </w:pPr>
            <w:r>
              <w:t>54.</w:t>
            </w:r>
            <w:r>
              <w:tab/>
              <w:t>rozumie, że w 2024</w:t>
            </w:r>
            <w:r>
              <w:rPr>
                <w:b/>
                <w:i/>
              </w:rPr>
              <w:t xml:space="preserve"> </w:t>
            </w:r>
            <w:r>
              <w:t xml:space="preserve">r. EPPO </w:t>
            </w:r>
            <w:r>
              <w:rPr>
                <w:b/>
                <w:i/>
              </w:rPr>
              <w:t>nie przeprowadziła badania</w:t>
            </w:r>
            <w:r>
              <w:t xml:space="preserve"> zadowolenia pracowników</w:t>
            </w:r>
            <w:r>
              <w:rPr>
                <w:b/>
                <w:i/>
              </w:rPr>
              <w:t>, ponieważ skorzystanie</w:t>
            </w:r>
            <w:r>
              <w:t xml:space="preserve"> z usług zewnętrznego</w:t>
            </w:r>
            <w:r>
              <w:rPr>
                <w:b/>
                <w:i/>
              </w:rPr>
              <w:t xml:space="preserve"> usługodawcy</w:t>
            </w:r>
            <w:r>
              <w:t xml:space="preserve"> na podstawie obowiązującej umowy ramowej</w:t>
            </w:r>
            <w:r>
              <w:rPr>
                <w:b/>
                <w:i/>
              </w:rPr>
              <w:t xml:space="preserve"> byłoby kosztowne</w:t>
            </w:r>
            <w:r>
              <w:t xml:space="preserve">, ale </w:t>
            </w:r>
            <w:r>
              <w:rPr>
                <w:b/>
                <w:i/>
              </w:rPr>
              <w:t>uwzględniła poprzednie badanie</w:t>
            </w:r>
            <w:r>
              <w:t xml:space="preserve"> komitetu pracowniczego</w:t>
            </w:r>
            <w:r>
              <w:rPr>
                <w:b/>
                <w:i/>
              </w:rPr>
              <w:t xml:space="preserve"> w odniesieniu do powtarzających się kwestii podnoszonych przez pracowników</w:t>
            </w:r>
            <w:r>
              <w:t xml:space="preserve">, </w:t>
            </w:r>
            <w:r>
              <w:rPr>
                <w:b/>
                <w:i/>
              </w:rPr>
              <w:t>koncentrujących</w:t>
            </w:r>
            <w:r>
              <w:t xml:space="preserve"> się głównie na równowadze między życiem zawodowym a prywatnym oraz interpretacji dostępności telepracy z zagranicy </w:t>
            </w:r>
            <w:r>
              <w:rPr>
                <w:b/>
                <w:i/>
              </w:rPr>
              <w:t>z powodów</w:t>
            </w:r>
            <w:r>
              <w:t xml:space="preserve"> rodzinnych lub osobistych; zauważa, że EPPO wskazuje, iż jej </w:t>
            </w:r>
            <w:r>
              <w:rPr>
                <w:b/>
                <w:i/>
              </w:rPr>
              <w:t>przepisy dotyczące</w:t>
            </w:r>
            <w:r>
              <w:t xml:space="preserve"> telepracy </w:t>
            </w:r>
            <w:r>
              <w:rPr>
                <w:b/>
                <w:i/>
              </w:rPr>
              <w:t>nie rekompensują</w:t>
            </w:r>
            <w:r>
              <w:t xml:space="preserve"> czynników zniechęcających przy rekrutacji</w:t>
            </w:r>
            <w:r>
              <w:rPr>
                <w:b/>
                <w:i/>
              </w:rPr>
              <w:t xml:space="preserve"> w Luksemburgu</w:t>
            </w:r>
            <w:r>
              <w:t xml:space="preserve">, i zachęca EPPO do dalszego </w:t>
            </w:r>
            <w:r>
              <w:rPr>
                <w:b/>
                <w:i/>
              </w:rPr>
              <w:t>zbadania możliwości</w:t>
            </w:r>
            <w:r>
              <w:t xml:space="preserve">, które – bez </w:t>
            </w:r>
            <w:r>
              <w:rPr>
                <w:b/>
                <w:i/>
              </w:rPr>
              <w:t>podważania</w:t>
            </w:r>
            <w:r>
              <w:t xml:space="preserve"> skuteczności jej metod pracy </w:t>
            </w:r>
            <w:r>
              <w:rPr>
                <w:b/>
                <w:i/>
              </w:rPr>
              <w:t>lub</w:t>
            </w:r>
            <w:r>
              <w:t xml:space="preserve"> kwestionowania </w:t>
            </w:r>
            <w:r>
              <w:rPr>
                <w:b/>
                <w:i/>
              </w:rPr>
              <w:t xml:space="preserve">jej </w:t>
            </w:r>
            <w:r>
              <w:t xml:space="preserve">kultury </w:t>
            </w:r>
            <w:r>
              <w:rPr>
                <w:b/>
                <w:i/>
              </w:rPr>
              <w:t>korporacyjnej</w:t>
            </w:r>
            <w:r>
              <w:t xml:space="preserve"> – mogłyby </w:t>
            </w:r>
            <w:r>
              <w:rPr>
                <w:b/>
                <w:i/>
              </w:rPr>
              <w:t>zwiększyć autonomię pracowników</w:t>
            </w:r>
            <w:r>
              <w:t xml:space="preserve">, </w:t>
            </w:r>
            <w:r>
              <w:rPr>
                <w:b/>
                <w:i/>
              </w:rPr>
              <w:t>a w rezultacie poprawić zadowolenie</w:t>
            </w:r>
            <w:r>
              <w:t xml:space="preserve"> pracowników;</w:t>
            </w:r>
          </w:p>
        </w:tc>
      </w:tr>
    </w:tbl>
    <w:p w14:paraId="3238AB67" w14:textId="77777777" w:rsidR="005619FF" w:rsidRPr="005619FF" w:rsidRDefault="005619FF" w:rsidP="005619FF">
      <w:pPr>
        <w:pStyle w:val="AmOrLang"/>
        <w:rPr>
          <w:lang w:val="es-ES" w:eastAsia="en-US"/>
        </w:rPr>
      </w:pPr>
      <w:proofErr w:type="spellStart"/>
      <w:r w:rsidRPr="005619FF">
        <w:rPr>
          <w:lang w:val="es-ES"/>
        </w:rPr>
        <w:t>Or</w:t>
      </w:r>
      <w:proofErr w:type="spellEnd"/>
      <w:r w:rsidRPr="005619FF">
        <w:rPr>
          <w:lang w:val="es-ES"/>
        </w:rPr>
        <w:t xml:space="preserve">. </w:t>
      </w:r>
      <w:r w:rsidRPr="005619FF">
        <w:rPr>
          <w:rStyle w:val="HideTWBExt"/>
          <w:lang w:val="es-ES"/>
        </w:rPr>
        <w:t>&lt;Original&gt;</w:t>
      </w:r>
      <w:r w:rsidRPr="005619FF">
        <w:rPr>
          <w:rStyle w:val="HideTWBInt"/>
          <w:lang w:val="es-ES"/>
        </w:rPr>
        <w:t>{EN}</w:t>
      </w:r>
      <w:r w:rsidRPr="005619FF">
        <w:rPr>
          <w:lang w:val="es-ES"/>
        </w:rPr>
        <w:t>en</w:t>
      </w:r>
      <w:r w:rsidRPr="005619FF">
        <w:rPr>
          <w:rStyle w:val="HideTWBExt"/>
          <w:lang w:val="es-ES"/>
        </w:rPr>
        <w:t>&lt;/Original&gt;</w:t>
      </w:r>
    </w:p>
    <w:p w14:paraId="43144ACF" w14:textId="77777777" w:rsidR="005619FF" w:rsidRPr="005619FF" w:rsidRDefault="005619FF" w:rsidP="005619FF">
      <w:pPr>
        <w:rPr>
          <w:lang w:val="es-ES"/>
        </w:rPr>
      </w:pPr>
      <w:r w:rsidRPr="005619FF">
        <w:rPr>
          <w:rStyle w:val="HideTWBExt"/>
          <w:lang w:val="es-ES"/>
        </w:rPr>
        <w:t>&lt;/Amend&gt;</w:t>
      </w:r>
    </w:p>
    <w:p w14:paraId="20932EBE" w14:textId="77777777" w:rsidR="005619FF" w:rsidRPr="005619FF" w:rsidRDefault="005619FF" w:rsidP="005619FF">
      <w:pPr>
        <w:pStyle w:val="AmNumberTabs"/>
        <w:rPr>
          <w:lang w:val="es-ES"/>
        </w:rPr>
      </w:pPr>
      <w:r w:rsidRPr="005619FF">
        <w:rPr>
          <w:rStyle w:val="HideTWBExt"/>
          <w:lang w:val="es-ES"/>
        </w:rPr>
        <w:t>&lt;Amend&gt;</w:t>
      </w:r>
      <w:proofErr w:type="spellStart"/>
      <w:r w:rsidRPr="005619FF">
        <w:rPr>
          <w:lang w:val="es-ES"/>
        </w:rPr>
        <w:t>Poprawka</w:t>
      </w:r>
      <w:proofErr w:type="spellEnd"/>
      <w:r w:rsidRPr="005619FF">
        <w:rPr>
          <w:lang w:val="es-ES"/>
        </w:rPr>
        <w:tab/>
      </w:r>
      <w:r w:rsidRPr="005619FF">
        <w:rPr>
          <w:lang w:val="es-ES"/>
        </w:rPr>
        <w:tab/>
      </w:r>
      <w:r w:rsidRPr="005619FF">
        <w:rPr>
          <w:rStyle w:val="HideTWBExt"/>
          <w:lang w:val="es-ES"/>
        </w:rPr>
        <w:t>&lt;NumAm&gt;</w:t>
      </w:r>
      <w:r w:rsidRPr="005619FF">
        <w:rPr>
          <w:lang w:val="es-ES"/>
        </w:rPr>
        <w:t>43</w:t>
      </w:r>
      <w:r w:rsidRPr="005619FF">
        <w:rPr>
          <w:rStyle w:val="HideTWBExt"/>
          <w:lang w:val="es-ES"/>
        </w:rPr>
        <w:t>&lt;/</w:t>
      </w:r>
      <w:proofErr w:type="spellStart"/>
      <w:r w:rsidRPr="005619FF">
        <w:rPr>
          <w:rStyle w:val="HideTWBExt"/>
          <w:lang w:val="es-ES"/>
        </w:rPr>
        <w:t>NumAm</w:t>
      </w:r>
      <w:proofErr w:type="spellEnd"/>
      <w:r w:rsidRPr="005619FF">
        <w:rPr>
          <w:rStyle w:val="HideTWBExt"/>
          <w:lang w:val="es-ES"/>
        </w:rPr>
        <w:t>&gt;</w:t>
      </w:r>
    </w:p>
    <w:p w14:paraId="4974FCF3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&lt;RepeatBlock-By&gt;&lt;Members&gt;</w:t>
      </w:r>
      <w:proofErr w:type="spellStart"/>
      <w:r w:rsidRPr="005619FF">
        <w:rPr>
          <w:lang w:val="es-ES"/>
        </w:rPr>
        <w:t>Csaba</w:t>
      </w:r>
      <w:proofErr w:type="spellEnd"/>
      <w:r w:rsidRPr="005619FF">
        <w:rPr>
          <w:lang w:val="es-ES"/>
        </w:rPr>
        <w:t xml:space="preserve"> </w:t>
      </w:r>
      <w:proofErr w:type="spellStart"/>
      <w:r w:rsidRPr="005619FF">
        <w:rPr>
          <w:lang w:val="es-ES"/>
        </w:rPr>
        <w:t>Molnár</w:t>
      </w:r>
      <w:proofErr w:type="spellEnd"/>
      <w:r w:rsidRPr="005619FF">
        <w:rPr>
          <w:rStyle w:val="HideTWBExt"/>
          <w:b w:val="0"/>
          <w:lang w:val="es-ES"/>
        </w:rPr>
        <w:t>&lt;/Members&gt;</w:t>
      </w:r>
    </w:p>
    <w:p w14:paraId="2818CC86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&lt;/RepeatBlock-By&gt;</w:t>
      </w:r>
    </w:p>
    <w:p w14:paraId="5A6AE6C7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52243FAD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60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7CE9E77A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BB274" w14:textId="77777777" w:rsidR="005619FF" w:rsidRPr="00403364" w:rsidRDefault="005619FF" w:rsidP="00FB1419"/>
        </w:tc>
      </w:tr>
      <w:tr w:rsidR="005619FF" w14:paraId="1647D54D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21D45" w14:textId="77777777" w:rsidR="005619FF" w:rsidRPr="00403364" w:rsidRDefault="005619FF" w:rsidP="00FB1419">
            <w:pPr>
              <w:pStyle w:val="AmColumnHeading"/>
            </w:pPr>
            <w: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09B3EA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13CE1F96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CEB4C7" w14:textId="77777777" w:rsidR="005619FF" w:rsidRPr="008D03DA" w:rsidRDefault="005619FF" w:rsidP="00FB1419">
            <w:pPr>
              <w:pStyle w:val="Normal6a"/>
            </w:pPr>
            <w:r>
              <w:t>60.</w:t>
            </w:r>
            <w:r>
              <w:tab/>
              <w:t>zauważa, że w następstwie pozytywnych wniosków z projektu pilotażowego zrealizowanego w 2023 r. opracowano politykę staży, która została zatwierdzona w 2024 r., a następnie w tym samym roku odbył się pierwszy cykl faktycznych staży; zauważa, że w 2024 r. w EPPO przyjętych było 8 stażystów, którzy pracowali – jak określono w polityce dotyczącej staży – w systemie czasowym powiązanym z systemem pracy pracowników statutowych EPPO, zgodnie z przepisami decyzji Komisji C(2022)1788 z dnia 24 marca 2022 r. w sprawie czasu pracy i pracy hybrydowej; docenia fakt, że wszyscy stażyści EPPO otrzymują miesięczny dochód (w formie subwencji);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A0CEA" w14:textId="77777777" w:rsidR="005619FF" w:rsidRPr="008D03DA" w:rsidRDefault="005619FF" w:rsidP="00FB1419">
            <w:pPr>
              <w:pStyle w:val="Normal6a"/>
            </w:pPr>
            <w:r>
              <w:t>60.</w:t>
            </w:r>
            <w:r>
              <w:tab/>
              <w:t xml:space="preserve">zauważa, że w następstwie pozytywnych wniosków z projektu pilotażowego zrealizowanego w 2023 r. opracowano politykę staży, która została zatwierdzona w 2024 r., a następnie w tym samym roku odbył się pierwszy cykl faktycznych staży; zauważa, że w 2024 r. w EPPO przyjętych było 8 stażystów, którzy pracowali – jak określono w polityce dotyczącej staży – w systemie czasowym powiązanym z systemem pracy pracowników statutowych EPPO, zgodnie z przepisami decyzji Komisji C(2022)1788 z dnia 24 marca 2022 r. w sprawie czasu pracy i pracy hybrydowej; docenia fakt, że wszyscy stażyści EPPO otrzymują miesięczny dochód (w formie subwencji); </w:t>
            </w:r>
            <w:r>
              <w:rPr>
                <w:b/>
                <w:i/>
              </w:rPr>
              <w:t>podkreśla, że wysokie koszty życia w Luksemburgu stanowią istotną przeszkodę dla potencjalnych stażystów;</w:t>
            </w:r>
          </w:p>
        </w:tc>
      </w:tr>
    </w:tbl>
    <w:p w14:paraId="659E8845" w14:textId="77777777" w:rsidR="005619FF" w:rsidRPr="005619FF" w:rsidRDefault="005619FF" w:rsidP="005619FF">
      <w:pPr>
        <w:pStyle w:val="AmOrLang"/>
        <w:rPr>
          <w:lang w:val="sv-SE" w:eastAsia="en-US"/>
        </w:rPr>
      </w:pPr>
      <w:r w:rsidRPr="005619FF">
        <w:rPr>
          <w:lang w:val="sv-SE"/>
        </w:rPr>
        <w:t xml:space="preserve">Or. </w:t>
      </w:r>
      <w:r w:rsidRPr="005619FF">
        <w:rPr>
          <w:rStyle w:val="HideTWBExt"/>
          <w:lang w:val="sv-SE"/>
        </w:rPr>
        <w:t>&lt;Original&gt;</w:t>
      </w:r>
      <w:r w:rsidRPr="005619FF">
        <w:rPr>
          <w:rStyle w:val="HideTWBInt"/>
          <w:lang w:val="sv-SE"/>
        </w:rPr>
        <w:t>{EN}</w:t>
      </w:r>
      <w:r w:rsidRPr="005619FF">
        <w:rPr>
          <w:lang w:val="sv-SE"/>
        </w:rPr>
        <w:t>en</w:t>
      </w:r>
      <w:r w:rsidRPr="005619FF">
        <w:rPr>
          <w:rStyle w:val="HideTWBExt"/>
          <w:lang w:val="sv-SE"/>
        </w:rPr>
        <w:t>&lt;/Original&gt;</w:t>
      </w:r>
    </w:p>
    <w:p w14:paraId="0DDEAF0D" w14:textId="77777777" w:rsidR="005619FF" w:rsidRPr="005619FF" w:rsidRDefault="005619FF" w:rsidP="005619FF">
      <w:pPr>
        <w:rPr>
          <w:lang w:val="sv-SE"/>
        </w:rPr>
      </w:pPr>
      <w:r w:rsidRPr="005619FF">
        <w:rPr>
          <w:rStyle w:val="HideTWBExt"/>
          <w:lang w:val="sv-SE"/>
        </w:rPr>
        <w:t>&lt;/Amend&gt;</w:t>
      </w:r>
    </w:p>
    <w:p w14:paraId="0E4B632E" w14:textId="77777777" w:rsidR="005619FF" w:rsidRPr="005619FF" w:rsidRDefault="005619FF" w:rsidP="005619FF">
      <w:pPr>
        <w:pStyle w:val="AmNumberTabs"/>
        <w:rPr>
          <w:lang w:val="sv-SE"/>
        </w:rPr>
      </w:pPr>
      <w:r w:rsidRPr="005619FF">
        <w:rPr>
          <w:rStyle w:val="HideTWBExt"/>
          <w:lang w:val="sv-SE"/>
        </w:rPr>
        <w:t>&lt;Amend&gt;</w:t>
      </w:r>
      <w:proofErr w:type="spellStart"/>
      <w:r w:rsidRPr="005619FF">
        <w:rPr>
          <w:lang w:val="sv-SE"/>
        </w:rPr>
        <w:t>Poprawka</w:t>
      </w:r>
      <w:proofErr w:type="spellEnd"/>
      <w:r w:rsidRPr="005619FF">
        <w:rPr>
          <w:lang w:val="sv-SE"/>
        </w:rPr>
        <w:tab/>
      </w:r>
      <w:r w:rsidRPr="005619FF">
        <w:rPr>
          <w:lang w:val="sv-SE"/>
        </w:rPr>
        <w:tab/>
      </w:r>
      <w:r w:rsidRPr="005619FF">
        <w:rPr>
          <w:rStyle w:val="HideTWBExt"/>
          <w:lang w:val="sv-SE"/>
        </w:rPr>
        <w:t>&lt;NumAm&gt;</w:t>
      </w:r>
      <w:r w:rsidRPr="005619FF">
        <w:rPr>
          <w:lang w:val="sv-SE"/>
        </w:rPr>
        <w:t>44</w:t>
      </w:r>
      <w:r w:rsidRPr="005619FF">
        <w:rPr>
          <w:rStyle w:val="HideTWBExt"/>
          <w:lang w:val="sv-SE"/>
        </w:rPr>
        <w:t>&lt;/</w:t>
      </w:r>
      <w:proofErr w:type="spellStart"/>
      <w:r w:rsidRPr="005619FF">
        <w:rPr>
          <w:rStyle w:val="HideTWBExt"/>
          <w:lang w:val="sv-SE"/>
        </w:rPr>
        <w:t>NumAm</w:t>
      </w:r>
      <w:proofErr w:type="spellEnd"/>
      <w:r w:rsidRPr="005619FF">
        <w:rPr>
          <w:rStyle w:val="HideTWBExt"/>
          <w:lang w:val="sv-SE"/>
        </w:rPr>
        <w:t>&gt;</w:t>
      </w:r>
    </w:p>
    <w:p w14:paraId="7D28A091" w14:textId="77777777" w:rsidR="005619FF" w:rsidRPr="005619FF" w:rsidRDefault="005619FF" w:rsidP="005619FF">
      <w:pPr>
        <w:pStyle w:val="NormalBold"/>
        <w:rPr>
          <w:lang w:val="sv-SE"/>
        </w:rPr>
      </w:pPr>
      <w:r w:rsidRPr="005619FF">
        <w:rPr>
          <w:rStyle w:val="HideTWBExt"/>
          <w:b w:val="0"/>
          <w:lang w:val="sv-SE"/>
        </w:rPr>
        <w:t>&lt;RepeatBlock-By&gt;&lt;Members&gt;</w:t>
      </w:r>
      <w:r w:rsidRPr="005619FF">
        <w:rPr>
          <w:lang w:val="sv-SE"/>
        </w:rPr>
        <w:t xml:space="preserve">Damian </w:t>
      </w:r>
      <w:proofErr w:type="spellStart"/>
      <w:r w:rsidRPr="005619FF">
        <w:rPr>
          <w:lang w:val="sv-SE"/>
        </w:rPr>
        <w:t>Boeselager</w:t>
      </w:r>
      <w:proofErr w:type="spellEnd"/>
      <w:r w:rsidRPr="005619FF">
        <w:rPr>
          <w:rStyle w:val="HideTWBExt"/>
          <w:b w:val="0"/>
          <w:lang w:val="sv-SE"/>
        </w:rPr>
        <w:t>&lt;/Members&gt;</w:t>
      </w:r>
    </w:p>
    <w:p w14:paraId="1AA4D81C" w14:textId="77777777" w:rsidR="005619FF" w:rsidRPr="008D03DA" w:rsidRDefault="005619FF" w:rsidP="005619FF">
      <w:r w:rsidRPr="005619FF">
        <w:rPr>
          <w:rStyle w:val="HideTWBExt"/>
        </w:rPr>
        <w:t>&lt;AuNomDe&gt;</w:t>
      </w:r>
      <w:r w:rsidRPr="005619FF">
        <w:rPr>
          <w:rStyle w:val="HideTWBInt"/>
          <w:color w:val="auto"/>
        </w:rPr>
        <w:t>{</w:t>
      </w:r>
      <w:proofErr w:type="spellStart"/>
      <w:r w:rsidRPr="005619FF">
        <w:rPr>
          <w:rStyle w:val="HideTWBInt"/>
          <w:color w:val="auto"/>
        </w:rPr>
        <w:t>Verts</w:t>
      </w:r>
      <w:proofErr w:type="spellEnd"/>
      <w:r w:rsidRPr="005619FF">
        <w:rPr>
          <w:rStyle w:val="HideTWBInt"/>
          <w:color w:val="auto"/>
        </w:rPr>
        <w:t>/</w:t>
      </w:r>
      <w:proofErr w:type="gramStart"/>
      <w:r w:rsidRPr="005619FF">
        <w:rPr>
          <w:rStyle w:val="HideTWBInt"/>
          <w:color w:val="auto"/>
        </w:rPr>
        <w:t>ALE}</w:t>
      </w:r>
      <w:r>
        <w:t>w</w:t>
      </w:r>
      <w:proofErr w:type="gramEnd"/>
      <w:r>
        <w:t xml:space="preserve"> imieniu grupy </w:t>
      </w:r>
      <w:proofErr w:type="spellStart"/>
      <w:r>
        <w:t>Verts</w:t>
      </w:r>
      <w:proofErr w:type="spellEnd"/>
      <w:r>
        <w:t>/ALE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AuNomDe</w:t>
      </w:r>
      <w:proofErr w:type="spellEnd"/>
      <w:r w:rsidRPr="005619FF">
        <w:rPr>
          <w:rStyle w:val="HideTWBExt"/>
        </w:rPr>
        <w:t>&gt;</w:t>
      </w:r>
    </w:p>
    <w:p w14:paraId="41036058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3993F652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7C5D8645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65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151FD682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50725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30516742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4F852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671303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570D7D4E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31615" w14:textId="77777777" w:rsidR="005619FF" w:rsidRPr="008D03DA" w:rsidRDefault="005619FF" w:rsidP="00FB1419">
            <w:pPr>
              <w:pStyle w:val="Normal6a"/>
            </w:pPr>
            <w:r>
              <w:t>65.</w:t>
            </w:r>
            <w:r>
              <w:tab/>
              <w:t xml:space="preserve">z zadowoleniem przyjmuje działania następcze EPPO w związku z najnowszą rezolucją Parlamentu w sprawie absolutorium, w której wezwano EPPO do przyjęcia specjalnej procedury sygnalizowania nieprawidłowości i przeciwdziałania działaniom odwetowym w celu włączenia przepisów wykonawczych do regulaminu pracowniczego przyjętego przez kolegium (decyzja kolegium 077/2021 ustanawiająca wytyczne dotyczące sygnalizowania </w:t>
            </w:r>
            <w:r>
              <w:lastRenderedPageBreak/>
              <w:t>nieprawidłowości mające zastosowanie w EPPO) oraz uzupełnienia art. 45 ust. 12 regulaminu finansowego EPPO (ustanawiającego działania, które należy podjąć w danych okolicznościach), tak aby zapewnić bezpieczne i chronione miejsce pracy; rozumie, że w 2024 r. przygotowano specjalną procedurę sygnalizowania nieprawidłowości i przeciwdziałania działaniom odwetowym, którą zatwierdzono na początku 2025 r.; zachęca EPPO do prowadzenia intensywnego dialogu wewnętrznego z zaufanymi doradcami na temat sygnalizowania nieprawidłowości oraz do zaangażowania NEDPA w nieodłącznie związane z tym kwestie;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A30BEE" w14:textId="77777777" w:rsidR="005619FF" w:rsidRPr="008D03DA" w:rsidRDefault="005619FF" w:rsidP="00FB1419">
            <w:pPr>
              <w:pStyle w:val="Normal6a"/>
            </w:pPr>
            <w:r>
              <w:lastRenderedPageBreak/>
              <w:t>65.</w:t>
            </w:r>
            <w:r>
              <w:tab/>
              <w:t xml:space="preserve">z zadowoleniem przyjmuje działania następcze EPPO w związku z najnowszą rezolucją Parlamentu w sprawie absolutorium, w której wezwano EPPO do przyjęcia specjalnej procedury sygnalizowania nieprawidłowości i przeciwdziałania działaniom odwetowym w celu włączenia przepisów wykonawczych do regulaminu pracowniczego przyjętego przez kolegium (decyzja kolegium 077/2021 ustanawiająca wytyczne dotyczące sygnalizowania </w:t>
            </w:r>
            <w:r>
              <w:lastRenderedPageBreak/>
              <w:t xml:space="preserve">nieprawidłowości mające zastosowanie w EPPO) oraz uzupełnienia art. 45 ust. 12 regulaminu finansowego EPPO (ustanawiającego działania, które należy podjąć w danych okolicznościach), tak aby zapewnić bezpieczne i chronione miejsce pracy; rozumie, że w 2024 r. przygotowano specjalną procedurę sygnalizowania nieprawidłowości i przeciwdziałania działaniom odwetowym, którą zatwierdzono na początku 2025 r.; zachęca EPPO do prowadzenia intensywnego dialogu wewnętrznego z zaufanymi doradcami na temat sygnalizowania nieprawidłowości oraz do zaangażowania NEDPA w nieodłącznie związane z tym kwestie; </w:t>
            </w:r>
            <w:r>
              <w:rPr>
                <w:b/>
                <w:i/>
              </w:rPr>
              <w:t>podkreśla, że skuteczne wdrożenie procedur sygnalizowania nieprawidłowości i przeciwdziałania działaniom odwetowym ma zasadnicze znaczenie dla ochrony wewnętrznej integralności i wiarygodności EPPO; zachęca EPPO do poinformowania organu udzielającego absolutorium o praktycznym funkcjonowaniu tych zabezpieczeń, łącznie ze świadomością pracowników i zaufaniem do systemu;</w:t>
            </w:r>
          </w:p>
        </w:tc>
      </w:tr>
    </w:tbl>
    <w:p w14:paraId="3B8CFCFE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2AD26614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3C7D19EF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45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2658AF1B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33426B03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16102184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03E28D1D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67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798A7B10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C41F1" w14:textId="77777777" w:rsidR="005619FF" w:rsidRPr="00403364" w:rsidRDefault="005619FF" w:rsidP="00FB1419"/>
        </w:tc>
      </w:tr>
      <w:tr w:rsidR="005619FF" w14:paraId="1D7A5D05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FFDB6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51459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697B11CD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F559D" w14:textId="77777777" w:rsidR="005619FF" w:rsidRPr="008D03DA" w:rsidRDefault="005619FF" w:rsidP="00FB1419">
            <w:pPr>
              <w:pStyle w:val="Normal6a"/>
            </w:pPr>
            <w:r>
              <w:t>67.</w:t>
            </w:r>
            <w:r>
              <w:tab/>
              <w:t xml:space="preserve">zauważa, że przejrzystość ma kluczowe znaczenie dla kontaktów EPPO z podmiotami zewnętrznymi; docenia gotowość EPPO do zbadania sposobów dalszego zwiększenia przejrzystości swoich kontaktów z podmiotami zewnętrznymi, z należytym uwzględnieniem wrażliwości i specyfiki </w:t>
            </w:r>
            <w:r>
              <w:lastRenderedPageBreak/>
              <w:t>funkcji prokuratorskiej oraz konieczności ochrony niezależności EPPO; podtrzymuje pogląd, że ustanowienie obowiązkowego publicznego rejestru wszystkich spotkań urzędników EPPO z przedstawicielami stron trzecich, w tym lobbystami i przedstawicielami rządów krajowych,</w:t>
            </w:r>
            <w:r>
              <w:rPr>
                <w:b/>
                <w:i/>
              </w:rPr>
              <w:t xml:space="preserve"> w znacznym stopniu</w:t>
            </w:r>
            <w:r>
              <w:t xml:space="preserve"> przyczyniłoby się do wzmocnienia zaufania publicznego do niezależności EPPO i zapobiegłoby postrzeganiu bezprawnego nacisku;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46F35" w14:textId="77777777" w:rsidR="005619FF" w:rsidRPr="008D03DA" w:rsidRDefault="005619FF" w:rsidP="00FB1419">
            <w:pPr>
              <w:pStyle w:val="Normal6a"/>
            </w:pPr>
            <w:r>
              <w:lastRenderedPageBreak/>
              <w:t>67.</w:t>
            </w:r>
            <w:r>
              <w:tab/>
              <w:t xml:space="preserve">zauważa, że przejrzystość ma kluczowe znaczenie dla kontaktów EPPO z podmiotami zewnętrznymi; docenia gotowość EPPO do zbadania sposobów dalszego zwiększenia przejrzystości swoich kontaktów z podmiotami zewnętrznymi, z należytym uwzględnieniem wrażliwości i specyfiki </w:t>
            </w:r>
            <w:r>
              <w:lastRenderedPageBreak/>
              <w:t>funkcji prokuratorskiej</w:t>
            </w:r>
            <w:r>
              <w:rPr>
                <w:b/>
                <w:i/>
              </w:rPr>
              <w:t>, łącznie z nadzorem sądowym,</w:t>
            </w:r>
            <w:r>
              <w:t xml:space="preserve"> oraz konieczności ochrony niezależności EPPO; podtrzymuje pogląd, że ustanowienie obowiązkowego publicznego rejestru wszystkich spotkań urzędników EPPO z przedstawicielami stron trzecich, w tym lobbystami i przedstawicielami rządów krajowych, przyczyniłoby się do wzmocnienia zaufania publicznego do niezależności EPPO i zapobiegłoby postrzeganiu bezprawnego nacisku;</w:t>
            </w:r>
          </w:p>
        </w:tc>
      </w:tr>
    </w:tbl>
    <w:p w14:paraId="3166E59A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Original</w:t>
      </w:r>
      <w:proofErr w:type="spellEnd"/>
      <w:r w:rsidRPr="005619FF">
        <w:rPr>
          <w:rStyle w:val="HideTWBExt"/>
        </w:rPr>
        <w:t>&gt;</w:t>
      </w:r>
    </w:p>
    <w:p w14:paraId="53830FA6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2B714FC4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46</w:t>
      </w:r>
      <w:r w:rsidRPr="005619FF">
        <w:rPr>
          <w:rStyle w:val="HideTWBExt"/>
        </w:rPr>
        <w:t>&lt;/NumAm&gt;</w:t>
      </w:r>
    </w:p>
    <w:p w14:paraId="350DE560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Ondřej</w:t>
      </w:r>
      <w:proofErr w:type="spellEnd"/>
      <w:r>
        <w:t xml:space="preserve"> Knotek, Virginie </w:t>
      </w:r>
      <w:proofErr w:type="spellStart"/>
      <w:r>
        <w:t>Joron</w:t>
      </w:r>
      <w:proofErr w:type="spellEnd"/>
      <w:r>
        <w:t xml:space="preserve">, </w:t>
      </w:r>
      <w:proofErr w:type="spellStart"/>
      <w:r>
        <w:t>Julien</w:t>
      </w:r>
      <w:proofErr w:type="spellEnd"/>
      <w:r>
        <w:t xml:space="preserve"> Sanchez</w:t>
      </w:r>
      <w:r w:rsidRPr="005619FF">
        <w:rPr>
          <w:rStyle w:val="HideTWBExt"/>
          <w:b w:val="0"/>
        </w:rPr>
        <w:t>&lt;/Members&gt;</w:t>
      </w:r>
    </w:p>
    <w:p w14:paraId="71255F2D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41C1303E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&lt;DocAmend&gt;</w:t>
      </w:r>
      <w:r>
        <w:t>Projekt rezolucji</w:t>
      </w:r>
      <w:r w:rsidRPr="005619FF">
        <w:rPr>
          <w:rStyle w:val="HideTWBExt"/>
        </w:rPr>
        <w:t>&lt;/DocAmend&gt;</w:t>
      </w:r>
    </w:p>
    <w:p w14:paraId="2B648DC5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&lt;Article&gt;</w:t>
      </w:r>
      <w:r>
        <w:t>Ustęp 67 a (nowy)</w:t>
      </w:r>
      <w:r w:rsidRPr="005619F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43844C84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F90D6" w14:textId="77777777" w:rsidR="005619FF" w:rsidRPr="005619FF" w:rsidRDefault="005619FF" w:rsidP="00FB1419"/>
        </w:tc>
      </w:tr>
      <w:tr w:rsidR="005619FF" w14:paraId="777C9B55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783793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8D127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CE36C95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007BD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59AE1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67a.</w:t>
            </w:r>
            <w:r>
              <w:tab/>
            </w:r>
            <w:r>
              <w:rPr>
                <w:b/>
                <w:i/>
              </w:rPr>
              <w:t>odnotowuje zarzuty podane do wiadomości publicznej 11 lipca 2025 r. w filmie wideo, w którym sygnalista oskarża Europejskiego Prokuratora Generalnego o ukrycie domniemanego nakazu zniszczenia dowodów związanych z korupcją i niewłaściwym wykorzystaniem funduszy unijnych w Rumunii; ubolewa, że Komisja nie odpowiedziała na pytania poselskie dotyczące autentyczności nagrania wideo; wzywa Komisję, przy pełnym poszanowaniu niezależności prokuratury i domniemania niewinności, do niezwłocznego wyjaśnienia, czy zarzuty zostały ocenione, oraz do poinformowania Parlamentu;</w:t>
            </w:r>
          </w:p>
        </w:tc>
      </w:tr>
    </w:tbl>
    <w:p w14:paraId="0BC93526" w14:textId="77777777" w:rsidR="005619FF" w:rsidRPr="008D03DA" w:rsidRDefault="005619FF" w:rsidP="005619FF">
      <w:pPr>
        <w:pStyle w:val="AmOrLang"/>
        <w:rPr>
          <w:lang w:val="fr-BE" w:eastAsia="en-US"/>
        </w:rPr>
      </w:pPr>
      <w:r w:rsidRPr="008D03DA">
        <w:rPr>
          <w:lang w:val="fr-BE"/>
        </w:rPr>
        <w:t xml:space="preserve">Or. </w:t>
      </w:r>
      <w:r w:rsidRPr="008D03DA">
        <w:rPr>
          <w:rStyle w:val="HideTWBExt"/>
          <w:lang w:val="fr-BE"/>
        </w:rPr>
        <w:t>&lt;Original&gt;</w:t>
      </w:r>
      <w:r w:rsidRPr="008D03DA">
        <w:rPr>
          <w:rStyle w:val="HideTWBInt"/>
          <w:lang w:val="fr-BE"/>
        </w:rPr>
        <w:t>{EN}</w:t>
      </w:r>
      <w:proofErr w:type="gramStart"/>
      <w:r w:rsidRPr="008D03DA">
        <w:rPr>
          <w:lang w:val="fr-BE"/>
        </w:rPr>
        <w:t>en</w:t>
      </w:r>
      <w:proofErr w:type="gramEnd"/>
      <w:r w:rsidRPr="008D03DA">
        <w:rPr>
          <w:rStyle w:val="HideTWBExt"/>
          <w:lang w:val="fr-BE"/>
        </w:rPr>
        <w:t>&lt;/Original&gt;</w:t>
      </w:r>
    </w:p>
    <w:p w14:paraId="41089BF1" w14:textId="77777777" w:rsidR="005619FF" w:rsidRPr="005619FF" w:rsidRDefault="005619FF" w:rsidP="005619FF">
      <w:pPr>
        <w:rPr>
          <w:lang w:val="fr-BE"/>
        </w:rPr>
      </w:pPr>
      <w:r>
        <w:rPr>
          <w:rStyle w:val="HideTWBExt"/>
          <w:lang w:val="fr-BE"/>
        </w:rPr>
        <w:t>&lt;/Amend&gt;</w:t>
      </w:r>
    </w:p>
    <w:p w14:paraId="28443CBE" w14:textId="77777777" w:rsidR="005619FF" w:rsidRPr="005619FF" w:rsidRDefault="005619FF" w:rsidP="005619FF">
      <w:pPr>
        <w:pStyle w:val="AmNumberTabs"/>
        <w:rPr>
          <w:lang w:val="fr-BE"/>
        </w:rPr>
      </w:pPr>
      <w:r>
        <w:rPr>
          <w:rStyle w:val="HideTWBExt"/>
          <w:lang w:val="fr-BE"/>
        </w:rPr>
        <w:t>&lt;Amend&gt;</w:t>
      </w:r>
      <w:proofErr w:type="spellStart"/>
      <w:r w:rsidRPr="005619FF">
        <w:rPr>
          <w:lang w:val="fr-BE"/>
        </w:rPr>
        <w:t>Poprawka</w:t>
      </w:r>
      <w:proofErr w:type="spellEnd"/>
      <w:r w:rsidRPr="005619FF">
        <w:rPr>
          <w:lang w:val="fr-BE"/>
        </w:rPr>
        <w:tab/>
      </w:r>
      <w:r w:rsidRPr="005619FF">
        <w:rPr>
          <w:lang w:val="fr-BE"/>
        </w:rPr>
        <w:tab/>
      </w:r>
      <w:r>
        <w:rPr>
          <w:rStyle w:val="HideTWBExt"/>
          <w:lang w:val="fr-BE"/>
        </w:rPr>
        <w:t>&lt;NumAm&gt;</w:t>
      </w:r>
      <w:r w:rsidRPr="005619FF">
        <w:rPr>
          <w:lang w:val="fr-BE"/>
        </w:rPr>
        <w:t>47</w:t>
      </w:r>
      <w:r>
        <w:rPr>
          <w:rStyle w:val="HideTWBExt"/>
          <w:lang w:val="fr-BE"/>
        </w:rPr>
        <w:t>&lt;/</w:t>
      </w:r>
      <w:proofErr w:type="spellStart"/>
      <w:r>
        <w:rPr>
          <w:rStyle w:val="HideTWBExt"/>
          <w:lang w:val="fr-BE"/>
        </w:rPr>
        <w:t>NumAm</w:t>
      </w:r>
      <w:proofErr w:type="spellEnd"/>
      <w:r>
        <w:rPr>
          <w:rStyle w:val="HideTWBExt"/>
          <w:lang w:val="fr-BE"/>
        </w:rPr>
        <w:t>&gt;</w:t>
      </w:r>
    </w:p>
    <w:p w14:paraId="5CDB0E01" w14:textId="77777777" w:rsidR="005619FF" w:rsidRPr="005619FF" w:rsidRDefault="005619FF" w:rsidP="005619FF">
      <w:pPr>
        <w:pStyle w:val="NormalBold"/>
        <w:rPr>
          <w:lang w:val="fr-BE"/>
        </w:rPr>
      </w:pPr>
      <w:r>
        <w:rPr>
          <w:rStyle w:val="HideTWBExt"/>
          <w:b w:val="0"/>
          <w:lang w:val="fr-BE"/>
        </w:rPr>
        <w:t>&lt;RepeatBlock-By&gt;&lt;Members&gt;</w:t>
      </w:r>
      <w:r w:rsidRPr="005619FF">
        <w:rPr>
          <w:lang w:val="fr-BE"/>
        </w:rPr>
        <w:t xml:space="preserve">Virginie </w:t>
      </w:r>
      <w:proofErr w:type="spellStart"/>
      <w:r w:rsidRPr="005619FF">
        <w:rPr>
          <w:lang w:val="fr-BE"/>
        </w:rPr>
        <w:t>Joron</w:t>
      </w:r>
      <w:proofErr w:type="spellEnd"/>
      <w:r w:rsidRPr="005619FF">
        <w:rPr>
          <w:lang w:val="fr-BE"/>
        </w:rPr>
        <w:t>, Julien Sanchez</w:t>
      </w:r>
      <w:r>
        <w:rPr>
          <w:rStyle w:val="HideTWBExt"/>
          <w:b w:val="0"/>
          <w:lang w:val="fr-BE"/>
        </w:rPr>
        <w:t>&lt;/</w:t>
      </w:r>
      <w:proofErr w:type="spellStart"/>
      <w:r>
        <w:rPr>
          <w:rStyle w:val="HideTWBExt"/>
          <w:b w:val="0"/>
          <w:lang w:val="fr-BE"/>
        </w:rPr>
        <w:t>Members</w:t>
      </w:r>
      <w:proofErr w:type="spellEnd"/>
      <w:r>
        <w:rPr>
          <w:rStyle w:val="HideTWBExt"/>
          <w:b w:val="0"/>
          <w:lang w:val="fr-BE"/>
        </w:rPr>
        <w:t>&gt;</w:t>
      </w:r>
    </w:p>
    <w:p w14:paraId="5AB5130E" w14:textId="77777777" w:rsidR="005619FF" w:rsidRPr="005619FF" w:rsidRDefault="005619FF" w:rsidP="005619FF">
      <w:pPr>
        <w:pStyle w:val="NormalBold"/>
        <w:rPr>
          <w:lang w:val="fr-BE"/>
        </w:rPr>
      </w:pPr>
      <w:r>
        <w:rPr>
          <w:rStyle w:val="HideTWBExt"/>
          <w:b w:val="0"/>
          <w:lang w:val="fr-BE"/>
        </w:rPr>
        <w:lastRenderedPageBreak/>
        <w:t>&lt;/RepeatBlock-By&gt;</w:t>
      </w:r>
    </w:p>
    <w:p w14:paraId="6FA8DFFE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&lt;DocAmend&gt;</w:t>
      </w:r>
      <w:r>
        <w:t>Projekt rezolucji</w:t>
      </w:r>
      <w:r w:rsidRPr="005619FF">
        <w:rPr>
          <w:rStyle w:val="HideTWBExt"/>
        </w:rPr>
        <w:t>&lt;/DocAmend&gt;</w:t>
      </w:r>
    </w:p>
    <w:p w14:paraId="3CA6004B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&lt;Article&gt;</w:t>
      </w:r>
      <w:r>
        <w:t>Ustęp 67 a (nowy)</w:t>
      </w:r>
      <w:r w:rsidRPr="005619F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3439E586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6222D" w14:textId="77777777" w:rsidR="005619FF" w:rsidRPr="005619FF" w:rsidRDefault="005619FF" w:rsidP="00FB1419"/>
        </w:tc>
      </w:tr>
      <w:tr w:rsidR="005619FF" w14:paraId="50B38445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722F8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53D09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1AC63EB9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62A9A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FD2020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67a.</w:t>
            </w:r>
            <w:r>
              <w:tab/>
            </w:r>
            <w:r>
              <w:rPr>
                <w:b/>
                <w:i/>
              </w:rPr>
              <w:t>Według Europejskiego Trybunału Obrachunkowego Komisja podpisała umowy o łącznej wartości 71 mld euro na zakup do 4,6 mld dawek szczepionek przeciwko COVID-19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. Ubolewa, że Prokuratura Europejska (EPPO) nadal odmawia udzielenia informacji lub odpowiedzi na pytania dotyczące zasobów i liczby pracowników przydzielonych do jej postępowania przygotowawczego w sprawie zamówień na szczepionki przeciwko COVID-19 lub harmonogramu tego postępowania przygotowawczego.</w:t>
            </w:r>
          </w:p>
        </w:tc>
      </w:tr>
      <w:tr w:rsidR="005619FF" w14:paraId="6E925CAC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1038B" w14:textId="77777777" w:rsidR="005619FF" w:rsidRPr="005619FF" w:rsidRDefault="005619FF" w:rsidP="00FB1419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1B826" w14:textId="77777777" w:rsidR="005619FF" w:rsidRPr="00403364" w:rsidRDefault="005619FF" w:rsidP="00FB1419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619FF" w:rsidRPr="005619FF" w14:paraId="072AD2EA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A2EA3" w14:textId="77777777" w:rsidR="005619FF" w:rsidRPr="00403364" w:rsidRDefault="005619FF" w:rsidP="00FB1419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DC22AB" w14:textId="77777777" w:rsidR="005619FF" w:rsidRPr="005619FF" w:rsidRDefault="005619FF" w:rsidP="00FB1419">
            <w:pPr>
              <w:pStyle w:val="Normal6a"/>
              <w:rPr>
                <w:lang w:val="pt-PT"/>
              </w:rPr>
            </w:pPr>
            <w:r w:rsidRPr="005619FF">
              <w:rPr>
                <w:b/>
                <w:i/>
                <w:vertAlign w:val="superscript"/>
                <w:lang w:val="pt-PT"/>
              </w:rPr>
              <w:t>1 a</w:t>
            </w:r>
            <w:r w:rsidRPr="005619FF">
              <w:rPr>
                <w:lang w:val="pt-PT"/>
              </w:rPr>
              <w:t xml:space="preserve"> </w:t>
            </w:r>
            <w:r w:rsidRPr="005619FF">
              <w:rPr>
                <w:b/>
                <w:i/>
                <w:lang w:val="pt-PT"/>
              </w:rPr>
              <w:t xml:space="preserve">https://www.eca.europa.eu/Lists/ECADocuments/SR22_19/SR_EU_COVID_vaccine_procurement_EN.pdf https://www.euractiv.com/news/pfizergate-commission-broke-transparency-rules-over-von-der-leyen-texts-court-rules/ </w:t>
            </w:r>
          </w:p>
        </w:tc>
      </w:tr>
    </w:tbl>
    <w:p w14:paraId="10EA17DA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{FR}</w:t>
      </w:r>
      <w:r w:rsidRPr="005619FF">
        <w:rPr>
          <w:lang w:val="it-IT"/>
        </w:rPr>
        <w:t>fr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7FA1CC8D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6962A88D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48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08E9296E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73E70C44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01CE8C76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6BEF32CD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74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1AFFDBE3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CDB8F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1DBD8B56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A34C42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1740A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6DC82C79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9724B5" w14:textId="77777777" w:rsidR="005619FF" w:rsidRPr="008D03DA" w:rsidRDefault="005619FF" w:rsidP="00FB1419">
            <w:pPr>
              <w:pStyle w:val="Normal6a"/>
            </w:pPr>
            <w:r>
              <w:t>74.</w:t>
            </w:r>
            <w:r>
              <w:tab/>
              <w:t xml:space="preserve">utrzymuje, że integracja systemu zarządzania sprawami EPPO z krajowymi systemami zarządzania sprawami jest niezbędna do zwiększenia skuteczności postępowań przygotowawczych i że należy ją przeprowadzić w kontekście przeglądu rozporządzenia (UE) 2017/1939; przewiduje, że taka integracja wymagałaby </w:t>
            </w:r>
            <w:r>
              <w:lastRenderedPageBreak/>
              <w:t xml:space="preserve">wspólnego spójnego poziomu cyfryzacji we wszystkich uczestniczących państwach członkowskich w celu utworzenia cyfrowego środowiska pracy, zabezpieczonego zgodnie z tym samym standardem co biuro centralne EPPO, </w:t>
            </w:r>
            <w:r>
              <w:rPr>
                <w:b/>
                <w:i/>
              </w:rPr>
              <w:t>oraz</w:t>
            </w:r>
            <w:r>
              <w:t xml:space="preserve"> że w szacunkach i prognozach budżetowych należy uwzględnić nieodłączne koszty dzielone między państwa członkowskie i Unię; docenia rolę i wkład NEDPA w skuteczne wykorzystywanie systemów i dostarczanie do nich treści oraz sugeruje, że należy rozważyć przyznanie NEDPA szczególnego statusu przy okazji przeglądu rozporządzenia (UE) 2017/1939;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67EBA7" w14:textId="77777777" w:rsidR="005619FF" w:rsidRPr="008D03DA" w:rsidRDefault="005619FF" w:rsidP="00FB1419">
            <w:pPr>
              <w:pStyle w:val="Normal6a"/>
            </w:pPr>
            <w:r>
              <w:lastRenderedPageBreak/>
              <w:t>74.</w:t>
            </w:r>
            <w:r>
              <w:tab/>
              <w:t xml:space="preserve">utrzymuje, że integracja systemu zarządzania sprawami EPPO z krajowymi systemami zarządzania sprawami jest niezbędna do zwiększenia skuteczności postępowań przygotowawczych i że należy ją przeprowadzić w kontekście przeglądu rozporządzenia (UE) 2017/1939; przewiduje, że taka integracja wymagałaby </w:t>
            </w:r>
            <w:r>
              <w:lastRenderedPageBreak/>
              <w:t xml:space="preserve">wspólnego spójnego poziomu cyfryzacji we wszystkich uczestniczących państwach członkowskich w celu utworzenia cyfrowego środowiska pracy, zabezpieczonego zgodnie z tym samym standardem co biuro centralne EPPO, </w:t>
            </w:r>
            <w:r>
              <w:rPr>
                <w:b/>
                <w:i/>
              </w:rPr>
              <w:t>przy pełnym poszanowaniu krajowych ram prawnych;  przypomina,</w:t>
            </w:r>
            <w:r>
              <w:t xml:space="preserve"> że w szacunkach i prognozach budżetowych należy uwzględnić nieodłączne koszty dzielone między państwa członkowskie i Unię; docenia rolę i wkład NEDPA w skuteczne wykorzystywanie systemów i dostarczanie do nich treści oraz sugeruje, że należy rozważyć przyznanie NEDPA szczególnego statusu przy okazji przeglądu rozporządzenia (UE) 2017/1939; </w:t>
            </w:r>
            <w:r>
              <w:rPr>
                <w:b/>
                <w:i/>
              </w:rPr>
              <w:t>podkreśla, że wszelka przyszła integracja powinna opierać się na zrównoważonym podziale odpowiedzialności między Unią a państwami członkowskimi;</w:t>
            </w:r>
          </w:p>
        </w:tc>
      </w:tr>
    </w:tbl>
    <w:p w14:paraId="335F10C0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611253B7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1194DB9F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49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16BA22E7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7DD9BDF9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2559F34B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06D74536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75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527C5672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6EE9B" w14:textId="77777777" w:rsidR="005619FF" w:rsidRPr="00403364" w:rsidRDefault="005619FF" w:rsidP="00FB1419"/>
        </w:tc>
      </w:tr>
      <w:tr w:rsidR="005619FF" w14:paraId="002B7270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D3EB7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BAA28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3A0B89C5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D1E51E" w14:textId="77777777" w:rsidR="005619FF" w:rsidRPr="008D03DA" w:rsidRDefault="005619FF" w:rsidP="00FB1419">
            <w:pPr>
              <w:pStyle w:val="Normal6a"/>
            </w:pPr>
            <w:r>
              <w:t>75.</w:t>
            </w:r>
            <w:r>
              <w:tab/>
              <w:t xml:space="preserve">uważa, że kluczowe znaczenie ma ograniczenie ryzyka dla integralności strukturalnej IT EPPO wynikającego z agresywnych praktyk organizacji przestępczych, w odniesieniu do których EPPO prowadzi postępowania przygotowawcze oraz wnosi i popiera oskarżenia, a które są skłonne do agresywnej reakcji na interwencje EPPO mające na celu zakłócenie ich działalności przestępczej; docenia fakt, że formalnie zatwierdzono i przyjęto w 2024 r. ogólną poprawioną strategię bezpieczeństwa i globalne ramy polityki bezpieczeństwa </w:t>
            </w:r>
            <w:r>
              <w:lastRenderedPageBreak/>
              <w:t xml:space="preserve">informacji, które to instrumenty zostały zaproponowane w 2023 r.; podkreśla, że bezpieczeństwo fizyczne i cyfrowe oraz zarządzanie nimi </w:t>
            </w:r>
            <w:r>
              <w:rPr>
                <w:b/>
                <w:i/>
              </w:rPr>
              <w:t>wymagają</w:t>
            </w:r>
            <w:r>
              <w:t xml:space="preserve"> zasobów, takich jak zasoby na potrzeby utworzenia specjalnej jednostki zajmującej się </w:t>
            </w:r>
            <w:proofErr w:type="spellStart"/>
            <w:r>
              <w:t>cyberbezpieczeństwem</w:t>
            </w:r>
            <w:proofErr w:type="spellEnd"/>
            <w:r>
              <w:t xml:space="preserve"> i bezpieczeństwem fizycznym;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F6CBF" w14:textId="77777777" w:rsidR="005619FF" w:rsidRPr="008D03DA" w:rsidRDefault="005619FF" w:rsidP="00FB1419">
            <w:pPr>
              <w:pStyle w:val="Normal6a"/>
            </w:pPr>
            <w:r>
              <w:lastRenderedPageBreak/>
              <w:t>75.</w:t>
            </w:r>
            <w:r>
              <w:tab/>
              <w:t xml:space="preserve">uważa, że kluczowe znaczenie ma ograniczenie ryzyka dla integralności strukturalnej IT EPPO wynikającego z agresywnych praktyk organizacji przestępczych, w odniesieniu do których EPPO prowadzi postępowania przygotowawcze oraz wnosi i popiera oskarżenia, a które są skłonne do agresywnej reakcji na interwencje EPPO mające na celu zakłócenie ich działalności przestępczej; docenia fakt, że formalnie zatwierdzono i przyjęto w 2024 r. ogólną poprawioną strategię bezpieczeństwa i globalne ramy polityki bezpieczeństwa </w:t>
            </w:r>
            <w:r>
              <w:lastRenderedPageBreak/>
              <w:t xml:space="preserve">informacji, które to instrumenty zostały zaproponowane w 2023 r.; podkreśla, że bezpieczeństwo fizyczne i cyfrowe oraz zarządzanie nimi </w:t>
            </w:r>
            <w:r>
              <w:rPr>
                <w:b/>
                <w:i/>
              </w:rPr>
              <w:t>są niezbędnymi czynnikami umożliwiającymi niezależność operacyjną i skuteczność EPPO oraz wymagającymi</w:t>
            </w:r>
            <w:r>
              <w:t xml:space="preserve"> zasobów, takich jak zasoby na potrzeby utworzenia specjalnej jednostki zajmującej się </w:t>
            </w:r>
            <w:proofErr w:type="spellStart"/>
            <w:r>
              <w:t>cyberbezpieczeństwem</w:t>
            </w:r>
            <w:proofErr w:type="spellEnd"/>
            <w:r>
              <w:t xml:space="preserve"> i bezpieczeństwem fizycznym;</w:t>
            </w:r>
          </w:p>
        </w:tc>
      </w:tr>
    </w:tbl>
    <w:p w14:paraId="67B10EC0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0E8FC0D5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2294156D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50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2606CB6B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6DB69306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10332E24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167DD05B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77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18A67DBF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EEC27" w14:textId="77777777" w:rsidR="005619FF" w:rsidRPr="00403364" w:rsidRDefault="005619FF" w:rsidP="00FB1419"/>
        </w:tc>
      </w:tr>
      <w:tr w:rsidR="005619FF" w14:paraId="3DE5261C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32B951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C235B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4BEB49C8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F3E806" w14:textId="77777777" w:rsidR="005619FF" w:rsidRPr="008D03DA" w:rsidRDefault="005619FF" w:rsidP="00FB1419">
            <w:pPr>
              <w:pStyle w:val="Normal6a"/>
            </w:pPr>
            <w:r>
              <w:t>77.</w:t>
            </w:r>
            <w:r>
              <w:tab/>
              <w:t xml:space="preserve">zauważa, że w obszarach operacyjnych EPPO zachowuje dużą ostrożność przy wykorzystywaniu sztucznej inteligencji i zgadza się, że chociaż AI może pomóc w przetwarzaniu danych, ocena dowodów i podejmowanie decyzji przez prokuraturę pozostają ściśle w zakresie pełnej odpowiedzialności człowieka; podkreśla, że EPPO nie postrzega AI jako narzędzia umożliwiającego zmniejszenie potrzeb personelu, ale raczej jako narzędzie wspierające radzenie sobie z rosnącym obciążeniem pracą; popiera ukierunkowane inwestycje w narzędzia i szkolenia związane z AI, których wpływ na budżet powinien zostać zrównoważony przyrostem wydajności w tłumaczeniach i innych procesach wsparcia; wzywa EPPO do przedstawienia pracownikom wytycznych dotyczących sposobu korzystania z tych instrumentów, w szczególności narzędzi ukierunkowanych na typowe procesy nieodłącznie związane </w:t>
            </w:r>
            <w:r>
              <w:lastRenderedPageBreak/>
              <w:t>ze szczególnym mandatem EPPO;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8FE95" w14:textId="77777777" w:rsidR="005619FF" w:rsidRPr="008D03DA" w:rsidRDefault="005619FF" w:rsidP="00FB1419">
            <w:pPr>
              <w:pStyle w:val="Normal6a"/>
            </w:pPr>
            <w:r>
              <w:lastRenderedPageBreak/>
              <w:t>77.</w:t>
            </w:r>
            <w:r>
              <w:tab/>
              <w:t xml:space="preserve">zauważa, że w obszarach operacyjnych EPPO zachowuje dużą ostrożność przy wykorzystywaniu sztucznej inteligencji i zgadza się, że chociaż AI może pomóc w przetwarzaniu danych, ocena dowodów i podejmowanie decyzji przez prokuraturę pozostają ściśle w zakresie pełnej odpowiedzialności człowieka; </w:t>
            </w:r>
            <w:r>
              <w:rPr>
                <w:b/>
                <w:i/>
              </w:rPr>
              <w:t>z zadowoleniem przyjmuje to podejście jako niezbędne do ochrony praw podstawowych, pewności prawa i rozliczalności;</w:t>
            </w:r>
            <w:r>
              <w:t xml:space="preserve"> podkreśla, że EPPO nie postrzega AI jako narzędzia umożliwiającego zmniejszenie potrzeb personelu, ale raczej jako narzędzie wspierające radzenie sobie z rosnącym obciążeniem pracą; popiera ukierunkowane inwestycje w narzędzia</w:t>
            </w:r>
            <w:r>
              <w:rPr>
                <w:b/>
                <w:i/>
              </w:rPr>
              <w:t xml:space="preserve"> – pod warunkiem, że ich stosowanie pozostaje proporcjonalne i podporządkowane nadzorowi człowieka –</w:t>
            </w:r>
            <w:r>
              <w:t xml:space="preserve"> i szkolenia związane z AI, których wpływ na budżet powinien zostać zrównoważony przyrostem wydajności w tłumaczeniach i </w:t>
            </w:r>
            <w:r>
              <w:lastRenderedPageBreak/>
              <w:t>innych procesach wsparcia; wzywa EPPO do przedstawienia pracownikom wytycznych dotyczących sposobu korzystania z tych instrumentów, w szczególności narzędzi ukierunkowanych na typowe procesy nieodłącznie związane ze szczególnym mandatem EPPO;</w:t>
            </w:r>
          </w:p>
        </w:tc>
      </w:tr>
    </w:tbl>
    <w:p w14:paraId="1C7A6B94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1F7DD227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39CF2AD6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51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5BAB1647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4D828705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2382B3DE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683B1873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87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4C594C0B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5D496" w14:textId="77777777" w:rsidR="005619FF" w:rsidRPr="00403364" w:rsidRDefault="005619FF" w:rsidP="00FB1419"/>
        </w:tc>
      </w:tr>
      <w:tr w:rsidR="005619FF" w14:paraId="4E19FC02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71BC3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80D28C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7F2F9F36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5A693" w14:textId="77777777" w:rsidR="005619FF" w:rsidRPr="008D03DA" w:rsidRDefault="005619FF" w:rsidP="00FB1419">
            <w:pPr>
              <w:pStyle w:val="Normal6a"/>
            </w:pPr>
            <w:r>
              <w:t>87.</w:t>
            </w:r>
            <w:r>
              <w:tab/>
              <w:t xml:space="preserve">jest świadomy wysiłków EPPO na rzecz skutecznej współpracy z Europolem, OLAF-em i </w:t>
            </w:r>
            <w:proofErr w:type="spellStart"/>
            <w:r>
              <w:t>Eurojustem</w:t>
            </w:r>
            <w:proofErr w:type="spellEnd"/>
            <w:r>
              <w:t xml:space="preserve">, która odbywa się zgodnie z mandatem każdej organizacji, w drodze regularnych spotkań na szczeblu kierowniczym i technicznym oraz procesów „trafienie/brak trafienia” wykorzystywanych do dwukierunkowej wymiany informacji i unikania powielania działań; ubolewa jednak nad ograniczoną skalą współpracy operacyjnej między OLAF-em a EPPO, potwierdzoną stale niską liczbą spraw EPPO wspieranych przez OLAF (cztery sprawy w 2023 r. i pięć spraw w 2024 r.) w porównaniu z liczbą spraw, w przypadku których EPPO otrzymało wsparcie w 2024 r. od </w:t>
            </w:r>
            <w:proofErr w:type="spellStart"/>
            <w:r>
              <w:t>Eurojustu</w:t>
            </w:r>
            <w:proofErr w:type="spellEnd"/>
            <w:r>
              <w:t xml:space="preserve"> (25) i Europolu (83); zauważa, że na współpracę z Europolem niekorzystnie wpływają ograniczenia wynikające z krajowego prawa karnego procesowego i dostępności posiadanych danych EPPO; uważa, że dalsze zacieśnianie współpracy z Europolem umożliwiłoby synergię i optymalizację zasobów, niezależnie od pilnej potrzeby opracowania przez EPPO jego wewnętrznej platformy analitycznej, która jest kluczowa dla szybkiej </w:t>
            </w:r>
            <w:r>
              <w:lastRenderedPageBreak/>
              <w:t>interpretacji danych zebranych podczas postępowań przygotowawczych i ustalania strategii operacyjnych w sprawach transgranicznych wymagających dostępu do całego systemu zarządzania sprawami EPPO; wzywa wszystkie strony do zbadania odpowiednich sposobów tworzenia synergii</w:t>
            </w:r>
            <w:r>
              <w:rPr>
                <w:b/>
                <w:i/>
              </w:rPr>
              <w:t xml:space="preserve"> i</w:t>
            </w:r>
            <w:r>
              <w:t xml:space="preserve"> zacieśniania współpracy na szczeblu operacyjnym; z zadowoleniem przyjmuje powołanie specjalnych grup roboczych na potrzeby zapowiedzianego przez Komisję przeglądu struktury zwalczania nadużyć finansowych i oczekuje, że debaty z udziałem wszystkich elementów tej struktury przyniosą wymierne usprawnienia w sposobie współpracy i koordynacji działań, które Komisja ma przedstawić do końca 2026 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44B0A" w14:textId="77777777" w:rsidR="005619FF" w:rsidRPr="008D03DA" w:rsidRDefault="005619FF" w:rsidP="00FB1419">
            <w:pPr>
              <w:pStyle w:val="Normal6a"/>
            </w:pPr>
            <w:r>
              <w:lastRenderedPageBreak/>
              <w:t>87.</w:t>
            </w:r>
            <w:r>
              <w:tab/>
              <w:t xml:space="preserve">jest świadomy wysiłków EPPO na rzecz skutecznej współpracy z Europolem, OLAF-em i </w:t>
            </w:r>
            <w:proofErr w:type="spellStart"/>
            <w:r>
              <w:t>Eurojustem</w:t>
            </w:r>
            <w:proofErr w:type="spellEnd"/>
            <w:r>
              <w:t xml:space="preserve">, która odbywa się zgodnie z mandatem każdej organizacji, w drodze regularnych spotkań na szczeblu kierowniczym i technicznym oraz procesów „trafienie/brak trafienia” wykorzystywanych do dwukierunkowej wymiany informacji i unikania powielania działań; ubolewa jednak nad ograniczoną skalą współpracy operacyjnej między OLAF-em a EPPO, potwierdzoną stale niską liczbą spraw EPPO wspieranych przez OLAF (cztery sprawy w 2023 r. i pięć spraw w 2024 r.) w porównaniu z liczbą spraw, w przypadku których EPPO otrzymało wsparcie w 2024 r. od </w:t>
            </w:r>
            <w:proofErr w:type="spellStart"/>
            <w:r>
              <w:t>Eurojustu</w:t>
            </w:r>
            <w:proofErr w:type="spellEnd"/>
            <w:r>
              <w:t xml:space="preserve"> (25) i Europolu (83); zauważa, że na współpracę z Europolem niekorzystnie wpływają ograniczenia wynikające z krajowego prawa karnego procesowego i dostępności posiadanych danych EPPO; uważa, że dalsze zacieśnianie współpracy z Europolem umożliwiłoby synergię i optymalizację zasobów, niezależnie od pilnej potrzeby opracowania przez EPPO jego wewnętrznej platformy analitycznej, która jest kluczowa dla szybkiej </w:t>
            </w:r>
            <w:r>
              <w:lastRenderedPageBreak/>
              <w:t>interpretacji danych zebranych podczas postępowań przygotowawczych i ustalania strategii operacyjnych w sprawach transgranicznych wymagających dostępu do całego systemu zarządzania sprawami EPPO; wzywa wszystkie strony do zbadania odpowiednich sposobów tworzenia synergii</w:t>
            </w:r>
            <w:r>
              <w:rPr>
                <w:b/>
                <w:i/>
              </w:rPr>
              <w:t>,</w:t>
            </w:r>
            <w:r>
              <w:t xml:space="preserve"> zacieśniania współpracy na szczeblu operacyjnym</w:t>
            </w:r>
            <w:r>
              <w:rPr>
                <w:b/>
                <w:i/>
              </w:rPr>
              <w:t>, unikania powielania zadań i lepszego wykorzystania istniejących możliwości analitycznych</w:t>
            </w:r>
            <w:r>
              <w:t>; z zadowoleniem przyjmuje powołanie specjalnych grup roboczych na potrzeby zapowiedzianego przez Komisję przeglądu struktury zwalczania nadużyć finansowych i oczekuje, że debaty z udziałem wszystkich elementów tej struktury przyniosą wymierne usprawnienia w sposobie współpracy i koordynacji działań, które Komisja ma przedstawić do końca 2026 r.;</w:t>
            </w:r>
          </w:p>
        </w:tc>
      </w:tr>
    </w:tbl>
    <w:p w14:paraId="60FBDFFD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39CCD30A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5CEE0C03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52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334FA4E2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11754B1F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5BCF8FA5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44C68D4D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89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585C0464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78D14" w14:textId="77777777" w:rsidR="005619FF" w:rsidRPr="00403364" w:rsidRDefault="005619FF" w:rsidP="00FB1419"/>
        </w:tc>
      </w:tr>
      <w:tr w:rsidR="005619FF" w14:paraId="52D25905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15F25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C0114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BB8609F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DFF36" w14:textId="77777777" w:rsidR="005619FF" w:rsidRPr="008D03DA" w:rsidRDefault="005619FF" w:rsidP="00FB1419">
            <w:pPr>
              <w:pStyle w:val="Normal6a"/>
            </w:pPr>
            <w:r>
              <w:t>89.</w:t>
            </w:r>
            <w:r>
              <w:tab/>
              <w:t xml:space="preserve">uważa, że przegląd ram regulacyjnych OLAF-u i EPPO stanowi okazję do ponownego rozważenia wielu aspektów ich współpracy w świetle doświadczeń zdobytych w tych latach działalności operacyjnej; podkreśla, że wnioski wyciągnięte z prowadzenia zarówno dochodzeń uzupełniających (proponowanych przez OLAF), jak i dochodzeń wspierających (na wniosek EPPO) dostarczyły dobrego zestawu informacji, na których można oprzeć przekształcenie </w:t>
            </w:r>
            <w:r>
              <w:rPr>
                <w:b/>
                <w:i/>
              </w:rPr>
              <w:t>modułu</w:t>
            </w:r>
            <w:r>
              <w:t xml:space="preserve"> współpracy; podkreśla, że to samo doświadczenie </w:t>
            </w:r>
            <w:r>
              <w:lastRenderedPageBreak/>
              <w:t xml:space="preserve">operacyjne wskazuje na potrzebę zwiększenia wykrywalności i lepszej sprawozdawczości; zauważa, że w 2024 r. w Parlamencie </w:t>
            </w:r>
            <w:r>
              <w:rPr>
                <w:b/>
                <w:i/>
              </w:rPr>
              <w:t>odbyła</w:t>
            </w:r>
            <w:r>
              <w:t xml:space="preserve"> się </w:t>
            </w:r>
            <w:r>
              <w:rPr>
                <w:b/>
                <w:i/>
              </w:rPr>
              <w:t>pierwsza międzynarodowa wymiana poglądów</w:t>
            </w:r>
            <w:r>
              <w:t xml:space="preserve"> między prokuratorami EPPO a urzędnikami OLAF-u prowadzącymi dochodzenia; uważa, że można </w:t>
            </w:r>
            <w:r>
              <w:rPr>
                <w:b/>
                <w:i/>
              </w:rPr>
              <w:t>ją</w:t>
            </w:r>
            <w:r>
              <w:t xml:space="preserve"> uznać za pilotaż praktyki wymiany poglądów, która powinna stać się </w:t>
            </w:r>
            <w:r>
              <w:rPr>
                <w:b/>
                <w:i/>
              </w:rPr>
              <w:t>obowiązkowa i okresowa</w:t>
            </w:r>
            <w:r>
              <w:t>; przypomina, że odpowiedni dialog i współpracę między elementami unijnej struktury zwalczania nadużyć finansowych można osiągnąć jedynie przez ustanowienie obowiązkowego forum międzyinstytucjonalnego, na którym można podchodzić do kwestii strategicznych i je omawiać, aby zoptymalizować zasoby i zapewnić wymierne rezultaty;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4B820" w14:textId="77777777" w:rsidR="005619FF" w:rsidRPr="008D03DA" w:rsidRDefault="005619FF" w:rsidP="00FB1419">
            <w:pPr>
              <w:pStyle w:val="Normal6a"/>
            </w:pPr>
            <w:r>
              <w:lastRenderedPageBreak/>
              <w:t>89.</w:t>
            </w:r>
            <w:r>
              <w:tab/>
              <w:t xml:space="preserve">uważa, że przegląd ram regulacyjnych OLAF-u i EPPO stanowi okazję do ponownego rozważenia wielu aspektów ich współpracy w świetle doświadczeń zdobytych w tych latach działalności operacyjnej; podkreśla, że wnioski wyciągnięte z prowadzenia zarówno dochodzeń uzupełniających (proponowanych przez OLAF), jak i dochodzeń wspierających (na wniosek EPPO) dostarczyły dobrego zestawu informacji, na których można oprzeć przekształcenie </w:t>
            </w:r>
            <w:r>
              <w:rPr>
                <w:b/>
                <w:i/>
              </w:rPr>
              <w:t>metod</w:t>
            </w:r>
            <w:r>
              <w:t xml:space="preserve"> współpracy; podkreśla, że to samo doświadczenie </w:t>
            </w:r>
            <w:r>
              <w:lastRenderedPageBreak/>
              <w:t xml:space="preserve">operacyjne wskazuje na potrzebę zwiększenia wykrywalności i lepszej sprawozdawczości; zauważa, że w 2024 r. w Parlamencie </w:t>
            </w:r>
            <w:r>
              <w:rPr>
                <w:b/>
                <w:i/>
              </w:rPr>
              <w:t>odbyło</w:t>
            </w:r>
            <w:r>
              <w:t xml:space="preserve"> się </w:t>
            </w:r>
            <w:r>
              <w:rPr>
                <w:b/>
                <w:i/>
              </w:rPr>
              <w:t>pierwsze wspólne posiedzenie</w:t>
            </w:r>
            <w:r>
              <w:t xml:space="preserve"> między prokuratorami EPPO a urzędnikami OLAF-u prowadzącymi dochodzenia; uważa, że można </w:t>
            </w:r>
            <w:r>
              <w:rPr>
                <w:b/>
                <w:i/>
              </w:rPr>
              <w:t>je</w:t>
            </w:r>
            <w:r>
              <w:t xml:space="preserve"> uznać za pilotaż praktyki wymiany poglądów, która powinna stać się </w:t>
            </w:r>
            <w:r>
              <w:rPr>
                <w:b/>
                <w:i/>
              </w:rPr>
              <w:t>okresowa, pod warunkiem dostępności zasobów finansowych</w:t>
            </w:r>
            <w:r>
              <w:t>; przypomina, że odpowiedni dialog i współpracę między elementami unijnej struktury zwalczania nadużyć finansowych można osiągnąć jedynie przez ustanowienie obowiązkowego forum międzyinstytucjonalnego, na którym można podchodzić do kwestii strategicznych i je omawiać, aby zoptymalizować zasoby i zapewnić wymierne rezultaty;</w:t>
            </w:r>
          </w:p>
        </w:tc>
      </w:tr>
    </w:tbl>
    <w:p w14:paraId="3B5F61B2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Original</w:t>
      </w:r>
      <w:proofErr w:type="spellEnd"/>
      <w:r w:rsidRPr="005619FF">
        <w:rPr>
          <w:rStyle w:val="HideTWBExt"/>
        </w:rPr>
        <w:t>&gt;</w:t>
      </w:r>
    </w:p>
    <w:p w14:paraId="5533AA67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626DB9C4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53</w:t>
      </w:r>
      <w:r w:rsidRPr="005619FF">
        <w:rPr>
          <w:rStyle w:val="HideTWBExt"/>
        </w:rPr>
        <w:t>&lt;/NumAm&gt;</w:t>
      </w:r>
    </w:p>
    <w:p w14:paraId="267C8533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Ondřej</w:t>
      </w:r>
      <w:proofErr w:type="spellEnd"/>
      <w:r>
        <w:t xml:space="preserve"> Knotek, Virginie </w:t>
      </w:r>
      <w:proofErr w:type="spellStart"/>
      <w:r>
        <w:t>Joron</w:t>
      </w:r>
      <w:proofErr w:type="spellEnd"/>
      <w:r>
        <w:t xml:space="preserve">, </w:t>
      </w:r>
      <w:proofErr w:type="spellStart"/>
      <w:r>
        <w:t>Julien</w:t>
      </w:r>
      <w:proofErr w:type="spellEnd"/>
      <w:r>
        <w:t xml:space="preserve"> Sanchez</w:t>
      </w:r>
      <w:r w:rsidRPr="005619FF">
        <w:rPr>
          <w:rStyle w:val="HideTWBExt"/>
          <w:b w:val="0"/>
        </w:rPr>
        <w:t>&lt;/Members&gt;</w:t>
      </w:r>
    </w:p>
    <w:p w14:paraId="120EBCB6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5A6A5B05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&lt;DocAmend&gt;</w:t>
      </w:r>
      <w:r>
        <w:t>Projekt rezolucji</w:t>
      </w:r>
      <w:r w:rsidRPr="005619FF">
        <w:rPr>
          <w:rStyle w:val="HideTWBExt"/>
        </w:rPr>
        <w:t>&lt;/DocAmend&gt;</w:t>
      </w:r>
    </w:p>
    <w:p w14:paraId="3D32C4E7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&lt;Article&gt;</w:t>
      </w:r>
      <w:proofErr w:type="spellStart"/>
      <w:r>
        <w:t>Ustep</w:t>
      </w:r>
      <w:proofErr w:type="spellEnd"/>
      <w:r>
        <w:t xml:space="preserve"> 91 a (nowy)</w:t>
      </w:r>
      <w:r w:rsidRPr="005619F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4C28F18F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8B5F2" w14:textId="77777777" w:rsidR="005619FF" w:rsidRPr="005619FF" w:rsidRDefault="005619FF" w:rsidP="00FB1419"/>
        </w:tc>
      </w:tr>
      <w:tr w:rsidR="005619FF" w14:paraId="21E60044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7E353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68C1F7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46AFFDE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4FAE3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98332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91a.</w:t>
            </w:r>
            <w:r>
              <w:tab/>
            </w:r>
            <w:r>
              <w:rPr>
                <w:b/>
                <w:i/>
              </w:rPr>
              <w:t>podkreśla, że oszustwa na dużą skalę związane z VAT stanowią nie tylko przestępstwo finansowe, ale również bezpośredni atak na rynek wewnętrzny i uczciwą konkurencję, co w nieproporcjonalny sposób szkodzi przestrzegającym prawa podatnikom i MŚP; podkreśla, że tolerancja oszustw na dużą skalę związanych z VAT podważa zaufanie obywateli do Unii; podkreśla, że walka z oszustwami związanymi z VAT musi być traktowana jako kwestia wiarygodności politycznej, a nie tylko technicznego egzekwowania;</w:t>
            </w:r>
          </w:p>
        </w:tc>
      </w:tr>
    </w:tbl>
    <w:p w14:paraId="17E68DF1" w14:textId="77777777" w:rsidR="005619FF" w:rsidRPr="005619FF" w:rsidRDefault="005619FF" w:rsidP="005619FF">
      <w:pPr>
        <w:pStyle w:val="AmOrLang"/>
        <w:rPr>
          <w:lang w:val="sv-SE" w:eastAsia="en-US"/>
        </w:rPr>
      </w:pPr>
      <w:r w:rsidRPr="005619FF">
        <w:rPr>
          <w:lang w:val="sv-SE"/>
        </w:rPr>
        <w:lastRenderedPageBreak/>
        <w:t xml:space="preserve">Or. </w:t>
      </w:r>
      <w:r w:rsidRPr="005619FF">
        <w:rPr>
          <w:rStyle w:val="HideTWBExt"/>
          <w:lang w:val="sv-SE"/>
        </w:rPr>
        <w:t>&lt;Original&gt;</w:t>
      </w:r>
      <w:r w:rsidRPr="005619FF">
        <w:rPr>
          <w:rStyle w:val="HideTWBInt"/>
          <w:lang w:val="sv-SE"/>
        </w:rPr>
        <w:t>{EN}</w:t>
      </w:r>
      <w:r w:rsidRPr="005619FF">
        <w:rPr>
          <w:lang w:val="sv-SE"/>
        </w:rPr>
        <w:t>en</w:t>
      </w:r>
      <w:r w:rsidRPr="005619FF">
        <w:rPr>
          <w:rStyle w:val="HideTWBExt"/>
          <w:lang w:val="sv-SE"/>
        </w:rPr>
        <w:t>&lt;/Original&gt;</w:t>
      </w:r>
    </w:p>
    <w:p w14:paraId="02E00310" w14:textId="77777777" w:rsidR="005619FF" w:rsidRPr="005619FF" w:rsidRDefault="005619FF" w:rsidP="005619FF">
      <w:pPr>
        <w:rPr>
          <w:lang w:val="sv-SE"/>
        </w:rPr>
      </w:pPr>
      <w:r w:rsidRPr="005619FF">
        <w:rPr>
          <w:rStyle w:val="HideTWBExt"/>
          <w:lang w:val="sv-SE"/>
        </w:rPr>
        <w:t>&lt;/Amend&gt;</w:t>
      </w:r>
    </w:p>
    <w:p w14:paraId="0C893E74" w14:textId="77777777" w:rsidR="005619FF" w:rsidRPr="005619FF" w:rsidRDefault="005619FF" w:rsidP="005619FF">
      <w:pPr>
        <w:pStyle w:val="AmNumberTabs"/>
        <w:rPr>
          <w:lang w:val="sv-SE"/>
        </w:rPr>
      </w:pPr>
      <w:r w:rsidRPr="005619FF">
        <w:rPr>
          <w:rStyle w:val="HideTWBExt"/>
          <w:lang w:val="sv-SE"/>
        </w:rPr>
        <w:t>&lt;Amend&gt;</w:t>
      </w:r>
      <w:proofErr w:type="spellStart"/>
      <w:r w:rsidRPr="005619FF">
        <w:rPr>
          <w:lang w:val="sv-SE"/>
        </w:rPr>
        <w:t>Poprawka</w:t>
      </w:r>
      <w:proofErr w:type="spellEnd"/>
      <w:r w:rsidRPr="005619FF">
        <w:rPr>
          <w:lang w:val="sv-SE"/>
        </w:rPr>
        <w:tab/>
      </w:r>
      <w:r w:rsidRPr="005619FF">
        <w:rPr>
          <w:lang w:val="sv-SE"/>
        </w:rPr>
        <w:tab/>
      </w:r>
      <w:r w:rsidRPr="005619FF">
        <w:rPr>
          <w:rStyle w:val="HideTWBExt"/>
          <w:lang w:val="sv-SE"/>
        </w:rPr>
        <w:t>&lt;NumAm&gt;</w:t>
      </w:r>
      <w:r w:rsidRPr="005619FF">
        <w:rPr>
          <w:lang w:val="sv-SE"/>
        </w:rPr>
        <w:t>54</w:t>
      </w:r>
      <w:r w:rsidRPr="005619FF">
        <w:rPr>
          <w:rStyle w:val="HideTWBExt"/>
          <w:lang w:val="sv-SE"/>
        </w:rPr>
        <w:t>&lt;/</w:t>
      </w:r>
      <w:proofErr w:type="spellStart"/>
      <w:r w:rsidRPr="005619FF">
        <w:rPr>
          <w:rStyle w:val="HideTWBExt"/>
          <w:lang w:val="sv-SE"/>
        </w:rPr>
        <w:t>NumAm</w:t>
      </w:r>
      <w:proofErr w:type="spellEnd"/>
      <w:r w:rsidRPr="005619FF">
        <w:rPr>
          <w:rStyle w:val="HideTWBExt"/>
          <w:lang w:val="sv-SE"/>
        </w:rPr>
        <w:t>&gt;</w:t>
      </w:r>
    </w:p>
    <w:p w14:paraId="082D9387" w14:textId="77777777" w:rsidR="005619FF" w:rsidRPr="005619FF" w:rsidRDefault="005619FF" w:rsidP="005619FF">
      <w:pPr>
        <w:pStyle w:val="NormalBold"/>
        <w:rPr>
          <w:lang w:val="sv-SE"/>
        </w:rPr>
      </w:pPr>
      <w:r w:rsidRPr="005619FF">
        <w:rPr>
          <w:rStyle w:val="HideTWBExt"/>
          <w:b w:val="0"/>
          <w:lang w:val="sv-SE"/>
        </w:rPr>
        <w:t>&lt;RepeatBlock-By&gt;&lt;Members&gt;</w:t>
      </w:r>
      <w:r w:rsidRPr="005619FF">
        <w:rPr>
          <w:lang w:val="sv-SE"/>
        </w:rPr>
        <w:t xml:space="preserve">Damian </w:t>
      </w:r>
      <w:proofErr w:type="spellStart"/>
      <w:r w:rsidRPr="005619FF">
        <w:rPr>
          <w:lang w:val="sv-SE"/>
        </w:rPr>
        <w:t>Boeselager</w:t>
      </w:r>
      <w:proofErr w:type="spellEnd"/>
      <w:r w:rsidRPr="005619FF">
        <w:rPr>
          <w:rStyle w:val="HideTWBExt"/>
          <w:b w:val="0"/>
          <w:lang w:val="sv-SE"/>
        </w:rPr>
        <w:t>&lt;/Members&gt;</w:t>
      </w:r>
    </w:p>
    <w:p w14:paraId="57815C09" w14:textId="77777777" w:rsidR="005619FF" w:rsidRPr="008D03DA" w:rsidRDefault="005619FF" w:rsidP="005619FF">
      <w:r w:rsidRPr="005619FF">
        <w:rPr>
          <w:rStyle w:val="HideTWBExt"/>
        </w:rPr>
        <w:t>&lt;AuNomDe&gt;</w:t>
      </w:r>
      <w:r w:rsidRPr="005619FF">
        <w:rPr>
          <w:rStyle w:val="HideTWBInt"/>
          <w:color w:val="auto"/>
        </w:rPr>
        <w:t>{</w:t>
      </w:r>
      <w:proofErr w:type="spellStart"/>
      <w:r w:rsidRPr="005619FF">
        <w:rPr>
          <w:rStyle w:val="HideTWBInt"/>
          <w:color w:val="auto"/>
        </w:rPr>
        <w:t>Verts</w:t>
      </w:r>
      <w:proofErr w:type="spellEnd"/>
      <w:r w:rsidRPr="005619FF">
        <w:rPr>
          <w:rStyle w:val="HideTWBInt"/>
          <w:color w:val="auto"/>
        </w:rPr>
        <w:t>/</w:t>
      </w:r>
      <w:proofErr w:type="gramStart"/>
      <w:r w:rsidRPr="005619FF">
        <w:rPr>
          <w:rStyle w:val="HideTWBInt"/>
          <w:color w:val="auto"/>
        </w:rPr>
        <w:t>ALE}</w:t>
      </w:r>
      <w:r>
        <w:t>w</w:t>
      </w:r>
      <w:proofErr w:type="gramEnd"/>
      <w:r>
        <w:t xml:space="preserve"> imieniu grupy </w:t>
      </w:r>
      <w:proofErr w:type="spellStart"/>
      <w:r>
        <w:t>Verts</w:t>
      </w:r>
      <w:proofErr w:type="spellEnd"/>
      <w:r>
        <w:t>/ALE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AuNomDe</w:t>
      </w:r>
      <w:proofErr w:type="spellEnd"/>
      <w:r w:rsidRPr="005619FF">
        <w:rPr>
          <w:rStyle w:val="HideTWBExt"/>
        </w:rPr>
        <w:t>&gt;</w:t>
      </w:r>
    </w:p>
    <w:p w14:paraId="18B4B5BD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67ACDFC9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6E1210D6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95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5B0C8A24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CD462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3AF17DE3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C7F6B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0D468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231CA17D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73AB7" w14:textId="77777777" w:rsidR="005619FF" w:rsidRPr="008D03DA" w:rsidRDefault="005619FF" w:rsidP="00FB1419">
            <w:pPr>
              <w:pStyle w:val="Normal6a"/>
            </w:pPr>
            <w:r>
              <w:t>95.</w:t>
            </w:r>
            <w:r>
              <w:tab/>
              <w:t>przyznaje, że postępowania przygotowawcze EPPO można wszcząć tylko wówczas, gdy informacje dotrą do prokuratorów, i oczekuje, że państwa członkowskie wywiążą się z zobowiązań prawnych przez przekazywanie EPPO wszystkich odpowiednich spraw; z zaniepokojeniem zauważa, że niektóre państwa członkowskie uznają przestępstwa mające wpływ na interesy finansowe Unii za sprawy krajowe i odmawiają uznania właściwości EPPO; wyraża zaniepokojenie możliwym negatywnym wpływem tych sporów o właściwość na postępowania przygotowawcze, skutkującym utratą dowodów lub opóźnieniem ich gromadzenia; wzywa Komisję do gromadzenia i oceny informacji dotyczących przypadków sporów o właściwość w celu uzyskania odpowiednich danych na potrzeby przeglądu rozporządzenia (UE) 2017/1939;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462BC" w14:textId="77777777" w:rsidR="005619FF" w:rsidRPr="008D03DA" w:rsidRDefault="005619FF" w:rsidP="00FB1419">
            <w:pPr>
              <w:pStyle w:val="Normal6a"/>
            </w:pPr>
            <w:r>
              <w:t>95.</w:t>
            </w:r>
            <w:r>
              <w:tab/>
              <w:t>przyznaje, że postępowania przygotowawcze EPPO można wszcząć tylko wówczas, gdy informacje dotrą do prokuratorów, i oczekuje, że państwa członkowskie wywiążą się z zobowiązań prawnych przez przekazywanie EPPO wszystkich odpowiednich spraw;</w:t>
            </w:r>
            <w:r>
              <w:rPr>
                <w:b/>
                <w:i/>
              </w:rPr>
              <w:t xml:space="preserve"> zauważa z zaniepokojeniem, że w 2024 r. utrzymywały się spory kompetencyjne i przeszkody systemowe w prowadzeniu postępowań przygotowawczych przez EPPO, w tym w sprawach budzących obawy dotyczące praworządności; przypomina w związku z tym publiczne oświadczenie EPPO w sprawie decyzji dotyczącej konfliktu kompetencji w Chorwacji; wzywa Komisję do systematycznego podejmowania działań następczych w związku z takimi przeszkodami w ramach jej odpowiedzialności za zapewnienie zgodności z prawem Unii i ochronę interesów finansowych Unii;</w:t>
            </w:r>
            <w:r>
              <w:t xml:space="preserve"> z zaniepokojeniem zauważa, że niektóre państwa członkowskie uznają przestępstwa mające wpływ na interesy finansowe Unii za sprawy krajowe i odmawiają uznania właściwości EPPO; wyraża zaniepokojenie możliwym negatywnym wpływem tych sporów o właściwość na postępowania przygotowawcze, skutkującym utratą dowodów lub opóźnieniem ich gromadzenia; wzywa Komisję do gromadzenia i oceny informacji dotyczących przypadków sporów o </w:t>
            </w:r>
            <w:r>
              <w:lastRenderedPageBreak/>
              <w:t>właściwość w celu uzyskania odpowiednich danych na potrzeby przeglądu rozporządzenia (UE) 2017/1939;</w:t>
            </w:r>
          </w:p>
        </w:tc>
      </w:tr>
    </w:tbl>
    <w:p w14:paraId="1C6BEE10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73989162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4C8D0F74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55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5A96AA42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610E8D00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06442FD7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00EC01BB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97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3BCBD046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B265E" w14:textId="77777777" w:rsidR="005619FF" w:rsidRPr="00403364" w:rsidRDefault="005619FF" w:rsidP="00FB1419"/>
        </w:tc>
      </w:tr>
      <w:tr w:rsidR="005619FF" w14:paraId="0A7B2813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1D0A5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DFACC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6AAEA77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D0AB7" w14:textId="77777777" w:rsidR="005619FF" w:rsidRPr="008D03DA" w:rsidRDefault="005619FF" w:rsidP="00FB1419">
            <w:pPr>
              <w:pStyle w:val="Normal6a"/>
            </w:pPr>
            <w:r>
              <w:t>97.</w:t>
            </w:r>
            <w:r>
              <w:tab/>
              <w:t xml:space="preserve">zauważa, że w 2024 r. EPPO wdrożyła „Akademię EPPO”, zorganizowaną wspólnie z </w:t>
            </w:r>
            <w:proofErr w:type="spellStart"/>
            <w:r>
              <w:t>Guardia</w:t>
            </w:r>
            <w:proofErr w:type="spellEnd"/>
            <w:r>
              <w:t xml:space="preserve"> di </w:t>
            </w:r>
            <w:proofErr w:type="spellStart"/>
            <w:r>
              <w:t>Finanza</w:t>
            </w:r>
            <w:proofErr w:type="spellEnd"/>
            <w:r>
              <w:t xml:space="preserve"> we Włoszech i obejmującą dwa międzynarodowe dwutygodniowe kursy na miejscu dla 49 śledczych, oraz pokryło odpowiednie jej koszty; zauważa, że w niektórych państwach członkowskich przeprowadzono specjalne szkolenia dla funkcjonariuszy organów ścigania na temat obszarów przestępczości objętych mandatem EPPO; zauważa, że w 2024 r. prokuratorzy europejscy i EDP rozpoczęli dalsze działania uświadamiające na szczeblu zdecentralizowanym i centralnym dla krajowych zainteresowanych stron, przyjmując przy wielu okazjach delegacje z organów sądowych, organów prokuratury i organów ścigania;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50E696" w14:textId="77777777" w:rsidR="005619FF" w:rsidRPr="008D03DA" w:rsidRDefault="005619FF" w:rsidP="00FB1419">
            <w:pPr>
              <w:pStyle w:val="Normal6a"/>
            </w:pPr>
            <w:r>
              <w:t>97.</w:t>
            </w:r>
            <w:r>
              <w:tab/>
              <w:t xml:space="preserve">zauważa, że w 2024 r. EPPO wdrożyła „Akademię EPPO”, zorganizowaną wspólnie z </w:t>
            </w:r>
            <w:proofErr w:type="spellStart"/>
            <w:r>
              <w:t>Guardia</w:t>
            </w:r>
            <w:proofErr w:type="spellEnd"/>
            <w:r>
              <w:t xml:space="preserve"> di </w:t>
            </w:r>
            <w:proofErr w:type="spellStart"/>
            <w:r>
              <w:t>Finanza</w:t>
            </w:r>
            <w:proofErr w:type="spellEnd"/>
            <w:r>
              <w:t xml:space="preserve"> we Włoszech i obejmującą dwa międzynarodowe dwutygodniowe kursy na miejscu dla 49 śledczych, oraz pokryło odpowiednie jej koszty; zauważa, że w niektórych państwach członkowskich przeprowadzono specjalne szkolenia dla funkcjonariuszy organów ścigania na temat obszarów przestępczości objętych mandatem EPPO; </w:t>
            </w:r>
            <w:r>
              <w:rPr>
                <w:b/>
                <w:i/>
              </w:rPr>
              <w:t>wzywa Komisję do wsparcia i zapewnienia finansowania tego cennego projektu szkoleniowego;</w:t>
            </w:r>
            <w:r>
              <w:t xml:space="preserve"> zauważa, że w 2024 r. prokuratorzy europejscy i EDP rozpoczęli dalsze działania uświadamiające na szczeblu zdecentralizowanym i centralnym dla krajowych zainteresowanych stron, przyjmując przy wielu okazjach delegacje z organów sądowych, organów prokuratury i organów ścigania;</w:t>
            </w:r>
          </w:p>
        </w:tc>
      </w:tr>
    </w:tbl>
    <w:p w14:paraId="65F18A7B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Original</w:t>
      </w:r>
      <w:proofErr w:type="spellEnd"/>
      <w:r w:rsidRPr="005619FF">
        <w:rPr>
          <w:rStyle w:val="HideTWBExt"/>
        </w:rPr>
        <w:t>&gt;</w:t>
      </w:r>
    </w:p>
    <w:p w14:paraId="7E5A73CF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7FF734FB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56</w:t>
      </w:r>
      <w:r w:rsidRPr="005619FF">
        <w:rPr>
          <w:rStyle w:val="HideTWBExt"/>
        </w:rPr>
        <w:t>&lt;/NumAm&gt;</w:t>
      </w:r>
    </w:p>
    <w:p w14:paraId="49B87133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Ondřej</w:t>
      </w:r>
      <w:proofErr w:type="spellEnd"/>
      <w:r>
        <w:t xml:space="preserve"> Knotek, Virginie </w:t>
      </w:r>
      <w:proofErr w:type="spellStart"/>
      <w:r>
        <w:t>Joron</w:t>
      </w:r>
      <w:proofErr w:type="spellEnd"/>
      <w:r>
        <w:t xml:space="preserve">, </w:t>
      </w:r>
      <w:proofErr w:type="spellStart"/>
      <w:r>
        <w:t>Julien</w:t>
      </w:r>
      <w:proofErr w:type="spellEnd"/>
      <w:r>
        <w:t xml:space="preserve"> Sanchez</w:t>
      </w:r>
      <w:r w:rsidRPr="005619FF">
        <w:rPr>
          <w:rStyle w:val="HideTWBExt"/>
          <w:b w:val="0"/>
        </w:rPr>
        <w:t>&lt;/Members&gt;</w:t>
      </w:r>
    </w:p>
    <w:p w14:paraId="43DBA0A5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5BAEC217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&lt;DocAmend&gt;</w:t>
      </w:r>
      <w:r>
        <w:t>Projekt rezolucji</w:t>
      </w:r>
      <w:r w:rsidRPr="005619FF">
        <w:rPr>
          <w:rStyle w:val="HideTWBExt"/>
        </w:rPr>
        <w:t>&lt;/DocAmend&gt;</w:t>
      </w:r>
    </w:p>
    <w:p w14:paraId="5A58D8A0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&lt;Article&gt;</w:t>
      </w:r>
      <w:r>
        <w:t>Ustęp 99 a (nowy)</w:t>
      </w:r>
      <w:r w:rsidRPr="005619F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20D2D53D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B5E06" w14:textId="77777777" w:rsidR="005619FF" w:rsidRPr="005619FF" w:rsidRDefault="005619FF" w:rsidP="00FB1419"/>
        </w:tc>
      </w:tr>
      <w:tr w:rsidR="005619FF" w14:paraId="2D587448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B3C75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B304B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5C06C24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1A920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20897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99a.</w:t>
            </w:r>
            <w:r>
              <w:tab/>
            </w:r>
            <w:r>
              <w:rPr>
                <w:b/>
                <w:i/>
              </w:rPr>
              <w:t>ubolewa, że pomimo wielokrotnych ostrzeżeń ze strony Parlamentu Europejskiego i Trybunału Obrachunkowego Komisja nadal nadmiernie polega na kontrolach ex post, co osłabia zdolność Unii do zapobiegania niewłaściwemu wykorzystywaniu środków z RRF, wykrywania go i korygowania; podkreśla, że dotychczasowe doświadczenia z RRF pokazują, iż takie unijne instrumenty finansowania stanowią zagrożenie dla interesów finansowych Unii; ostrzega przed powielaniem takich modeli w przyszłych instrumentach Unii bez solidnych, możliwych do wyegzekwowania i jednolitych mechanizmów kontroli;</w:t>
            </w:r>
          </w:p>
        </w:tc>
      </w:tr>
    </w:tbl>
    <w:p w14:paraId="4201480B" w14:textId="77777777" w:rsidR="005619FF" w:rsidRPr="005619FF" w:rsidRDefault="005619FF" w:rsidP="005619FF">
      <w:pPr>
        <w:pStyle w:val="AmOrLang"/>
        <w:rPr>
          <w:lang w:val="es-ES" w:eastAsia="en-US"/>
        </w:rPr>
      </w:pPr>
      <w:proofErr w:type="spellStart"/>
      <w:r w:rsidRPr="005619FF">
        <w:rPr>
          <w:lang w:val="es-ES"/>
        </w:rPr>
        <w:t>Or</w:t>
      </w:r>
      <w:proofErr w:type="spellEnd"/>
      <w:r w:rsidRPr="005619FF">
        <w:rPr>
          <w:lang w:val="es-ES"/>
        </w:rPr>
        <w:t xml:space="preserve">. </w:t>
      </w:r>
      <w:r w:rsidRPr="005619FF">
        <w:rPr>
          <w:rStyle w:val="HideTWBExt"/>
          <w:lang w:val="es-ES"/>
        </w:rPr>
        <w:t>&lt;Original&gt;</w:t>
      </w:r>
      <w:r w:rsidRPr="005619FF">
        <w:rPr>
          <w:rStyle w:val="HideTWBInt"/>
          <w:lang w:val="es-ES"/>
        </w:rPr>
        <w:t>{EN}</w:t>
      </w:r>
      <w:r w:rsidRPr="005619FF">
        <w:rPr>
          <w:lang w:val="es-ES"/>
        </w:rPr>
        <w:t>en</w:t>
      </w:r>
      <w:r w:rsidRPr="005619FF">
        <w:rPr>
          <w:rStyle w:val="HideTWBExt"/>
          <w:lang w:val="es-ES"/>
        </w:rPr>
        <w:t>&lt;/Original&gt;</w:t>
      </w:r>
    </w:p>
    <w:p w14:paraId="463592DB" w14:textId="77777777" w:rsidR="005619FF" w:rsidRPr="005619FF" w:rsidRDefault="005619FF" w:rsidP="005619FF">
      <w:pPr>
        <w:rPr>
          <w:lang w:val="es-ES"/>
        </w:rPr>
      </w:pPr>
      <w:r w:rsidRPr="005619FF">
        <w:rPr>
          <w:rStyle w:val="HideTWBExt"/>
          <w:lang w:val="es-ES"/>
        </w:rPr>
        <w:t>&lt;/Amend&gt;</w:t>
      </w:r>
    </w:p>
    <w:p w14:paraId="12A6A128" w14:textId="77777777" w:rsidR="005619FF" w:rsidRPr="005619FF" w:rsidRDefault="005619FF" w:rsidP="005619FF">
      <w:pPr>
        <w:pStyle w:val="AmNumberTabs"/>
        <w:rPr>
          <w:lang w:val="es-ES"/>
        </w:rPr>
      </w:pPr>
      <w:r w:rsidRPr="005619FF">
        <w:rPr>
          <w:rStyle w:val="HideTWBExt"/>
          <w:lang w:val="es-ES"/>
        </w:rPr>
        <w:t>&lt;Amend&gt;</w:t>
      </w:r>
      <w:proofErr w:type="spellStart"/>
      <w:r w:rsidRPr="005619FF">
        <w:rPr>
          <w:lang w:val="es-ES"/>
        </w:rPr>
        <w:t>Poprawka</w:t>
      </w:r>
      <w:proofErr w:type="spellEnd"/>
      <w:r w:rsidRPr="005619FF">
        <w:rPr>
          <w:lang w:val="es-ES"/>
        </w:rPr>
        <w:tab/>
      </w:r>
      <w:r w:rsidRPr="005619FF">
        <w:rPr>
          <w:lang w:val="es-ES"/>
        </w:rPr>
        <w:tab/>
      </w:r>
      <w:r w:rsidRPr="005619FF">
        <w:rPr>
          <w:rStyle w:val="HideTWBExt"/>
          <w:lang w:val="es-ES"/>
        </w:rPr>
        <w:t>&lt;NumAm&gt;</w:t>
      </w:r>
      <w:r w:rsidRPr="005619FF">
        <w:rPr>
          <w:lang w:val="es-ES"/>
        </w:rPr>
        <w:t>57</w:t>
      </w:r>
      <w:r w:rsidRPr="005619FF">
        <w:rPr>
          <w:rStyle w:val="HideTWBExt"/>
          <w:lang w:val="es-ES"/>
        </w:rPr>
        <w:t>&lt;/</w:t>
      </w:r>
      <w:proofErr w:type="spellStart"/>
      <w:r w:rsidRPr="005619FF">
        <w:rPr>
          <w:rStyle w:val="HideTWBExt"/>
          <w:lang w:val="es-ES"/>
        </w:rPr>
        <w:t>NumAm</w:t>
      </w:r>
      <w:proofErr w:type="spellEnd"/>
      <w:r w:rsidRPr="005619FF">
        <w:rPr>
          <w:rStyle w:val="HideTWBExt"/>
          <w:lang w:val="es-ES"/>
        </w:rPr>
        <w:t>&gt;</w:t>
      </w:r>
    </w:p>
    <w:p w14:paraId="1D81341B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&lt;RepeatBlock-By&gt;&lt;Members&gt;</w:t>
      </w:r>
      <w:proofErr w:type="spellStart"/>
      <w:r w:rsidRPr="005619FF">
        <w:rPr>
          <w:lang w:val="es-ES"/>
        </w:rPr>
        <w:t>Csaba</w:t>
      </w:r>
      <w:proofErr w:type="spellEnd"/>
      <w:r w:rsidRPr="005619FF">
        <w:rPr>
          <w:lang w:val="es-ES"/>
        </w:rPr>
        <w:t xml:space="preserve"> </w:t>
      </w:r>
      <w:proofErr w:type="spellStart"/>
      <w:r w:rsidRPr="005619FF">
        <w:rPr>
          <w:lang w:val="es-ES"/>
        </w:rPr>
        <w:t>Molnár</w:t>
      </w:r>
      <w:proofErr w:type="spellEnd"/>
      <w:r w:rsidRPr="005619FF">
        <w:rPr>
          <w:rStyle w:val="HideTWBExt"/>
          <w:b w:val="0"/>
          <w:lang w:val="es-ES"/>
        </w:rPr>
        <w:t>&lt;/Members&gt;</w:t>
      </w:r>
    </w:p>
    <w:p w14:paraId="00B8A89C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&lt;/RepeatBlock-By&gt;</w:t>
      </w:r>
    </w:p>
    <w:p w14:paraId="47291002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0D58046F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104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3EB783B5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EBDE4" w14:textId="77777777" w:rsidR="005619FF" w:rsidRPr="00403364" w:rsidRDefault="005619FF" w:rsidP="00FB1419"/>
        </w:tc>
      </w:tr>
      <w:tr w:rsidR="005619FF" w14:paraId="0072C665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49338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D0845D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4950A2EA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1C5AA" w14:textId="77777777" w:rsidR="005619FF" w:rsidRPr="008D03DA" w:rsidRDefault="005619FF" w:rsidP="00FB1419">
            <w:pPr>
              <w:pStyle w:val="Normal6a"/>
            </w:pPr>
            <w:r>
              <w:t>104.</w:t>
            </w:r>
            <w:r>
              <w:tab/>
              <w:t xml:space="preserve">ubolewa, że Węgry są ostatnim państwem członkowskim, które jeszcze nie przystąpiło do EPPO mimo braku jakichkolwiek przeszkód prawnych lub konstytucyjnych; wzywa rząd Węgier do przystąpienia do EPPO i uważa, że </w:t>
            </w:r>
            <w:r>
              <w:rPr>
                <w:b/>
                <w:i/>
              </w:rPr>
              <w:t>byłoby to odpowiedzią</w:t>
            </w:r>
            <w:r>
              <w:t xml:space="preserve"> na </w:t>
            </w:r>
            <w:r>
              <w:rPr>
                <w:b/>
                <w:i/>
              </w:rPr>
              <w:t>duże oczekiwania</w:t>
            </w:r>
            <w:r>
              <w:t xml:space="preserve"> społeczeństwa obywatelskiego i obywateli dotyczące wzmocnienia zabezpieczeń prawnych przed nadużyciami finansowymi, korupcją i innymi uchybieniami, które </w:t>
            </w:r>
            <w:r>
              <w:rPr>
                <w:b/>
                <w:i/>
              </w:rPr>
              <w:t>bezpośrednio naruszają interesy finansowe Unii</w:t>
            </w:r>
            <w:r>
              <w:t xml:space="preserve"> i które osłabiają pozytywny wpływ polityki Unii </w:t>
            </w:r>
            <w:r>
              <w:rPr>
                <w:b/>
                <w:i/>
              </w:rPr>
              <w:t>wspierającej wzrost gospodarczy</w:t>
            </w:r>
            <w:r>
              <w:t xml:space="preserve"> i </w:t>
            </w:r>
            <w:r>
              <w:rPr>
                <w:b/>
                <w:i/>
              </w:rPr>
              <w:lastRenderedPageBreak/>
              <w:t>dobrostan</w:t>
            </w:r>
            <w:r>
              <w:t xml:space="preserve"> obywateli</w:t>
            </w:r>
            <w:r>
              <w:rPr>
                <w:b/>
                <w:i/>
              </w:rPr>
              <w:t xml:space="preserve"> Węgier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8F4B5" w14:textId="77777777" w:rsidR="005619FF" w:rsidRPr="008D03DA" w:rsidRDefault="005619FF" w:rsidP="00FB1419">
            <w:pPr>
              <w:pStyle w:val="Normal6a"/>
            </w:pPr>
            <w:r>
              <w:lastRenderedPageBreak/>
              <w:t>104.</w:t>
            </w:r>
            <w:r>
              <w:tab/>
            </w:r>
            <w:r>
              <w:rPr>
                <w:b/>
                <w:i/>
              </w:rPr>
              <w:t>głęboko</w:t>
            </w:r>
            <w:r>
              <w:t xml:space="preserve"> ubolewa, że Węgry są ostatnim państwem członkowskim, które jeszcze nie przystąpiło do EPPO mimo braku jakichkolwiek przeszkód prawnych lub konstytucyjnych; </w:t>
            </w:r>
            <w:r>
              <w:rPr>
                <w:b/>
                <w:i/>
              </w:rPr>
              <w:t xml:space="preserve">zdecydowanie </w:t>
            </w:r>
            <w:r>
              <w:t>wzywa rząd Węgier do</w:t>
            </w:r>
            <w:r>
              <w:rPr>
                <w:b/>
                <w:i/>
              </w:rPr>
              <w:t xml:space="preserve"> niezwłocznego</w:t>
            </w:r>
            <w:r>
              <w:t xml:space="preserve"> przystąpienia do EPPO</w:t>
            </w:r>
            <w:r>
              <w:rPr>
                <w:b/>
                <w:i/>
              </w:rPr>
              <w:t>; uważa, że ciągły brak uczestnictwa można interpretować jedynie jako celową próbę ukrycia korupcji i niewłaściwego wykorzystania funduszy unijnych przed niezależną kontrolą europejską;</w:t>
            </w:r>
            <w:r>
              <w:t xml:space="preserve"> uważa, że </w:t>
            </w:r>
            <w:r>
              <w:rPr>
                <w:b/>
                <w:i/>
              </w:rPr>
              <w:t>przystąpienie tego kraju do EPPO stanowiłoby wreszcie odpowiedź</w:t>
            </w:r>
            <w:r>
              <w:t xml:space="preserve"> na </w:t>
            </w:r>
            <w:r>
              <w:rPr>
                <w:b/>
                <w:i/>
              </w:rPr>
              <w:t>długotrwałe i uzasadnione żądania</w:t>
            </w:r>
            <w:r>
              <w:t xml:space="preserve"> </w:t>
            </w:r>
            <w:r>
              <w:lastRenderedPageBreak/>
              <w:t xml:space="preserve">społeczeństwa obywatelskiego i obywateli dotyczące wzmocnienia zabezpieczeń prawnych przed nadużyciami finansowymi, korupcją i innymi </w:t>
            </w:r>
            <w:r>
              <w:rPr>
                <w:b/>
                <w:i/>
              </w:rPr>
              <w:t xml:space="preserve">poważnymi </w:t>
            </w:r>
            <w:r>
              <w:t>uchybieniami</w:t>
            </w:r>
            <w:r>
              <w:rPr>
                <w:b/>
                <w:i/>
              </w:rPr>
              <w:t xml:space="preserve"> oraz przywrócenia zaufania do ochrony interesów finansowych Unii</w:t>
            </w:r>
            <w:r>
              <w:t xml:space="preserve">, które </w:t>
            </w:r>
            <w:r>
              <w:rPr>
                <w:b/>
                <w:i/>
              </w:rPr>
              <w:t>są obecnie osłabiane przez utrzymujące się niedociągnięcia w egzekwowaniu przepisów</w:t>
            </w:r>
            <w:r>
              <w:t xml:space="preserve"> i które osłabiają pozytywny wpływ polityki Unii </w:t>
            </w:r>
            <w:r>
              <w:rPr>
                <w:b/>
                <w:i/>
              </w:rPr>
              <w:t>mającej na celu wspieranie wzrostu, spójności</w:t>
            </w:r>
            <w:r>
              <w:t xml:space="preserve"> i </w:t>
            </w:r>
            <w:r>
              <w:rPr>
                <w:b/>
                <w:i/>
              </w:rPr>
              <w:t>dobrostanu węgierskich</w:t>
            </w:r>
            <w:r>
              <w:t xml:space="preserve"> obywateli</w:t>
            </w:r>
            <w:r>
              <w:rPr>
                <w:b/>
                <w:i/>
              </w:rPr>
              <w:t>, MŚP oraz władz lokalnych i regionalnych</w:t>
            </w:r>
            <w:r>
              <w:t>;</w:t>
            </w:r>
          </w:p>
        </w:tc>
      </w:tr>
    </w:tbl>
    <w:p w14:paraId="3586B8B6" w14:textId="77777777" w:rsidR="005619FF" w:rsidRPr="005619FF" w:rsidRDefault="005619FF" w:rsidP="005619FF">
      <w:pPr>
        <w:pStyle w:val="AmOrLang"/>
        <w:rPr>
          <w:lang w:val="es-ES" w:eastAsia="en-US"/>
        </w:rPr>
      </w:pPr>
      <w:proofErr w:type="spellStart"/>
      <w:r w:rsidRPr="005619FF">
        <w:rPr>
          <w:lang w:val="es-ES"/>
        </w:rPr>
        <w:lastRenderedPageBreak/>
        <w:t>Or</w:t>
      </w:r>
      <w:proofErr w:type="spellEnd"/>
      <w:r w:rsidRPr="005619FF">
        <w:rPr>
          <w:lang w:val="es-ES"/>
        </w:rPr>
        <w:t xml:space="preserve">. </w:t>
      </w:r>
      <w:r w:rsidRPr="005619FF">
        <w:rPr>
          <w:rStyle w:val="HideTWBExt"/>
          <w:lang w:val="es-ES"/>
        </w:rPr>
        <w:t>&lt;Original&gt;</w:t>
      </w:r>
      <w:r w:rsidRPr="005619FF">
        <w:rPr>
          <w:rStyle w:val="HideTWBInt"/>
          <w:lang w:val="es-ES"/>
        </w:rPr>
        <w:t>{EN}</w:t>
      </w:r>
      <w:r w:rsidRPr="005619FF">
        <w:rPr>
          <w:lang w:val="es-ES"/>
        </w:rPr>
        <w:t>en</w:t>
      </w:r>
      <w:r w:rsidRPr="005619FF">
        <w:rPr>
          <w:rStyle w:val="HideTWBExt"/>
          <w:lang w:val="es-ES"/>
        </w:rPr>
        <w:t>&lt;/Original&gt;</w:t>
      </w:r>
    </w:p>
    <w:p w14:paraId="0C68DF75" w14:textId="77777777" w:rsidR="005619FF" w:rsidRPr="005619FF" w:rsidRDefault="005619FF" w:rsidP="005619FF">
      <w:pPr>
        <w:rPr>
          <w:lang w:val="es-ES"/>
        </w:rPr>
      </w:pPr>
      <w:r w:rsidRPr="005619FF">
        <w:rPr>
          <w:rStyle w:val="HideTWBExt"/>
          <w:lang w:val="es-ES"/>
        </w:rPr>
        <w:t>&lt;/Amend&gt;</w:t>
      </w:r>
    </w:p>
    <w:p w14:paraId="7A98C501" w14:textId="77777777" w:rsidR="005619FF" w:rsidRPr="005619FF" w:rsidRDefault="005619FF" w:rsidP="005619FF">
      <w:pPr>
        <w:pStyle w:val="AmNumberTabs"/>
        <w:rPr>
          <w:lang w:val="es-ES"/>
        </w:rPr>
      </w:pPr>
      <w:r w:rsidRPr="005619FF">
        <w:rPr>
          <w:rStyle w:val="HideTWBExt"/>
          <w:lang w:val="es-ES"/>
        </w:rPr>
        <w:t>&lt;Amend&gt;</w:t>
      </w:r>
      <w:proofErr w:type="spellStart"/>
      <w:r w:rsidRPr="005619FF">
        <w:rPr>
          <w:lang w:val="es-ES"/>
        </w:rPr>
        <w:t>Poprawka</w:t>
      </w:r>
      <w:proofErr w:type="spellEnd"/>
      <w:r w:rsidRPr="005619FF">
        <w:rPr>
          <w:lang w:val="es-ES"/>
        </w:rPr>
        <w:tab/>
      </w:r>
      <w:r w:rsidRPr="005619FF">
        <w:rPr>
          <w:lang w:val="es-ES"/>
        </w:rPr>
        <w:tab/>
      </w:r>
      <w:r w:rsidRPr="005619FF">
        <w:rPr>
          <w:rStyle w:val="HideTWBExt"/>
          <w:lang w:val="es-ES"/>
        </w:rPr>
        <w:t>&lt;NumAm&gt;</w:t>
      </w:r>
      <w:r w:rsidRPr="005619FF">
        <w:rPr>
          <w:lang w:val="es-ES"/>
        </w:rPr>
        <w:t>58</w:t>
      </w:r>
      <w:r w:rsidRPr="005619FF">
        <w:rPr>
          <w:rStyle w:val="HideTWBExt"/>
          <w:lang w:val="es-ES"/>
        </w:rPr>
        <w:t>&lt;/</w:t>
      </w:r>
      <w:proofErr w:type="spellStart"/>
      <w:r w:rsidRPr="005619FF">
        <w:rPr>
          <w:rStyle w:val="HideTWBExt"/>
          <w:lang w:val="es-ES"/>
        </w:rPr>
        <w:t>NumAm</w:t>
      </w:r>
      <w:proofErr w:type="spellEnd"/>
      <w:r w:rsidRPr="005619FF">
        <w:rPr>
          <w:rStyle w:val="HideTWBExt"/>
          <w:lang w:val="es-ES"/>
        </w:rPr>
        <w:t>&gt;</w:t>
      </w:r>
    </w:p>
    <w:p w14:paraId="51CAB6F7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&lt;RepeatBlock-By&gt;&lt;Members&gt;</w:t>
      </w:r>
      <w:proofErr w:type="spellStart"/>
      <w:r w:rsidRPr="005619FF">
        <w:rPr>
          <w:lang w:val="es-ES"/>
        </w:rPr>
        <w:t>Csaba</w:t>
      </w:r>
      <w:proofErr w:type="spellEnd"/>
      <w:r w:rsidRPr="005619FF">
        <w:rPr>
          <w:lang w:val="es-ES"/>
        </w:rPr>
        <w:t xml:space="preserve"> </w:t>
      </w:r>
      <w:proofErr w:type="spellStart"/>
      <w:r w:rsidRPr="005619FF">
        <w:rPr>
          <w:lang w:val="es-ES"/>
        </w:rPr>
        <w:t>Molnár</w:t>
      </w:r>
      <w:proofErr w:type="spellEnd"/>
      <w:r w:rsidRPr="005619FF">
        <w:rPr>
          <w:rStyle w:val="HideTWBExt"/>
          <w:b w:val="0"/>
          <w:lang w:val="es-ES"/>
        </w:rPr>
        <w:t>&lt;/Members&gt;</w:t>
      </w:r>
    </w:p>
    <w:p w14:paraId="68DA0874" w14:textId="77777777" w:rsidR="005619FF" w:rsidRPr="005619FF" w:rsidRDefault="005619FF" w:rsidP="005619FF">
      <w:pPr>
        <w:pStyle w:val="NormalBold"/>
        <w:rPr>
          <w:lang w:val="es-ES"/>
        </w:rPr>
      </w:pPr>
      <w:r w:rsidRPr="005619FF">
        <w:rPr>
          <w:rStyle w:val="HideTWBExt"/>
          <w:b w:val="0"/>
          <w:lang w:val="es-ES"/>
        </w:rPr>
        <w:t>&lt;/RepeatBlock-By&gt;</w:t>
      </w:r>
    </w:p>
    <w:p w14:paraId="0F834B78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3AF301B4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105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4DD3225C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51855" w14:textId="77777777" w:rsidR="005619FF" w:rsidRPr="00403364" w:rsidRDefault="005619FF" w:rsidP="00FB1419"/>
        </w:tc>
      </w:tr>
      <w:tr w:rsidR="005619FF" w14:paraId="51FC0D28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DA0714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E5412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5B06DCC6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19078" w14:textId="77777777" w:rsidR="005619FF" w:rsidRPr="008D03DA" w:rsidRDefault="005619FF" w:rsidP="00FB1419">
            <w:pPr>
              <w:pStyle w:val="Normal6a"/>
            </w:pPr>
            <w:r>
              <w:t>105.</w:t>
            </w:r>
            <w:r>
              <w:tab/>
              <w:t xml:space="preserve">podkreśla, że brak współpracy z EPPO ze strony któregokolwiek z państw członkowskich stwarza strefy immunitetu i przywilejów, które osłabiają obronę interesów finansowych Unii, gdyż sprawiają, że jest nierówna i nieskuteczna, i apeluje do Komisji o wszczynanie postępowań w sprawie uchybienia zobowiązaniom państwa członkowskiego przeciwko każdemu państwu członkowskiemu, które systematycznie utrudnia prowadzenie postępowań przygotowawczych przez EPPO; zwraca się do Komisji o rozważenie, czy uczestnictwo w EPPO nie powinno być warunkiem wstępnym otrzymania unijnych środków finansowych, oraz wzywa Komisję do ścisłego monitorowania poziomu współpracy państw członkowskich z EPPO; w związku z tym ubolewa nad zgłoszonymi w 2024 r. </w:t>
            </w:r>
            <w:r>
              <w:lastRenderedPageBreak/>
              <w:t>przypadkami gróźb pod adresem śledczych OLAF-u i EPPO podczas prowadzenia przez nich czynności na miejscu; podkreśla, że takie sytuacje podważają praworządność i osłabiają działania Unii</w:t>
            </w:r>
            <w:r>
              <w:rPr>
                <w:b/>
                <w:i/>
              </w:rPr>
              <w:t xml:space="preserve"> oraz wymagają</w:t>
            </w:r>
            <w:r>
              <w:t xml:space="preserve"> ustanowienia solidnych środków zapobiegawczych i ochronnych, aby chronić oddelegowany personel w sytuacji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603CBC" w14:textId="77777777" w:rsidR="005619FF" w:rsidRPr="008D03DA" w:rsidRDefault="005619FF" w:rsidP="00FB1419">
            <w:pPr>
              <w:pStyle w:val="Normal6a"/>
            </w:pPr>
            <w:r>
              <w:lastRenderedPageBreak/>
              <w:t>105.</w:t>
            </w:r>
            <w:r>
              <w:tab/>
              <w:t xml:space="preserve">podkreśla, że brak współpracy z EPPO ze strony któregokolwiek z państw członkowskich stwarza strefy immunitetu i przywilejów, które osłabiają obronę interesów finansowych Unii, gdyż sprawiają, że jest nierówna i nieskuteczna, i apeluje do Komisji o wszczynanie postępowań w sprawie uchybienia zobowiązaniom państwa członkowskiego przeciwko każdemu państwu członkowskiemu, które systematycznie utrudnia prowadzenie postępowań przygotowawczych przez EPPO; zwraca się do Komisji o rozważenie, czy uczestnictwo w EPPO nie powinno być warunkiem wstępnym otrzymania unijnych środków finansowych, oraz wzywa Komisję do ścisłego monitorowania poziomu współpracy państw członkowskich z EPPO; w związku z tym </w:t>
            </w:r>
            <w:r>
              <w:rPr>
                <w:b/>
                <w:i/>
              </w:rPr>
              <w:t xml:space="preserve">głęboko </w:t>
            </w:r>
            <w:r>
              <w:t xml:space="preserve">ubolewa nad zgłoszonymi w </w:t>
            </w:r>
            <w:r>
              <w:lastRenderedPageBreak/>
              <w:t>2024 r. przypadkami gróźb</w:t>
            </w:r>
            <w:r>
              <w:rPr>
                <w:b/>
                <w:i/>
              </w:rPr>
              <w:t xml:space="preserve"> ze strony rządów państw członkowskich</w:t>
            </w:r>
            <w:r>
              <w:t xml:space="preserve"> pod adresem śledczych OLAF-u i EPPO podczas prowadzenia przez nich czynności na miejscu;</w:t>
            </w:r>
            <w:r>
              <w:rPr>
                <w:b/>
                <w:i/>
              </w:rPr>
              <w:t xml:space="preserve"> przypomina, że węgierski rząd kilkakrotnie próbował systematycznie szpiegować pracowników Komisji Europejskiej i OLAF-u;</w:t>
            </w:r>
            <w:r>
              <w:t xml:space="preserve"> podkreśla, że takie sytuacje podważają praworządność</w:t>
            </w:r>
            <w:r>
              <w:rPr>
                <w:b/>
                <w:i/>
              </w:rPr>
              <w:t>, stanowią poważne naruszenie wzajemnego zaufania</w:t>
            </w:r>
            <w:r>
              <w:t xml:space="preserve"> i </w:t>
            </w:r>
            <w:r>
              <w:rPr>
                <w:b/>
                <w:i/>
              </w:rPr>
              <w:t xml:space="preserve">lojalnej współpracy między państwami członkowskimi i instytucjami UE oraz ilustrują szerszy schemat nadużywania uprawnień nadzorczych przez państwo, a także </w:t>
            </w:r>
            <w:r>
              <w:t>osłabiają działania Unii</w:t>
            </w:r>
            <w:r>
              <w:rPr>
                <w:b/>
                <w:i/>
              </w:rPr>
              <w:t>; wzywa do</w:t>
            </w:r>
            <w:r>
              <w:t xml:space="preserve"> ustanowienia solidnych środków zapobiegawczych i ochronnych, aby chronić oddelegowany personel w sytuacji zagrożenia;</w:t>
            </w:r>
          </w:p>
        </w:tc>
      </w:tr>
    </w:tbl>
    <w:p w14:paraId="31508806" w14:textId="77777777" w:rsidR="005619FF" w:rsidRPr="005619FF" w:rsidRDefault="005619FF" w:rsidP="005619FF">
      <w:pPr>
        <w:pStyle w:val="AmOrLang"/>
        <w:rPr>
          <w:lang w:eastAsia="en-US"/>
        </w:rPr>
      </w:pPr>
      <w:r w:rsidRPr="005619FF">
        <w:lastRenderedPageBreak/>
        <w:t xml:space="preserve">Or. </w:t>
      </w:r>
      <w:r w:rsidRPr="005619FF">
        <w:rPr>
          <w:rStyle w:val="HideTWBExt"/>
        </w:rPr>
        <w:t>&lt;Original&gt;</w:t>
      </w:r>
      <w:r w:rsidRPr="005619FF">
        <w:rPr>
          <w:rStyle w:val="HideTWBInt"/>
        </w:rPr>
        <w:t>{EN}</w:t>
      </w:r>
      <w:r w:rsidRPr="005619FF">
        <w:t>en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Original</w:t>
      </w:r>
      <w:proofErr w:type="spellEnd"/>
      <w:r w:rsidRPr="005619FF">
        <w:rPr>
          <w:rStyle w:val="HideTWBExt"/>
        </w:rPr>
        <w:t>&gt;</w:t>
      </w:r>
    </w:p>
    <w:p w14:paraId="797F1DD3" w14:textId="77777777" w:rsidR="005619FF" w:rsidRPr="008D03DA" w:rsidRDefault="005619FF" w:rsidP="005619FF">
      <w:r w:rsidRPr="005619FF">
        <w:rPr>
          <w:rStyle w:val="HideTWBExt"/>
        </w:rPr>
        <w:t>&lt;/Amend&gt;</w:t>
      </w:r>
    </w:p>
    <w:p w14:paraId="4BD9E51C" w14:textId="77777777" w:rsidR="005619FF" w:rsidRPr="008D03DA" w:rsidRDefault="005619FF" w:rsidP="005619FF">
      <w:pPr>
        <w:pStyle w:val="AmNumberTabs"/>
      </w:pPr>
      <w:r w:rsidRPr="005619FF">
        <w:rPr>
          <w:rStyle w:val="HideTWBExt"/>
        </w:rPr>
        <w:t>&lt;Amend&gt;</w:t>
      </w:r>
      <w:r>
        <w:t>Poprawka</w:t>
      </w:r>
      <w:r>
        <w:tab/>
      </w:r>
      <w:r>
        <w:tab/>
      </w:r>
      <w:r w:rsidRPr="005619FF">
        <w:rPr>
          <w:rStyle w:val="HideTWBExt"/>
        </w:rPr>
        <w:t>&lt;NumAm&gt;</w:t>
      </w:r>
      <w:r>
        <w:t>59</w:t>
      </w:r>
      <w:r w:rsidRPr="005619FF">
        <w:rPr>
          <w:rStyle w:val="HideTWBExt"/>
        </w:rPr>
        <w:t>&lt;/NumAm&gt;</w:t>
      </w:r>
    </w:p>
    <w:p w14:paraId="01373479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&lt;RepeatBlock-By&gt;&lt;Members&gt;</w:t>
      </w:r>
      <w:proofErr w:type="spellStart"/>
      <w:r>
        <w:t>Tomáš</w:t>
      </w:r>
      <w:proofErr w:type="spellEnd"/>
      <w:r>
        <w:t xml:space="preserve"> </w:t>
      </w:r>
      <w:proofErr w:type="spellStart"/>
      <w:r>
        <w:t>Zdechovský</w:t>
      </w:r>
      <w:proofErr w:type="spellEnd"/>
      <w:r w:rsidRPr="005619FF">
        <w:rPr>
          <w:rStyle w:val="HideTWBExt"/>
          <w:b w:val="0"/>
        </w:rPr>
        <w:t>&lt;/Members&gt;</w:t>
      </w:r>
    </w:p>
    <w:p w14:paraId="3DE4BC81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0B2083B3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79691901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105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73E322DE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1374B" w14:textId="77777777" w:rsidR="005619FF" w:rsidRPr="00403364" w:rsidRDefault="005619FF" w:rsidP="00FB1419"/>
        </w:tc>
      </w:tr>
      <w:tr w:rsidR="005619FF" w14:paraId="52ABB344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D8AB1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EA5CE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2BD5CDEF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912F8" w14:textId="77777777" w:rsidR="005619FF" w:rsidRPr="008D03DA" w:rsidRDefault="005619FF" w:rsidP="00FB1419">
            <w:pPr>
              <w:pStyle w:val="Normal6a"/>
            </w:pPr>
            <w:r>
              <w:t>105.</w:t>
            </w:r>
            <w:r>
              <w:tab/>
              <w:t xml:space="preserve">podkreśla, że brak współpracy z EPPO ze strony któregokolwiek z państw członkowskich stwarza strefy immunitetu i przywilejów, które osłabiają obronę interesów finansowych Unii, gdyż sprawiają, że jest nierówna i nieskuteczna, i apeluje do Komisji o wszczynanie postępowań w sprawie uchybienia zobowiązaniom państwa członkowskiego przeciwko każdemu państwu członkowskiemu, które systematycznie utrudnia prowadzenie postępowań przygotowawczych przez EPPO; zwraca się do Komisji o rozważenie, czy uczestnictwo w EPPO nie powinno być </w:t>
            </w:r>
            <w:r>
              <w:lastRenderedPageBreak/>
              <w:t>warunkiem wstępnym otrzymania unijnych środków finansowych, oraz wzywa Komisję do ścisłego monitorowania poziomu współpracy państw członkowskich z EPPO; w związku z tym ubolewa nad zgłoszonymi w 2024 r. przypadkami gróźb pod adresem śledczych OLAF-u i EPPO podczas prowadzenia przez nich czynności na miejscu; podkreśla, że takie sytuacje podważają praworządność i osłabiają działania Unii oraz wymagają ustanowienia solidnych środków zapobiegawczych i ochronnych, aby chronić oddelegowany personel w sytuacji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970B7" w14:textId="77777777" w:rsidR="005619FF" w:rsidRPr="008D03DA" w:rsidRDefault="005619FF" w:rsidP="00FB1419">
            <w:pPr>
              <w:pStyle w:val="Normal6a"/>
            </w:pPr>
            <w:r>
              <w:lastRenderedPageBreak/>
              <w:t>105.</w:t>
            </w:r>
            <w:r>
              <w:tab/>
              <w:t>podkreśla, że brak współpracy z EPPO ze strony któregokolwiek z państw członkowskich stwarza strefy immunitetu i przywilejów, które osłabiają obronę interesów finansowych Unii, gdyż sprawiają, że jest nierówna i nieskuteczna, i apeluje do Komisji o wszczynanie postępowań w sprawie uchybienia zobowiązaniom państwa członkowskiego przeciwko każdemu państwu członkowskiemu, które systematycznie utrudnia prowadzenie postępowań przygotowawczych przez EPPO;</w:t>
            </w:r>
            <w:r>
              <w:rPr>
                <w:b/>
                <w:i/>
              </w:rPr>
              <w:t xml:space="preserve"> wzywa Komisję do zbadania możliwości wprowadzenia do rozporządzenia w </w:t>
            </w:r>
            <w:r>
              <w:rPr>
                <w:b/>
                <w:i/>
              </w:rPr>
              <w:lastRenderedPageBreak/>
              <w:t>sprawie warunkowości nowej klauzuli, w której zbadano by, czy brak uczestnictwa w EPPO stanowi potencjalne zagrożenie dla interesów finansowych Unii;</w:t>
            </w:r>
            <w:r>
              <w:t xml:space="preserve"> zwraca się do Komisji o rozważenie, czy uczestnictwo w EPPO nie powinno być warunkiem wstępnym otrzymania unijnych środków finansowych, oraz wzywa Komisję do ścisłego monitorowania poziomu współpracy państw członkowskich z EPPO; w związku z tym ubolewa nad zgłoszonymi w 2024 r. przypadkami gróźb pod adresem śledczych OLAF-u i EPPO podczas prowadzenia przez nich czynności na miejscu; podkreśla, że takie sytuacje podważają praworządność i osłabiają działania Unii oraz wymagają ustanowienia solidnych środków zapobiegawczych i ochronnych, aby chronić oddelegowany personel w sytuacji zagrożenia;</w:t>
            </w:r>
          </w:p>
        </w:tc>
      </w:tr>
    </w:tbl>
    <w:p w14:paraId="444A1F2B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6A9A8A30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1B91AA29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60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3E39AADB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455C63BB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046AE46A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13C96411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105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09812260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10A470" w14:textId="77777777" w:rsidR="005619FF" w:rsidRPr="00403364" w:rsidRDefault="005619FF" w:rsidP="00FB1419"/>
        </w:tc>
      </w:tr>
      <w:tr w:rsidR="005619FF" w14:paraId="46617DB1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06D81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5C349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291421E2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1FD5A8" w14:textId="77777777" w:rsidR="005619FF" w:rsidRPr="008D03DA" w:rsidRDefault="005619FF" w:rsidP="00FB1419">
            <w:pPr>
              <w:pStyle w:val="Normal6a"/>
            </w:pPr>
            <w:r>
              <w:t>105.</w:t>
            </w:r>
            <w:r>
              <w:tab/>
              <w:t xml:space="preserve">podkreśla, że brak współpracy z EPPO ze strony któregokolwiek z państw członkowskich stwarza strefy immunitetu i przywilejów, które osłabiają obronę interesów finansowych Unii, gdyż sprawiają, że jest nierówna i nieskuteczna, i apeluje do Komisji o wszczynanie postępowań w sprawie uchybienia zobowiązaniom państwa członkowskiego przeciwko każdemu państwu członkowskiemu, które systematycznie utrudnia prowadzenie postępowań przygotowawczych przez EPPO; </w:t>
            </w:r>
            <w:r>
              <w:rPr>
                <w:b/>
                <w:i/>
              </w:rPr>
              <w:t xml:space="preserve">zwraca się do Komisji o rozważenie, czy </w:t>
            </w:r>
            <w:r>
              <w:rPr>
                <w:b/>
                <w:i/>
              </w:rPr>
              <w:lastRenderedPageBreak/>
              <w:t xml:space="preserve">uczestnictwo w EPPO nie powinno być warunkiem wstępnym otrzymania unijnych środków finansowych, oraz </w:t>
            </w:r>
            <w:r>
              <w:t>wzywa Komisję do ścisłego monitorowania poziomu współpracy państw członkowskich z EPPO; w związku z tym ubolewa nad zgłoszonymi w 2024 r. przypadkami gróźb pod adresem śledczych OLAF-u i EPPO podczas prowadzenia przez nich czynności na miejscu; podkreśla, że takie sytuacje podważają praworządność i osłabiają działania Unii oraz wymagają ustanowienia solidnych środków zapobiegawczych i ochronnych, aby chronić oddelegowany personel w sytuacji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44627" w14:textId="77777777" w:rsidR="005619FF" w:rsidRPr="008D03DA" w:rsidRDefault="005619FF" w:rsidP="00FB1419">
            <w:pPr>
              <w:pStyle w:val="Normal6a"/>
            </w:pPr>
            <w:r>
              <w:lastRenderedPageBreak/>
              <w:t>105.</w:t>
            </w:r>
            <w:r>
              <w:tab/>
              <w:t xml:space="preserve">podkreśla, że brak współpracy z EPPO ze strony któregokolwiek z państw członkowskich stwarza strefy immunitetu i przywilejów, które osłabiają obronę interesów finansowych Unii, gdyż sprawiają, że jest nierówna i nieskuteczna, i apeluje do Komisji o wszczynanie postępowań w sprawie uchybienia zobowiązaniom państwa członkowskiego przeciwko każdemu państwu członkowskiemu, które systematycznie utrudnia prowadzenie postępowań przygotowawczych przez EPPO; wzywa Komisję do ścisłego monitorowania </w:t>
            </w:r>
            <w:r>
              <w:lastRenderedPageBreak/>
              <w:t>poziomu współpracy państw członkowskich z EPPO; w związku z tym ubolewa nad zgłoszonymi w 2024 r. przypadkami gróźb pod adresem śledczych OLAF-u i EPPO podczas prowadzenia przez nich czynności na miejscu; podkreśla, że takie sytuacje podważają praworządność i osłabiają działania Unii oraz wymagają ustanowienia solidnych środków zapobiegawczych i ochronnych, aby chronić oddelegowany personel w sytuacji zagrożenia;</w:t>
            </w:r>
          </w:p>
        </w:tc>
      </w:tr>
    </w:tbl>
    <w:p w14:paraId="04649B2B" w14:textId="77777777" w:rsidR="005619FF" w:rsidRPr="008D03DA" w:rsidRDefault="005619FF" w:rsidP="005619FF">
      <w:pPr>
        <w:pStyle w:val="AmOrLang"/>
        <w:rPr>
          <w:lang w:val="sv-SE" w:eastAsia="en-US"/>
        </w:rPr>
      </w:pPr>
      <w:r w:rsidRPr="008D03DA">
        <w:rPr>
          <w:lang w:val="sv-SE"/>
        </w:rPr>
        <w:lastRenderedPageBreak/>
        <w:t xml:space="preserve">Or. </w:t>
      </w:r>
      <w:r w:rsidRPr="008D03DA">
        <w:rPr>
          <w:rStyle w:val="HideTWBExt"/>
          <w:lang w:val="sv-SE"/>
        </w:rPr>
        <w:t>&lt;Original&gt;</w:t>
      </w:r>
      <w:r w:rsidRPr="008D03DA">
        <w:rPr>
          <w:rStyle w:val="HideTWBInt"/>
          <w:lang w:val="sv-SE"/>
        </w:rPr>
        <w:t>{EN}</w:t>
      </w:r>
      <w:r w:rsidRPr="008D03DA">
        <w:rPr>
          <w:lang w:val="sv-SE"/>
        </w:rPr>
        <w:t>en</w:t>
      </w:r>
      <w:r w:rsidRPr="008D03DA">
        <w:rPr>
          <w:rStyle w:val="HideTWBExt"/>
          <w:lang w:val="sv-SE"/>
        </w:rPr>
        <w:t>&lt;/Original&gt;</w:t>
      </w:r>
    </w:p>
    <w:p w14:paraId="22A17FB6" w14:textId="77777777" w:rsidR="005619FF" w:rsidRPr="005619FF" w:rsidRDefault="005619FF" w:rsidP="005619FF">
      <w:pPr>
        <w:rPr>
          <w:lang w:val="sv-SE"/>
        </w:rPr>
      </w:pPr>
      <w:r>
        <w:rPr>
          <w:rStyle w:val="HideTWBExt"/>
          <w:lang w:val="sv-SE"/>
        </w:rPr>
        <w:t>&lt;/Amend&gt;</w:t>
      </w:r>
    </w:p>
    <w:p w14:paraId="5E738696" w14:textId="77777777" w:rsidR="005619FF" w:rsidRPr="005619FF" w:rsidRDefault="005619FF" w:rsidP="005619FF">
      <w:pPr>
        <w:pStyle w:val="AmNumberTabs"/>
        <w:rPr>
          <w:lang w:val="sv-SE"/>
        </w:rPr>
      </w:pPr>
      <w:r>
        <w:rPr>
          <w:rStyle w:val="HideTWBExt"/>
          <w:lang w:val="sv-SE"/>
        </w:rPr>
        <w:t>&lt;Amend&gt;</w:t>
      </w:r>
      <w:proofErr w:type="spellStart"/>
      <w:r w:rsidRPr="005619FF">
        <w:rPr>
          <w:lang w:val="sv-SE"/>
        </w:rPr>
        <w:t>Poprawka</w:t>
      </w:r>
      <w:proofErr w:type="spellEnd"/>
      <w:r w:rsidRPr="005619FF">
        <w:rPr>
          <w:lang w:val="sv-SE"/>
        </w:rPr>
        <w:tab/>
      </w:r>
      <w:r w:rsidRPr="005619FF">
        <w:rPr>
          <w:lang w:val="sv-SE"/>
        </w:rPr>
        <w:tab/>
      </w:r>
      <w:r>
        <w:rPr>
          <w:rStyle w:val="HideTWBExt"/>
          <w:lang w:val="sv-SE"/>
        </w:rPr>
        <w:t>&lt;NumAm&gt;</w:t>
      </w:r>
      <w:r w:rsidRPr="005619FF">
        <w:rPr>
          <w:lang w:val="sv-SE"/>
        </w:rPr>
        <w:t>61</w:t>
      </w:r>
      <w:r>
        <w:rPr>
          <w:rStyle w:val="HideTWBExt"/>
          <w:lang w:val="sv-SE"/>
        </w:rPr>
        <w:t>&lt;/</w:t>
      </w:r>
      <w:proofErr w:type="spellStart"/>
      <w:r>
        <w:rPr>
          <w:rStyle w:val="HideTWBExt"/>
          <w:lang w:val="sv-SE"/>
        </w:rPr>
        <w:t>NumAm</w:t>
      </w:r>
      <w:proofErr w:type="spellEnd"/>
      <w:r>
        <w:rPr>
          <w:rStyle w:val="HideTWBExt"/>
          <w:lang w:val="sv-SE"/>
        </w:rPr>
        <w:t>&gt;</w:t>
      </w:r>
    </w:p>
    <w:p w14:paraId="10FF016F" w14:textId="77777777" w:rsidR="005619FF" w:rsidRPr="005619FF" w:rsidRDefault="005619FF" w:rsidP="005619FF">
      <w:pPr>
        <w:pStyle w:val="NormalBold"/>
        <w:rPr>
          <w:lang w:val="sv-SE"/>
        </w:rPr>
      </w:pPr>
      <w:r>
        <w:rPr>
          <w:rStyle w:val="HideTWBExt"/>
          <w:b w:val="0"/>
          <w:lang w:val="sv-SE"/>
        </w:rPr>
        <w:t>&lt;RepeatBlock-By&gt;&lt;Members&gt;</w:t>
      </w:r>
      <w:r w:rsidRPr="005619FF">
        <w:rPr>
          <w:lang w:val="sv-SE"/>
        </w:rPr>
        <w:t xml:space="preserve">Kinga </w:t>
      </w:r>
      <w:proofErr w:type="spellStart"/>
      <w:r w:rsidRPr="005619FF">
        <w:rPr>
          <w:lang w:val="sv-SE"/>
        </w:rPr>
        <w:t>Kollár</w:t>
      </w:r>
      <w:proofErr w:type="spellEnd"/>
      <w:r>
        <w:rPr>
          <w:rStyle w:val="HideTWBExt"/>
          <w:b w:val="0"/>
          <w:lang w:val="sv-SE"/>
        </w:rPr>
        <w:t>&lt;/Members&gt;</w:t>
      </w:r>
    </w:p>
    <w:p w14:paraId="21E6CA1B" w14:textId="77777777" w:rsidR="005619FF" w:rsidRPr="005619FF" w:rsidRDefault="005619FF" w:rsidP="005619FF">
      <w:pPr>
        <w:pStyle w:val="NormalBold"/>
        <w:rPr>
          <w:lang w:val="sv-SE"/>
        </w:rPr>
      </w:pPr>
      <w:r>
        <w:rPr>
          <w:rStyle w:val="HideTWBExt"/>
          <w:b w:val="0"/>
          <w:lang w:val="sv-SE"/>
        </w:rPr>
        <w:t>&lt;/RepeatBlock-By&gt;</w:t>
      </w:r>
    </w:p>
    <w:p w14:paraId="2DE42BED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2575ECD4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&lt;Article&gt;</w:t>
      </w:r>
      <w:r>
        <w:t>Ustęp 105</w:t>
      </w:r>
      <w:r>
        <w:rPr>
          <w:rStyle w:val="HideTWBExt"/>
          <w:lang w:val="en-GB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252266D2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B50AA" w14:textId="77777777" w:rsidR="005619FF" w:rsidRPr="008D03DA" w:rsidRDefault="005619FF" w:rsidP="00FB1419">
            <w:pPr>
              <w:rPr>
                <w:lang w:val="en-GB"/>
              </w:rPr>
            </w:pPr>
          </w:p>
        </w:tc>
      </w:tr>
      <w:tr w:rsidR="005619FF" w14:paraId="3E952E4F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F50B2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577E4D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141458E8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E5A79" w14:textId="77777777" w:rsidR="005619FF" w:rsidRPr="008D03DA" w:rsidRDefault="005619FF" w:rsidP="00FB1419">
            <w:pPr>
              <w:pStyle w:val="Normal6a"/>
            </w:pPr>
            <w:r>
              <w:t>105.</w:t>
            </w:r>
            <w:r>
              <w:tab/>
              <w:t xml:space="preserve">podkreśla, że brak współpracy z EPPO ze strony któregokolwiek z państw członkowskich stwarza strefy immunitetu i przywilejów, które osłabiają obronę interesów finansowych Unii, gdyż sprawiają, że jest nierówna i nieskuteczna, i apeluje do Komisji o wszczynanie postępowań w sprawie uchybienia zobowiązaniom państwa członkowskiego przeciwko każdemu państwu członkowskiemu, które systematycznie utrudnia prowadzenie postępowań przygotowawczych przez EPPO; </w:t>
            </w:r>
            <w:r>
              <w:rPr>
                <w:b/>
                <w:i/>
              </w:rPr>
              <w:t xml:space="preserve">zwraca się do Komisji o rozważenie, czy uczestnictwo w EPPO nie powinno być warunkiem wstępnym otrzymania unijnych środków finansowych, oraz </w:t>
            </w:r>
            <w:r>
              <w:t xml:space="preserve">wzywa Komisję do ścisłego monitorowania poziomu współpracy </w:t>
            </w:r>
            <w:r>
              <w:lastRenderedPageBreak/>
              <w:t>państw członkowskich z EPPO; w związku z tym ubolewa nad zgłoszonymi w 2024 r. przypadkami gróźb pod adresem śledczych OLAF-u i EPPO podczas prowadzenia przez nich czynności na miejscu; podkreśla, że takie sytuacje podważają praworządność i osłabiają działania Unii oraz wymagają ustanowienia solidnych środków zapobiegawczych i ochronnych, aby chronić oddelegowany personel w sytuacji zagrożenia;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81C2A1" w14:textId="77777777" w:rsidR="005619FF" w:rsidRPr="008D03DA" w:rsidRDefault="005619FF" w:rsidP="00FB1419">
            <w:pPr>
              <w:pStyle w:val="Normal6a"/>
            </w:pPr>
            <w:r>
              <w:lastRenderedPageBreak/>
              <w:t>105.</w:t>
            </w:r>
            <w:r>
              <w:tab/>
              <w:t xml:space="preserve">podkreśla, że brak współpracy z EPPO ze strony któregokolwiek z państw członkowskich stwarza strefy immunitetu i przywilejów, które osłabiają obronę interesów finansowych Unii, gdyż sprawiają, że jest nierówna i nieskuteczna, i apeluje do Komisji o wszczynanie postępowań w sprawie uchybienia zobowiązaniom państwa członkowskiego przeciwko każdemu państwu członkowskiemu, które systematycznie utrudnia prowadzenie postępowań przygotowawczych przez EPPO; wzywa Komisję do ścisłego monitorowania poziomu współpracy państw członkowskich z EPPO; w związku z tym ubolewa nad zgłoszonymi w 2024 r. przypadkami gróźb pod adresem śledczych OLAF-u i EPPO podczas prowadzenia </w:t>
            </w:r>
            <w:r>
              <w:lastRenderedPageBreak/>
              <w:t>przez nich czynności na miejscu; podkreśla, że takie sytuacje podważają praworządność i osłabiają działania Unii oraz wymagają ustanowienia solidnych środków zapobiegawczych i ochronnych, aby chronić oddelegowany personel w sytuacji zagrożenia;</w:t>
            </w:r>
          </w:p>
        </w:tc>
      </w:tr>
    </w:tbl>
    <w:p w14:paraId="6BA37B85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lastRenderedPageBreak/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79C682D7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01D1CFEC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62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6922311A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5FC29E45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483E9628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24135540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106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45884C1B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A2E20" w14:textId="77777777" w:rsidR="005619FF" w:rsidRPr="00403364" w:rsidRDefault="005619FF" w:rsidP="00FB1419"/>
        </w:tc>
      </w:tr>
      <w:tr w:rsidR="005619FF" w14:paraId="0C44C35C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C706B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16CB8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09A9C735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076535" w14:textId="77777777" w:rsidR="005619FF" w:rsidRPr="008D03DA" w:rsidRDefault="005619FF" w:rsidP="00FB1419">
            <w:pPr>
              <w:pStyle w:val="Normal6a"/>
            </w:pPr>
            <w:r>
              <w:t>106.</w:t>
            </w:r>
            <w:r>
              <w:tab/>
              <w:t xml:space="preserve">podkreśla, że działalność EPPO musi przyczyniać się do ochrony interesów finansowych Unii i ma </w:t>
            </w:r>
            <w:r>
              <w:rPr>
                <w:b/>
                <w:i/>
              </w:rPr>
              <w:t>służyć odzyskaniu</w:t>
            </w:r>
            <w:r>
              <w:t xml:space="preserve"> kwot wypłaconych z budżetu Unii, których z powodu działalności przestępczej nie wykorzystano zgodnie z przeznaczeniem; zauważa, że proces konfiskaty, umożliwiający odzyskanie takich kwot, leży w gestii organów krajowych, oraz że stosowne skonfiskowane kwoty lub wartość mienia wynikające z działań podjętych przez EDP w państwach członkowskich powinny zostać zwrócone do budżetu Unii, po odliczeniu kosztów poniesionych przez organy państw członkowskich w celu wdrożenia tych działań, zgodnie z art. 38 rozporządzenia (UE) 2017/1939, w którym to przepisie mowa jest o rozporządzeniu mieniem lub korzyściami zgodnie z mającym zastosowanie prawem krajowym, bez uszczerbku dla prawa Unii ani innych pokrzywdzonych do uzyskania odszkodowania za poniesione szkody; </w:t>
            </w:r>
            <w:r>
              <w:lastRenderedPageBreak/>
              <w:t>przypomina, że Komisja Kontroli Budżetowej Parlamentu zaproponowała, aby potencjalne dochody wynikające z działań w zakresie zajmowania i konfiskaty środków były ujmowane w budżecie Unii jako dochody nieprzeznaczone na określony cel w odrębnej linii budżetowej utworzonej w wyniku zmiany budżetu; docenia zaangażowanie EPPO we współpracę z Komisją w celu wspierania wszelkich wysiłków mających zapewnić realizację tej propozycji; uważa, że konieczna jest zmiana art. 38, aby umożliwić skuteczne wdrożenie i monitorowanie tego rozwiązania w celu zapewnienia ochrony budżetu Unii, i wzywa Komisję do poczynienia niezbędnych ustaleń z właściwymi organami krajowymi, aby umożliwić włączenie tych kwot do budżetu Unii, oraz do zaproponowania niezbędnych rozwiązań ustawodawczych w celu skutecznego egzekwowania tego przepisu;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2725A" w14:textId="77777777" w:rsidR="005619FF" w:rsidRPr="008D03DA" w:rsidRDefault="005619FF" w:rsidP="00FB1419">
            <w:pPr>
              <w:pStyle w:val="Normal6a"/>
            </w:pPr>
            <w:r>
              <w:lastRenderedPageBreak/>
              <w:t>106.</w:t>
            </w:r>
            <w:r>
              <w:tab/>
              <w:t xml:space="preserve">podkreśla, że działalność EPPO musi przyczyniać się do ochrony interesów finansowych Unii i ma </w:t>
            </w:r>
            <w:r>
              <w:rPr>
                <w:b/>
                <w:i/>
              </w:rPr>
              <w:t>jej rezultatem ma być odzyskanie</w:t>
            </w:r>
            <w:r>
              <w:t xml:space="preserve"> kwot wypłaconych z budżetu Unii, których z powodu działalności przestępczej nie wykorzystano zgodnie z przeznaczeniem; zauważa, że proces konfiskaty, umożliwiający odzyskanie takich kwot, leży w gestii organów krajowych, oraz że stosowne skonfiskowane kwoty lub wartość mienia wynikające z działań podjętych przez EDP w państwach członkowskich powinny zostać zwrócone do budżetu Unii, po odliczeniu kosztów poniesionych przez organy państw członkowskich w celu wdrożenia tych działań, zgodnie z art. 38 rozporządzenia (UE) 2017/1939, w którym to przepisie mowa jest o rozporządzeniu mieniem lub korzyściami zgodnie z mającym zastosowanie prawem krajowym, bez uszczerbku dla prawa Unii ani innych pokrzywdzonych do uzyskania odszkodowania za poniesione szkody; </w:t>
            </w:r>
            <w:r>
              <w:lastRenderedPageBreak/>
              <w:t>przypomina, że Komisja Kontroli Budżetowej Parlamentu zaproponowała, aby potencjalne dochody wynikające z działań w zakresie zajmowania i konfiskaty środków były ujmowane w budżecie Unii jako dochody nieprzeznaczone na określony cel w odrębnej linii budżetowej utworzonej w wyniku zmiany budżetu; docenia zaangażowanie EPPO we współpracę z Komisją w celu wspierania wszelkich wysiłków mających zapewnić realizację tej propozycji; uważa, że konieczna jest zmiana art. 38, aby umożliwić skuteczne wdrożenie i monitorowanie tego rozwiązania w celu zapewnienia ochrony budżetu Unii, i wzywa Komisję do poczynienia niezbędnych ustaleń z właściwymi organami krajowymi, aby umożliwić włączenie tych kwot do budżetu Unii, oraz do zaproponowania niezbędnych rozwiązań ustawodawczych w celu skutecznego egzekwowania tego przepisu;</w:t>
            </w:r>
          </w:p>
        </w:tc>
      </w:tr>
    </w:tbl>
    <w:p w14:paraId="514BEDEE" w14:textId="77777777" w:rsidR="005619FF" w:rsidRPr="005619FF" w:rsidRDefault="005619FF" w:rsidP="005619FF">
      <w:pPr>
        <w:pStyle w:val="AmOrLang"/>
        <w:rPr>
          <w:lang w:val="sv-SE" w:eastAsia="en-US"/>
        </w:rPr>
      </w:pPr>
      <w:r w:rsidRPr="005619FF">
        <w:rPr>
          <w:lang w:val="sv-SE"/>
        </w:rPr>
        <w:lastRenderedPageBreak/>
        <w:t xml:space="preserve">Or. </w:t>
      </w:r>
      <w:r w:rsidRPr="005619FF">
        <w:rPr>
          <w:rStyle w:val="HideTWBExt"/>
          <w:lang w:val="sv-SE"/>
        </w:rPr>
        <w:t>&lt;Original&gt;</w:t>
      </w:r>
      <w:r w:rsidRPr="005619FF">
        <w:rPr>
          <w:rStyle w:val="HideTWBInt"/>
          <w:lang w:val="sv-SE"/>
        </w:rPr>
        <w:t>{EN}</w:t>
      </w:r>
      <w:r w:rsidRPr="005619FF">
        <w:rPr>
          <w:lang w:val="sv-SE"/>
        </w:rPr>
        <w:t>en</w:t>
      </w:r>
      <w:r w:rsidRPr="005619FF">
        <w:rPr>
          <w:rStyle w:val="HideTWBExt"/>
          <w:lang w:val="sv-SE"/>
        </w:rPr>
        <w:t>&lt;/Original&gt;</w:t>
      </w:r>
    </w:p>
    <w:p w14:paraId="68F3ADB5" w14:textId="77777777" w:rsidR="005619FF" w:rsidRPr="005619FF" w:rsidRDefault="005619FF" w:rsidP="005619FF">
      <w:pPr>
        <w:rPr>
          <w:lang w:val="sv-SE"/>
        </w:rPr>
      </w:pPr>
      <w:r w:rsidRPr="005619FF">
        <w:rPr>
          <w:rStyle w:val="HideTWBExt"/>
          <w:lang w:val="sv-SE"/>
        </w:rPr>
        <w:t>&lt;/Amend&gt;</w:t>
      </w:r>
    </w:p>
    <w:p w14:paraId="34E33849" w14:textId="77777777" w:rsidR="005619FF" w:rsidRPr="005619FF" w:rsidRDefault="005619FF" w:rsidP="005619FF">
      <w:pPr>
        <w:pStyle w:val="AmNumberTabs"/>
        <w:rPr>
          <w:lang w:val="sv-SE"/>
        </w:rPr>
      </w:pPr>
      <w:r w:rsidRPr="005619FF">
        <w:rPr>
          <w:rStyle w:val="HideTWBExt"/>
          <w:lang w:val="sv-SE"/>
        </w:rPr>
        <w:t>&lt;Amend&gt;</w:t>
      </w:r>
      <w:proofErr w:type="spellStart"/>
      <w:r w:rsidRPr="005619FF">
        <w:rPr>
          <w:lang w:val="sv-SE"/>
        </w:rPr>
        <w:t>Poprawka</w:t>
      </w:r>
      <w:proofErr w:type="spellEnd"/>
      <w:r w:rsidRPr="005619FF">
        <w:rPr>
          <w:lang w:val="sv-SE"/>
        </w:rPr>
        <w:tab/>
      </w:r>
      <w:r w:rsidRPr="005619FF">
        <w:rPr>
          <w:lang w:val="sv-SE"/>
        </w:rPr>
        <w:tab/>
      </w:r>
      <w:r w:rsidRPr="005619FF">
        <w:rPr>
          <w:rStyle w:val="HideTWBExt"/>
          <w:lang w:val="sv-SE"/>
        </w:rPr>
        <w:t>&lt;NumAm&gt;</w:t>
      </w:r>
      <w:r w:rsidRPr="005619FF">
        <w:rPr>
          <w:lang w:val="sv-SE"/>
        </w:rPr>
        <w:t>63</w:t>
      </w:r>
      <w:r w:rsidRPr="005619FF">
        <w:rPr>
          <w:rStyle w:val="HideTWBExt"/>
          <w:lang w:val="sv-SE"/>
        </w:rPr>
        <w:t>&lt;/</w:t>
      </w:r>
      <w:proofErr w:type="spellStart"/>
      <w:r w:rsidRPr="005619FF">
        <w:rPr>
          <w:rStyle w:val="HideTWBExt"/>
          <w:lang w:val="sv-SE"/>
        </w:rPr>
        <w:t>NumAm</w:t>
      </w:r>
      <w:proofErr w:type="spellEnd"/>
      <w:r w:rsidRPr="005619FF">
        <w:rPr>
          <w:rStyle w:val="HideTWBExt"/>
          <w:lang w:val="sv-SE"/>
        </w:rPr>
        <w:t>&gt;</w:t>
      </w:r>
    </w:p>
    <w:p w14:paraId="0BF31746" w14:textId="77777777" w:rsidR="005619FF" w:rsidRPr="005619FF" w:rsidRDefault="005619FF" w:rsidP="005619FF">
      <w:pPr>
        <w:pStyle w:val="NormalBold"/>
        <w:rPr>
          <w:lang w:val="sv-SE"/>
        </w:rPr>
      </w:pPr>
      <w:r w:rsidRPr="005619FF">
        <w:rPr>
          <w:rStyle w:val="HideTWBExt"/>
          <w:b w:val="0"/>
          <w:lang w:val="sv-SE"/>
        </w:rPr>
        <w:t>&lt;RepeatBlock-By&gt;&lt;Members&gt;</w:t>
      </w:r>
      <w:r w:rsidRPr="005619FF">
        <w:rPr>
          <w:lang w:val="sv-SE"/>
        </w:rPr>
        <w:t xml:space="preserve">Damian </w:t>
      </w:r>
      <w:proofErr w:type="spellStart"/>
      <w:r w:rsidRPr="005619FF">
        <w:rPr>
          <w:lang w:val="sv-SE"/>
        </w:rPr>
        <w:t>Boeselager</w:t>
      </w:r>
      <w:proofErr w:type="spellEnd"/>
      <w:r w:rsidRPr="005619FF">
        <w:rPr>
          <w:rStyle w:val="HideTWBExt"/>
          <w:b w:val="0"/>
          <w:lang w:val="sv-SE"/>
        </w:rPr>
        <w:t>&lt;/Members&gt;</w:t>
      </w:r>
    </w:p>
    <w:p w14:paraId="07D0883D" w14:textId="77777777" w:rsidR="005619FF" w:rsidRPr="008D03DA" w:rsidRDefault="005619FF" w:rsidP="005619FF">
      <w:r w:rsidRPr="005619FF">
        <w:rPr>
          <w:rStyle w:val="HideTWBExt"/>
        </w:rPr>
        <w:t>&lt;AuNomDe&gt;</w:t>
      </w:r>
      <w:r w:rsidRPr="005619FF">
        <w:rPr>
          <w:rStyle w:val="HideTWBInt"/>
          <w:color w:val="auto"/>
        </w:rPr>
        <w:t>{</w:t>
      </w:r>
      <w:proofErr w:type="spellStart"/>
      <w:r w:rsidRPr="005619FF">
        <w:rPr>
          <w:rStyle w:val="HideTWBInt"/>
          <w:color w:val="auto"/>
        </w:rPr>
        <w:t>Verts</w:t>
      </w:r>
      <w:proofErr w:type="spellEnd"/>
      <w:r w:rsidRPr="005619FF">
        <w:rPr>
          <w:rStyle w:val="HideTWBInt"/>
          <w:color w:val="auto"/>
        </w:rPr>
        <w:t>/</w:t>
      </w:r>
      <w:proofErr w:type="gramStart"/>
      <w:r w:rsidRPr="005619FF">
        <w:rPr>
          <w:rStyle w:val="HideTWBInt"/>
          <w:color w:val="auto"/>
        </w:rPr>
        <w:t>ALE}</w:t>
      </w:r>
      <w:r>
        <w:t>w</w:t>
      </w:r>
      <w:proofErr w:type="gramEnd"/>
      <w:r>
        <w:t xml:space="preserve"> imieniu grupy </w:t>
      </w:r>
      <w:proofErr w:type="spellStart"/>
      <w:r>
        <w:t>Verts</w:t>
      </w:r>
      <w:proofErr w:type="spellEnd"/>
      <w:r>
        <w:t>/ALE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AuNomDe</w:t>
      </w:r>
      <w:proofErr w:type="spellEnd"/>
      <w:r w:rsidRPr="005619FF">
        <w:rPr>
          <w:rStyle w:val="HideTWBExt"/>
        </w:rPr>
        <w:t>&gt;</w:t>
      </w:r>
    </w:p>
    <w:p w14:paraId="66073B4A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3E7A6963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&lt;DocAmend&gt;</w:t>
      </w:r>
      <w:r>
        <w:t>Projekt rezolucji</w:t>
      </w:r>
      <w:r w:rsidRPr="005619FF">
        <w:rPr>
          <w:rStyle w:val="HideTWBExt"/>
        </w:rPr>
        <w:t>&lt;/DocAmend&gt;</w:t>
      </w:r>
    </w:p>
    <w:p w14:paraId="7929DD31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&lt;Article&gt;</w:t>
      </w:r>
      <w:r>
        <w:t>Ustęp 111 a (nowy)</w:t>
      </w:r>
      <w:r w:rsidRPr="005619F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64490C85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7A606" w14:textId="77777777" w:rsidR="005619FF" w:rsidRPr="005619FF" w:rsidRDefault="005619FF" w:rsidP="00FB1419"/>
        </w:tc>
      </w:tr>
      <w:tr w:rsidR="005619FF" w14:paraId="66B725A4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22A13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4F9FC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795373A4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BF067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26180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111a.</w:t>
            </w:r>
            <w:r>
              <w:tab/>
            </w:r>
            <w:r>
              <w:rPr>
                <w:b/>
                <w:i/>
              </w:rPr>
              <w:t xml:space="preserve">odnotowuje wyjątkowo duże zainteresowanie opinii publicznej niektórymi postępowaniami przygotowawczymi EPPO, w tym dochodzeniem w sprawie zakupu szczepionek przeciwko COVID-19 w Unii; przypomina, że przejrzystość musi być zrównoważona domniemaniem niewinności i rzetelnością postępowań; zachęca EPPO do utrzymania jasnych zasad komunikacji publicznej na temat </w:t>
            </w:r>
            <w:r>
              <w:rPr>
                <w:b/>
                <w:i/>
              </w:rPr>
              <w:lastRenderedPageBreak/>
              <w:t>tego, kiedy i w jaki sposób potwierdza ona prowadzenie postępowań przygotowawczych i przekazuje aktualne informacje, przy jednoczesnym zapewnieniu dostępności wystarczających zasobów do prowadzenia spraw o wysokim stopniu złożoności, mających istotny wpływ na budżet i reputację;</w:t>
            </w:r>
          </w:p>
        </w:tc>
      </w:tr>
    </w:tbl>
    <w:p w14:paraId="11885C6F" w14:textId="77777777" w:rsidR="005619FF" w:rsidRPr="005619FF" w:rsidRDefault="005619FF" w:rsidP="005619FF">
      <w:pPr>
        <w:pStyle w:val="AmOrLang"/>
        <w:rPr>
          <w:lang w:val="fr-BE" w:eastAsia="en-US"/>
        </w:rPr>
      </w:pPr>
      <w:r w:rsidRPr="005619FF">
        <w:rPr>
          <w:lang w:val="fr-BE"/>
        </w:rPr>
        <w:lastRenderedPageBreak/>
        <w:t xml:space="preserve">Or. </w:t>
      </w:r>
      <w:r w:rsidRPr="005619FF">
        <w:rPr>
          <w:rStyle w:val="HideTWBExt"/>
          <w:lang w:val="fr-BE"/>
        </w:rPr>
        <w:t>&lt;Original&gt;</w:t>
      </w:r>
      <w:r w:rsidRPr="005619FF">
        <w:rPr>
          <w:rStyle w:val="HideTWBInt"/>
          <w:lang w:val="fr-BE"/>
        </w:rPr>
        <w:t>{EN}</w:t>
      </w:r>
      <w:r w:rsidRPr="005619FF">
        <w:rPr>
          <w:lang w:val="fr-BE"/>
        </w:rPr>
        <w:t>en</w:t>
      </w:r>
      <w:r w:rsidRPr="005619FF">
        <w:rPr>
          <w:rStyle w:val="HideTWBExt"/>
          <w:lang w:val="fr-BE"/>
        </w:rPr>
        <w:t>&lt;/Original&gt;</w:t>
      </w:r>
    </w:p>
    <w:p w14:paraId="374EB98F" w14:textId="77777777" w:rsidR="005619FF" w:rsidRPr="005619FF" w:rsidRDefault="005619FF" w:rsidP="005619FF">
      <w:pPr>
        <w:rPr>
          <w:lang w:val="fr-BE"/>
        </w:rPr>
      </w:pPr>
      <w:r w:rsidRPr="005619FF">
        <w:rPr>
          <w:rStyle w:val="HideTWBExt"/>
          <w:lang w:val="fr-BE"/>
        </w:rPr>
        <w:t>&lt;/Amend&gt;</w:t>
      </w:r>
    </w:p>
    <w:p w14:paraId="48149666" w14:textId="77777777" w:rsidR="005619FF" w:rsidRPr="005619FF" w:rsidRDefault="005619FF" w:rsidP="005619FF">
      <w:pPr>
        <w:pStyle w:val="AmNumberTabs"/>
        <w:rPr>
          <w:lang w:val="fr-BE"/>
        </w:rPr>
      </w:pPr>
      <w:r w:rsidRPr="005619FF">
        <w:rPr>
          <w:rStyle w:val="HideTWBExt"/>
          <w:lang w:val="fr-BE"/>
        </w:rPr>
        <w:t>&lt;Amend&gt;</w:t>
      </w:r>
      <w:proofErr w:type="spellStart"/>
      <w:r w:rsidRPr="005619FF">
        <w:rPr>
          <w:lang w:val="fr-BE"/>
        </w:rPr>
        <w:t>Poprawka</w:t>
      </w:r>
      <w:proofErr w:type="spellEnd"/>
      <w:r w:rsidRPr="005619FF">
        <w:rPr>
          <w:lang w:val="fr-BE"/>
        </w:rPr>
        <w:tab/>
      </w:r>
      <w:r w:rsidRPr="005619FF">
        <w:rPr>
          <w:lang w:val="fr-BE"/>
        </w:rPr>
        <w:tab/>
      </w:r>
      <w:r w:rsidRPr="005619FF">
        <w:rPr>
          <w:rStyle w:val="HideTWBExt"/>
          <w:lang w:val="fr-BE"/>
        </w:rPr>
        <w:t>&lt;NumAm&gt;</w:t>
      </w:r>
      <w:r w:rsidRPr="005619FF">
        <w:rPr>
          <w:lang w:val="fr-BE"/>
        </w:rPr>
        <w:t>64</w:t>
      </w:r>
      <w:r w:rsidRPr="005619FF">
        <w:rPr>
          <w:rStyle w:val="HideTWBExt"/>
          <w:lang w:val="fr-BE"/>
        </w:rPr>
        <w:t>&lt;/</w:t>
      </w:r>
      <w:proofErr w:type="spellStart"/>
      <w:r w:rsidRPr="005619FF">
        <w:rPr>
          <w:rStyle w:val="HideTWBExt"/>
          <w:lang w:val="fr-BE"/>
        </w:rPr>
        <w:t>NumAm</w:t>
      </w:r>
      <w:proofErr w:type="spellEnd"/>
      <w:r w:rsidRPr="005619FF">
        <w:rPr>
          <w:rStyle w:val="HideTWBExt"/>
          <w:lang w:val="fr-BE"/>
        </w:rPr>
        <w:t>&gt;</w:t>
      </w:r>
    </w:p>
    <w:p w14:paraId="58DAA1F1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&lt;RepeatBlock-By&gt;&lt;Members&gt;</w:t>
      </w:r>
      <w:r w:rsidRPr="005619FF">
        <w:rPr>
          <w:lang w:val="fr-BE"/>
        </w:rPr>
        <w:t xml:space="preserve">Cristian </w:t>
      </w:r>
      <w:proofErr w:type="spellStart"/>
      <w:r w:rsidRPr="005619FF">
        <w:rPr>
          <w:lang w:val="fr-BE"/>
        </w:rPr>
        <w:t>Terheş</w:t>
      </w:r>
      <w:proofErr w:type="spellEnd"/>
      <w:r w:rsidRPr="005619FF">
        <w:rPr>
          <w:rStyle w:val="HideTWBExt"/>
          <w:b w:val="0"/>
          <w:lang w:val="fr-BE"/>
        </w:rPr>
        <w:t>&lt;/Members&gt;</w:t>
      </w:r>
    </w:p>
    <w:p w14:paraId="5683810D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&lt;/RepeatBlock-By&gt;</w:t>
      </w:r>
    </w:p>
    <w:p w14:paraId="0DFABC26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710AAE9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112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2428BDB3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993D3" w14:textId="77777777" w:rsidR="005619FF" w:rsidRPr="00403364" w:rsidRDefault="005619FF" w:rsidP="00FB1419"/>
        </w:tc>
      </w:tr>
      <w:tr w:rsidR="005619FF" w14:paraId="46FCBD9D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250C5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1801D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184EB5E5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30B25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CF85D9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112a.</w:t>
            </w:r>
            <w:r>
              <w:tab/>
            </w:r>
            <w:r>
              <w:rPr>
                <w:b/>
                <w:i/>
              </w:rPr>
              <w:t>z głębokim zaniepokojeniem odnotowuje bezprecedensowe nadużycia finansowe podczas pandemii COVID-19, brak przejrzystości w instytucjach publicznych oraz niewłaściwe zarządzanie funduszami publicznymi UE; zwraca uwagę, że w swoim sprawozdaniu z działalności za 2023 r. EPPO wciąż podkreśla liczne przypadki nadużyć finansowych związanych ze środkami przeznaczonymi na pandemię COVID-19</w:t>
            </w:r>
            <w:r>
              <w:rPr>
                <w:b/>
                <w:i/>
                <w:vertAlign w:val="superscript"/>
              </w:rPr>
              <w:t>9a</w:t>
            </w:r>
            <w:r>
              <w:rPr>
                <w:b/>
                <w:i/>
              </w:rPr>
              <w:t>;</w:t>
            </w:r>
          </w:p>
        </w:tc>
      </w:tr>
      <w:tr w:rsidR="005619FF" w14:paraId="35770ACA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4C06D" w14:textId="77777777" w:rsidR="005619FF" w:rsidRPr="005619FF" w:rsidRDefault="005619FF" w:rsidP="00FB1419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6CBD9" w14:textId="77777777" w:rsidR="005619FF" w:rsidRPr="00403364" w:rsidRDefault="005619FF" w:rsidP="00FB1419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619FF" w:rsidRPr="005619FF" w14:paraId="36543CDD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5C1BF" w14:textId="77777777" w:rsidR="005619FF" w:rsidRPr="00403364" w:rsidRDefault="005619FF" w:rsidP="00FB1419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6987A" w14:textId="77777777" w:rsidR="005619FF" w:rsidRPr="005619FF" w:rsidRDefault="005619FF" w:rsidP="00FB1419">
            <w:pPr>
              <w:pStyle w:val="Normal6a"/>
              <w:rPr>
                <w:lang w:val="pt-PT"/>
              </w:rPr>
            </w:pPr>
            <w:r w:rsidRPr="005619FF">
              <w:rPr>
                <w:b/>
                <w:i/>
                <w:vertAlign w:val="superscript"/>
                <w:lang w:val="pt-PT"/>
              </w:rPr>
              <w:t>9a</w:t>
            </w:r>
            <w:r w:rsidRPr="005619FF">
              <w:rPr>
                <w:lang w:val="pt-PT"/>
              </w:rPr>
              <w:t xml:space="preserve"> </w:t>
            </w:r>
            <w:r w:rsidRPr="005619FF">
              <w:rPr>
                <w:b/>
                <w:i/>
                <w:lang w:val="pt-PT"/>
              </w:rPr>
              <w:t>https://www.eppo.europa.eu/sites/default/files/2024-03/EPPO_Annual_Report_2023.pdf</w:t>
            </w:r>
          </w:p>
        </w:tc>
      </w:tr>
    </w:tbl>
    <w:p w14:paraId="58AFBB22" w14:textId="77777777" w:rsidR="005619FF" w:rsidRPr="005619FF" w:rsidRDefault="005619FF" w:rsidP="005619FF">
      <w:pPr>
        <w:pStyle w:val="AmOrLang"/>
        <w:rPr>
          <w:lang w:val="fr-BE" w:eastAsia="en-US"/>
        </w:rPr>
      </w:pPr>
      <w:r w:rsidRPr="005619FF">
        <w:rPr>
          <w:lang w:val="fr-BE"/>
        </w:rPr>
        <w:t xml:space="preserve">Or. </w:t>
      </w:r>
      <w:r w:rsidRPr="005619FF">
        <w:rPr>
          <w:rStyle w:val="HideTWBExt"/>
          <w:lang w:val="fr-BE"/>
        </w:rPr>
        <w:t>&lt;Original&gt;</w:t>
      </w:r>
      <w:r w:rsidRPr="005619FF">
        <w:rPr>
          <w:rStyle w:val="HideTWBInt"/>
          <w:lang w:val="fr-BE"/>
        </w:rPr>
        <w:t>{EN}</w:t>
      </w:r>
      <w:r w:rsidRPr="005619FF">
        <w:rPr>
          <w:lang w:val="fr-BE"/>
        </w:rPr>
        <w:t>en</w:t>
      </w:r>
      <w:r w:rsidRPr="005619FF">
        <w:rPr>
          <w:rStyle w:val="HideTWBExt"/>
          <w:lang w:val="fr-BE"/>
        </w:rPr>
        <w:t>&lt;/Original&gt;</w:t>
      </w:r>
    </w:p>
    <w:p w14:paraId="68AAE0D0" w14:textId="77777777" w:rsidR="005619FF" w:rsidRPr="005619FF" w:rsidRDefault="005619FF" w:rsidP="005619FF">
      <w:pPr>
        <w:rPr>
          <w:lang w:val="fr-BE"/>
        </w:rPr>
      </w:pPr>
      <w:r w:rsidRPr="005619FF">
        <w:rPr>
          <w:rStyle w:val="HideTWBExt"/>
          <w:lang w:val="fr-BE"/>
        </w:rPr>
        <w:t>&lt;/Amend&gt;</w:t>
      </w:r>
    </w:p>
    <w:p w14:paraId="7B92BE70" w14:textId="77777777" w:rsidR="005619FF" w:rsidRPr="005619FF" w:rsidRDefault="005619FF" w:rsidP="005619FF">
      <w:pPr>
        <w:pStyle w:val="AmNumberTabs"/>
        <w:rPr>
          <w:lang w:val="fr-BE"/>
        </w:rPr>
      </w:pPr>
      <w:r w:rsidRPr="005619FF">
        <w:rPr>
          <w:rStyle w:val="HideTWBExt"/>
          <w:lang w:val="fr-BE"/>
        </w:rPr>
        <w:t>&lt;Amend&gt;</w:t>
      </w:r>
      <w:proofErr w:type="spellStart"/>
      <w:r w:rsidRPr="005619FF">
        <w:rPr>
          <w:lang w:val="fr-BE"/>
        </w:rPr>
        <w:t>Poprawka</w:t>
      </w:r>
      <w:proofErr w:type="spellEnd"/>
      <w:r w:rsidRPr="005619FF">
        <w:rPr>
          <w:lang w:val="fr-BE"/>
        </w:rPr>
        <w:tab/>
      </w:r>
      <w:r w:rsidRPr="005619FF">
        <w:rPr>
          <w:lang w:val="fr-BE"/>
        </w:rPr>
        <w:tab/>
      </w:r>
      <w:r w:rsidRPr="005619FF">
        <w:rPr>
          <w:rStyle w:val="HideTWBExt"/>
          <w:lang w:val="fr-BE"/>
        </w:rPr>
        <w:t>&lt;NumAm&gt;</w:t>
      </w:r>
      <w:r w:rsidRPr="005619FF">
        <w:rPr>
          <w:lang w:val="fr-BE"/>
        </w:rPr>
        <w:t>65</w:t>
      </w:r>
      <w:r w:rsidRPr="005619FF">
        <w:rPr>
          <w:rStyle w:val="HideTWBExt"/>
          <w:lang w:val="fr-BE"/>
        </w:rPr>
        <w:t>&lt;/</w:t>
      </w:r>
      <w:proofErr w:type="spellStart"/>
      <w:r w:rsidRPr="005619FF">
        <w:rPr>
          <w:rStyle w:val="HideTWBExt"/>
          <w:lang w:val="fr-BE"/>
        </w:rPr>
        <w:t>NumAm</w:t>
      </w:r>
      <w:proofErr w:type="spellEnd"/>
      <w:r w:rsidRPr="005619FF">
        <w:rPr>
          <w:rStyle w:val="HideTWBExt"/>
          <w:lang w:val="fr-BE"/>
        </w:rPr>
        <w:t>&gt;</w:t>
      </w:r>
    </w:p>
    <w:p w14:paraId="47A0B723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&lt;RepeatBlock-By&gt;&lt;Members&gt;</w:t>
      </w:r>
      <w:r w:rsidRPr="005619FF">
        <w:rPr>
          <w:lang w:val="fr-BE"/>
        </w:rPr>
        <w:t xml:space="preserve">Cristian </w:t>
      </w:r>
      <w:proofErr w:type="spellStart"/>
      <w:r w:rsidRPr="005619FF">
        <w:rPr>
          <w:lang w:val="fr-BE"/>
        </w:rPr>
        <w:t>Terheş</w:t>
      </w:r>
      <w:proofErr w:type="spellEnd"/>
      <w:r w:rsidRPr="005619FF">
        <w:rPr>
          <w:rStyle w:val="HideTWBExt"/>
          <w:b w:val="0"/>
          <w:lang w:val="fr-BE"/>
        </w:rPr>
        <w:t>&lt;/Members&gt;</w:t>
      </w:r>
    </w:p>
    <w:p w14:paraId="7B9E9BA5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&lt;/RepeatBlock-By&gt;</w:t>
      </w:r>
    </w:p>
    <w:p w14:paraId="0EC5F24B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AECE9B5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112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0B509744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EA303" w14:textId="77777777" w:rsidR="005619FF" w:rsidRPr="00403364" w:rsidRDefault="005619FF" w:rsidP="00FB1419"/>
        </w:tc>
      </w:tr>
      <w:tr w:rsidR="005619FF" w14:paraId="2DE49390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7B1C5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B9088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6F70F256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DD334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C4E35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112b.</w:t>
            </w:r>
            <w:r>
              <w:tab/>
            </w:r>
            <w:r>
              <w:rPr>
                <w:b/>
                <w:i/>
              </w:rPr>
              <w:t>wyraża poważne zaniepokojenie brakiem przejrzystości i komunikacji publicznej w sprawie postępowania przygotowawczego dotyczącego nabycia szczepionek przeciwko COVID-19 w Unii Europejskiej, powszechnie uznawanego za jedną z największych spraw związanych z oszustwami budzących duże zainteresowanie opinii publicznej; zauważa, że w 2022 r. Prokuratura Europejska (EPPO) wszczęła postępowanie przygotowawcze, ale obywateli w dalszym ciągu nie informuje się o jego postępach ani wyniku; wzywa EPPO do przeznaczenia odpowiednich zasobów ludzkich i finansowych, aby szybko zakończyć postępowanie przygotowawcze, oraz do bezzwłocznego podania do wiadomości publicznej jasnych informacji na temat etapu, na jakim jest postępowanie, i wniosków z niego, przy pełnym poszanowaniu ograniczeń prawnych;</w:t>
            </w:r>
          </w:p>
        </w:tc>
      </w:tr>
    </w:tbl>
    <w:p w14:paraId="5B0DB817" w14:textId="77777777" w:rsidR="005619FF" w:rsidRPr="005619FF" w:rsidRDefault="005619FF" w:rsidP="005619FF">
      <w:pPr>
        <w:pStyle w:val="AmOrLang"/>
        <w:rPr>
          <w:lang w:val="fr-BE" w:eastAsia="en-US"/>
        </w:rPr>
      </w:pPr>
      <w:r w:rsidRPr="005619FF">
        <w:rPr>
          <w:lang w:val="fr-BE"/>
        </w:rPr>
        <w:t xml:space="preserve">Or. </w:t>
      </w:r>
      <w:r w:rsidRPr="005619FF">
        <w:rPr>
          <w:rStyle w:val="HideTWBExt"/>
          <w:lang w:val="fr-BE"/>
        </w:rPr>
        <w:t>&lt;Original&gt;</w:t>
      </w:r>
      <w:r w:rsidRPr="005619FF">
        <w:rPr>
          <w:rStyle w:val="HideTWBInt"/>
          <w:lang w:val="fr-BE"/>
        </w:rPr>
        <w:t>{EN}</w:t>
      </w:r>
      <w:r w:rsidRPr="005619FF">
        <w:rPr>
          <w:lang w:val="fr-BE"/>
        </w:rPr>
        <w:t>en</w:t>
      </w:r>
      <w:r w:rsidRPr="005619FF">
        <w:rPr>
          <w:rStyle w:val="HideTWBExt"/>
          <w:lang w:val="fr-BE"/>
        </w:rPr>
        <w:t>&lt;/Original&gt;</w:t>
      </w:r>
    </w:p>
    <w:p w14:paraId="385C2518" w14:textId="77777777" w:rsidR="005619FF" w:rsidRPr="005619FF" w:rsidRDefault="005619FF" w:rsidP="005619FF">
      <w:pPr>
        <w:rPr>
          <w:lang w:val="fr-BE"/>
        </w:rPr>
      </w:pPr>
      <w:r w:rsidRPr="005619FF">
        <w:rPr>
          <w:rStyle w:val="HideTWBExt"/>
          <w:lang w:val="fr-BE"/>
        </w:rPr>
        <w:t>&lt;/Amend&gt;</w:t>
      </w:r>
    </w:p>
    <w:p w14:paraId="74A2E309" w14:textId="77777777" w:rsidR="005619FF" w:rsidRPr="005619FF" w:rsidRDefault="005619FF" w:rsidP="005619FF">
      <w:pPr>
        <w:pStyle w:val="AmNumberTabs"/>
        <w:rPr>
          <w:lang w:val="fr-BE"/>
        </w:rPr>
      </w:pPr>
      <w:r w:rsidRPr="005619FF">
        <w:rPr>
          <w:rStyle w:val="HideTWBExt"/>
          <w:lang w:val="fr-BE"/>
        </w:rPr>
        <w:t>&lt;Amend&gt;</w:t>
      </w:r>
      <w:proofErr w:type="spellStart"/>
      <w:r w:rsidRPr="005619FF">
        <w:rPr>
          <w:lang w:val="fr-BE"/>
        </w:rPr>
        <w:t>Poprawka</w:t>
      </w:r>
      <w:proofErr w:type="spellEnd"/>
      <w:r w:rsidRPr="005619FF">
        <w:rPr>
          <w:lang w:val="fr-BE"/>
        </w:rPr>
        <w:tab/>
      </w:r>
      <w:r w:rsidRPr="005619FF">
        <w:rPr>
          <w:lang w:val="fr-BE"/>
        </w:rPr>
        <w:tab/>
      </w:r>
      <w:r w:rsidRPr="005619FF">
        <w:rPr>
          <w:rStyle w:val="HideTWBExt"/>
          <w:lang w:val="fr-BE"/>
        </w:rPr>
        <w:t>&lt;NumAm&gt;</w:t>
      </w:r>
      <w:r w:rsidRPr="005619FF">
        <w:rPr>
          <w:lang w:val="fr-BE"/>
        </w:rPr>
        <w:t>66</w:t>
      </w:r>
      <w:r w:rsidRPr="005619FF">
        <w:rPr>
          <w:rStyle w:val="HideTWBExt"/>
          <w:lang w:val="fr-BE"/>
        </w:rPr>
        <w:t>&lt;/</w:t>
      </w:r>
      <w:proofErr w:type="spellStart"/>
      <w:r w:rsidRPr="005619FF">
        <w:rPr>
          <w:rStyle w:val="HideTWBExt"/>
          <w:lang w:val="fr-BE"/>
        </w:rPr>
        <w:t>NumAm</w:t>
      </w:r>
      <w:proofErr w:type="spellEnd"/>
      <w:r w:rsidRPr="005619FF">
        <w:rPr>
          <w:rStyle w:val="HideTWBExt"/>
          <w:lang w:val="fr-BE"/>
        </w:rPr>
        <w:t>&gt;</w:t>
      </w:r>
    </w:p>
    <w:p w14:paraId="27ECC2B0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&lt;RepeatBlock-By&gt;&lt;Members&gt;</w:t>
      </w:r>
      <w:r w:rsidRPr="005619FF">
        <w:rPr>
          <w:lang w:val="fr-BE"/>
        </w:rPr>
        <w:t xml:space="preserve">Cristian </w:t>
      </w:r>
      <w:proofErr w:type="spellStart"/>
      <w:r w:rsidRPr="005619FF">
        <w:rPr>
          <w:lang w:val="fr-BE"/>
        </w:rPr>
        <w:t>Terheş</w:t>
      </w:r>
      <w:proofErr w:type="spellEnd"/>
      <w:r w:rsidRPr="005619FF">
        <w:rPr>
          <w:rStyle w:val="HideTWBExt"/>
          <w:b w:val="0"/>
          <w:lang w:val="fr-BE"/>
        </w:rPr>
        <w:t>&lt;/Members&gt;</w:t>
      </w:r>
    </w:p>
    <w:p w14:paraId="40F59B80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&lt;/RepeatBlock-By&gt;</w:t>
      </w:r>
    </w:p>
    <w:p w14:paraId="295B54DE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FD39A8C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112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2510919C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CB4CA" w14:textId="77777777" w:rsidR="005619FF" w:rsidRPr="00403364" w:rsidRDefault="005619FF" w:rsidP="00FB1419"/>
        </w:tc>
      </w:tr>
      <w:tr w:rsidR="005619FF" w14:paraId="433B7AA5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EDA8D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314A2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1D3B4678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CE614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37AD0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112c.</w:t>
            </w:r>
            <w:r>
              <w:tab/>
            </w:r>
            <w:r>
              <w:rPr>
                <w:b/>
                <w:i/>
              </w:rPr>
              <w:t xml:space="preserve">wzywa do przeprowadzenia kompleksowej analizy wykorzystania przez Komisję Europejską środków publicznych do finansowania organizacji prowadzących działania doradcze związane z jej priorytetami politycznymi; podkreśla potrzebę pełnej przejrzystości działalności lobbingowej; zachęca EPPO do zwrócenia większej uwagi na </w:t>
            </w:r>
            <w:r>
              <w:rPr>
                <w:b/>
                <w:i/>
              </w:rPr>
              <w:lastRenderedPageBreak/>
              <w:t>monitorowanie finansowania unijnego przyznanego organizacjom pozarządowym przez Komisję; podkreśla, że w sprawozdaniu specjalnym ETO nr 11/2025 w sprawie finansowania unijnego przyznawanego organizacjom pozarządowym zwrócono uwagę na poważne braki w zakresie przejrzystości i nadzoru, w tym na problemy związane z klasyfikacją, identyfikowalnością i monitorowaniem organizacji otrzymujących fundusze UE, co zostało uwzględnione w debatach politycznych na temat przejrzystości finansowania organizacji pozarządowych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 w:rsidR="005619FF" w14:paraId="39249ACA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B3952" w14:textId="77777777" w:rsidR="005619FF" w:rsidRPr="005619FF" w:rsidRDefault="005619FF" w:rsidP="00FB1419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2BC74" w14:textId="77777777" w:rsidR="005619FF" w:rsidRPr="00403364" w:rsidRDefault="005619FF" w:rsidP="00FB1419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619FF" w:rsidRPr="005619FF" w14:paraId="6E60722D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2F98B" w14:textId="77777777" w:rsidR="005619FF" w:rsidRPr="00403364" w:rsidRDefault="005619FF" w:rsidP="00FB1419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C323F" w14:textId="77777777" w:rsidR="005619FF" w:rsidRPr="005619FF" w:rsidRDefault="005619FF" w:rsidP="00FB1419">
            <w:pPr>
              <w:pStyle w:val="Normal6a"/>
              <w:rPr>
                <w:lang w:val="pt-PT"/>
              </w:rPr>
            </w:pPr>
            <w:r w:rsidRPr="005619FF">
              <w:rPr>
                <w:b/>
                <w:i/>
                <w:vertAlign w:val="superscript"/>
                <w:lang w:val="pt-PT"/>
              </w:rPr>
              <w:t>1a</w:t>
            </w:r>
            <w:r w:rsidRPr="005619FF">
              <w:rPr>
                <w:lang w:val="pt-PT"/>
              </w:rPr>
              <w:t xml:space="preserve"> </w:t>
            </w:r>
            <w:r w:rsidRPr="005619FF">
              <w:rPr>
                <w:b/>
                <w:i/>
                <w:lang w:val="pt-PT"/>
              </w:rPr>
              <w:t>https://www.eca.europa.eu/en/publications/SR-2025-11</w:t>
            </w:r>
          </w:p>
        </w:tc>
      </w:tr>
    </w:tbl>
    <w:p w14:paraId="050919A5" w14:textId="77777777" w:rsidR="005619FF" w:rsidRPr="005619FF" w:rsidRDefault="005619FF" w:rsidP="005619FF">
      <w:pPr>
        <w:pStyle w:val="AmOrLang"/>
        <w:rPr>
          <w:lang w:val="fr-BE" w:eastAsia="en-US"/>
        </w:rPr>
      </w:pPr>
      <w:r w:rsidRPr="005619FF">
        <w:rPr>
          <w:lang w:val="fr-BE"/>
        </w:rPr>
        <w:t xml:space="preserve">Or. </w:t>
      </w:r>
      <w:r w:rsidRPr="005619FF">
        <w:rPr>
          <w:rStyle w:val="HideTWBExt"/>
          <w:lang w:val="fr-BE"/>
        </w:rPr>
        <w:t>&lt;Original&gt;</w:t>
      </w:r>
      <w:r w:rsidRPr="005619FF">
        <w:rPr>
          <w:rStyle w:val="HideTWBInt"/>
          <w:lang w:val="fr-BE"/>
        </w:rPr>
        <w:t>{EN}</w:t>
      </w:r>
      <w:r w:rsidRPr="005619FF">
        <w:rPr>
          <w:lang w:val="fr-BE"/>
        </w:rPr>
        <w:t>en</w:t>
      </w:r>
      <w:r w:rsidRPr="005619FF">
        <w:rPr>
          <w:rStyle w:val="HideTWBExt"/>
          <w:lang w:val="fr-BE"/>
        </w:rPr>
        <w:t>&lt;/Original&gt;</w:t>
      </w:r>
    </w:p>
    <w:p w14:paraId="492974A1" w14:textId="77777777" w:rsidR="005619FF" w:rsidRPr="005619FF" w:rsidRDefault="005619FF" w:rsidP="005619FF">
      <w:pPr>
        <w:rPr>
          <w:lang w:val="fr-BE"/>
        </w:rPr>
      </w:pPr>
      <w:r w:rsidRPr="005619FF">
        <w:rPr>
          <w:rStyle w:val="HideTWBExt"/>
          <w:lang w:val="fr-BE"/>
        </w:rPr>
        <w:t>&lt;/Amend&gt;</w:t>
      </w:r>
    </w:p>
    <w:p w14:paraId="7B8425C7" w14:textId="77777777" w:rsidR="005619FF" w:rsidRPr="005619FF" w:rsidRDefault="005619FF" w:rsidP="005619FF">
      <w:pPr>
        <w:pStyle w:val="AmNumberTabs"/>
        <w:rPr>
          <w:lang w:val="fr-BE"/>
        </w:rPr>
      </w:pPr>
      <w:r w:rsidRPr="005619FF">
        <w:rPr>
          <w:rStyle w:val="HideTWBExt"/>
          <w:lang w:val="fr-BE"/>
        </w:rPr>
        <w:t>&lt;Amend&gt;</w:t>
      </w:r>
      <w:proofErr w:type="spellStart"/>
      <w:r w:rsidRPr="005619FF">
        <w:rPr>
          <w:lang w:val="fr-BE"/>
        </w:rPr>
        <w:t>Poprawka</w:t>
      </w:r>
      <w:proofErr w:type="spellEnd"/>
      <w:r w:rsidRPr="005619FF">
        <w:rPr>
          <w:lang w:val="fr-BE"/>
        </w:rPr>
        <w:tab/>
      </w:r>
      <w:r w:rsidRPr="005619FF">
        <w:rPr>
          <w:lang w:val="fr-BE"/>
        </w:rPr>
        <w:tab/>
      </w:r>
      <w:r w:rsidRPr="005619FF">
        <w:rPr>
          <w:rStyle w:val="HideTWBExt"/>
          <w:lang w:val="fr-BE"/>
        </w:rPr>
        <w:t>&lt;NumAm&gt;</w:t>
      </w:r>
      <w:r w:rsidRPr="005619FF">
        <w:rPr>
          <w:lang w:val="fr-BE"/>
        </w:rPr>
        <w:t>67</w:t>
      </w:r>
      <w:r w:rsidRPr="005619FF">
        <w:rPr>
          <w:rStyle w:val="HideTWBExt"/>
          <w:lang w:val="fr-BE"/>
        </w:rPr>
        <w:t>&lt;/</w:t>
      </w:r>
      <w:proofErr w:type="spellStart"/>
      <w:r w:rsidRPr="005619FF">
        <w:rPr>
          <w:rStyle w:val="HideTWBExt"/>
          <w:lang w:val="fr-BE"/>
        </w:rPr>
        <w:t>NumAm</w:t>
      </w:r>
      <w:proofErr w:type="spellEnd"/>
      <w:r w:rsidRPr="005619FF">
        <w:rPr>
          <w:rStyle w:val="HideTWBExt"/>
          <w:lang w:val="fr-BE"/>
        </w:rPr>
        <w:t>&gt;</w:t>
      </w:r>
    </w:p>
    <w:p w14:paraId="17AA38EF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&lt;RepeatBlock-By&gt;&lt;Members&gt;</w:t>
      </w:r>
      <w:r w:rsidRPr="005619FF">
        <w:rPr>
          <w:lang w:val="fr-BE"/>
        </w:rPr>
        <w:t xml:space="preserve">Cristian </w:t>
      </w:r>
      <w:proofErr w:type="spellStart"/>
      <w:r w:rsidRPr="005619FF">
        <w:rPr>
          <w:lang w:val="fr-BE"/>
        </w:rPr>
        <w:t>Terheş</w:t>
      </w:r>
      <w:proofErr w:type="spellEnd"/>
      <w:r w:rsidRPr="005619FF">
        <w:rPr>
          <w:rStyle w:val="HideTWBExt"/>
          <w:b w:val="0"/>
          <w:lang w:val="fr-BE"/>
        </w:rPr>
        <w:t>&lt;/Members&gt;</w:t>
      </w:r>
    </w:p>
    <w:p w14:paraId="7856E331" w14:textId="77777777" w:rsidR="005619FF" w:rsidRPr="005619FF" w:rsidRDefault="005619FF" w:rsidP="005619FF">
      <w:pPr>
        <w:pStyle w:val="NormalBold"/>
        <w:rPr>
          <w:lang w:val="fr-BE"/>
        </w:rPr>
      </w:pPr>
      <w:r w:rsidRPr="005619FF">
        <w:rPr>
          <w:rStyle w:val="HideTWBExt"/>
          <w:b w:val="0"/>
          <w:lang w:val="fr-BE"/>
        </w:rPr>
        <w:t>&lt;/RepeatBlock-By&gt;</w:t>
      </w:r>
    </w:p>
    <w:p w14:paraId="3856BBBF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26D6C6B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Ustęp 112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785B5E70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5437F" w14:textId="77777777" w:rsidR="005619FF" w:rsidRPr="00403364" w:rsidRDefault="005619FF" w:rsidP="00FB1419"/>
        </w:tc>
      </w:tr>
      <w:tr w:rsidR="005619FF" w14:paraId="01DC97A2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2DFE7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48C70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6D040AF0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1C78B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0E0FC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112d.</w:t>
            </w:r>
            <w:r>
              <w:tab/>
            </w:r>
            <w:r>
              <w:rPr>
                <w:b/>
                <w:i/>
              </w:rPr>
              <w:t>apeluje, by niezwłocznie zbadać wykorzystanie przez Komisję Europejską funduszy publicznych do finansowania pozostającej w cieniu grupy lobbystów promującej jej własną politykę ekologiczną; podkreśla, że lobbing powinien być przejrzysty, a wszystkie zaangażowane strony powinny być w pełni ujawniane;</w:t>
            </w:r>
          </w:p>
        </w:tc>
      </w:tr>
    </w:tbl>
    <w:p w14:paraId="4F247D5E" w14:textId="77777777" w:rsidR="005619FF" w:rsidRPr="005619FF" w:rsidRDefault="005619FF" w:rsidP="005619FF">
      <w:pPr>
        <w:pStyle w:val="AmOrLang"/>
        <w:rPr>
          <w:lang w:val="it-IT" w:eastAsia="en-US"/>
        </w:rPr>
      </w:pPr>
      <w:r w:rsidRPr="005619FF">
        <w:rPr>
          <w:lang w:val="it-IT"/>
        </w:rPr>
        <w:t xml:space="preserve">Or. </w:t>
      </w:r>
      <w:r w:rsidRPr="005619FF">
        <w:rPr>
          <w:rStyle w:val="HideTWBExt"/>
          <w:lang w:val="it-IT"/>
        </w:rPr>
        <w:t>&lt;Original&gt;</w:t>
      </w:r>
      <w:r w:rsidRPr="005619FF">
        <w:rPr>
          <w:rStyle w:val="HideTWBInt"/>
          <w:lang w:val="it-IT"/>
        </w:rPr>
        <w:t>{EN}</w:t>
      </w:r>
      <w:r w:rsidRPr="005619FF">
        <w:rPr>
          <w:lang w:val="it-IT"/>
        </w:rPr>
        <w:t>en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Original</w:t>
      </w:r>
      <w:proofErr w:type="spellEnd"/>
      <w:r w:rsidRPr="005619FF">
        <w:rPr>
          <w:rStyle w:val="HideTWBExt"/>
          <w:lang w:val="it-IT"/>
        </w:rPr>
        <w:t>&gt;</w:t>
      </w:r>
    </w:p>
    <w:p w14:paraId="45EA5371" w14:textId="77777777" w:rsidR="005619FF" w:rsidRPr="005619FF" w:rsidRDefault="005619FF" w:rsidP="005619FF">
      <w:pPr>
        <w:rPr>
          <w:lang w:val="it-IT"/>
        </w:rPr>
      </w:pPr>
      <w:r w:rsidRPr="005619FF">
        <w:rPr>
          <w:rStyle w:val="HideTWBExt"/>
          <w:lang w:val="it-IT"/>
        </w:rPr>
        <w:t>&lt;/Amend&gt;</w:t>
      </w:r>
    </w:p>
    <w:p w14:paraId="79CE252E" w14:textId="77777777" w:rsidR="005619FF" w:rsidRPr="005619FF" w:rsidRDefault="005619FF" w:rsidP="005619FF">
      <w:pPr>
        <w:pStyle w:val="AmNumberTabs"/>
        <w:rPr>
          <w:lang w:val="it-IT"/>
        </w:rPr>
      </w:pPr>
      <w:r w:rsidRPr="005619FF">
        <w:rPr>
          <w:rStyle w:val="HideTWBExt"/>
          <w:lang w:val="it-IT"/>
        </w:rPr>
        <w:t>&lt;Amend&gt;</w:t>
      </w:r>
      <w:proofErr w:type="spellStart"/>
      <w:r w:rsidRPr="005619FF">
        <w:rPr>
          <w:lang w:val="it-IT"/>
        </w:rPr>
        <w:t>Poprawka</w:t>
      </w:r>
      <w:proofErr w:type="spellEnd"/>
      <w:r w:rsidRPr="005619FF">
        <w:rPr>
          <w:lang w:val="it-IT"/>
        </w:rPr>
        <w:tab/>
      </w:r>
      <w:r w:rsidRPr="005619FF">
        <w:rPr>
          <w:lang w:val="it-IT"/>
        </w:rPr>
        <w:tab/>
      </w:r>
      <w:r w:rsidRPr="005619FF">
        <w:rPr>
          <w:rStyle w:val="HideTWBExt"/>
          <w:lang w:val="it-IT"/>
        </w:rPr>
        <w:t>&lt;NumAm&gt;</w:t>
      </w:r>
      <w:r w:rsidRPr="005619FF">
        <w:rPr>
          <w:lang w:val="it-IT"/>
        </w:rPr>
        <w:t>68</w:t>
      </w:r>
      <w:r w:rsidRPr="005619FF">
        <w:rPr>
          <w:rStyle w:val="HideTWBExt"/>
          <w:lang w:val="it-IT"/>
        </w:rPr>
        <w:t>&lt;/</w:t>
      </w:r>
      <w:proofErr w:type="spellStart"/>
      <w:r w:rsidRPr="005619FF">
        <w:rPr>
          <w:rStyle w:val="HideTWBExt"/>
          <w:lang w:val="it-IT"/>
        </w:rPr>
        <w:t>NumAm</w:t>
      </w:r>
      <w:proofErr w:type="spellEnd"/>
      <w:r w:rsidRPr="005619FF">
        <w:rPr>
          <w:rStyle w:val="HideTWBExt"/>
          <w:lang w:val="it-IT"/>
        </w:rPr>
        <w:t>&gt;</w:t>
      </w:r>
    </w:p>
    <w:p w14:paraId="747546DA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lastRenderedPageBreak/>
        <w:t>&lt;RepeatBlock-By&gt;&lt;Members&gt;</w:t>
      </w:r>
      <w:r w:rsidRPr="005619FF">
        <w:rPr>
          <w:lang w:val="it-IT"/>
        </w:rPr>
        <w:t>Caterina Chinnici</w:t>
      </w:r>
      <w:r w:rsidRPr="005619FF">
        <w:rPr>
          <w:rStyle w:val="HideTWBExt"/>
          <w:b w:val="0"/>
          <w:lang w:val="it-IT"/>
        </w:rPr>
        <w:t>&lt;/</w:t>
      </w:r>
      <w:proofErr w:type="spellStart"/>
      <w:r w:rsidRPr="005619FF">
        <w:rPr>
          <w:rStyle w:val="HideTWBExt"/>
          <w:b w:val="0"/>
          <w:lang w:val="it-IT"/>
        </w:rPr>
        <w:t>Members</w:t>
      </w:r>
      <w:proofErr w:type="spellEnd"/>
      <w:r w:rsidRPr="005619FF">
        <w:rPr>
          <w:rStyle w:val="HideTWBExt"/>
          <w:b w:val="0"/>
          <w:lang w:val="it-IT"/>
        </w:rPr>
        <w:t>&gt;</w:t>
      </w:r>
    </w:p>
    <w:p w14:paraId="522BFDD3" w14:textId="77777777" w:rsidR="005619FF" w:rsidRPr="005619FF" w:rsidRDefault="005619FF" w:rsidP="005619FF">
      <w:pPr>
        <w:pStyle w:val="NormalBold"/>
        <w:rPr>
          <w:lang w:val="it-IT"/>
        </w:rPr>
      </w:pPr>
      <w:r w:rsidRPr="005619FF">
        <w:rPr>
          <w:rStyle w:val="HideTWBExt"/>
          <w:b w:val="0"/>
          <w:lang w:val="it-IT"/>
        </w:rPr>
        <w:t>&lt;/RepeatBlock-By&gt;</w:t>
      </w:r>
    </w:p>
    <w:p w14:paraId="7CB55F64" w14:textId="77777777" w:rsidR="005619FF" w:rsidRPr="008D03DA" w:rsidRDefault="005619FF" w:rsidP="005619FF">
      <w:pPr>
        <w:pStyle w:val="NormalBold"/>
      </w:pPr>
      <w:r>
        <w:rPr>
          <w:rStyle w:val="HideTWBExt"/>
          <w:lang w:val="en-GB"/>
        </w:rPr>
        <w:t>&lt;DocAmend&gt;</w:t>
      </w:r>
      <w:r>
        <w:t>Projekt rezolucji</w:t>
      </w:r>
      <w:r>
        <w:rPr>
          <w:rStyle w:val="HideTWBExt"/>
          <w:lang w:val="en-GB"/>
        </w:rPr>
        <w:t>&lt;/DocAmend&gt;</w:t>
      </w:r>
    </w:p>
    <w:p w14:paraId="55197411" w14:textId="77777777" w:rsidR="005619FF" w:rsidRPr="00403364" w:rsidRDefault="005619FF" w:rsidP="005619FF">
      <w:pPr>
        <w:pStyle w:val="NormalBold"/>
      </w:pPr>
      <w:r>
        <w:rPr>
          <w:rStyle w:val="HideTWBExt"/>
        </w:rPr>
        <w:t>&lt;Article&gt;</w:t>
      </w:r>
      <w:r>
        <w:t>Podtytuł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60698D20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68A04" w14:textId="77777777" w:rsidR="005619FF" w:rsidRPr="00403364" w:rsidRDefault="005619FF" w:rsidP="00FB1419"/>
        </w:tc>
      </w:tr>
      <w:tr w:rsidR="005619FF" w14:paraId="5E3297F6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7DE04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D0DAD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4B90BBBC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CAAB5" w14:textId="77777777" w:rsidR="005619FF" w:rsidRPr="008D03DA" w:rsidRDefault="005619FF" w:rsidP="00FB1419">
            <w:pPr>
              <w:pStyle w:val="Normal6a"/>
            </w:pPr>
            <w:r>
              <w:t>Skutki rosyjskiej wojny napastniczej przeciwko Ukrainie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DC2A3" w14:textId="77777777" w:rsidR="005619FF" w:rsidRPr="008D03DA" w:rsidRDefault="005619FF" w:rsidP="00FB1419">
            <w:pPr>
              <w:pStyle w:val="Normal6a"/>
            </w:pPr>
            <w:r>
              <w:t xml:space="preserve">Skutki </w:t>
            </w:r>
            <w:r>
              <w:rPr>
                <w:b/>
                <w:i/>
              </w:rPr>
              <w:t xml:space="preserve">nielegalnej </w:t>
            </w:r>
            <w:r>
              <w:t>rosyjskiej wojny napastniczej przeciwko Ukrainie</w:t>
            </w:r>
          </w:p>
        </w:tc>
      </w:tr>
    </w:tbl>
    <w:p w14:paraId="0A7EF0F2" w14:textId="77777777" w:rsidR="005619FF" w:rsidRPr="005619FF" w:rsidRDefault="005619FF" w:rsidP="005619FF">
      <w:pPr>
        <w:pStyle w:val="AmOrLang"/>
        <w:rPr>
          <w:lang w:val="sv-SE" w:eastAsia="en-US"/>
        </w:rPr>
      </w:pPr>
      <w:r w:rsidRPr="005619FF">
        <w:rPr>
          <w:lang w:val="sv-SE"/>
        </w:rPr>
        <w:t xml:space="preserve">Or. </w:t>
      </w:r>
      <w:r w:rsidRPr="005619FF">
        <w:rPr>
          <w:rStyle w:val="HideTWBExt"/>
          <w:lang w:val="sv-SE"/>
        </w:rPr>
        <w:t>&lt;Original&gt;</w:t>
      </w:r>
      <w:r w:rsidRPr="005619FF">
        <w:rPr>
          <w:rStyle w:val="HideTWBInt"/>
          <w:lang w:val="sv-SE"/>
        </w:rPr>
        <w:t>{EN}</w:t>
      </w:r>
      <w:r w:rsidRPr="005619FF">
        <w:rPr>
          <w:lang w:val="sv-SE"/>
        </w:rPr>
        <w:t>en</w:t>
      </w:r>
      <w:r w:rsidRPr="005619FF">
        <w:rPr>
          <w:rStyle w:val="HideTWBExt"/>
          <w:lang w:val="sv-SE"/>
        </w:rPr>
        <w:t>&lt;/Original&gt;</w:t>
      </w:r>
    </w:p>
    <w:p w14:paraId="42EE18A1" w14:textId="77777777" w:rsidR="005619FF" w:rsidRPr="005619FF" w:rsidRDefault="005619FF" w:rsidP="005619FF">
      <w:pPr>
        <w:rPr>
          <w:lang w:val="sv-SE"/>
        </w:rPr>
      </w:pPr>
      <w:r w:rsidRPr="005619FF">
        <w:rPr>
          <w:rStyle w:val="HideTWBExt"/>
          <w:lang w:val="sv-SE"/>
        </w:rPr>
        <w:t>&lt;/Amend&gt;</w:t>
      </w:r>
    </w:p>
    <w:p w14:paraId="0158E83E" w14:textId="77777777" w:rsidR="005619FF" w:rsidRPr="005619FF" w:rsidRDefault="005619FF" w:rsidP="005619FF">
      <w:pPr>
        <w:pStyle w:val="AmNumberTabs"/>
        <w:rPr>
          <w:lang w:val="sv-SE"/>
        </w:rPr>
      </w:pPr>
      <w:r w:rsidRPr="005619FF">
        <w:rPr>
          <w:rStyle w:val="HideTWBExt"/>
          <w:lang w:val="sv-SE"/>
        </w:rPr>
        <w:t>&lt;Amend&gt;</w:t>
      </w:r>
      <w:proofErr w:type="spellStart"/>
      <w:r w:rsidRPr="005619FF">
        <w:rPr>
          <w:lang w:val="sv-SE"/>
        </w:rPr>
        <w:t>Poprawka</w:t>
      </w:r>
      <w:proofErr w:type="spellEnd"/>
      <w:r w:rsidRPr="005619FF">
        <w:rPr>
          <w:lang w:val="sv-SE"/>
        </w:rPr>
        <w:tab/>
      </w:r>
      <w:r w:rsidRPr="005619FF">
        <w:rPr>
          <w:lang w:val="sv-SE"/>
        </w:rPr>
        <w:tab/>
      </w:r>
      <w:r w:rsidRPr="005619FF">
        <w:rPr>
          <w:rStyle w:val="HideTWBExt"/>
          <w:lang w:val="sv-SE"/>
        </w:rPr>
        <w:t>&lt;NumAm&gt;</w:t>
      </w:r>
      <w:r w:rsidRPr="005619FF">
        <w:rPr>
          <w:lang w:val="sv-SE"/>
        </w:rPr>
        <w:t>69</w:t>
      </w:r>
      <w:r w:rsidRPr="005619FF">
        <w:rPr>
          <w:rStyle w:val="HideTWBExt"/>
          <w:lang w:val="sv-SE"/>
        </w:rPr>
        <w:t>&lt;/</w:t>
      </w:r>
      <w:proofErr w:type="spellStart"/>
      <w:r w:rsidRPr="005619FF">
        <w:rPr>
          <w:rStyle w:val="HideTWBExt"/>
          <w:lang w:val="sv-SE"/>
        </w:rPr>
        <w:t>NumAm</w:t>
      </w:r>
      <w:proofErr w:type="spellEnd"/>
      <w:r w:rsidRPr="005619FF">
        <w:rPr>
          <w:rStyle w:val="HideTWBExt"/>
          <w:lang w:val="sv-SE"/>
        </w:rPr>
        <w:t>&gt;</w:t>
      </w:r>
    </w:p>
    <w:p w14:paraId="4AD24819" w14:textId="77777777" w:rsidR="005619FF" w:rsidRPr="005619FF" w:rsidRDefault="005619FF" w:rsidP="005619FF">
      <w:pPr>
        <w:pStyle w:val="NormalBold"/>
        <w:rPr>
          <w:lang w:val="sv-SE"/>
        </w:rPr>
      </w:pPr>
      <w:r w:rsidRPr="005619FF">
        <w:rPr>
          <w:rStyle w:val="HideTWBExt"/>
          <w:b w:val="0"/>
          <w:lang w:val="sv-SE"/>
        </w:rPr>
        <w:t>&lt;RepeatBlock-By&gt;&lt;Members&gt;</w:t>
      </w:r>
      <w:r w:rsidRPr="005619FF">
        <w:rPr>
          <w:lang w:val="sv-SE"/>
        </w:rPr>
        <w:t xml:space="preserve">Damian </w:t>
      </w:r>
      <w:proofErr w:type="spellStart"/>
      <w:r w:rsidRPr="005619FF">
        <w:rPr>
          <w:lang w:val="sv-SE"/>
        </w:rPr>
        <w:t>Boeselager</w:t>
      </w:r>
      <w:proofErr w:type="spellEnd"/>
      <w:r w:rsidRPr="005619FF">
        <w:rPr>
          <w:rStyle w:val="HideTWBExt"/>
          <w:b w:val="0"/>
          <w:lang w:val="sv-SE"/>
        </w:rPr>
        <w:t>&lt;/Members&gt;</w:t>
      </w:r>
    </w:p>
    <w:p w14:paraId="0024BC0E" w14:textId="77777777" w:rsidR="005619FF" w:rsidRPr="008D03DA" w:rsidRDefault="005619FF" w:rsidP="005619FF">
      <w:r w:rsidRPr="005619FF">
        <w:rPr>
          <w:rStyle w:val="HideTWBExt"/>
        </w:rPr>
        <w:t>&lt;AuNomDe&gt;</w:t>
      </w:r>
      <w:r w:rsidRPr="005619FF">
        <w:rPr>
          <w:rStyle w:val="HideTWBInt"/>
          <w:color w:val="auto"/>
        </w:rPr>
        <w:t>{</w:t>
      </w:r>
      <w:proofErr w:type="spellStart"/>
      <w:r w:rsidRPr="005619FF">
        <w:rPr>
          <w:rStyle w:val="HideTWBInt"/>
          <w:color w:val="auto"/>
        </w:rPr>
        <w:t>Verts</w:t>
      </w:r>
      <w:proofErr w:type="spellEnd"/>
      <w:r w:rsidRPr="005619FF">
        <w:rPr>
          <w:rStyle w:val="HideTWBInt"/>
          <w:color w:val="auto"/>
        </w:rPr>
        <w:t>/</w:t>
      </w:r>
      <w:proofErr w:type="gramStart"/>
      <w:r w:rsidRPr="005619FF">
        <w:rPr>
          <w:rStyle w:val="HideTWBInt"/>
          <w:color w:val="auto"/>
        </w:rPr>
        <w:t>ALE}</w:t>
      </w:r>
      <w:r>
        <w:t>w</w:t>
      </w:r>
      <w:proofErr w:type="gramEnd"/>
      <w:r>
        <w:t xml:space="preserve"> imieniu grupy </w:t>
      </w:r>
      <w:proofErr w:type="spellStart"/>
      <w:r>
        <w:t>Verts</w:t>
      </w:r>
      <w:proofErr w:type="spellEnd"/>
      <w:r>
        <w:t>/ALE</w:t>
      </w:r>
      <w:r w:rsidRPr="005619FF">
        <w:rPr>
          <w:rStyle w:val="HideTWBExt"/>
        </w:rPr>
        <w:t>&lt;/</w:t>
      </w:r>
      <w:proofErr w:type="spellStart"/>
      <w:r w:rsidRPr="005619FF">
        <w:rPr>
          <w:rStyle w:val="HideTWBExt"/>
        </w:rPr>
        <w:t>AuNomDe</w:t>
      </w:r>
      <w:proofErr w:type="spellEnd"/>
      <w:r w:rsidRPr="005619FF">
        <w:rPr>
          <w:rStyle w:val="HideTWBExt"/>
        </w:rPr>
        <w:t>&gt;</w:t>
      </w:r>
    </w:p>
    <w:p w14:paraId="1C4F2347" w14:textId="77777777" w:rsidR="005619FF" w:rsidRPr="008D03DA" w:rsidRDefault="005619FF" w:rsidP="005619FF">
      <w:pPr>
        <w:pStyle w:val="NormalBold"/>
      </w:pPr>
      <w:r w:rsidRPr="005619FF">
        <w:rPr>
          <w:rStyle w:val="HideTWBExt"/>
          <w:b w:val="0"/>
        </w:rPr>
        <w:t>&lt;/RepeatBlock-By&gt;</w:t>
      </w:r>
    </w:p>
    <w:p w14:paraId="23092B7F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&lt;DocAmend&gt;</w:t>
      </w:r>
      <w:r>
        <w:t>Projekt rezolucji</w:t>
      </w:r>
      <w:r w:rsidRPr="005619FF">
        <w:rPr>
          <w:rStyle w:val="HideTWBExt"/>
        </w:rPr>
        <w:t>&lt;/DocAmend&gt;</w:t>
      </w:r>
    </w:p>
    <w:p w14:paraId="31D65AB0" w14:textId="77777777" w:rsidR="005619FF" w:rsidRPr="008D03DA" w:rsidRDefault="005619FF" w:rsidP="005619FF">
      <w:pPr>
        <w:pStyle w:val="NormalBold"/>
      </w:pPr>
      <w:r w:rsidRPr="005619FF">
        <w:rPr>
          <w:rStyle w:val="HideTWBExt"/>
        </w:rPr>
        <w:t>&lt;Article&gt;</w:t>
      </w:r>
      <w:r>
        <w:t>Ustęp 115 a (nowy)</w:t>
      </w:r>
      <w:r w:rsidRPr="005619F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19FF" w14:paraId="52710509" w14:textId="77777777" w:rsidTr="00FB141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1EA95" w14:textId="77777777" w:rsidR="005619FF" w:rsidRPr="005619FF" w:rsidRDefault="005619FF" w:rsidP="00FB1419"/>
        </w:tc>
      </w:tr>
      <w:tr w:rsidR="005619FF" w14:paraId="27756743" w14:textId="77777777" w:rsidTr="00FB141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AF8DE" w14:textId="77777777" w:rsidR="005619FF" w:rsidRPr="00403364" w:rsidRDefault="005619FF" w:rsidP="00FB1419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A4B3D" w14:textId="77777777" w:rsidR="005619FF" w:rsidRPr="00403364" w:rsidRDefault="005619FF" w:rsidP="00FB1419">
            <w:pPr>
              <w:pStyle w:val="AmColumnHeading"/>
            </w:pPr>
            <w:r>
              <w:t>Poprawka</w:t>
            </w:r>
          </w:p>
        </w:tc>
      </w:tr>
      <w:tr w:rsidR="005619FF" w14:paraId="2C8688DA" w14:textId="77777777" w:rsidTr="00FB141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731CE" w14:textId="77777777" w:rsidR="005619FF" w:rsidRPr="00403364" w:rsidRDefault="005619FF" w:rsidP="00FB141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E9C14" w14:textId="77777777" w:rsidR="005619FF" w:rsidRPr="008D03DA" w:rsidRDefault="005619FF" w:rsidP="00FB1419">
            <w:pPr>
              <w:pStyle w:val="Normal6a"/>
            </w:pPr>
            <w:r>
              <w:rPr>
                <w:b/>
                <w:i/>
              </w:rPr>
              <w:t>115a.</w:t>
            </w:r>
            <w:r>
              <w:tab/>
            </w:r>
            <w:r>
              <w:rPr>
                <w:b/>
                <w:i/>
              </w:rPr>
              <w:t>zauważa, że rosnące unijne wsparcie finansowe dla Ukrainy, w tym w ramach Instrumentu na rzecz Ukrainy, prawdopodobnie spowoduje w nadchodzących latach dodatkowe zapotrzebowanie na dochodzenia dla EPPO; podkreśla znaczenie przewidywania tych wyzwań poprzez zapewnienie odpowiedniego personelu, bezpiecznej infrastruktury cyfrowej i wzmocnionych ram współpracy, aby chronić interesy finansowe Unii, a jednocześnie skutecznie wspierać Ukrainę;</w:t>
            </w:r>
          </w:p>
        </w:tc>
      </w:tr>
    </w:tbl>
    <w:p w14:paraId="403CE804" w14:textId="77777777" w:rsidR="005619FF" w:rsidRPr="00403364" w:rsidRDefault="005619FF" w:rsidP="005619FF">
      <w:pPr>
        <w:pStyle w:val="AmOrLang"/>
        <w:rPr>
          <w:lang w:eastAsia="en-US"/>
        </w:rPr>
      </w:pPr>
      <w:r w:rsidRPr="00403364">
        <w:t xml:space="preserve">Or. </w:t>
      </w:r>
      <w:r w:rsidRPr="00403364">
        <w:rPr>
          <w:rStyle w:val="HideTWBExt"/>
        </w:rPr>
        <w:t>&lt;Original&gt;</w:t>
      </w:r>
      <w:r w:rsidRPr="00403364">
        <w:rPr>
          <w:rStyle w:val="HideTWBInt"/>
        </w:rPr>
        <w:t>{EN}</w:t>
      </w:r>
      <w:r w:rsidRPr="00403364">
        <w:t>en</w:t>
      </w:r>
      <w:r w:rsidRPr="00403364">
        <w:rPr>
          <w:rStyle w:val="HideTWBExt"/>
        </w:rPr>
        <w:t>&lt;/Original&gt;</w:t>
      </w:r>
    </w:p>
    <w:p w14:paraId="7B9DAC9A" w14:textId="6CEB742B" w:rsidR="005619FF" w:rsidRPr="00403364" w:rsidRDefault="005619FF" w:rsidP="005619FF">
      <w:r>
        <w:rPr>
          <w:rStyle w:val="HideTWBExt"/>
        </w:rPr>
        <w:t>&lt;/Amend&gt;</w:t>
      </w:r>
      <w:r w:rsidRPr="005619FF">
        <w:rPr>
          <w:rStyle w:val="HideTWBExt"/>
        </w:rPr>
        <w:t>&lt;/RepeatBlock-Amend&gt;</w:t>
      </w:r>
    </w:p>
    <w:p w14:paraId="438A112B" w14:textId="393B682D" w:rsidR="00794E41" w:rsidRPr="00403364" w:rsidRDefault="00794E41" w:rsidP="005619FF"/>
    <w:sectPr w:rsidR="00794E41" w:rsidRPr="00403364" w:rsidSect="005619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AE4C8" w14:textId="77777777" w:rsidR="005619FF" w:rsidRDefault="005619FF">
      <w:r>
        <w:separator/>
      </w:r>
    </w:p>
  </w:endnote>
  <w:endnote w:type="continuationSeparator" w:id="0">
    <w:p w14:paraId="318A28E7" w14:textId="77777777" w:rsidR="005619FF" w:rsidRDefault="00561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B0483" w14:textId="77777777" w:rsidR="005619FF" w:rsidRPr="005619FF" w:rsidRDefault="005619FF" w:rsidP="005619FF">
    <w:pPr>
      <w:pStyle w:val="EPFooter"/>
      <w:rPr>
        <w:lang w:val="de-DE"/>
      </w:rPr>
    </w:pPr>
    <w:r w:rsidRPr="005619FF">
      <w:rPr>
        <w:lang w:val="de-DE"/>
      </w:rPr>
      <w:t>PE</w:t>
    </w:r>
    <w:r w:rsidRPr="005619FF">
      <w:rPr>
        <w:rStyle w:val="HideTWBExt"/>
        <w:lang w:val="de-DE"/>
      </w:rPr>
      <w:t>&lt;NoPE&gt;</w:t>
    </w:r>
    <w:r w:rsidRPr="005619FF">
      <w:rPr>
        <w:lang w:val="de-DE"/>
      </w:rPr>
      <w:t>784.137</w:t>
    </w:r>
    <w:r w:rsidRPr="005619FF">
      <w:rPr>
        <w:rStyle w:val="HideTWBExt"/>
        <w:lang w:val="de-DE"/>
      </w:rPr>
      <w:t>&lt;/NoPE&gt;&lt;Version&gt;</w:t>
    </w:r>
    <w:r w:rsidRPr="005619FF">
      <w:rPr>
        <w:lang w:val="de-DE"/>
      </w:rPr>
      <w:t>v01-00</w:t>
    </w:r>
    <w:r w:rsidRPr="005619FF">
      <w:rPr>
        <w:rStyle w:val="HideTWBExt"/>
        <w:lang w:val="de-DE"/>
      </w:rPr>
      <w:t>&lt;/Version&gt;</w:t>
    </w:r>
    <w:r w:rsidRPr="005619FF">
      <w:rPr>
        <w:lang w:val="de-DE"/>
      </w:rPr>
      <w:tab/>
    </w:r>
    <w:r>
      <w:fldChar w:fldCharType="begin"/>
    </w:r>
    <w:r w:rsidRPr="005619FF">
      <w:rPr>
        <w:lang w:val="de-DE"/>
      </w:rPr>
      <w:instrText xml:space="preserve"> PAGE  \* MERGEFORMAT </w:instrText>
    </w:r>
    <w:r>
      <w:fldChar w:fldCharType="separate"/>
    </w:r>
    <w:r w:rsidRPr="005619FF">
      <w:rPr>
        <w:noProof/>
        <w:lang w:val="de-DE"/>
      </w:rPr>
      <w:t>1</w:t>
    </w:r>
    <w:r>
      <w:fldChar w:fldCharType="end"/>
    </w:r>
    <w:r w:rsidRPr="005619FF">
      <w:rPr>
        <w:lang w:val="de-DE"/>
      </w:rPr>
      <w:t>/</w:t>
    </w:r>
    <w:r>
      <w:fldChar w:fldCharType="begin"/>
    </w:r>
    <w:r w:rsidRPr="005619FF">
      <w:rPr>
        <w:lang w:val="de-DE"/>
      </w:rPr>
      <w:instrText xml:space="preserve"> NUMPAGES  \* MERGEFORMAT </w:instrText>
    </w:r>
    <w:r>
      <w:fldChar w:fldCharType="separate"/>
    </w:r>
    <w:r w:rsidRPr="005619FF">
      <w:rPr>
        <w:noProof/>
        <w:lang w:val="de-DE"/>
      </w:rPr>
      <w:t>2</w:t>
    </w:r>
    <w:r>
      <w:fldChar w:fldCharType="end"/>
    </w:r>
    <w:r w:rsidRPr="005619FF">
      <w:rPr>
        <w:lang w:val="de-DE"/>
      </w:rPr>
      <w:tab/>
    </w:r>
    <w:r w:rsidRPr="005619FF">
      <w:rPr>
        <w:rStyle w:val="HideTWBExt"/>
        <w:lang w:val="de-DE"/>
      </w:rPr>
      <w:t>&lt;PathFdR&gt;</w:t>
    </w:r>
    <w:r w:rsidRPr="005619FF">
      <w:rPr>
        <w:lang w:val="de-DE"/>
      </w:rPr>
      <w:t>AM\1336325PL.docx</w:t>
    </w:r>
    <w:r w:rsidRPr="005619FF">
      <w:rPr>
        <w:rStyle w:val="HideTWBExt"/>
        <w:lang w:val="de-DE"/>
      </w:rPr>
      <w:t>&lt;/PathFdR&gt;</w:t>
    </w:r>
  </w:p>
  <w:p w14:paraId="25C72BFA" w14:textId="5CB4D196" w:rsidR="00AD3D9F" w:rsidRPr="00403364" w:rsidRDefault="005619FF" w:rsidP="005619FF">
    <w:pPr>
      <w:pStyle w:val="EPFooter2"/>
    </w:pPr>
    <w: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D028" w14:textId="77777777" w:rsidR="005619FF" w:rsidRPr="005619FF" w:rsidRDefault="005619FF" w:rsidP="005619FF">
    <w:pPr>
      <w:pStyle w:val="EPFooter"/>
      <w:rPr>
        <w:lang w:val="de-DE"/>
      </w:rPr>
    </w:pPr>
    <w:r w:rsidRPr="005619FF">
      <w:rPr>
        <w:rStyle w:val="HideTWBExt"/>
        <w:lang w:val="de-DE"/>
      </w:rPr>
      <w:t>&lt;PathFdR&gt;</w:t>
    </w:r>
    <w:r w:rsidRPr="005619FF">
      <w:rPr>
        <w:lang w:val="de-DE"/>
      </w:rPr>
      <w:t>AM\1336325PL.docx</w:t>
    </w:r>
    <w:r w:rsidRPr="005619FF">
      <w:rPr>
        <w:rStyle w:val="HideTWBExt"/>
        <w:lang w:val="de-DE"/>
      </w:rPr>
      <w:t>&lt;/PathFdR&gt;</w:t>
    </w:r>
    <w:r w:rsidRPr="005619FF">
      <w:rPr>
        <w:lang w:val="de-DE"/>
      </w:rPr>
      <w:tab/>
    </w:r>
    <w:r>
      <w:fldChar w:fldCharType="begin"/>
    </w:r>
    <w:r w:rsidRPr="005619FF">
      <w:rPr>
        <w:lang w:val="de-DE"/>
      </w:rPr>
      <w:instrText xml:space="preserve"> PAGE  \* MERGEFORMAT </w:instrText>
    </w:r>
    <w:r>
      <w:fldChar w:fldCharType="separate"/>
    </w:r>
    <w:r w:rsidRPr="005619FF">
      <w:rPr>
        <w:noProof/>
        <w:lang w:val="de-DE"/>
      </w:rPr>
      <w:t>1</w:t>
    </w:r>
    <w:r>
      <w:fldChar w:fldCharType="end"/>
    </w:r>
    <w:r w:rsidRPr="005619FF">
      <w:rPr>
        <w:lang w:val="de-DE"/>
      </w:rPr>
      <w:t>/</w:t>
    </w:r>
    <w:r>
      <w:fldChar w:fldCharType="begin"/>
    </w:r>
    <w:r w:rsidRPr="005619FF">
      <w:rPr>
        <w:lang w:val="de-DE"/>
      </w:rPr>
      <w:instrText xml:space="preserve"> NUMPAGES  \* MERGEFORMAT </w:instrText>
    </w:r>
    <w:r>
      <w:fldChar w:fldCharType="separate"/>
    </w:r>
    <w:r w:rsidRPr="005619FF">
      <w:rPr>
        <w:noProof/>
        <w:lang w:val="de-DE"/>
      </w:rPr>
      <w:t>2</w:t>
    </w:r>
    <w:r>
      <w:fldChar w:fldCharType="end"/>
    </w:r>
    <w:r w:rsidRPr="005619FF">
      <w:rPr>
        <w:lang w:val="de-DE"/>
      </w:rPr>
      <w:tab/>
      <w:t>PE</w:t>
    </w:r>
    <w:r w:rsidRPr="005619FF">
      <w:rPr>
        <w:rStyle w:val="HideTWBExt"/>
        <w:lang w:val="de-DE"/>
      </w:rPr>
      <w:t>&lt;NoPE&gt;</w:t>
    </w:r>
    <w:r w:rsidRPr="005619FF">
      <w:rPr>
        <w:lang w:val="de-DE"/>
      </w:rPr>
      <w:t>784.137</w:t>
    </w:r>
    <w:r w:rsidRPr="005619FF">
      <w:rPr>
        <w:rStyle w:val="HideTWBExt"/>
        <w:lang w:val="de-DE"/>
      </w:rPr>
      <w:t>&lt;/NoPE&gt;&lt;Version&gt;</w:t>
    </w:r>
    <w:r w:rsidRPr="005619FF">
      <w:rPr>
        <w:lang w:val="de-DE"/>
      </w:rPr>
      <w:t>v01-00</w:t>
    </w:r>
    <w:r w:rsidRPr="005619FF">
      <w:rPr>
        <w:rStyle w:val="HideTWBExt"/>
        <w:lang w:val="de-DE"/>
      </w:rPr>
      <w:t>&lt;/Version&gt;</w:t>
    </w:r>
  </w:p>
  <w:p w14:paraId="57820B88" w14:textId="24DA16FD" w:rsidR="00AD3D9F" w:rsidRPr="00403364" w:rsidRDefault="005619FF" w:rsidP="005619FF">
    <w:pPr>
      <w:pStyle w:val="EPFooter2"/>
    </w:pPr>
    <w:r w:rsidRPr="005619FF">
      <w:rPr>
        <w:lang w:val="de-DE"/>
      </w:rPr>
      <w:tab/>
    </w:r>
    <w:r w:rsidRPr="005619FF">
      <w:rPr>
        <w:lang w:val="de-DE"/>
      </w:rPr>
      <w:tab/>
    </w:r>
    <w:r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AC4FF" w14:textId="77777777" w:rsidR="005619FF" w:rsidRPr="005619FF" w:rsidRDefault="005619FF" w:rsidP="005619FF">
    <w:pPr>
      <w:pStyle w:val="EPFooter"/>
      <w:rPr>
        <w:lang w:val="de-DE"/>
      </w:rPr>
    </w:pPr>
    <w:r w:rsidRPr="005619FF">
      <w:rPr>
        <w:rStyle w:val="HideTWBExt"/>
        <w:lang w:val="de-DE"/>
      </w:rPr>
      <w:t>&lt;PathFdR&gt;</w:t>
    </w:r>
    <w:r w:rsidRPr="005619FF">
      <w:rPr>
        <w:lang w:val="de-DE"/>
      </w:rPr>
      <w:t>AM\1336325PL.docx</w:t>
    </w:r>
    <w:r w:rsidRPr="005619FF">
      <w:rPr>
        <w:rStyle w:val="HideTWBExt"/>
        <w:lang w:val="de-DE"/>
      </w:rPr>
      <w:t>&lt;/PathFdR&gt;</w:t>
    </w:r>
    <w:r w:rsidRPr="005619FF">
      <w:rPr>
        <w:lang w:val="de-DE"/>
      </w:rPr>
      <w:tab/>
    </w:r>
    <w:r w:rsidRPr="005619FF">
      <w:rPr>
        <w:lang w:val="de-DE"/>
      </w:rPr>
      <w:tab/>
      <w:t>PE</w:t>
    </w:r>
    <w:r w:rsidRPr="005619FF">
      <w:rPr>
        <w:rStyle w:val="HideTWBExt"/>
        <w:lang w:val="de-DE"/>
      </w:rPr>
      <w:t>&lt;NoPE&gt;</w:t>
    </w:r>
    <w:r w:rsidRPr="005619FF">
      <w:rPr>
        <w:lang w:val="de-DE"/>
      </w:rPr>
      <w:t>784.137</w:t>
    </w:r>
    <w:r w:rsidRPr="005619FF">
      <w:rPr>
        <w:rStyle w:val="HideTWBExt"/>
        <w:lang w:val="de-DE"/>
      </w:rPr>
      <w:t>&lt;/NoPE&gt;&lt;Version&gt;</w:t>
    </w:r>
    <w:r w:rsidRPr="005619FF">
      <w:rPr>
        <w:lang w:val="de-DE"/>
      </w:rPr>
      <w:t>v01-00</w:t>
    </w:r>
    <w:r w:rsidRPr="005619FF">
      <w:rPr>
        <w:rStyle w:val="HideTWBExt"/>
        <w:lang w:val="de-DE"/>
      </w:rPr>
      <w:t>&lt;/Version&gt;</w:t>
    </w:r>
  </w:p>
  <w:p w14:paraId="7BE4D4BA" w14:textId="291A5A80" w:rsidR="00AD3D9F" w:rsidRPr="00403364" w:rsidRDefault="005619FF" w:rsidP="005619FF">
    <w:pPr>
      <w:pStyle w:val="EPFooter2"/>
    </w:pPr>
    <w:r>
      <w:t>PL</w:t>
    </w:r>
    <w:r>
      <w:tab/>
    </w:r>
    <w:r w:rsidRPr="005619FF">
      <w:rPr>
        <w:b w:val="0"/>
        <w:i/>
        <w:color w:val="C0C0C0"/>
        <w:sz w:val="22"/>
      </w:rPr>
      <w:t>Zjednoczona w różnorodności</w:t>
    </w:r>
    <w:r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51E42" w14:textId="77777777" w:rsidR="005619FF" w:rsidRDefault="005619FF">
      <w:r>
        <w:separator/>
      </w:r>
    </w:p>
  </w:footnote>
  <w:footnote w:type="continuationSeparator" w:id="0">
    <w:p w14:paraId="3CA124A1" w14:textId="77777777" w:rsidR="005619FF" w:rsidRDefault="00561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DDD3B" w14:textId="77777777" w:rsidR="005619FF" w:rsidRDefault="005619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F7A9" w14:textId="77777777" w:rsidR="005619FF" w:rsidRDefault="005619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9ADC6" w14:textId="77777777" w:rsidR="005619FF" w:rsidRDefault="005619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4420383">
    <w:abstractNumId w:val="3"/>
  </w:num>
  <w:num w:numId="2" w16cid:durableId="953295198">
    <w:abstractNumId w:val="2"/>
  </w:num>
  <w:num w:numId="3" w16cid:durableId="465704471">
    <w:abstractNumId w:val="1"/>
  </w:num>
  <w:num w:numId="4" w16cid:durableId="670565989">
    <w:abstractNumId w:val="0"/>
  </w:num>
  <w:num w:numId="5" w16cid:durableId="50736995">
    <w:abstractNumId w:val="6"/>
  </w:num>
  <w:num w:numId="6" w16cid:durableId="1036154926">
    <w:abstractNumId w:val="5"/>
  </w:num>
  <w:num w:numId="7" w16cid:durableId="10240195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DOCDECMNU" w:val=" 1"/>
    <w:docVar w:name="AMPLURMNU" w:val=" 1"/>
    <w:docVar w:name="CODEMNU" w:val=" 8"/>
    <w:docVar w:name="COMKEY" w:val="CONT"/>
    <w:docVar w:name="COMMKEY" w:val="CONT"/>
    <w:docVar w:name="CVar" w:val="1"/>
    <w:docVar w:name="DOCDT" w:val="28/01/2026"/>
    <w:docVar w:name="iNoAmend" w:val="1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440194 HideTWBExt;}{\*\cs18 \additive \v\f1\fs20\cf15 _x000d__x000a_\spriority0 \styrsid14440194 HideTWBInt;}{\s19\qr \li0\ri0\sb240\sa240\nowidctlpar\wrapdefault\aspalpha\aspnum\faauto\adjustright\rin0\lin0\itap0 \rtlch\fcs1 \af0\afs20\alang1025 \ltrch\fcs0 \fs24\lang2057\langfe2057\cgrid\langnp2057\langfenp2057 _x000d__x000a_\sbasedon0 \snext19 \spriority0 \styrsid14440194 AmOrLang;}{\s20\ql \li0\ri0\sa120\nowidctlpar\wrapdefault\aspalpha\aspnum\faauto\adjustright\rin0\lin0\itap0 \rtlch\fcs1 \af0\afs20\alang1025 \ltrch\fcs0 _x000d__x000a_\fs24\lang2057\langfe2057\cgrid\langnp2057\langfenp2057 \sbasedon0 \snext20 \spriority0 \styrsid14440194 Normal6a;}{\s21\ql \li0\ri0\nowidctlpar\wrapdefault\aspalpha\aspnum\faauto\adjustright\rin0\lin0\itap0 \rtlch\fcs1 \af0\afs20\alang1025 \ltrch\fcs0 _x000d__x000a_\b\fs24\lang2057\langfe2057\cgrid\langnp2057\langfenp2057 \sbasedon0 \snext21 \spriority0 \styrsid14440194 NormalBold;}{\s22\qc \li0\ri0\sa240\nowidctlpar\wrapdefault\aspalpha\aspnum\faauto\adjustright\rin0\lin0\itap0 \rtlch\fcs1 \af0\afs20\alang1025 _x000d__x000a_\ltrch\fcs0 \i\fs24\lang2057\langfe2057\cgrid\langnp2057\langfenp2057 \sbasedon0 \snext22 \spriority0 \styrsid1444019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4440194 AmNumberTabs;}}{\*\rsidtbl \rsid24658\rsid223860\rsid735077\rsid1718133\rsid2892074\rsid3565327\rsid4666813\rsid6641733\rsid7823322_x000d__x000a_\rsid8476247\rsid9636012\rsid10377208\rsid11215221\rsid11549030\rsid12154954\rsid14382809\rsid14424199\rsid14440194\rsid15204470\rsid15285974\rsid15357240\rsid15950462\rsid16324206\rsid16662270}{\mmathPr\mmathFont34\mbrkBin0\mbrkBinSub0\msmallFrac0_x000d__x000a_\mdispDef1\mlMargin0\mrMargin0\mdefJc1\mwrapIndent1440\mintLim0\mnaryLim1}{\info{\author BENINCASA Caterina}{\operator BENINCASA Caterina}{\creatim\yr2026\mo1\dy28\hr19\min17}{\revtim\yr2026\mo1\dy28\hr19\min17}{\version1}{\edmins0}{\nofpages1}_x000d__x000a_{\nofwords92}{\nofchars528}{\nofcharsws61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44019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BENIN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47624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47624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47624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47624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14440194\charrsid9991129 {\*\bkmkstart restart}&lt;Amend&gt;}{\rtlch\fcs1 \af0 _x000d__x000a_\ltrch\fcs0 \insrsid14440194\charrsid9991129 Amendment\tab \tab }{\rtlch\fcs1 \af0 \ltrch\fcs0 \cs17\b0\v\f1\fs20\cf9\lang1024\langfe1024\noproof\insrsid14440194\charrsid9991129 &lt;NumAm&gt;}{\rtlch\fcs1 \af0 \ltrch\fcs0 \insrsid14440194\charrsid9991129 #}{_x000d__x000a_\rtlch\fcs1 \af1 \ltrch\fcs0 \cs18\v\f1\fs20\cf15\insrsid14440194\charrsid9991129 ENMIENDA@NRAM@}{\rtlch\fcs1 \af0 \ltrch\fcs0 \insrsid14440194\charrsid9991129 #}{\rtlch\fcs1 \af0 \ltrch\fcs0 _x000d__x000a_\cs17\b0\v\f1\fs20\cf9\lang1024\langfe1024\noproof\insrsid14440194\charrsid9991129 &lt;/NumAm&gt;}{\rtlch\fcs1 \af0 \ltrch\fcs0 \insrsid14440194\charrsid999112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4440194\charrsid9991129 &lt;RepeatBlock-By&gt;}{\rtlch\fcs1 \af0 \ltrch\fcs0 \insrsid14440194\charrsid9991129 #}{\rtlch\fcs1 \af1 \ltrch\fcs0 _x000d__x000a_\cs18\v\f1\fs20\cf15\insrsid14440194\charrsid9991129 (MOD@InsideLoop()}{\rtlch\fcs1 \af0 \ltrch\fcs0 \insrsid14440194\charrsid9991129 ##}{\rtlch\fcs1 \af1 \ltrch\fcs0 \cs18\v\f1\fs20\cf15\insrsid14440194\charrsid9991129 &gt;&gt;&gt;@[ZMEMBERSMSG]@}{\rtlch\fcs1 _x000d__x000a_\af0 \ltrch\fcs0 \insrsid14440194\charrsid9991129 #}{\rtlch\fcs1 \af0 \ltrch\fcs0 \cs17\b0\v\f1\fs20\cf9\lang1024\langfe1024\noproof\insrsid14440194\charrsid9991129 &lt;Members&gt;}{\rtlch\fcs1 \af0 \ltrch\fcs0 \insrsid14440194\charrsid9991129 #}{\rtlch\fcs1 _x000d__x000a_\af1 \ltrch\fcs0 \cs18\v\f1\fs20\cf15\insrsid14440194\charrsid9991129 (MOD@InsideLoop(\'a7)}{\rtlch\fcs1 \af0 \ltrch\fcs0 \insrsid14440194\charrsid9991129 #}{\rtlch\fcs1 \af0 \ltrch\fcs0 \cf10\insrsid14440194\charrsid9991129 \u9668\'3f}{\rtlch\fcs1 \af0 _x000d__x000a_\ltrch\fcs0 \insrsid14440194\charrsid9991129 #}{\rtlch\fcs1 \af1 \ltrch\fcs0 \cs18\v\f1\fs20\cf15\insrsid14440194\charrsid9991129 TVTMEMBERS\'a7@MEMBERS@}{\rtlch\fcs1 \af0 \ltrch\fcs0 \insrsid14440194\charrsid9991129 #}{\rtlch\fcs1 \af0 \ltrch\fcs0 _x000d__x000a_\cf10\insrsid14440194\charrsid9991129 \u9658\'3f}{\rtlch\fcs1 \af0 \ltrch\fcs0 \cs17\b0\v\f1\fs20\cf9\lang1024\langfe1024\noproof\insrsid14440194\charrsid9991129 &lt;/Members&gt;}{\rtlch\fcs1 \af0 \ltrch\fcs0 \insrsid14440194\charrsid999112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14440194\charrsid9991129 &lt;AuNomDe&gt;&lt;OptDel&gt;}{\rtlch\fcs1 \af0 \ltrch\fcs0 \insrsid14440194\charrsid9991129 #}{\rtlch\fcs1 \af1 \ltrch\fcs0 \cs18\v\f1\fs20\cf15\insrsid14440194\charrsid9991129 _x000d__x000a_MNU[ONBEHALFYES][NOTAPP]@CHOICE@}{\rtlch\fcs1 \af0 \ltrch\fcs0 \insrsid14440194\charrsid9991129 #}{\rtlch\fcs1 \af0 \ltrch\fcs0 \cs17\v\f1\fs20\cf9\lang1024\langfe1024\noproof\insrsid14440194\charrsid9991129 &lt;/OptDel&gt;&lt;/AuNomDe&gt;}{\rtlch\fcs1 \af0 _x000d__x000a_\ltrch\fcs0 \insrsid14440194\charrsid9991129 _x000d__x000a_\par &lt;&lt;&lt;}{\rtlch\fcs1 \af0 \ltrch\fcs0 \cs17\v\f1\fs20\cf9\lang1024\langfe1024\noproof\insrsid14440194\charrsid9991129 &lt;/RepeatBlock-By&gt;}{\rtlch\fcs1 \af0 \ltrch\fcs0 \insrsid14440194\charrsid999112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4440194\charrsid9991129 &lt;DocAmend&gt;}{\rtlch\fcs1 \af0 \ltrch\fcs0 \insrsid14440194\charrsid9991129 #}{\rtlch\fcs1 \af1 \ltrch\fcs0 \cs18\v\f1\fs20\cf15\insrsid14440194\charrsid9991129 _x000d__x000a_MNU[OPTAMDOCINI][AMDOCA1][OPTAMDOCNLE][AMDOCA1][AMDOCA2][AMDOCA1][AMDOCA1][OPTAMDOCDEC]@CHOICE@CODEMNU}{\rtlch\fcs1 \af0 \ltrch\fcs0 \insrsid14440194\charrsid9991129 #}{\rtlch\fcs1 \af0 \ltrch\fcs0 _x000d__x000a_\cs17\b0\v\f1\fs20\cf9\lang1024\langfe1024\noproof\insrsid14440194\charrsid9991129 &lt;/DocAmend&gt;}{\rtlch\fcs1 \af0 \ltrch\fcs0 \insrsid14440194\charrsid9991129 _x000d__x000a_\par }\pard \ltrpar\s21\ql \li0\ri0\nowidctlpar\wrapdefault\aspalpha\aspnum\faauto\adjustright\rin0\lin0\itap0\pararsid7949889 {\rtlch\fcs1 \af0 \ltrch\fcs0 \cs17\b0\v\f1\fs20\cf9\lang1024\langfe1024\noproof\insrsid14440194\charrsid9991129 &lt;Article&gt;}{_x000d__x000a_\rtlch\fcs1 \af0 \ltrch\fcs0 \cf10\insrsid14440194\charrsid9991129 \u9668\'3f}{\rtlch\fcs1 \af0 \ltrch\fcs0 \insrsid14440194\charrsid9991129 #}{\rtlch\fcs1 \af1 \ltrch\fcs0 \cs18\v\f1\fs20\cf15\insrsid14440194\charrsid9991129 TVTAMPART@AMPART@}{_x000d__x000a_\rtlch\fcs1 \af0 \ltrch\fcs0 \insrsid14440194\charrsid9991129 #}{\rtlch\fcs1 \af0 \ltrch\fcs0 \cf10\insrsid14440194\charrsid9991129 \u9658\'3f}{\rtlch\fcs1 \af0 \ltrch\fcs0 _x000d__x000a_\cs17\b0\v\f1\fs20\cf9\lang1024\langfe1024\noproof\insrsid14440194\charrsid9991129 &lt;/Article&gt;}{\rtlch\fcs1 \af0 \ltrch\fcs0 \insrsid14440194\charrsid999112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14440194\charrsid9991129 \cell }\pard\plain \ltrpar\ql \li0\ri0\widctlpar\intbl\wrapdefault\aspalpha\aspnum\faauto\adjustright\rin0\lin0 \rtlch\fcs1 _x000d__x000a_\af0\afs20\alang1025 \ltrch\fcs0 \fs24\lang2057\langfe2057\cgrid\langnp2057\langfenp2057 {\rtlch\fcs1 \af0 \ltrch\fcs0 \insrsid14440194\charrsid9991129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14440194\charrsid9991129 #}{\rtlch\fcs1 \af1 \ltrch\fcs0 \cs18\v\f1\fs20\cf15\insrsid14440194\charrsid9991129 _x000d__x000a_MNU[OPTAMDOCINI][AMDOCA1][OPTAMDOCNLE][AMDOCA1][AMDOCA2][AMDOCA1][AMDOCA1][OPTAMDOCDEC]@CHOICE@CODEMNU}{\rtlch\fcs1 \af0 \ltrch\fcs0 \insrsid14440194\charrsid9991129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4440194\charrsid9991129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4440194\charrsid9991129 ##\cell ##}{\rtlch\fcs1 \af0\afs24 \ltrch\fcs0 \insrsid14440194\charrsid9991129 \cell }\pard\plain \ltrpar\ql \li0\ri0\widctlpar\intbl\wrapdefault\aspalpha\aspnum\faauto\adjustright\rin0\lin0 \rtlch\fcs1 _x000d__x000a_\af0\afs20\alang1025 \ltrch\fcs0 \fs24\lang2057\langfe2057\cgrid\langnp2057\langfenp2057 {\rtlch\fcs1 \af0 \ltrch\fcs0 \insrsid14440194\charrsid9991129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14440194\charrsid9991129 Or. }{\rtlch\fcs1 \af0 \ltrch\fcs0 \cs17\v\f1\fs20\cf9\lang1024\langfe1024\noproof\insrsid14440194\charrsid9991129 &lt;Original&gt;}{\rtlch\fcs1 \af0 \ltrch\fcs0 \insrsid14440194\charrsid9991129 #}{\rtlch\fcs1 \af1 \ltrch\fcs0 _x000d__x000a_\cs18\v\f1\fs20\cf15\insrsid14440194\charrsid9991129 KEY(MAIN/LANGMIN)sh@ORLANGMSG@}{\rtlch\fcs1 \af0 \ltrch\fcs0 \insrsid14440194\charrsid9991129 #}{\rtlch\fcs1 \af0 \ltrch\fcs0 _x000d__x000a_\cs17\v\f1\fs20\cf9\lang1024\langfe1024\noproof\insrsid14440194\charrsid9991129 &lt;/Original&gt;}{\rtlch\fcs1 \af0 \ltrch\fcs0 \insrsid14440194\charrsid999112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4440194\charrsid999112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6"/>
    <w:docVar w:name="TVTAMPART" w:val="x"/>
    <w:docVar w:name="TVTMEMBERS1" w:val="x"/>
    <w:docVar w:name="TXTAUTHOR" w:val="Pasquale Tridico"/>
    <w:docVar w:name="TXTLANGUE" w:val="PL"/>
    <w:docVar w:name="TXTLANGUEMIN" w:val="pl"/>
    <w:docVar w:name="TXTNRFIRSTAM" w:val="1"/>
    <w:docVar w:name="TXTNRLASTAM" w:val="1"/>
    <w:docVar w:name="TXTNRPE" w:val="784.137"/>
    <w:docVar w:name="TXTNRPE2" w:val="784.137"/>
    <w:docVar w:name="TXTNRPROC" w:val="2025/2155"/>
    <w:docVar w:name="TXTPEorAP" w:val="PE"/>
    <w:docVar w:name="TXTROUTE" w:val="AM\1336325PL.docx"/>
    <w:docVar w:name="TXTTITLE" w:val="Discharge 2024: General budget of the EU - European Public Prosecutors Office (the ‘EPPO’)"/>
    <w:docVar w:name="TXTVERSION" w:val="01-00"/>
    <w:docVar w:name="TXTVERSION2" w:val="01-00"/>
  </w:docVars>
  <w:rsids>
    <w:rsidRoot w:val="003C5540"/>
    <w:rsid w:val="000058AA"/>
    <w:rsid w:val="000574C9"/>
    <w:rsid w:val="00057558"/>
    <w:rsid w:val="00072B4B"/>
    <w:rsid w:val="00102D38"/>
    <w:rsid w:val="0011298B"/>
    <w:rsid w:val="0012108E"/>
    <w:rsid w:val="00125041"/>
    <w:rsid w:val="0015022B"/>
    <w:rsid w:val="00172501"/>
    <w:rsid w:val="00175062"/>
    <w:rsid w:val="001756E6"/>
    <w:rsid w:val="001767FD"/>
    <w:rsid w:val="001B1694"/>
    <w:rsid w:val="001C108E"/>
    <w:rsid w:val="001C6BFC"/>
    <w:rsid w:val="00262416"/>
    <w:rsid w:val="00295953"/>
    <w:rsid w:val="002A3EAA"/>
    <w:rsid w:val="002B6DE3"/>
    <w:rsid w:val="002B799B"/>
    <w:rsid w:val="002F0149"/>
    <w:rsid w:val="00307E56"/>
    <w:rsid w:val="003C5540"/>
    <w:rsid w:val="003C7A69"/>
    <w:rsid w:val="003D7856"/>
    <w:rsid w:val="003E76A4"/>
    <w:rsid w:val="00403364"/>
    <w:rsid w:val="004106BA"/>
    <w:rsid w:val="0044299E"/>
    <w:rsid w:val="00444941"/>
    <w:rsid w:val="004B02E9"/>
    <w:rsid w:val="004D02AB"/>
    <w:rsid w:val="004E4A92"/>
    <w:rsid w:val="005613AB"/>
    <w:rsid w:val="005619FF"/>
    <w:rsid w:val="005D04A2"/>
    <w:rsid w:val="005E5FA1"/>
    <w:rsid w:val="00663E24"/>
    <w:rsid w:val="006838B3"/>
    <w:rsid w:val="00742225"/>
    <w:rsid w:val="00794E41"/>
    <w:rsid w:val="007964AA"/>
    <w:rsid w:val="007B1846"/>
    <w:rsid w:val="007C1252"/>
    <w:rsid w:val="007E54B7"/>
    <w:rsid w:val="007F20B9"/>
    <w:rsid w:val="007F22E4"/>
    <w:rsid w:val="008305E9"/>
    <w:rsid w:val="00866CBA"/>
    <w:rsid w:val="00873A27"/>
    <w:rsid w:val="00884176"/>
    <w:rsid w:val="008B040A"/>
    <w:rsid w:val="008D03DA"/>
    <w:rsid w:val="0093376E"/>
    <w:rsid w:val="0095177E"/>
    <w:rsid w:val="00952F4F"/>
    <w:rsid w:val="009531F4"/>
    <w:rsid w:val="00954A54"/>
    <w:rsid w:val="009B54E9"/>
    <w:rsid w:val="009C2758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73033"/>
    <w:rsid w:val="00BE6658"/>
    <w:rsid w:val="00BF6585"/>
    <w:rsid w:val="00C4749E"/>
    <w:rsid w:val="00C72F6B"/>
    <w:rsid w:val="00C83592"/>
    <w:rsid w:val="00C85D0F"/>
    <w:rsid w:val="00CA7F28"/>
    <w:rsid w:val="00CF4E9D"/>
    <w:rsid w:val="00D2257D"/>
    <w:rsid w:val="00D34123"/>
    <w:rsid w:val="00D35B06"/>
    <w:rsid w:val="00D42F84"/>
    <w:rsid w:val="00D92DDE"/>
    <w:rsid w:val="00DA7120"/>
    <w:rsid w:val="00DC19A9"/>
    <w:rsid w:val="00DC1DD4"/>
    <w:rsid w:val="00DC3244"/>
    <w:rsid w:val="00DC36BD"/>
    <w:rsid w:val="00DF038C"/>
    <w:rsid w:val="00E67987"/>
    <w:rsid w:val="00EA1780"/>
    <w:rsid w:val="00EF54D2"/>
    <w:rsid w:val="00F000BE"/>
    <w:rsid w:val="00F15510"/>
    <w:rsid w:val="00F20F19"/>
    <w:rsid w:val="00F300AB"/>
    <w:rsid w:val="00F457AA"/>
    <w:rsid w:val="00F61FB2"/>
    <w:rsid w:val="00F925F1"/>
    <w:rsid w:val="00FA2D4B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DE537"/>
  <w15:chartTrackingRefBased/>
  <w15:docId w15:val="{606302F5-F0A2-4D1A-A9D2-670C7039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B73033"/>
    <w:pPr>
      <w:widowControl/>
      <w:spacing w:before="100" w:beforeAutospacing="1" w:after="100" w:afterAutospacing="1"/>
    </w:pPr>
    <w:rPr>
      <w:szCs w:val="24"/>
    </w:rPr>
  </w:style>
  <w:style w:type="paragraph" w:customStyle="1" w:styleId="AmJustText">
    <w:name w:val="AmJustText"/>
    <w:basedOn w:val="Normal"/>
    <w:rsid w:val="00B73033"/>
    <w:pPr>
      <w:widowControl/>
      <w:spacing w:after="240"/>
    </w:pPr>
    <w:rPr>
      <w:i/>
      <w:szCs w:val="24"/>
      <w:lang w:eastAsia="en-US"/>
    </w:rPr>
  </w:style>
  <w:style w:type="paragraph" w:customStyle="1" w:styleId="AmJustTitle">
    <w:name w:val="AmJustTitle"/>
    <w:basedOn w:val="Normal"/>
    <w:next w:val="AmJustText"/>
    <w:rsid w:val="00B73033"/>
    <w:pPr>
      <w:keepNext/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AmCrossRef">
    <w:name w:val="AmCrossRef"/>
    <w:basedOn w:val="Normal"/>
    <w:rsid w:val="00B73033"/>
    <w:pPr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EPFooterLandscape">
    <w:name w:val="EPFooterLandscape"/>
    <w:rsid w:val="00B73033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B73033"/>
    <w:pPr>
      <w:widowControl/>
    </w:pPr>
    <w:rPr>
      <w:sz w:val="2"/>
      <w:szCs w:val="24"/>
      <w:lang w:eastAsia="en-US"/>
    </w:rPr>
  </w:style>
  <w:style w:type="paragraph" w:customStyle="1" w:styleId="EPFooter2Landscape">
    <w:name w:val="EPFooter2Landscape"/>
    <w:rsid w:val="00B73033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paragraph" w:customStyle="1" w:styleId="PMissingStyle">
    <w:name w:val="P_MissingStyle"/>
    <w:basedOn w:val="Normal"/>
    <w:rsid w:val="00B73033"/>
    <w:pPr>
      <w:widowControl/>
      <w:shd w:val="clear" w:color="auto" w:fill="000000"/>
    </w:pPr>
    <w:rPr>
      <w:color w:val="FFFFFF"/>
      <w:szCs w:val="24"/>
      <w:lang w:eastAsia="en-US"/>
    </w:rPr>
  </w:style>
  <w:style w:type="paragraph" w:customStyle="1" w:styleId="Normal12a">
    <w:name w:val="Normal12a"/>
    <w:basedOn w:val="Normal"/>
    <w:rsid w:val="00B73033"/>
    <w:pPr>
      <w:widowControl/>
      <w:spacing w:after="240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B73033"/>
    <w:pPr>
      <w:widowControl/>
      <w:spacing w:before="240"/>
    </w:pPr>
    <w:rPr>
      <w:b/>
      <w:szCs w:val="24"/>
      <w:lang w:eastAsia="en-US"/>
    </w:rPr>
  </w:style>
  <w:style w:type="character" w:customStyle="1" w:styleId="EPFooter2Motto">
    <w:name w:val="EPFooter2Motto"/>
    <w:rsid w:val="00B73033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B73033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B73033"/>
    <w:rPr>
      <w:color w:val="FFFFFF"/>
      <w:sz w:val="22"/>
      <w:shd w:val="clear" w:color="auto" w:fill="000000"/>
    </w:rPr>
  </w:style>
  <w:style w:type="paragraph" w:styleId="Footer">
    <w:name w:val="footer"/>
    <w:basedOn w:val="Normal"/>
    <w:link w:val="FooterChar"/>
    <w:semiHidden/>
    <w:rsid w:val="008841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8417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59</Pages>
  <Words>15437</Words>
  <Characters>102748</Characters>
  <Application>Microsoft Office Word</Application>
  <DocSecurity>0</DocSecurity>
  <Lines>3850</Lines>
  <Paragraphs>640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117639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2026-02-11T09:53:00Z</dcterms:created>
  <dcterms:modified xsi:type="dcterms:W3CDTF">2026-02-11T09:53:00Z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1336325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13:39:05)</vt:lpwstr>
  </property>
  <property fmtid="{D5CDD505-2E9C-101B-9397-08002B2CF9AE}" pid="6" name="&lt;ModelTra&gt;">
    <vt:lpwstr>\\eiciBRUpr1\pdocep$\DocEP\TRANSFIL\EN\AM_Com_NonLegReport.EN(17/08/2024 00:22:03)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[20260110]</vt:lpwstr>
  </property>
  <property fmtid="{D5CDD505-2E9C-101B-9397-08002B2CF9AE}" pid="9" name="FooterPath">
    <vt:lpwstr>AM\1336325PL.docx</vt:lpwstr>
  </property>
  <property fmtid="{D5CDD505-2E9C-101B-9397-08002B2CF9AE}" pid="10" name="LastEdited with">
    <vt:lpwstr>10.2.1 Build [20260110]</vt:lpwstr>
  </property>
  <property fmtid="{D5CDD505-2E9C-101B-9397-08002B2CF9AE}" pid="11" name="OriLang">
    <vt:lpwstr>EN</vt:lpwstr>
  </property>
  <property fmtid="{D5CDD505-2E9C-101B-9397-08002B2CF9AE}" pid="12" name="PE number">
    <vt:lpwstr>784.137</vt:lpwstr>
  </property>
  <property fmtid="{D5CDD505-2E9C-101B-9397-08002B2CF9AE}" pid="13" name="SDLStudio">
    <vt:lpwstr/>
  </property>
  <property fmtid="{D5CDD505-2E9C-101B-9397-08002B2CF9AE}" pid="14" name="SendToEpades">
    <vt:lpwstr>OK - 2026/01/28 19:52</vt:lpwstr>
  </property>
  <property fmtid="{D5CDD505-2E9C-101B-9397-08002B2CF9AE}" pid="15" name="Bookout">
    <vt:lpwstr>OK - 2026/02/11 10:53</vt:lpwstr>
  </property>
</Properties>
</file>