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2025/2156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{19/02/2026}</w:t>
      </w:r>
      <w:r>
        <w:t>19.2.2026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174</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Моника Холмайер</w:t>
      </w:r>
      <w:r>
        <w:rPr>
          <w:rStyle w:val="HideTWBExt"/>
        </w:rPr>
        <w:t>&lt;/Rapporteur&gt;</w:t>
      </w:r>
    </w:p>
    <w:p>
      <w:pPr>
        <w:pStyle w:val="CoverNormal24a"/>
      </w:pPr>
      <w:r>
        <w:rPr>
          <w:rStyle w:val="HideTWBExt"/>
        </w:rPr>
        <w:t>&lt;DocRefPE&gt;</w:t>
      </w:r>
      <w:r>
        <w:t>(PE776.806v01-00)</w:t>
      </w:r>
      <w:r>
        <w:rPr>
          <w:rStyle w:val="HideTWBExt"/>
        </w:rPr>
        <w:t>&lt;/DocRefPE&gt;</w:t>
      </w:r>
    </w:p>
    <w:p>
      <w:pPr>
        <w:pStyle w:val="CoverNormal"/>
      </w:pPr>
      <w:r>
        <w:rPr>
          <w:rStyle w:val="HideTWBExt"/>
        </w:rPr>
        <w:t>&lt;Titre&gt;</w:t>
      </w:r>
      <w:r>
        <w:t>Освобождаване от отговорност във връзка с изпълнението на бюджета за 2024 г.: Общ бюджет на ЕС – Агенции</w:t>
      </w:r>
      <w:r>
        <w:rPr>
          <w:rStyle w:val="HideTWBExt"/>
        </w:rPr>
        <w:t>&lt;/Titre&gt;</w:t>
      </w:r>
    </w:p>
    <w:p>
      <w:pPr>
        <w:pStyle w:val="CoverNormal24a"/>
      </w:pPr>
      <w:r>
        <w:rPr>
          <w:rStyle w:val="HideTWBExt"/>
        </w:rPr>
        <w:t>&lt;DocRef&gt;</w:t>
      </w:r>
      <w:r>
        <w:t>(2025/2156(DEC))</w:t>
      </w:r>
      <w:r>
        <w:rPr>
          <w:rStyle w:val="HideTWBExt"/>
        </w:rPr>
        <w:t>&lt;/DocRef&gt;</w:t>
      </w:r>
    </w:p>
    <w:p>
      <w:r>
        <w:br w:type="page"/>
      </w:r>
      <w:r>
        <w:t>AM_Com_NonLegReportAM_Com_LegReport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децентрализираните агенции, изпълнителните агенции и другите органи на Съюза са самостоятелни правни субекти, създадени за изпълнението на специфични технически, научни или управленски задачи, които подпомагат институциите на Съюза при изготвянето и изпълнението на политики; като има предвид, че те се намират в различни държави членки и имат съществено влияние в области от голямо значение за ежедневния живот на гражданите на Съюза, като например здравеопазването, безопасността, сигурността, свободата и правосъдието;</w:t>
            </w:r>
          </w:p>
        </w:tc>
        <w:tc>
          <w:tcPr>
            <w:tcW w:w="4876" w:type="dxa"/>
            <w:tcBorders>
              <w:top w:val="nil"/>
              <w:left w:val="nil"/>
              <w:bottom w:val="nil"/>
              <w:right w:val="nil"/>
            </w:tcBorders>
          </w:tcPr>
          <w:p>
            <w:pPr>
              <w:pStyle w:val="Normal6a"/>
            </w:pPr>
            <w:r>
              <w:t>А.</w:t>
            </w:r>
            <w:r>
              <w:tab/>
            </w:r>
            <w:r>
              <w:t xml:space="preserve">като има предвид, че децентрализираните агенции, изпълнителните агенции и другите органи на Съюза са самостоятелни правни субекти, създадени за изпълнението на специфични технически, научни или управленски задачи, които подпомагат институциите на Съюза при изготвянето и изпълнението на политики; като има предвид, че те се намират в различни държави членки и имат съществено влияние в области от голямо значение за ежедневния живот на гражданите на Съюза, като например здравеопазването, безопасността, сигурността, свободата и правосъдието; </w:t>
            </w:r>
            <w:r>
              <w:rPr>
                <w:b/>
                <w:i/>
              </w:rPr>
              <w:t>припомня, че процедурата по освобождаване от отговорност не е просто техническа счетоводна процедура, а основен инструмент за демократична отчетност, чрез който Парламентът оценява дали органите на Съюза действат в съответствие с ценностите на Съюза, основните права и принципите на добро финансово управление;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като има предвид, че някои агенции не измерват в достатъчна степен въздействието на своите становища върху икономиката или заетостта в Европа, тъй като въздействието им понякога е отрицателно;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rPr>
                <w:b/>
                <w:i/>
              </w:rPr>
              <w:t>като има предвид</w:t>
            </w:r>
            <w:r>
              <w:t>, че настоящата резолюция съдържа по отношение на всеки орган, посочен в член 70 от Регламент (ЕС, Евратом) 2024/2509, и по отношение на Агенцията за снабдяване към Евратом хоризонтални забележки, придружаващи решенията за освобождаване от отговорност във връзка с изпълнението на бюджета съгласно член 268 от Регламент (ЕС, Евратом) 2024/2509 и член 3 от приложение V към Правилника за дейността на Европейския парламент;</w:t>
            </w:r>
          </w:p>
        </w:tc>
        <w:tc>
          <w:tcPr>
            <w:tcW w:w="4876" w:type="dxa"/>
            <w:tcBorders>
              <w:top w:val="nil"/>
              <w:left w:val="nil"/>
              <w:bottom w:val="nil"/>
              <w:right w:val="nil"/>
            </w:tcBorders>
          </w:tcPr>
          <w:p>
            <w:pPr>
              <w:pStyle w:val="Normal6a"/>
            </w:pPr>
            <w:r>
              <w:t>Б.</w:t>
            </w:r>
            <w:r>
              <w:tab/>
            </w:r>
            <w:r>
              <w:rPr>
                <w:b/>
                <w:i/>
              </w:rPr>
              <w:t>изразява съжаление</w:t>
            </w:r>
            <w:r>
              <w:t>, че настоящата резолюция съдържа по отношение на всеки орган, посочен в член 70 от Регламент (ЕС, Евратом) 2024/2509, и по отношение на Агенцията за снабдяване към Евратом хоризонтални забележки, придружаващи решенията за освобождаване от отговорност във връзка с изпълнението на бюджета съгласно член 268 от Регламент (ЕС, Евратом) 2024/2509 и член 3 от приложение V към Правилника за дейността на Европейския парламент</w:t>
            </w:r>
            <w:r>
              <w:rPr>
                <w:b/>
                <w:i/>
              </w:rPr>
              <w:t>, което прави невъзможно индивидуалното разглеждане на всяко освобождаване от отговорност във връзка с изпълнението на бюджета и идентифицирането и разглеждането на специфичните за него въпроси, както и вземането на решение по всяко едно от тях, като по този начин се изкривява окончателното гласуване на настоящата резолюция</w:t>
            </w:r>
            <w:r>
              <w:t xml:space="preserve">; </w:t>
            </w:r>
            <w:r>
              <w:rPr>
                <w:b/>
                <w:i/>
              </w:rPr>
              <w:t>призовава за връщане към индивидуалното разглеждане на освобождаванията от отговорност във връзка с изпълнението на бюджета както в комисията по бюджетен контрол, така и в подпомагащите комисии;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децентрализираните агенции на Съюза и Агенцията за снабдяване към Евратом следва да се фокусират върху функции с ясна европейска добавена стойност и организацията на тези функции следва да бъде оптимизирана с цел избягване на припокривания, в най-добрия интерес на данъкоплатците в Съюза;</w:t>
            </w:r>
          </w:p>
        </w:tc>
        <w:tc>
          <w:tcPr>
            <w:tcW w:w="4876" w:type="dxa"/>
            <w:tcBorders>
              <w:top w:val="nil"/>
              <w:left w:val="nil"/>
              <w:bottom w:val="nil"/>
              <w:right w:val="nil"/>
            </w:tcBorders>
          </w:tcPr>
          <w:p>
            <w:pPr>
              <w:pStyle w:val="Normal6a"/>
            </w:pPr>
            <w:r>
              <w:t>В.</w:t>
            </w:r>
            <w:r>
              <w:tab/>
            </w:r>
            <w:r>
              <w:t>като има предвид, че децентрализираните агенции на Съюза и Агенцията за снабдяване към Евратом следва да се фокусират върху функции с ясна европейска добавена стойност и организацията на тези функции следва да бъде оптимизирана с цел избягване на припокривания, в най-добрия интерес на данъкоплатците в Съюза</w:t>
            </w:r>
            <w:r>
              <w:rPr>
                <w:b/>
                <w:i/>
              </w:rPr>
              <w:t>, по-специално в областта на здравеопазването (случая с мандата на Европейския център за профилактика и контрол върху заболяванията, чиито компетентности се припокриват с тези на Органа на Европейската комисия за готовност и реакция при извънредни здравни ситуации) или в областта на обучението и условията на труд (CEDEFOP, ETF, EU-OSHA, Eurofound)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за финансовата 2024 година Сметната палата е изразила становища без резерви за почти всички агенции;</w:t>
            </w:r>
            <w:r>
              <w:t xml:space="preserve"> </w:t>
            </w:r>
            <w:r>
              <w:rPr>
                <w:b/>
                <w:i/>
              </w:rPr>
              <w:t>като има предвид, че поддържането на високи стандарти на добро финансово управление, ефективни системи за вътрешен контрол и бюджетна дисциплина продължава да бъде от съществено значение за гарантиране на правилното и прозрачно използване на средствата на Съюза и за укрепване на доверието на гражданите в институциите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Жб.</w:t>
            </w:r>
            <w:r>
              <w:tab/>
            </w:r>
            <w:r>
              <w:rPr>
                <w:b/>
                <w:i/>
              </w:rPr>
              <w:t>като има предвид, че през последните години обхватът на отговорностите на агенциите на Съюза се увеличава;</w:t>
            </w:r>
            <w:r>
              <w:t xml:space="preserve"> </w:t>
            </w:r>
            <w:r>
              <w:rPr>
                <w:b/>
                <w:i/>
              </w:rPr>
              <w:t>като има предвид, че са необходими адекватни и предвидими ресурси, съчетани със солидни управленски структури и ясни механизми за отчетност, за да могат те да изпълняват ефективно своите мандати и да се запази доверието в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Жв.</w:t>
            </w:r>
            <w:r>
              <w:tab/>
            </w:r>
            <w:r>
              <w:rPr>
                <w:b/>
                <w:i/>
              </w:rPr>
              <w:t>като има предвид, че инцидентът в областта на киберсигурността, който засегна една от агенциите през 2024 г., показва уязвимостта на органите на Съюза, които обработват чувствителни данни;</w:t>
            </w:r>
            <w:r>
              <w:t xml:space="preserve"> </w:t>
            </w:r>
            <w:r>
              <w:rPr>
                <w:b/>
                <w:i/>
              </w:rPr>
              <w:t>като има предвид, че укрепването на киберсигурността, планирането на непрекъснатостта на дейността и системите за вътрешен контрол следва да се разглеждат като хоризонтален приоритет във всички агенции;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изразява дълбока загриженост във връзка с нарастващата тежест на обслужването на дълга и разходите по заеми на ЕС;</w:t>
            </w:r>
            <w:r>
              <w:t xml:space="preserve"> </w:t>
            </w:r>
            <w:r>
              <w:rPr>
                <w:b/>
                <w:i/>
              </w:rPr>
              <w:t>отбелязва, че според годишния доклад на Европейската сметна палата непогасените заеми, взети от ЕС, биха могли да надхвърлят 900 милиарда евро до 2027 г., което е почти десет пъти повече от равнището от 2020 г. преди въвеждането на пакета за възстановяване NextGenerationEU;</w:t>
            </w:r>
            <w:r>
              <w:t xml:space="preserve"> </w:t>
            </w:r>
            <w:r>
              <w:rPr>
                <w:b/>
                <w:i/>
              </w:rPr>
              <w:t>предупреждава, че нарастващите разходи по заеми представляват риск за бъдещите бюджети и намаляват фискалното пространство за нови приоритети;</w:t>
            </w:r>
            <w:r>
              <w:t xml:space="preserve"> </w:t>
            </w:r>
            <w:r>
              <w:rPr>
                <w:b/>
                <w:i/>
              </w:rPr>
              <w:t>поради това настоява, че този безпрецедентен фискален натиск налага стриктно търсене на икономии във всички агенции на ЕС;</w:t>
            </w:r>
            <w:r>
              <w:t xml:space="preserve"> </w:t>
            </w:r>
            <w:r>
              <w:rPr>
                <w:b/>
                <w:i/>
              </w:rPr>
              <w:t>призовава Комисията и Мрежата на агенциите на ЕС да представят план за намаляване на структурните разходи, за да се демонстрира институционална отговорност във времена на висок публичен дълг;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посочва, че макар създаването или разширяването на агенциите на ЕС да има за цел да укрепи капацитета на Съюза, от </w:t>
            </w:r>
            <w:r>
              <w:rPr>
                <w:b/>
                <w:i/>
              </w:rPr>
              <w:t>решаващо</w:t>
            </w:r>
            <w:r>
              <w:t xml:space="preserve"> значение е да се гарантира, че този процес се направлява чрез задълбочени оценки</w:t>
            </w:r>
            <w:r>
              <w:rPr>
                <w:b/>
                <w:i/>
              </w:rPr>
              <w:t>,</w:t>
            </w:r>
            <w:r>
              <w:t xml:space="preserve"> оценки на въздействието </w:t>
            </w:r>
            <w:r>
              <w:rPr>
                <w:b/>
                <w:i/>
              </w:rPr>
              <w:t>и ясни доказателства за добавената стойност</w:t>
            </w:r>
            <w:r>
              <w:t xml:space="preserve">, за да </w:t>
            </w:r>
            <w:r>
              <w:rPr>
                <w:b/>
                <w:i/>
              </w:rPr>
              <w:t>могат да се извлекат поуки и да се обмисли прекратяването на мандата им, ако това е необходимо;</w:t>
            </w:r>
            <w:r>
              <w:t xml:space="preserve"> </w:t>
            </w:r>
            <w:r>
              <w:rPr>
                <w:b/>
                <w:i/>
              </w:rPr>
              <w:t>подчертава, че този подход не само ще гарантира по-добро регулиране, но и ще</w:t>
            </w:r>
            <w:r>
              <w:t xml:space="preserve"> повиши ефективността, отчетността, прозрачността и съгласуваността на институционалната структура на Съюза;</w:t>
            </w:r>
          </w:p>
        </w:tc>
        <w:tc>
          <w:tcPr>
            <w:tcW w:w="4876" w:type="dxa"/>
            <w:tcBorders>
              <w:top w:val="nil"/>
              <w:left w:val="nil"/>
              <w:bottom w:val="nil"/>
              <w:right w:val="nil"/>
            </w:tcBorders>
          </w:tcPr>
          <w:p>
            <w:pPr>
              <w:pStyle w:val="Normal6a"/>
            </w:pPr>
            <w:r>
              <w:t>2.</w:t>
            </w:r>
            <w:r>
              <w:tab/>
            </w:r>
            <w:r>
              <w:t xml:space="preserve">посочва, че макар създаването или разширяването на агенциите на ЕС да има за цел да укрепи капацитета на Съюза, от </w:t>
            </w:r>
            <w:r>
              <w:rPr>
                <w:b/>
                <w:i/>
              </w:rPr>
              <w:t>важно</w:t>
            </w:r>
            <w:r>
              <w:t xml:space="preserve"> значение е да се гарантира, че този процес се направлява чрез задълбочени оценки </w:t>
            </w:r>
            <w:r>
              <w:rPr>
                <w:b/>
                <w:i/>
              </w:rPr>
              <w:t>и</w:t>
            </w:r>
            <w:r>
              <w:t xml:space="preserve"> оценки на въздействието, за да </w:t>
            </w:r>
            <w:r>
              <w:rPr>
                <w:b/>
                <w:i/>
              </w:rPr>
              <w:t>се</w:t>
            </w:r>
            <w:r>
              <w:t xml:space="preserve"> повиши ефективността, отчетността, прозрачността и съгласуваността на институционалната структура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посочва, че макар създаването или разширяването на агенциите на ЕС да има за цел да укрепи капацитета на Съюза, от решаващо значение е да се гарантира, че този процес се направлява чрез задълбочени оценки, оценки на въздействието и ясни доказателства за добавената стойност, за да могат да се извлекат поуки и </w:t>
            </w:r>
            <w:r>
              <w:rPr>
                <w:b/>
                <w:i/>
              </w:rPr>
              <w:t>да се обмисли прекратяването на мандата им</w:t>
            </w:r>
            <w:r>
              <w:t>, ако това е необходимо;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w:t>
            </w:r>
          </w:p>
        </w:tc>
        <w:tc>
          <w:tcPr>
            <w:tcW w:w="4876" w:type="dxa"/>
            <w:tcBorders>
              <w:top w:val="nil"/>
              <w:left w:val="nil"/>
              <w:bottom w:val="nil"/>
              <w:right w:val="nil"/>
            </w:tcBorders>
          </w:tcPr>
          <w:p>
            <w:pPr>
              <w:pStyle w:val="Normal6a"/>
            </w:pPr>
            <w:r>
              <w:t>2.</w:t>
            </w:r>
            <w:r>
              <w:tab/>
            </w:r>
            <w:r>
              <w:t xml:space="preserve">посочва, че макар създаването или разширяването на агенциите на ЕС да има за цел да укрепи капацитета на Съюза, от решаващо значение е да се гарантира, че този процес се направлява чрез задълбочени оценки, оценки на въздействието и ясни доказателства за добавената стойност, за да могат да се извлекат поуки и </w:t>
            </w:r>
            <w:r>
              <w:rPr>
                <w:b/>
                <w:i/>
              </w:rPr>
              <w:t>мандатът им да бъде прекратен</w:t>
            </w:r>
            <w:r>
              <w:t>, ако това е необходимо</w:t>
            </w:r>
            <w:r>
              <w:rPr>
                <w:b/>
                <w:i/>
              </w:rPr>
              <w:t>, особено в случай на дублиране или припокриване на компетентности</w:t>
            </w:r>
            <w:r>
              <w:t>;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посочва, че макар създаването или разширяването на агенциите на ЕС да има за цел да укрепи капацитета на Съюза, от решаващо значение е да се гарантира, че този процес се направлява чрез задълбочени оценки, оценки на въздействието и ясни доказателства за добавената стойност, за да могат да се извлекат поуки и да се обмисли прекратяването на мандата им, ако това е необходимо;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w:t>
            </w:r>
          </w:p>
        </w:tc>
        <w:tc>
          <w:tcPr>
            <w:tcW w:w="4876" w:type="dxa"/>
            <w:tcBorders>
              <w:top w:val="nil"/>
              <w:left w:val="nil"/>
              <w:bottom w:val="nil"/>
              <w:right w:val="nil"/>
            </w:tcBorders>
          </w:tcPr>
          <w:p>
            <w:pPr>
              <w:pStyle w:val="Normal6a"/>
            </w:pPr>
            <w:r>
              <w:t>2.</w:t>
            </w:r>
            <w:r>
              <w:tab/>
            </w:r>
            <w:r>
              <w:t xml:space="preserve">посочва, че макар създаването или разширяването на агенциите на ЕС да има за цел да укрепи капацитета на Съюза, от решаващо значение е да се гарантира, че този процес се направлява чрез задълбочени оценки, оценки на въздействието и ясни доказателства за добавената стойност, за да могат да се извлекат поуки и да се обмисли прекратяването на мандата им, ако това е необходимо;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 </w:t>
            </w:r>
            <w:r>
              <w:rPr>
                <w:b/>
                <w:i/>
              </w:rPr>
              <w:t>подчертава, че всяко обмисляне на сливания, консолидиране или прекратяване на мандати на агенции трябва да се основава на всеобхватна политическа оценка, включително демократична отчетност, независимост, въздействие върху основните права и добавена стойност, а не само на съображения, свързани с бюджета или ефективността;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посочва, че макар създаването или разширяването на агенциите на ЕС да има за цел да укрепи капацитета на Съюза, от решаващо значение е да се гарантира, че този процес се направлява чрез задълбочени оценки, оценки на въздействието и ясни доказателства за добавената стойност, за да могат да се извлекат поуки и да се обмисли прекратяването на мандата им, ако това е необходимо;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w:t>
            </w:r>
          </w:p>
        </w:tc>
        <w:tc>
          <w:tcPr>
            <w:tcW w:w="4876" w:type="dxa"/>
            <w:tcBorders>
              <w:top w:val="nil"/>
              <w:left w:val="nil"/>
              <w:bottom w:val="nil"/>
              <w:right w:val="nil"/>
            </w:tcBorders>
          </w:tcPr>
          <w:p>
            <w:pPr>
              <w:pStyle w:val="Normal6a"/>
            </w:pPr>
            <w:r>
              <w:t>2.</w:t>
            </w:r>
            <w:r>
              <w:tab/>
            </w:r>
            <w:r>
              <w:t>посочва, че макар създаването или разширяването на агенциите на ЕС да има за цел да укрепи капацитета на Съюза, от решаващо значение е да се гарантира, че този процес се направлява чрез задълбочени оценки</w:t>
            </w:r>
            <w:r>
              <w:rPr>
                <w:b/>
                <w:i/>
              </w:rPr>
              <w:t>, задълбочени анализи на разходите и ползите</w:t>
            </w:r>
            <w:r>
              <w:t xml:space="preserve">, оценки на въздействието и ясни доказателства за добавената стойност, за да могат да се извлекат поуки и да се обмисли прекратяването на мандата им, ако това е необходимо;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 </w:t>
            </w:r>
            <w:r>
              <w:rPr>
                <w:b/>
                <w:i/>
              </w:rPr>
              <w:t>подчертава, че финансираните от ЕС дейности се оценяват стриктно въз основа на очакваната възвръщаемост и измеримото въздействие в съответствие с принципите на икономичност, ефикасност и ефективност;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подчертава, че прозрачността е не само задължение за спазване, но и предварително условие за общественото доверие в агенциите, които упражняват значителни регулаторни или оперативни правомощия;</w:t>
            </w:r>
            <w:r>
              <w:t xml:space="preserve"> </w:t>
            </w:r>
            <w:r>
              <w:rPr>
                <w:b/>
                <w:i/>
              </w:rPr>
              <w:t>призовава агенциите да публикуват проактивно ключови документи, включително решения на управителния съвет, неповерителни договори и резултати от оценките, своевременно и по лесен за ползване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припомня, че в параграф 60 от общия подход се посочва, че всяка агенция следва да бъде оценявана веднъж на всеки пет години; настоятелно призовава Комисията да проучи възможностите за допълнителни полезни взаимодействия и консолидиране на дейностите, както и за евентуално сливане на агенции с допълващи се дейности, като например агенциите в областта на образованието и обучението, за да се осигури ефективност на разходите и да се рационализират функциите на агенциите, включително и потенциални преразглеждания на мандатите в случай на неефективност или дублиране; насърчава, когато е необходимо, прилагането на клаузата за изтичане на срока на действие/преразглеждане, за да се запази ефективността и да се осигури оптималното използване на ресурсите; счита, че бюджетната ефективност е от основно значение за функционирането на агенциите; припомня в тази връзка препоръката на Палатата, посочена в Специален доклад № 22/2020</w:t>
            </w:r>
            <w:r>
              <w:rPr>
                <w:vertAlign w:val="superscript"/>
              </w:rPr>
              <w:t>2</w:t>
            </w:r>
            <w:r>
              <w:t>, с която към Комисията се отправя съвет да използва по-често хоризонтални оценки на агенциите в контекста на проверките за пригодност, изготвяни от нея в различни области на политиката;</w:t>
            </w:r>
          </w:p>
        </w:tc>
        <w:tc>
          <w:tcPr>
            <w:tcW w:w="4876" w:type="dxa"/>
            <w:tcBorders>
              <w:top w:val="nil"/>
              <w:left w:val="nil"/>
              <w:bottom w:val="nil"/>
              <w:right w:val="nil"/>
            </w:tcBorders>
          </w:tcPr>
          <w:p>
            <w:pPr>
              <w:pStyle w:val="Normal6a"/>
            </w:pPr>
            <w:r>
              <w:t>3.</w:t>
            </w:r>
            <w:r>
              <w:tab/>
            </w:r>
            <w:r>
              <w:t xml:space="preserve">припомня, че в параграф 60 от общия подход се посочва, че всяка агенция следва да бъде оценявана веднъж на всеки пет години; настоятелно призовава Комисията да проучи възможностите за допълнителни полезни взаимодействия и консолидиране на дейностите, както и за евентуално сливане на агенции с допълващи се дейности, като например агенциите в областта на образованието и обучението, за да се осигури ефективност на разходите и да се рационализират функциите на агенциите, включително и потенциални преразглеждания на мандатите в случай на неефективност или дублиране; </w:t>
            </w:r>
            <w:r>
              <w:rPr>
                <w:b/>
                <w:i/>
              </w:rPr>
              <w:t>настоява, че в съответствие с принципите на пропорционалност, ефективност и фискална отговорност всички агенции на Съюза подлежат на ограничени във времето мандати и периодични прегледи на изпълнението;</w:t>
            </w:r>
            <w:r>
              <w:t xml:space="preserve"> </w:t>
            </w:r>
            <w:r>
              <w:rPr>
                <w:b/>
                <w:i/>
              </w:rPr>
              <w:t>подчертава, че агенциите, чиито учредителни цели са били изпълнени или които вече не изпълняват уникална и съществена функция в рамките на Съюза, следва да подлежат на процедура по закриване без ненужно забавяне;</w:t>
            </w:r>
            <w:r>
              <w:t xml:space="preserve"> </w:t>
            </w:r>
            <w:r>
              <w:rPr>
                <w:b/>
                <w:i/>
              </w:rPr>
              <w:t>призовава Комисията ежегодно да представя подробен преглед на продължаващата целесъобразност на всяка агенция, с препоръка за приключване или намаляване на мандата, когато първоначалната мисия е приключила или когато е установено институционално дублиране;</w:t>
            </w:r>
            <w:r>
              <w:t xml:space="preserve"> насърчава, когато е необходимо, прилагането на клаузата за изтичане на срока на действие/преразглеждане, за да се запази ефективността и да се осигури оптималното използване на ресурсите; счита, че бюджетната ефективност е от основно значение за функционирането на агенциите; припомня в тази връзка препоръката на Палатата, посочена в Специален доклад № 22/2020</w:t>
            </w:r>
            <w:r>
              <w:rPr>
                <w:vertAlign w:val="superscript"/>
              </w:rPr>
              <w:t>2</w:t>
            </w:r>
            <w:r>
              <w:t xml:space="preserve">, с която към Комисията се отправя съвет да използва по-често хоризонтални оценки на агенциите в контекста на проверките за пригодност, изготвяни от нея в различни области на политиката; </w:t>
            </w:r>
            <w:r>
              <w:rPr>
                <w:b/>
                <w:i/>
              </w:rPr>
              <w:t>подчертава, че в Специален доклад № 22/2020 на Палатата е констатирано, че агенциите докладват за своите дейности, но действителният им принос към политиката на ЕС не е ясно измерен или обяснен на обществеността;</w:t>
            </w:r>
            <w:r>
              <w:t xml:space="preserve"> </w:t>
            </w:r>
            <w:r>
              <w:rPr>
                <w:b/>
                <w:i/>
              </w:rPr>
              <w:t>призовава Комисията да предприеме действия във връзка с тази констатация без по-нататъшно забавяне;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„Бъдещето на агенциите на ЕС — съществува потенциал за по-голяма гъвкавост и сътрудничество“, https://op.europa.eu/webpub/eca/special-reports/agencies-performance-audit-22-2020/bg/index.html.</w:t>
            </w:r>
          </w:p>
        </w:tc>
        <w:tc>
          <w:tcPr>
            <w:tcW w:w="4876" w:type="dxa"/>
            <w:tcBorders>
              <w:top w:val="nil"/>
              <w:left w:val="nil"/>
              <w:bottom w:val="nil"/>
              <w:right w:val="nil"/>
            </w:tcBorders>
          </w:tcPr>
          <w:p>
            <w:pPr>
              <w:pStyle w:val="Normal6a"/>
            </w:pPr>
            <w:r>
              <w:rPr>
                <w:vertAlign w:val="superscript"/>
              </w:rPr>
              <w:t>2</w:t>
            </w:r>
            <w:r>
              <w:t xml:space="preserve"> </w:t>
            </w:r>
            <w:r>
              <w:t>„Бъдещето на агенциите на ЕС — съществува потенциал за по-голяма гъвкавост и сътрудничество“, https://op.europa.eu/webpub/eca/special-reports/agencies-performance-audit-22-2020/bg/index.html.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припомня, че в параграф 60 от общия подход се посочва, че всяка агенция следва да бъде оценявана веднъж на всеки пет години; настоятелно призовава Комисията да проучи възможностите за допълнителни полезни взаимодействия и консолидиране на дейностите, както и за евентуално сливане на агенции с допълващи се дейности, като например агенциите в областта на образованието и обучението, за да се осигури ефективност на разходите и да се рационализират функциите на агенциите, включително и потенциални преразглеждания на мандатите в случай на неефективност или дублиране; насърчава, когато е необходимо, прилагането на клаузата за изтичане на срока на действие/преразглеждане, за да се запази ефективността и да се осигури оптималното използване на ресурсите; счита, че бюджетната ефективност е от основно значение за функционирането на агенциите; припомня в тази връзка препоръката на Палатата, посочена в Специален доклад № 22/2020</w:t>
            </w:r>
            <w:r>
              <w:rPr>
                <w:vertAlign w:val="superscript"/>
              </w:rPr>
              <w:t>2</w:t>
            </w:r>
            <w:r>
              <w:rPr>
                <w:b/>
                <w:i/>
              </w:rPr>
              <w:t>,</w:t>
            </w:r>
            <w:r>
              <w:t xml:space="preserve"> с която към Комисията се отправя съвет да използва по-често хоризонтални оценки на агенциите в контекста на проверките за пригодност, изготвяни от нея в различни области на политиката;</w:t>
            </w:r>
          </w:p>
        </w:tc>
        <w:tc>
          <w:tcPr>
            <w:tcW w:w="4876" w:type="dxa"/>
            <w:tcBorders>
              <w:top w:val="nil"/>
              <w:left w:val="nil"/>
              <w:bottom w:val="nil"/>
              <w:right w:val="nil"/>
            </w:tcBorders>
          </w:tcPr>
          <w:p>
            <w:pPr>
              <w:pStyle w:val="Normal6a"/>
            </w:pPr>
            <w:r>
              <w:t>3.</w:t>
            </w:r>
            <w:r>
              <w:tab/>
            </w:r>
            <w:r>
              <w:t>припомня, че в параграф 60 от общия подход се посочва, че всяка агенция следва да бъде оценявана веднъж на всеки пет години; настоятелно призовава Комисията</w:t>
            </w:r>
            <w:r>
              <w:rPr>
                <w:b/>
                <w:i/>
              </w:rPr>
              <w:t>, по-специално въз основа на докладите на Европейската сметна палата,</w:t>
            </w:r>
            <w:r>
              <w:t> да проучи възможностите за допълнителни полезни взаимодействия и консолидиране на дейностите, както и за евентуално сливане на агенции с допълващи се дейности, като например агенциите в областта на образованието и обучението, за да се осигури ефективност на разходите и да се рационализират функциите на агенциите, включително и потенциални преразглеждания на мандатите в случай на неефективност или дублиране; насърчава, когато е необходимо, прилагането на клаузата за изтичане на срока на действие/преразглеждане, за да се запази ефективността и да се осигури оптималното използване на ресурсите; счита, че бюджетната ефективност е от основно значение за функционирането на агенциите; припомня в тази връзка препоръката на Палатата, посочена в Специален доклад № 22/2020</w:t>
            </w:r>
            <w:r>
              <w:rPr>
                <w:vertAlign w:val="superscript"/>
              </w:rPr>
              <w:t>2</w:t>
            </w:r>
            <w:r>
              <w:t xml:space="preserve"> с която към Комисията се отправя съвет да използва по-често хоризонтални оценки на агенциите в контекста на проверките за пригодност, изготвяни от нея в различни области на политиката;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„Бъдещето на агенциите на ЕС — съществува потенциал за по-голяма гъвкавост и сътрудничество“, https://op.europa.eu/webpub/eca/special-reports/agencies-performance-audit-22-2020/bg/index.html.</w:t>
            </w:r>
          </w:p>
        </w:tc>
        <w:tc>
          <w:tcPr>
            <w:tcW w:w="4876" w:type="dxa"/>
            <w:tcBorders>
              <w:top w:val="nil"/>
              <w:left w:val="nil"/>
              <w:bottom w:val="nil"/>
              <w:right w:val="nil"/>
            </w:tcBorders>
          </w:tcPr>
          <w:p>
            <w:pPr>
              <w:pStyle w:val="Normal6a"/>
            </w:pPr>
            <w:r>
              <w:rPr>
                <w:vertAlign w:val="superscript"/>
              </w:rPr>
              <w:t>2</w:t>
            </w:r>
            <w:r>
              <w:t xml:space="preserve"> </w:t>
            </w:r>
            <w:r>
              <w:t>„Бъдещето на агенциите на ЕС — съществува потенциал за по-голяма гъвкавост и сътрудничество“, https://op.europa.eu/webpub/eca/special-reports/agencies-performance-audit-22-2020/bg/index.html.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подчертава, че 33-те децентрализирани агенции, обхванати от настоящата резолюция, управляват общ бюджет от над 4,1 милиарда евро публични средства;</w:t>
            </w:r>
            <w:r>
              <w:t xml:space="preserve"> </w:t>
            </w:r>
            <w:r>
              <w:rPr>
                <w:b/>
                <w:i/>
              </w:rPr>
              <w:t>подчертава, че макар процедурата по освобождаване от отговорност във връзка с изпълнението на бюджета да проверява по подходящ начин спазването на приложимите правила, Парламентът трябва също така систематично да оценява действителното въздействие, което тези агенции оказват върху гражданите и данъкоплатците;</w:t>
            </w:r>
            <w:r>
              <w:t xml:space="preserve"> </w:t>
            </w:r>
            <w:r>
              <w:rPr>
                <w:b/>
                <w:i/>
              </w:rPr>
              <w:t>отбелязва, че както Палатата подчертава в Специален доклад № 22/2020, агенциите докладват подробно за своите дейности, но измеримият им принос към постигането на целите на политиката на Съюза все още не е демонстриран в достатъчна степен;</w:t>
            </w:r>
            <w:r>
              <w:t xml:space="preserve"> </w:t>
            </w:r>
            <w:r>
              <w:rPr>
                <w:b/>
                <w:i/>
              </w:rPr>
              <w:t>счита, че от всяка агенция следва да се изисква да докладва ежегодно по ограничен набор от количествено измерими показатели за резултатите и въздействието, пряко свързани с учредителния ѝ мандат, които обхващат области като резултатите в областта на общественото здраве, ефективността на граничната сигурност, крайните продукти от иновациите или резултатите от прилагането на нормативната уредба, според случая;</w:t>
            </w:r>
            <w:r>
              <w:t xml:space="preserve"> </w:t>
            </w:r>
            <w:r>
              <w:rPr>
                <w:b/>
                <w:i/>
              </w:rPr>
              <w:t>призовава Мрежата на агенциите на ЕС да разработи, в сътрудничество с Европейската сметна палата, обща рамка за измерване на изпълнението и въздействието въз основа на „компас за изпълнението“, в който се прави разграничение между вложените ресурси, крайните продукти, резултатите и въздействието, и да я представи на органа по освобождаване от отговорност до края на 2026 г., така че Парламентът и данъкоплатците да могат да оценят конкретните резултати от изразходваните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припомня, че агенциите на Съюза са създадени, за да изпълняват ясно определени мандати и цели на политиката;</w:t>
            </w:r>
            <w:r>
              <w:t xml:space="preserve"> </w:t>
            </w:r>
            <w:r>
              <w:rPr>
                <w:b/>
                <w:i/>
              </w:rPr>
              <w:t>подчертава, че в съответствие с принципите на добро финансово управление и пропорционалност продължаващото съществуване на дадена агенция следва редовно да се преразглежда спрямо целите, определени при създаването ѝ;</w:t>
            </w:r>
            <w:r>
              <w:t xml:space="preserve"> </w:t>
            </w:r>
            <w:r>
              <w:rPr>
                <w:b/>
                <w:i/>
              </w:rPr>
              <w:t>призовава Комисията да засили използването на клаузи за изтичане на срока на действие и систематични оценки на мандата и да предложи прекратяването, сливането или преструктурирането на агенции, чиито учредителните цели са били доказуемо постигнати или чиято добавена стойност вече не може да бъде обоснована;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призовава ЕСП да идентифицира дублиращите се агенции, за да ги рационализира и да намали техния брой, с цел в крайна сметка да се намалят разходите и да се защитят финансовите интереси на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подчертава, че зачитането на основните права и принципите на правовата държава представлява предпоставка за добро изпълнение и добро финансово управление;</w:t>
            </w:r>
            <w:r>
              <w:t xml:space="preserve"> </w:t>
            </w:r>
            <w:r>
              <w:rPr>
                <w:b/>
                <w:i/>
              </w:rPr>
              <w:t>смята, че не може да се счита, че агенциите, които не спазват задълженията си в областта на основните права, постигат задоволителни резултати, независимо от степента на изпълнение на бюджета;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значението на процедурата по освобождаване от отговорност във връзка с изпълнението на бюджета, която не само е задължение, основано на Договорите, но и също така насърчава прозрачността, отчетността и открития диалог относно финансите на Съюза; счита, че практиката за освобождаване от отговорност </w:t>
            </w:r>
            <w:r>
              <w:rPr>
                <w:b/>
                <w:i/>
              </w:rPr>
              <w:t>само от вътрешен орган, която се прилага от</w:t>
            </w:r>
            <w:r>
              <w:t xml:space="preserve"> някои агенции, като например Службата на Европейския съюз за интелектуална собственост (EUIPO), Службата на Общността за сортовете растения (CPVO) и Единния съвет за преструктуриране (ЕСП), </w:t>
            </w:r>
            <w:r>
              <w:rPr>
                <w:b/>
                <w:i/>
              </w:rPr>
              <w:t>води до потенциални конфликти на интереси или недостатъчна</w:t>
            </w:r>
            <w:r>
              <w:t xml:space="preserve"> оценка и контрол, </w:t>
            </w:r>
            <w:r>
              <w:rPr>
                <w:b/>
                <w:i/>
              </w:rPr>
              <w:t>докато освобождаването от отговорност от страна на Парламента повишава</w:t>
            </w:r>
            <w:r>
              <w:t xml:space="preserve"> прозрачността и публичната отчетност; </w:t>
            </w:r>
            <w:r>
              <w:rPr>
                <w:b/>
                <w:i/>
              </w:rPr>
              <w:t>счита, че този по-висок стандарт следва да се прилага еднакво за всички органи, свързани със Съюза, независимо от техния модел на финансиране, и</w:t>
            </w:r>
            <w:r>
              <w:t xml:space="preserve"> припомня общия подход за изцяло самофинансиращите се агенции (точка 58), който призовава да се проучат механизмите за демократична отчетност, </w:t>
            </w:r>
            <w:r>
              <w:rPr>
                <w:b/>
                <w:i/>
              </w:rPr>
              <w:t>включващи</w:t>
            </w:r>
            <w:r>
              <w:t xml:space="preserve"> ежегодното докладване пред Парламента, Съвета и Комисията, както и разглеждането на техните препоръки, </w:t>
            </w:r>
            <w:r>
              <w:rPr>
                <w:b/>
                <w:i/>
              </w:rPr>
              <w:t>с цел</w:t>
            </w:r>
            <w:r>
              <w:t xml:space="preserve"> да се гарантира обществен контрол върху агенциите, които изпълняват политиките на ЕС </w:t>
            </w:r>
            <w:r>
              <w:rPr>
                <w:b/>
                <w:i/>
              </w:rPr>
              <w:t>без традиционните процедури</w:t>
            </w:r>
            <w:r>
              <w:t xml:space="preserve"> по освобождаване от отговорност във връзка с изпълнението на бюджета;</w:t>
            </w:r>
          </w:p>
        </w:tc>
        <w:tc>
          <w:tcPr>
            <w:tcW w:w="4876" w:type="dxa"/>
            <w:tcBorders>
              <w:top w:val="nil"/>
              <w:left w:val="nil"/>
              <w:bottom w:val="nil"/>
              <w:right w:val="nil"/>
            </w:tcBorders>
          </w:tcPr>
          <w:p>
            <w:pPr>
              <w:pStyle w:val="Normal6a"/>
            </w:pPr>
            <w:r>
              <w:t>4.</w:t>
            </w:r>
            <w:r>
              <w:tab/>
            </w:r>
            <w:r>
              <w:t xml:space="preserve">подчертава значението на процедурата по освобождаване от отговорност във връзка с изпълнението на бюджета, която не само е задължение, основано на Договорите, но и също така насърчава прозрачността, отчетността и открития диалог относно финансите на Съюза; счита, че практиката за освобождаване от отговорност </w:t>
            </w:r>
            <w:r>
              <w:rPr>
                <w:b/>
                <w:i/>
              </w:rPr>
              <w:t>чрез договорености за управление, установени в учредителните актове на</w:t>
            </w:r>
            <w:r>
              <w:t xml:space="preserve"> някои агенции, като например Службата на Европейския съюз за интелектуална собственост (EUIPO), Службата на Общността за сортовете растения (CPVO) и Единния съвет за преструктуриране (ЕСП), </w:t>
            </w:r>
            <w:r>
              <w:rPr>
                <w:b/>
                <w:i/>
              </w:rPr>
              <w:t>отразява техните специфични правни и финансови рамки и гарантира подходяща</w:t>
            </w:r>
            <w:r>
              <w:t xml:space="preserve"> оценка и контрол, </w:t>
            </w:r>
            <w:r>
              <w:rPr>
                <w:b/>
                <w:i/>
              </w:rPr>
              <w:t>като същевременно подкрепя</w:t>
            </w:r>
            <w:r>
              <w:t xml:space="preserve"> прозрачността и публичната отчетност; припомня общия подход за изцяло самофинансиращите се агенции (точка 58), който призовава да се проучат механизмите за демократична отчетност, </w:t>
            </w:r>
            <w:r>
              <w:rPr>
                <w:b/>
                <w:i/>
              </w:rPr>
              <w:t>включително</w:t>
            </w:r>
            <w:r>
              <w:t xml:space="preserve"> ежегодното докладване пред Парламента, Съвета и Комисията, както и разглеждането на техните препоръки, </w:t>
            </w:r>
            <w:r>
              <w:rPr>
                <w:b/>
                <w:i/>
              </w:rPr>
              <w:t>за</w:t>
            </w:r>
            <w:r>
              <w:t xml:space="preserve"> да се гарантира обществен контрол върху агенциите, които изпълняват политиките на ЕС</w:t>
            </w:r>
            <w:r>
              <w:rPr>
                <w:b/>
                <w:i/>
              </w:rPr>
              <w:t>, без да се прибягва до общия бюджет на ЕС;</w:t>
            </w:r>
            <w:r>
              <w:t xml:space="preserve"> </w:t>
            </w:r>
            <w:r>
              <w:rPr>
                <w:b/>
                <w:i/>
              </w:rPr>
              <w:t>въпреки това би било желателно изцяло самофинансиращите се агенции като EUIPO да станат част от процедурата</w:t>
            </w:r>
            <w:r>
              <w:t xml:space="preserve"> по освобождаване от отговорност във връзка с изпълнението на бюджета </w:t>
            </w:r>
            <w:r>
              <w:rPr>
                <w:b/>
                <w:i/>
              </w:rPr>
              <w:t>за агенциите, за които отговаря комисията по бюджетен контрол, или поне да подлежат на засилени задължения за докладване пред комисията по бюджетен контрол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Маравиляс Абадия Ховер, Адриан Васкес Ласара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подчертава значението на процедурата по освобождаване от отговорност във връзка с изпълнението на бюджета, която не само е задължение, основано на Договорите, но и също така насърчава прозрачността, отчетността и открития диалог относно финансите на Съюза; счита, че практиката за освобождаване от отговорност </w:t>
            </w:r>
            <w:r>
              <w:rPr>
                <w:b/>
                <w:i/>
              </w:rPr>
              <w:t>само от вътрешен орган</w:t>
            </w:r>
            <w:r>
              <w:t xml:space="preserve">, която се прилага от някои агенции, като например Службата на Европейския съюз за интелектуална собственост (EUIPO), Службата на Общността за сортовете растения (CPVO) и Единния съвет за преструктуриране (ЕСП), </w:t>
            </w:r>
            <w:r>
              <w:rPr>
                <w:b/>
                <w:i/>
              </w:rPr>
              <w:t>води до потенциални конфликти на интереси или недостатъчна</w:t>
            </w:r>
            <w:r>
              <w:t xml:space="preserve"> оценка и контрол, </w:t>
            </w:r>
            <w:r>
              <w:rPr>
                <w:b/>
                <w:i/>
              </w:rPr>
              <w:t>докато освобождаването от отговорност от страна на Парламента повишава</w:t>
            </w:r>
            <w:r>
              <w:t xml:space="preserve"> прозрачността и публичната отчетност; </w:t>
            </w:r>
            <w:r>
              <w:rPr>
                <w:b/>
                <w:i/>
              </w:rPr>
              <w:t>счита, че този по-висок стандарт следва да се прилага еднакво за всички органи, свързани със Съюза, независимо от техния модел на финансиране, и</w:t>
            </w:r>
            <w:r>
              <w:t xml:space="preserve"> припомня общия подход за изцяло самофинансиращите се агенции (точка 58), който призовава да се проучат механизмите за демократична отчетност, включващи ежегодното докладване пред Парламента, Съвета и Комисията, както и разглеждането на техните препоръки, с цел да се гарантира обществен контрол върху агенциите, които изпълняват политиките на ЕС </w:t>
            </w:r>
            <w:r>
              <w:rPr>
                <w:b/>
                <w:i/>
              </w:rPr>
              <w:t>без традиционните процедури по освобождаване от отговорност във връзка с изпълнението на бюджета</w:t>
            </w:r>
            <w:r>
              <w:t>;</w:t>
            </w:r>
          </w:p>
        </w:tc>
        <w:tc>
          <w:tcPr>
            <w:tcW w:w="4876" w:type="dxa"/>
            <w:tcBorders>
              <w:top w:val="nil"/>
              <w:left w:val="nil"/>
              <w:bottom w:val="nil"/>
              <w:right w:val="nil"/>
            </w:tcBorders>
          </w:tcPr>
          <w:p>
            <w:pPr>
              <w:pStyle w:val="Normal6a"/>
            </w:pPr>
            <w:r>
              <w:t>4.</w:t>
            </w:r>
            <w:r>
              <w:tab/>
            </w:r>
            <w:r>
              <w:t xml:space="preserve">подчертава значението на процедурата по освобождаване от отговорност във връзка с изпълнението на бюджета, която не само е задължение, основано на Договорите, но и също така насърчава прозрачността, отчетността и открития диалог относно финансите на Съюза; счита, че практиката за освобождаване от отговорност, която се прилага от </w:t>
            </w:r>
            <w:r>
              <w:rPr>
                <w:b/>
                <w:i/>
              </w:rPr>
              <w:t>агенциите чрез договорености за управление, установени в учредителните актове на</w:t>
            </w:r>
            <w:r>
              <w:t xml:space="preserve"> някои агенции, като например Службата на Европейския съюз за интелектуална собственост (EUIPO), Службата на Общността за сортовете растения (CPVO) и Единния съвет за преструктуриране (ЕСП), </w:t>
            </w:r>
            <w:r>
              <w:rPr>
                <w:b/>
                <w:i/>
              </w:rPr>
              <w:t>отразява техните специфични правни и финансови рамки и гарантира подходяща</w:t>
            </w:r>
            <w:r>
              <w:t xml:space="preserve"> оценка и контрол, </w:t>
            </w:r>
            <w:r>
              <w:rPr>
                <w:b/>
                <w:i/>
              </w:rPr>
              <w:t>като същевременно подкрепя</w:t>
            </w:r>
            <w:r>
              <w:t xml:space="preserve"> прозрачността и публичната отчетност; припомня общия подход за изцяло самофинансиращите се агенции (точка 58), който призовава да се проучат механизмите за демократична отчетност, включващи ежегодното докладване пред Парламента, Съвета и Комисията, както и разглеждането на техните препоръки, с цел да се гарантира обществен контрол върху агенциите, които изпълняват политиките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припомня, че принципите на правовата държава се прилагат еднакво за институциите, органите, службите и агенциите на Съюза, за да се гарантира, че и самите те са обвързани от същите принципи на прозрачност, отчетност и законност, чието спазване е изискване към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отбелязва със загриженост, че с течение на времето на децентрализираните агенции на Съюза се възлагат все повече задачи чрез преразгледани регламенти, ново законодателство или равнище на обслужване и споразумения за делегиране, сключвани с Комисията, често без наличието на съответни структурни ресурси или щатни длъжности; подчертава, че този повтарящ се модел създава оперативен натиск, който от своя страна може да допринесе за слабости при бюджетното управление и все по-голяма структурна зависимост от външни изпълнители, особено в сферата на информационните и комуникационните технологии (ИКТ), киберсигурността и други оперативни функции; </w:t>
            </w:r>
            <w:r>
              <w:rPr>
                <w:b/>
                <w:i/>
              </w:rPr>
              <w:t>предупреждава, че подобна дългосрочна</w:t>
            </w:r>
            <w:r>
              <w:t xml:space="preserve"> зависимост </w:t>
            </w:r>
            <w:r>
              <w:rPr>
                <w:b/>
                <w:i/>
              </w:rPr>
              <w:t>може да подкопае</w:t>
            </w:r>
            <w:r>
              <w:t xml:space="preserve"> институционалния капацитет, приемствеността и </w:t>
            </w:r>
            <w:r>
              <w:rPr>
                <w:b/>
                <w:i/>
              </w:rPr>
              <w:t>запазването на знанията, и може да създаде рискове от структурна зависимост от външни доставчици и намалена оперативна</w:t>
            </w:r>
            <w:r>
              <w:t xml:space="preserve"> автономност;</w:t>
            </w:r>
          </w:p>
        </w:tc>
        <w:tc>
          <w:tcPr>
            <w:tcW w:w="4876" w:type="dxa"/>
            <w:tcBorders>
              <w:top w:val="nil"/>
              <w:left w:val="nil"/>
              <w:bottom w:val="nil"/>
              <w:right w:val="nil"/>
            </w:tcBorders>
          </w:tcPr>
          <w:p>
            <w:pPr>
              <w:pStyle w:val="Normal6a"/>
            </w:pPr>
            <w:r>
              <w:t>5.</w:t>
            </w:r>
            <w:r>
              <w:tab/>
            </w:r>
            <w:r>
              <w:t xml:space="preserve">отбелязва със загриженост, че с течение на времето на децентрализираните агенции на Съюза се възлагат все повече задачи чрез преразгледани регламенти, ново законодателство или равнище на обслужване и споразумения за делегиране, сключвани с Комисията, често без наличието на съответни структурни ресурси или щатни длъжности; подчертава, че този повтарящ се модел създава оперативен натиск, който от своя страна може да допринесе за слабости при бюджетното управление и все по-голяма структурна зависимост от външни изпълнители, особено в сферата на информационните и комуникационните технологии (ИКТ), киберсигурността и други оперативни функции; </w:t>
            </w:r>
            <w:r>
              <w:rPr>
                <w:b/>
                <w:i/>
              </w:rPr>
              <w:t>отбелязва, че дългосрочната</w:t>
            </w:r>
            <w:r>
              <w:t xml:space="preserve"> зависимост </w:t>
            </w:r>
            <w:r>
              <w:rPr>
                <w:b/>
                <w:i/>
              </w:rPr>
              <w:t>от външни доставчици следва да бъде редовно оценявана, за да се гарантира запазването на</w:t>
            </w:r>
            <w:r>
              <w:t xml:space="preserve"> институционалния капацитет, приемствеността и </w:t>
            </w:r>
            <w:r>
              <w:rPr>
                <w:b/>
                <w:i/>
              </w:rPr>
              <w:t>оперативната</w:t>
            </w:r>
            <w:r>
              <w:t xml:space="preserve"> автономност;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призовава агенциите да намалят структурната зависимост от външни консултанти, особено за основните функции;</w:t>
            </w:r>
            <w:r>
              <w:t xml:space="preserve"> </w:t>
            </w:r>
            <w:r>
              <w:rPr>
                <w:b/>
                <w:i/>
              </w:rPr>
              <w:t>подчертава, че прекомерното възлагане на дейности на външни изпълнители подкопава институционалната памет, отчетността и икономическата ефективност;</w:t>
            </w:r>
            <w:r>
              <w:t xml:space="preserve"> </w:t>
            </w:r>
            <w:r>
              <w:rPr>
                <w:b/>
                <w:i/>
              </w:rPr>
              <w:t>призовава Комисията да гарантира, че агенциите разполагат с достатъчно персонал, за да изпълняват своите мандати в рамките на институцията;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отбелязва, че използването на външни изпълнители и частни субекти в областта на информационните и комуникационните технологии и киберсигурността може да изложи на риск независимостта на агенциите на ЕС, като същевременно отслаби цифровия суверенитет на ЕС и личната неприкосновеност на гражданите;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5б.</w:t>
            </w:r>
            <w:r>
              <w:tab/>
            </w:r>
            <w:r>
              <w:rPr>
                <w:b/>
                <w:i/>
              </w:rPr>
              <w:t>отбелязва, че пропуските по отношение на принципите на правовата държава в някои държави членки, включително отслабената независимост на съдебната власт и капацитет за наказателно преследване, могат да подкопаят рамките за сътрудничество, надеждността на данните и оперативния интегритет на агенциите;</w:t>
            </w:r>
            <w:r>
              <w:t xml:space="preserve"> </w:t>
            </w:r>
            <w:r>
              <w:rPr>
                <w:b/>
                <w:i/>
              </w:rPr>
              <w:t>призовава Комисията да оцени тези рискове и да се справи с тях при разпределянето на задачите и ресурсите на агенциите;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надеждността и отчетността на децентрализираните агенции на Съюза; подчертава, че </w:t>
            </w:r>
            <w:r>
              <w:rPr>
                <w:b/>
                <w:i/>
              </w:rPr>
              <w:t>много агенции работят в сектори, в които е необходимо тясно сътрудничество с промишлеността, с консултантски фирми, технически експерти, неправителствени организации (НПО) или външни партньори, но в които продължава да има рискове от неправомерно влияние, небалансирани консултации или непрозрачност;</w:t>
            </w:r>
            <w:r>
              <w:t xml:space="preserve"> </w:t>
            </w:r>
            <w:r>
              <w:rPr>
                <w:b/>
                <w:i/>
              </w:rPr>
              <w:t>подчертава, че</w:t>
            </w:r>
            <w:r>
              <w:t xml:space="preserve"> прозрачните процедури, публичното оповестяване на срещите, балансираният и прозрачен подбор на експертите и непрекъснатият контрол по отношение на конфликтите на интереси са абсолютно необходими, за да се гарантира, че решенията на агенциите се основават </w:t>
            </w:r>
            <w:r>
              <w:rPr>
                <w:b/>
                <w:i/>
              </w:rPr>
              <w:t>единствено на обективни доказателства и</w:t>
            </w:r>
            <w:r>
              <w:t xml:space="preserve"> на общия интерес на Съюза; настоятелно призовава всички агенции да въведат и да прилагат тези мерки;</w:t>
            </w:r>
          </w:p>
        </w:tc>
        <w:tc>
          <w:tcPr>
            <w:tcW w:w="4876" w:type="dxa"/>
            <w:tcBorders>
              <w:top w:val="nil"/>
              <w:left w:val="nil"/>
              <w:bottom w:val="nil"/>
              <w:right w:val="nil"/>
            </w:tcBorders>
          </w:tcPr>
          <w:p>
            <w:pPr>
              <w:pStyle w:val="Normal6a"/>
            </w:pPr>
            <w:r>
              <w:t>6.</w:t>
            </w:r>
            <w:r>
              <w:tab/>
            </w:r>
            <w:r>
              <w:t>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надеждността и отчетността на децентрализираните агенции на Съюза; подчертава, че прозрачните процедури, публичното оповестяване на срещите, балансираният и прозрачен подбор на експертите и непрекъснатият контрол по отношение на конфликтите на интереси са абсолютно необходими, за да се гарантира, че решенията на агенциите се основават на общия интерес на Съюза; настоятелно призовава всички агенции да въведат и да прилагат тези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надеждността и отчетността на децентрализираните агенции на Съюза; подчертава, че много агенции работят в сектори, в които е необходимо тясно сътрудничество с промишлеността, с консултантски фирми, технически експерти, неправителствени организации (НПО) или външни партньори, но в които продължава да има рискове от неправомерно влияние, небалансирани консултации или непрозрачност; подчертава, че прозрачните процедури, публичното оповестяване на срещите, </w:t>
            </w:r>
            <w:r>
              <w:rPr>
                <w:b/>
                <w:i/>
              </w:rPr>
              <w:t>балансираният</w:t>
            </w:r>
            <w:r>
              <w:t xml:space="preserve"> и прозрачен подбор на експертите и непрекъснатият контрол по отношение на конфликтите на интереси са абсолютно необходими, за да се гарантира, че решенията на агенциите се основават единствено на обективни доказателства и на общия интерес на Съюза; настоятелно призовава всички агенции да въведат и да прилагат тези мерки;</w:t>
            </w:r>
          </w:p>
        </w:tc>
        <w:tc>
          <w:tcPr>
            <w:tcW w:w="4876" w:type="dxa"/>
            <w:tcBorders>
              <w:top w:val="nil"/>
              <w:left w:val="nil"/>
              <w:bottom w:val="nil"/>
              <w:right w:val="nil"/>
            </w:tcBorders>
          </w:tcPr>
          <w:p>
            <w:pPr>
              <w:pStyle w:val="Normal6a"/>
            </w:pPr>
            <w:r>
              <w:t>6.</w:t>
            </w:r>
            <w:r>
              <w:tab/>
            </w:r>
            <w:r>
              <w:t xml:space="preserve">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надеждността и отчетността на децентрализираните агенции на Съюза; подчертава, че много агенции работят в сектори, в които е необходимо тясно сътрудничество с промишлеността, с консултантски фирми, технически експерти, неправителствени организации (НПО) или външни партньори, но в които продължава да има рискове от неправомерно влияние, небалансирани консултации или непрозрачност; подчертава, че прозрачните процедури, публичното оповестяване на срещите, </w:t>
            </w:r>
            <w:r>
              <w:rPr>
                <w:b/>
                <w:i/>
              </w:rPr>
              <w:t>обоснованият</w:t>
            </w:r>
            <w:r>
              <w:t xml:space="preserve"> и прозрачен подбор на експертите и непрекъснатият контрол по отношение на конфликтите на интереси </w:t>
            </w:r>
            <w:r>
              <w:rPr>
                <w:b/>
                <w:i/>
              </w:rPr>
              <w:t>на ръководителите, лицата, отговорни за вземането на решения, и образуванията и лицата с връзки с тези агенции</w:t>
            </w:r>
            <w:r>
              <w:t> са абсолютно необходими, за да се гарантира, че решенията на агенциите се основават единствено на обективни доказателства и на общия интерес на Съюза</w:t>
            </w:r>
            <w:r>
              <w:rPr>
                <w:b/>
                <w:i/>
              </w:rPr>
              <w:t>, както и на навременен мониторинг на разпределените средства на ЕС</w:t>
            </w:r>
            <w:r>
              <w:t>; настоятелно призовава всички агенции да въведат и да прилагат тези мерки;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w:t>
            </w:r>
            <w:r>
              <w:rPr>
                <w:b/>
                <w:i/>
              </w:rPr>
              <w:t>надеждността</w:t>
            </w:r>
            <w:r>
              <w:t xml:space="preserve"> и отчетността на децентрализираните агенции на Съюза; подчертава, че много агенции работят в сектори, в които е необходимо тясно сътрудничество с промишлеността, с консултантски фирми, технически експерти, неправителствени организации (НПО) или външни партньори, но в които продължава да има рискове от неправомерно влияние, небалансирани консултации или непрозрачност; подчертава, че прозрачните процедури, публичното оповестяване на срещите, балансираният и прозрачен подбор на експертите и непрекъснатият контрол по отношение на конфликтите на интереси са абсолютно необходими, за да се гарантира, че решенията на агенциите се основават единствено на обективни доказателства и на общия интерес на Съюза; настоятелно призовава всички агенции да въведат и да прилагат тези мерки;</w:t>
            </w:r>
          </w:p>
        </w:tc>
        <w:tc>
          <w:tcPr>
            <w:tcW w:w="4876" w:type="dxa"/>
            <w:tcBorders>
              <w:top w:val="nil"/>
              <w:left w:val="nil"/>
              <w:bottom w:val="nil"/>
              <w:right w:val="nil"/>
            </w:tcBorders>
          </w:tcPr>
          <w:p>
            <w:pPr>
              <w:pStyle w:val="Normal6a"/>
            </w:pPr>
            <w:r>
              <w:t>6.</w:t>
            </w:r>
            <w:r>
              <w:tab/>
            </w:r>
            <w:r>
              <w:t xml:space="preserve">подчертава, че прозрачността, строгият контрол по отношение на конфликтите на интереси и ясните правила, уреждащи взаимодействията със заинтересованите страни, са основни гаранции за независимостта, </w:t>
            </w:r>
            <w:r>
              <w:rPr>
                <w:b/>
                <w:i/>
              </w:rPr>
              <w:t>доверието в институциите</w:t>
            </w:r>
            <w:r>
              <w:t xml:space="preserve"> и отчетността на децентрализираните агенции на Съюза</w:t>
            </w:r>
            <w:r>
              <w:rPr>
                <w:b/>
                <w:i/>
              </w:rPr>
              <w:t>, както и за общественото доверие в тяхното надеждно и стабилно функциониране</w:t>
            </w:r>
            <w:r>
              <w:t xml:space="preserve">; подчертава, че много агенции работят в сектори, в които е необходимо тясно сътрудничество с промишлеността, с консултантски фирми, технически експерти, неправителствени организации (НПО) или външни партньори, но в които продължава да има рискове от неправомерно влияние, небалансирани консултации или непрозрачност; подчертава, че прозрачните процедури, публичното оповестяване на срещите, балансираният и прозрачен подбор на експертите и непрекъснатият контрол по отношение на конфликтите на интереси са абсолютно необходими, за да се гарантира, че решенията на агенциите се основават единствено на обективни доказателства и на общия интерес на Съюза; настоятелно призовава всички агенции да въведат и да прилагат тези мерки; </w:t>
            </w:r>
            <w:r>
              <w:rPr>
                <w:b/>
                <w:i/>
              </w:rPr>
              <w:t>призовава агенциите да установят редовни независими прегледи на рамките относно конфликтите на интереси и незабавно да приложат корективни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подчертава, че конфликтите на интереси и кадровата въртележка между държавния и частния сектор пораждат системни рискове за управлението, особено за агенциите, които си взаимодействат тясно с промишлеността;</w:t>
            </w:r>
            <w:r>
              <w:t xml:space="preserve"> </w:t>
            </w:r>
            <w:r>
              <w:rPr>
                <w:b/>
                <w:i/>
              </w:rPr>
              <w:t>призовава за по-строги периоди на прекъсване, проактивен мониторинг и пълна прозрачност на взаимодействията със заинтересованите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приканва Комисията и Мрежата на агенциите на ЕС да насърчават междуведомствените насоки и взаимното обучение с цел повишаване на стандартите за добро управление и практиките за прозрачност;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признава, че експозицията на рискове от лобиране е различна за отделните децентрализирани агенции, в зависимост от техния мандат и оперативен контекст; </w:t>
            </w:r>
            <w:r>
              <w:rPr>
                <w:b/>
                <w:i/>
              </w:rPr>
              <w:t>подчертава, че настоящите практики за гарантиране на прозрачност също се различават;</w:t>
            </w:r>
            <w:r>
              <w:t xml:space="preserve"> отбелязва, че </w:t>
            </w:r>
            <w:r>
              <w:rPr>
                <w:b/>
                <w:i/>
              </w:rPr>
              <w:t>например eu-LISA поддържа специален регистър</w:t>
            </w:r>
            <w:r>
              <w:t xml:space="preserve"> за прозрачност </w:t>
            </w:r>
            <w:r>
              <w:rPr>
                <w:b/>
                <w:i/>
              </w:rPr>
              <w:t>на своята уебстраница, който включва всички срещи на висшето ръководство на Агенцията с икономически оператори, Frontex предоставя на своя уебсайт регистър с информация за срещите, свързани по-конкретно с въпроси за обществени поръчки, а ECHA публикува информация за срещите, проведени от висшите ръководители с организации на външни заинтересовани страни</w:t>
            </w:r>
            <w:r>
              <w:t>; счита, че един универсален модел не би бил нито пропорционален, нито оперативно значим, но че установяването на общи минимални стандарти би подобрило съгласуваността</w:t>
            </w:r>
            <w:r>
              <w:rPr>
                <w:b/>
                <w:i/>
              </w:rPr>
              <w:t>;</w:t>
            </w:r>
            <w:r>
              <w:t xml:space="preserve"> </w:t>
            </w:r>
            <w:r>
              <w:rPr>
                <w:b/>
                <w:i/>
              </w:rPr>
              <w:t>отбелязва отговорите, предоставени от агенциите при предишния цикъл на освобождаване от отговорност във връзка с изпълнението на бюджета, включително различното използване от тяхна страна на регистъра за прозрачност и факта, че няколко агенции вече са въвели вътрешни регистри за прозрачност или системи за конфликти на интереси, съобразени с техните мандати</w:t>
            </w:r>
            <w:r>
              <w:t xml:space="preserve">; призовава агенциите да приемат минимални стандарти, като например прилагането на принципа на 4-те очи, ясна стратегия за кодекс за поведение, включително ясни правила за избягване на конфликти на интереси, и прилагането на </w:t>
            </w:r>
            <w:r>
              <w:rPr>
                <w:b/>
                <w:i/>
              </w:rPr>
              <w:t>специфични</w:t>
            </w:r>
            <w:r>
              <w:t xml:space="preserve"> вътрешни регистри за прозрачност </w:t>
            </w:r>
            <w:r>
              <w:rPr>
                <w:b/>
                <w:i/>
              </w:rPr>
              <w:t>с ясни стандарти</w:t>
            </w:r>
            <w:r>
              <w:t xml:space="preserve">, отразяващи </w:t>
            </w:r>
            <w:r>
              <w:rPr>
                <w:b/>
                <w:i/>
              </w:rPr>
              <w:t>мандата на Агенцията и съответните</w:t>
            </w:r>
            <w:r>
              <w:t xml:space="preserve"> правила за защита на данните; подчертава, че </w:t>
            </w:r>
            <w:r>
              <w:rPr>
                <w:b/>
                <w:i/>
              </w:rPr>
              <w:t>регистрите за прозрачност</w:t>
            </w:r>
            <w:r>
              <w:t xml:space="preserve"> следва да бъдат достъпни за одиторите, за да могат те да проучват отделните случаи; счита, че прилагането следва да се осъществява постепенно</w:t>
            </w:r>
            <w:r>
              <w:rPr>
                <w:b/>
                <w:i/>
              </w:rPr>
              <w:t>, като се вземат предвид новите възможности в сферата на цифровите технологии</w:t>
            </w:r>
            <w:r>
              <w:t xml:space="preserve">, за да се избегне </w:t>
            </w:r>
            <w:r>
              <w:rPr>
                <w:b/>
                <w:i/>
              </w:rPr>
              <w:t>създаването на допълнителна</w:t>
            </w:r>
            <w:r>
              <w:t xml:space="preserve"> административна тежест </w:t>
            </w:r>
            <w:r>
              <w:rPr>
                <w:b/>
                <w:i/>
              </w:rPr>
              <w:t>за агенциите</w:t>
            </w:r>
            <w:r>
              <w:t>;</w:t>
            </w:r>
          </w:p>
        </w:tc>
        <w:tc>
          <w:tcPr>
            <w:tcW w:w="4876" w:type="dxa"/>
            <w:tcBorders>
              <w:top w:val="nil"/>
              <w:left w:val="nil"/>
              <w:bottom w:val="nil"/>
              <w:right w:val="nil"/>
            </w:tcBorders>
          </w:tcPr>
          <w:p>
            <w:pPr>
              <w:pStyle w:val="Normal6a"/>
            </w:pPr>
            <w:r>
              <w:t>7.</w:t>
            </w:r>
            <w:r>
              <w:tab/>
            </w:r>
            <w:r>
              <w:t xml:space="preserve">признава, че експозицията на рискове от лобиране е различна за отделните децентрализирани агенции, в зависимост от техния мандат и оперативен контекст; отбелязва, че </w:t>
            </w:r>
            <w:r>
              <w:rPr>
                <w:b/>
                <w:i/>
              </w:rPr>
              <w:t>поради това практиките</w:t>
            </w:r>
            <w:r>
              <w:t xml:space="preserve"> за прозрачност </w:t>
            </w:r>
            <w:r>
              <w:rPr>
                <w:b/>
                <w:i/>
              </w:rPr>
              <w:t>се различават в отделните агенции</w:t>
            </w:r>
            <w:r>
              <w:t xml:space="preserve">; счита, че един универсален модел не би бил нито пропорционален, нито оперативно значим, но че установяването на общи минимални стандарти би подобрило съгласуваността </w:t>
            </w:r>
            <w:r>
              <w:rPr>
                <w:b/>
                <w:i/>
              </w:rPr>
              <w:t>и отчетността</w:t>
            </w:r>
            <w:r>
              <w:t xml:space="preserve">; призовава агенциите да приемат минимални стандарти, като например прилагането на принципа на 4-те очи, ясна стратегия за кодекс за поведение, включително ясни правила за избягване на конфликти на интереси, и прилагането на вътрешни регистри за прозрачност, отразяващи </w:t>
            </w:r>
            <w:r>
              <w:rPr>
                <w:b/>
                <w:i/>
              </w:rPr>
              <w:t>техните съответни мандати и приложимите</w:t>
            </w:r>
            <w:r>
              <w:t xml:space="preserve"> правила за защита на данните; подчертава, че </w:t>
            </w:r>
            <w:r>
              <w:rPr>
                <w:b/>
                <w:i/>
              </w:rPr>
              <w:t>тези регистри</w:t>
            </w:r>
            <w:r>
              <w:t xml:space="preserve"> следва да бъдат достъпни за одиторите, за да могат те да проучват отделните случаи; счита, че прилагането </w:t>
            </w:r>
            <w:r>
              <w:rPr>
                <w:b/>
                <w:i/>
              </w:rPr>
              <w:t>им</w:t>
            </w:r>
            <w:r>
              <w:t xml:space="preserve"> следва да се осъществява постепенно </w:t>
            </w:r>
            <w:r>
              <w:rPr>
                <w:b/>
                <w:i/>
              </w:rPr>
              <w:t>и да използва цифрови решения</w:t>
            </w:r>
            <w:r>
              <w:t xml:space="preserve">, за да се избегне </w:t>
            </w:r>
            <w:r>
              <w:rPr>
                <w:b/>
                <w:i/>
              </w:rPr>
              <w:t>ненужната</w:t>
            </w:r>
            <w:r>
              <w:t xml:space="preserve"> административна тежест;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признава, че експозицията на рискове от лобиране е различна за отделните децентрализирани агенции, в зависимост от техния мандат и оперативен контекст; подчертава, че настоящите практики за гарантиране на прозрачност също се различават; отбелязва, че например eu-LISA поддържа специален регистър за прозрачност на своята уебстраница, който включва всички срещи на висшето ръководство на Агенцията с икономически оператори, Frontex предоставя на своя уебсайт регистър с информация за срещите, свързани по-конкретно с въпроси за обществени поръчки, а ECHA публикува информация за срещите, проведени от висшите ръководители с организации на външни заинтересовани страни; счита, че един универсален модел не би бил нито пропорционален, нито оперативно значим, но че установяването на общи минимални стандарти би подобрило съгласуваността; отбелязва отговорите, предоставени от агенциите при предишния цикъл на освобождаване от отговорност във връзка с изпълнението на бюджета, включително различното използване от тяхна страна на регистъра за прозрачност и факта, че няколко агенции вече са въвели вътрешни регистри за прозрачност или системи за конфликти на интереси, съобразени с техните мандати; призовава агенциите да приемат минимални стандарти, като например прилагането на принципа на 4-те очи, ясна стратегия за кодекс за поведение, включително ясни правила за избягване на конфликти на интереси, и прилагането на специфични вътрешни регистри за прозрачност с ясни стандарти, отразяващи мандата на Агенцията и съответните правила за защита на данните; подчертава, че регистрите за прозрачност следва да бъдат достъпни за одиторите, за да могат те да проучват отделните случаи; счита, че прилагането следва да се осъществява постепенно, като се вземат предвид новите възможности в сферата на цифровите технологии, за да се избегне създаването на допълнителна административна тежест за агенциите;</w:t>
            </w:r>
          </w:p>
        </w:tc>
        <w:tc>
          <w:tcPr>
            <w:tcW w:w="4876" w:type="dxa"/>
            <w:tcBorders>
              <w:top w:val="nil"/>
              <w:left w:val="nil"/>
              <w:bottom w:val="nil"/>
              <w:right w:val="nil"/>
            </w:tcBorders>
          </w:tcPr>
          <w:p>
            <w:pPr>
              <w:pStyle w:val="Normal6a"/>
            </w:pPr>
            <w:r>
              <w:t>7.</w:t>
            </w:r>
            <w:r>
              <w:tab/>
            </w:r>
            <w:r>
              <w:t xml:space="preserve">признава, че експозицията на рискове от лобиране е различна за отделните децентрализирани агенции, в зависимост от техния мандат и оперативен контекст; подчертава, че настоящите практики за гарантиране на прозрачност също се различават; отбелязва, че например eu-LISA поддържа специален регистър за прозрачност на своята уебстраница, който включва всички срещи на висшето ръководство на Агенцията с икономически оператори, Frontex предоставя на своя уебсайт регистър с информация за срещите, свързани по-конкретно с въпроси за обществени поръчки, а ECHA публикува информация за срещите, проведени от висшите ръководители с организации на външни заинтересовани страни; счита, че един универсален модел не би бил нито пропорционален, нито оперативно значим, но че установяването на общи минимални стандарти би подобрило съгласуваността; отбелязва отговорите, предоставени от агенциите при предишния цикъл на освобождаване от отговорност във връзка с изпълнението на бюджета, включително различното използване от тяхна страна на регистъра за прозрачност и факта, че няколко агенции вече са въвели вътрешни регистри за прозрачност или системи за конфликти на интереси, съобразени с техните мандати; призовава агенциите да приемат минимални стандарти, като например прилагането на принципа на 4-те очи, ясна стратегия за кодекс за поведение, включително ясни правила за избягване на конфликти на интереси, и прилагането на специфични вътрешни регистри за прозрачност с ясни стандарти, отразяващи мандата на Агенцията и съответните правила за защита на данните; подчертава, че регистрите за прозрачност следва да бъдат достъпни за одиторите, за да могат те да проучват отделните случаи; счита, че прилагането следва да се осъществява постепенно, като се вземат предвид новите възможности в сферата на цифровите технологии, за да се избегне създаването на допълнителна административна тежест за агенциите; </w:t>
            </w:r>
            <w:r>
              <w:rPr>
                <w:b/>
                <w:i/>
              </w:rPr>
              <w:t>отбелязва обаче, че ограничаването на оповестяването на информация във връзка с прозрачността във Frontex предимно до срещи, свързани с възлагането на обществени поръчки, не гарантира всеобхватна публична отчетност, особено с оглед на оперативните дейности на Агенцията;</w:t>
            </w:r>
            <w:r>
              <w:t xml:space="preserve"> </w:t>
            </w:r>
            <w:r>
              <w:rPr>
                <w:b/>
                <w:i/>
              </w:rPr>
              <w:t>призовава за по-широки и по-проактивни практики за прозрачност, включително навременен достъп до документи и информация, които са от значение за вземането на оперативни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призовава за пълна прозрачност относно взаимодействията на агенциите с активистки НПО или групи по интереси;</w:t>
            </w:r>
            <w:r>
              <w:t xml:space="preserve"> </w:t>
            </w:r>
            <w:r>
              <w:rPr>
                <w:b/>
                <w:i/>
              </w:rPr>
              <w:t>призовава агенциите систематично да публикуват списъка на своите срещи с партньори, които не принадлежат към европейските институции или държавите членки, и получените становища;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w:t>
            </w:r>
            <w:r>
              <w:rPr>
                <w:b/>
                <w:i/>
              </w:rPr>
              <w:t>отбелязва, че въпреки че балансът между половете в децентрализираните агенции на Съюза се подобрява, все още има значителни различия;</w:t>
            </w:r>
            <w:r>
              <w:t xml:space="preserve"> </w:t>
            </w:r>
            <w:r>
              <w:rPr>
                <w:b/>
                <w:i/>
              </w:rPr>
              <w:t>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w:t>
            </w:r>
            <w:r>
              <w:t xml:space="preserve"> </w:t>
            </w:r>
            <w:r>
              <w:rPr>
                <w:b/>
                <w:i/>
              </w:rPr>
              <w:t>отбелязва, че процентът често е специфичен за съответния сектор, като мъжете доминират на длъжности, свързани с информационните технологии и правоприлагането, а жените преобладават в секторите образование/обучение и здравеопазване;</w:t>
            </w:r>
            <w:r>
              <w:t xml:space="preserve"> </w:t>
            </w:r>
            <w:r>
              <w:rPr>
                <w:b/>
                <w:i/>
              </w:rPr>
              <w:t>припомня, че ангажиментът на Съюза за насърчаване на равенството между половете на ръководни длъжности все още не е напълно изпълнен;</w:t>
            </w:r>
            <w:r>
              <w:t xml:space="preserve"> </w:t>
            </w:r>
            <w:r>
              <w:rPr>
                <w:b/>
                <w:i/>
              </w:rPr>
              <w:t>подчертава, че усилията на Комисията в това отношение следва да бъдат подобрени;</w:t>
            </w:r>
            <w:r>
              <w:t xml:space="preserve"> припомня, че според Регламент (ЕИО, Евратом, ЕОВС) № 259/68 (Правилника за длъжностните лица на ЕС</w:t>
            </w:r>
            <w:r>
              <w:rPr>
                <w:vertAlign w:val="superscript"/>
              </w:rPr>
              <w:t>3</w:t>
            </w:r>
            <w:r>
              <w:t>) набирането на служители следва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c>
          <w:tcPr>
            <w:tcW w:w="4876" w:type="dxa"/>
            <w:tcBorders>
              <w:top w:val="nil"/>
              <w:left w:val="nil"/>
              <w:bottom w:val="nil"/>
              <w:right w:val="nil"/>
            </w:tcBorders>
          </w:tcPr>
          <w:p>
            <w:pPr>
              <w:pStyle w:val="Normal6a"/>
            </w:pPr>
            <w:r>
              <w:t>8.</w:t>
            </w:r>
            <w:r>
              <w:tab/>
            </w:r>
            <w:r>
              <w:t>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припомня, че според Регламент (ЕИО, Евратом, ЕОВС) № 259/68 (Правилника за длъжностните лица на ЕС</w:t>
            </w:r>
            <w:r>
              <w:rPr>
                <w:vertAlign w:val="superscript"/>
              </w:rPr>
              <w:t>3</w:t>
            </w:r>
            <w:r>
              <w:t xml:space="preserve">) набирането на служители следва да се основава също така на </w:t>
            </w:r>
            <w:r>
              <w:rPr>
                <w:b/>
                <w:i/>
              </w:rPr>
              <w:t>заслуги и</w:t>
            </w:r>
            <w:r>
              <w:t xml:space="preserve">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 </w:t>
            </w:r>
            <w:r>
              <w:rPr>
                <w:b/>
                <w:i/>
              </w:rPr>
              <w:t>отбелязва, че процентът често е специфичен за съответния сектор, като мъжете доминират на длъжности, свързани с информационните технологии и правоприлагането, а жените преобладават в секторите образование/обучение и здравеопазване;</w:t>
            </w:r>
            <w:r>
              <w:t xml:space="preserve"> </w:t>
            </w:r>
            <w:r>
              <w:rPr>
                <w:b/>
                <w:i/>
              </w:rPr>
              <w:t>припомня</w:t>
            </w:r>
            <w:r>
              <w:t>,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припомня, че според Регламент (ЕИО, Евратом, ЕОВС) № 259/68 (Правилника за длъжностните лица на ЕС</w:t>
            </w:r>
            <w:r>
              <w:rPr>
                <w:b/>
                <w:i/>
                <w:vertAlign w:val="superscript"/>
              </w:rPr>
              <w:t>3</w:t>
            </w:r>
            <w:r>
              <w:t>) набирането на служители следва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c>
          <w:tcPr>
            <w:tcW w:w="4876" w:type="dxa"/>
            <w:tcBorders>
              <w:top w:val="nil"/>
              <w:left w:val="nil"/>
              <w:bottom w:val="nil"/>
              <w:right w:val="nil"/>
            </w:tcBorders>
          </w:tcPr>
          <w:p>
            <w:pPr>
              <w:pStyle w:val="Normal6a"/>
            </w:pPr>
            <w:r>
              <w:t>8.</w:t>
            </w:r>
            <w:r>
              <w:tab/>
            </w:r>
            <w:r>
              <w:t xml:space="preserve">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 </w:t>
            </w:r>
            <w:r>
              <w:rPr>
                <w:b/>
                <w:i/>
              </w:rPr>
              <w:t>изразява съжаление</w:t>
            </w:r>
            <w:r>
              <w:t>,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припомня, че според Регламент (ЕИО, Евратом, ЕОВС) № 259/68 (Правилника за длъжностните лица на ЕС</w:t>
            </w:r>
            <w:r>
              <w:rPr>
                <w:b/>
                <w:i/>
              </w:rPr>
              <w:t>[1]</w:t>
            </w:r>
            <w:r>
              <w:t xml:space="preserve">) набирането на служители следва </w:t>
            </w:r>
            <w:r>
              <w:rPr>
                <w:b/>
                <w:i/>
              </w:rPr>
              <w:t>да се извършва на базата на обективни, прозрачни и основани на заслуги критерии и</w:t>
            </w:r>
            <w:r>
              <w:t xml:space="preserve">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Регламент (ЕИО, Евратом, ЕОВС) № 259/68 на Съвета от 29 февруари 1968 г.</w:t>
            </w:r>
            <w:r>
              <w:t xml:space="preserve"> </w:t>
            </w:r>
            <w:r>
              <w:rPr>
                <w:b/>
                <w:i/>
              </w:rPr>
              <w:t>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w:t>
            </w:r>
            <w:r>
              <w:t xml:space="preserve"> </w:t>
            </w:r>
            <w:r>
              <w:rPr>
                <w:b/>
                <w:i/>
              </w:rPr>
              <w:t>1, ELI: http://data.europa.eu/eli/reg/1968/259(1)/oj.).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 отбелязва, че процентът често е специфичен за съответния сектор, като мъжете доминират на длъжности, свързани с информационните технологии и правоприлагането, а жените преобладават в секторите образование/обучение и здравеопазване; припомня,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припомня, че според Регламент (ЕИО, Евратом, ЕОВС) № 259/68 (Правилника за длъжностните лица на ЕС</w:t>
            </w:r>
            <w:r>
              <w:rPr>
                <w:vertAlign w:val="superscript"/>
              </w:rPr>
              <w:t>3</w:t>
            </w:r>
            <w:r>
              <w:t>) набирането на служители следва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c>
          <w:tcPr>
            <w:tcW w:w="4876" w:type="dxa"/>
            <w:tcBorders>
              <w:top w:val="nil"/>
              <w:left w:val="nil"/>
              <w:bottom w:val="nil"/>
              <w:right w:val="nil"/>
            </w:tcBorders>
          </w:tcPr>
          <w:p>
            <w:pPr>
              <w:pStyle w:val="Normal6a"/>
            </w:pPr>
            <w:r>
              <w:t>8.</w:t>
            </w:r>
            <w:r>
              <w:tab/>
            </w:r>
            <w:r>
              <w:t xml:space="preserve">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 отбелязва, че процентът често е специфичен за съответния сектор, като мъжете доминират на длъжности, свързани с информационните технологии и правоприлагането, а жените преобладават в секторите образование/обучение и здравеопазване; припомня,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w:t>
            </w:r>
            <w:r>
              <w:rPr>
                <w:b/>
                <w:i/>
              </w:rPr>
              <w:t>призовава агенциите да приемат корективни стратегии, включително прозрачни процедури за повишаване и целенасочено развитие на ръководни умения, с цел подобряване на баланса между половете;</w:t>
            </w:r>
            <w:r>
              <w:t xml:space="preserve"> припомня, че според Регламент (ЕИО, Евратом, ЕОВС) № 259/68 (Правилника за длъжностните лица на ЕС</w:t>
            </w:r>
            <w:r>
              <w:rPr>
                <w:vertAlign w:val="superscript"/>
              </w:rPr>
              <w:t>3</w:t>
            </w:r>
            <w:r>
              <w:t>) набирането на служители следва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 отбелязва, че процентът често е специфичен за съответния сектор, като мъжете доминират на длъжности, свързани с информационните технологии и правоприлагането, а жените преобладават в секторите образование/обучение и здравеопазване; припомня,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припомня, че според Регламент (ЕИО, Евратом, ЕОВС) № 259/68 (Правилника за длъжностните лица на ЕС</w:t>
            </w:r>
            <w:r>
              <w:rPr>
                <w:vertAlign w:val="superscript"/>
              </w:rPr>
              <w:t>3</w:t>
            </w:r>
            <w:r>
              <w:t>) набирането на служители следва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c>
          <w:tcPr>
            <w:tcW w:w="4876" w:type="dxa"/>
            <w:tcBorders>
              <w:top w:val="nil"/>
              <w:left w:val="nil"/>
              <w:bottom w:val="nil"/>
              <w:right w:val="nil"/>
            </w:tcBorders>
          </w:tcPr>
          <w:p>
            <w:pPr>
              <w:pStyle w:val="Normal6a"/>
            </w:pPr>
            <w:r>
              <w:t>8.</w:t>
            </w:r>
            <w:r>
              <w:tab/>
            </w:r>
            <w:r>
              <w:t>отбелязва, че през 2024 г. 33-те децентрализирани агенции са докладвали, че в тях са работили общо 11 491 служители (в сравнение с 10 580 души през 2023 г.), в т.ч. длъжностни лица, срочно наети служители, договорно наети служители и командировани национални експерти, което представлява увеличение с 8,61% спрямо 2023 г.</w:t>
            </w:r>
            <w:r>
              <w:rPr>
                <w:b/>
                <w:i/>
              </w:rPr>
              <w:t>;</w:t>
            </w:r>
            <w:r>
              <w:t xml:space="preserve"> </w:t>
            </w:r>
            <w:r>
              <w:rPr>
                <w:b/>
                <w:i/>
              </w:rPr>
              <w:t>изразява съжаление относно това значително увеличение, което води до допълнителни разходи за персонал в момент, когато европейците страдат от инфлацията и по-големите разходи за живот</w:t>
            </w:r>
            <w:r>
              <w:t>; отбелязва, че въпреки че балансът между половете в децентрализираните агенции на Съюза се подобрява, все още има значителни различия; подчертава, че в някои агенции, като например ACER, ЕААБ, ERA, eu-LISA и Европол, има по-голям процент служители мъже, докато в някои агенции като CdT, ЕОБХ, EMA, ETF и Евроюст има повече служители жени; отбелязва, че процентът често е специфичен за съответния сектор, като мъжете доминират на длъжности, свързани с информационните технологии и правоприлагането, а жените преобладават в секторите образование/обучение и здравеопазване; припомня, че ангажиментът на Съюза за насърчаване на равенството между половете на ръководни длъжности все още не е напълно изпълнен; подчертава, че усилията на Комисията в това отношение следва да бъдат подобрени; припомня, че според Регламент (ЕИО, Евратом, ЕОВС) № 259/68 (Правилника за длъжностните лица на ЕС</w:t>
            </w:r>
            <w:r>
              <w:rPr>
                <w:vertAlign w:val="superscript"/>
              </w:rPr>
              <w:t>3</w:t>
            </w:r>
            <w:r>
              <w:t>) набирането на служители следва да се основава също така на възможно най-голям географски баланс между гражданите на отделните държави – членки на ЕС; отбелязва, че е налице естествена тенденция по-голям процент служители да са от държавата членка, в която се намира Агенцията; припомня, че агенциите, които са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 ELI: http://data.europa.eu/eli/reg/1968/259(1)/oj.).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отбелязва непрекъснато нарастващия брой на наетия в тези агенции персонал, като призовава за увеличаване на техния бюджет;</w:t>
            </w:r>
            <w:r>
              <w:t xml:space="preserve"> </w:t>
            </w:r>
            <w:r>
              <w:rPr>
                <w:b/>
                <w:i/>
              </w:rPr>
              <w:t>припомня обаче, че всички бъдещи корекции на финансирането или персонала трябва да се основават на доказуемо повишаване на ефективността, прозрачни показатели за изпълнение и измерими оперативни резултати;</w:t>
            </w:r>
            <w:r>
              <w:t xml:space="preserve"> </w:t>
            </w:r>
            <w:r>
              <w:rPr>
                <w:b/>
                <w:i/>
              </w:rPr>
              <w:t>подчертава, че увеличаването на ресурсите не следва да води до административно разширяване или дублиране на функции, които вече се упражняват от националните органи;</w:t>
            </w:r>
            <w:r>
              <w:t xml:space="preserve"> </w:t>
            </w:r>
            <w:r>
              <w:rPr>
                <w:b/>
                <w:i/>
              </w:rPr>
              <w:t>подчертава необходимостта от поддържане на стройна и ориентирана към резултатите структура, която е в съответствие с ограничения мандат на всяка агенция съгласно правото на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насърчава агенциите да включат ясни цели за баланс между половете в своите стратегии за човешките ресурси;</w:t>
            </w:r>
            <w:r>
              <w:t xml:space="preserve"> </w:t>
            </w:r>
            <w:r>
              <w:rPr>
                <w:b/>
                <w:i/>
              </w:rPr>
              <w:t>призовава агенциите да гарантират, че комисиите за подбор на ръководни кадри са балансирани по отношение на пола и работят съгласно ясни и основани на заслуги критерии;</w:t>
            </w:r>
            <w:r>
              <w:t xml:space="preserve"> </w:t>
            </w:r>
            <w:r>
              <w:rPr>
                <w:b/>
                <w:i/>
              </w:rPr>
              <w:t>приканва Комисията и Мрежата на агенциите на ЕС да разработят споделени най-добри практики и инструменти за сравнителен анализ в подкрепа на агенциите за постигането на устойчив баланс между половете и при ръководните длъжности;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отбелязва, че през 2024 г. текучеството на персонала е било над 5% в 16 от общо 33-те агенции (и по-специално в Службата на ОЕРЕС, CdT, Cedefop, CEPOL, ECDC, ЕАОС, ЕОТ, eu‑LISA, EU‑OSHA, Eurofound, Евроюст, Европол и FRA) и че две от агенциите са надвишили 10% (а именно EIT и ETF); приветства агенциите за целенасочените мерки, които те са предприели за предотвратяването на високи равнища на текучество сред служителите; призовава Комисията и държавите членки да разрешат назначаването на договорно наети служители за по-дълги периоди от време или да разрешат назначаването на повече срочно наети служители, за да се гарантира по-добра приемственост и запазване на знанията;</w:t>
            </w:r>
          </w:p>
        </w:tc>
        <w:tc>
          <w:tcPr>
            <w:tcW w:w="4876" w:type="dxa"/>
            <w:tcBorders>
              <w:top w:val="nil"/>
              <w:left w:val="nil"/>
              <w:bottom w:val="nil"/>
              <w:right w:val="nil"/>
            </w:tcBorders>
          </w:tcPr>
          <w:p>
            <w:pPr>
              <w:pStyle w:val="Normal6a"/>
            </w:pPr>
            <w:r>
              <w:t>9.</w:t>
            </w:r>
            <w:r>
              <w:tab/>
            </w:r>
            <w:r>
              <w:t xml:space="preserve">отбелязва, че през 2024 г. текучеството на персонала е било над 5% в 16 от общо 33-те агенции (и по-специално в Службата на ОЕРЕС, CdT, Cedefop, CEPOL, ECDC, ЕАОС, ЕОТ, eu‑LISA, EU‑OSHA, Eurofound, Евроюст, Европол и FRA) и че две от агенциите са надвишили 10% (а именно EIT и ETF); приветства агенциите за целенасочените мерки, които те са предприели за предотвратяването на високи равнища на текучество сред служителите; призовава Комисията и държавите членки да разрешат назначаването на договорно наети служители за по-дълги периоди от време или да разрешат назначаването на повече срочно наети служители, за да се гарантира по-добра приемственост и запазване на знанията; </w:t>
            </w:r>
            <w:r>
              <w:rPr>
                <w:b/>
                <w:i/>
              </w:rPr>
              <w:t>подчертава, че управителните съвети носят колективна отговорност за интегритета, отчетността и правилното функциониране на агенциите;</w:t>
            </w:r>
            <w:r>
              <w:t xml:space="preserve"> </w:t>
            </w:r>
            <w:r>
              <w:rPr>
                <w:b/>
                <w:i/>
              </w:rPr>
              <w:t>изразява съжаление относно случаите, в които управителните съвети не са предприели решителни действия във връзка със сериозните констатации, и призовава за по-голяма прозрачност на разискванията на управителните съвети спрямо органа по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счита, че високите равнища на професионално изчерпване, текучество и несигурна заетост представляват структурен риск за институционалния интегритет, вътрешния контрол и подаването на сигнали за нередности, а следователно и за доброто финансово управление;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приветства факта, че през 2024 г.</w:t>
            </w:r>
            <w:r>
              <w:t xml:space="preserve"> </w:t>
            </w:r>
            <w:r>
              <w:rPr>
                <w:b/>
                <w:i/>
              </w:rPr>
              <w:t>повечето агенции са приели и са приложили Хартата за многообразието и приобщаването</w:t>
            </w:r>
            <w:r>
              <w:rPr>
                <w:b/>
                <w:i/>
                <w:vertAlign w:val="superscript"/>
              </w:rPr>
              <w:t>4</w:t>
            </w:r>
            <w:r>
              <w:rPr>
                <w:b/>
                <w:i/>
              </w:rPr>
              <w:t>, която насърчава равното третиране, многообразието и приобщаването на работното място и в социалния живот;</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https://agencies-network.europa.eu/document/download/04667fb8-be05-4818-9f62-0cb99f0c5538_en?filename=EUAN%20WG%25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приветства факта, че през 2024 г. повечето агенции са приели и са приложили Хартата за многообразието и приобщаването</w:t>
            </w:r>
            <w:r>
              <w:rPr>
                <w:vertAlign w:val="superscript"/>
              </w:rPr>
              <w:t>4</w:t>
            </w:r>
            <w:r>
              <w:t>, която насърчава равното третиране, многообразието и приобщаването на работното място и в социалния живот;</w:t>
            </w:r>
          </w:p>
        </w:tc>
        <w:tc>
          <w:tcPr>
            <w:tcW w:w="4876" w:type="dxa"/>
            <w:tcBorders>
              <w:top w:val="nil"/>
              <w:left w:val="nil"/>
              <w:bottom w:val="nil"/>
              <w:right w:val="nil"/>
            </w:tcBorders>
          </w:tcPr>
          <w:p>
            <w:pPr>
              <w:pStyle w:val="Normal6a"/>
            </w:pPr>
            <w:r>
              <w:t>10.</w:t>
            </w:r>
            <w:r>
              <w:tab/>
            </w:r>
            <w:r>
              <w:t>приветства факта, че през 2024 г. повечето агенции са приели и са приложили Хартата за многообразието и приобщаването</w:t>
            </w:r>
            <w:r>
              <w:rPr>
                <w:vertAlign w:val="superscript"/>
              </w:rPr>
              <w:t>4</w:t>
            </w:r>
            <w:r>
              <w:t xml:space="preserve">, която насърчава равното третиране, многообразието и приобщаването на работното място и в социалния живот; </w:t>
            </w:r>
            <w:r>
              <w:rPr>
                <w:b/>
                <w:i/>
              </w:rPr>
              <w:t>силно насърчава агенциите, които все още не са се присъединили към Хартата, да разгледат възможността за незабавното ѝ приемане и прилагане;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че създаването на ефективен механизъм за подаване на жалби за служителите в децентрализираните агенции на Съюза изисква съчетаване на силни гаранции за поверителност, включително анонимни канали за подаване на сигнали, с ясни и хармонизирани процедури, приведени в съответствие с Правилника за длъжностните лица на ЕС, които да се съобщават на служителите чрез редовни обучения; счита, че агенциите следва да назначат независими, професионално обучени служители за разглеждането на етични въпроси или жалби, или при по-малките агенции следва да се използват споделени междуведомствени структури, за да се гарантира безпристрастно разглеждане на молбите по член 90 от Правилника за длъжностните лица, както и на докладите за тормоз, конфликтите на интереси и сигналите за нередности; призовава агенциите да гарантират</w:t>
            </w:r>
            <w:r>
              <w:rPr>
                <w:b/>
                <w:i/>
              </w:rPr>
              <w:t>, че служителите имат достъп до външна процедура за предаване на информацията до по-високо равнище, както и до стабилна</w:t>
            </w:r>
            <w:r>
              <w:t xml:space="preserve"> защита срещу ответни действия с цел отмъщение</w:t>
            </w:r>
            <w:r>
              <w:rPr>
                <w:b/>
                <w:i/>
              </w:rPr>
              <w:t>, като се провеждат системни последващи проверки</w:t>
            </w:r>
            <w:r>
              <w:t xml:space="preserve">; </w:t>
            </w:r>
            <w:r>
              <w:rPr>
                <w:b/>
                <w:i/>
              </w:rPr>
              <w:t>същевременно прозрачността следва да се повиши чрез анонимизирани годишни доклади за жалбите и съответните резултати от тях, а безпристрастността следва да се подобри чрез използването на междуведомствени комисии за разследване на чувствителните случаи;</w:t>
            </w:r>
            <w:r>
              <w:t xml:space="preserve"> </w:t>
            </w:r>
            <w:r>
              <w:rPr>
                <w:b/>
                <w:i/>
              </w:rPr>
              <w:t>призовава за прилагането на механизми за защита срещу неверни обвинения и денонсиране;</w:t>
            </w:r>
          </w:p>
        </w:tc>
        <w:tc>
          <w:tcPr>
            <w:tcW w:w="4876" w:type="dxa"/>
            <w:tcBorders>
              <w:top w:val="nil"/>
              <w:left w:val="nil"/>
              <w:bottom w:val="nil"/>
              <w:right w:val="nil"/>
            </w:tcBorders>
          </w:tcPr>
          <w:p>
            <w:pPr>
              <w:pStyle w:val="Normal6a"/>
            </w:pPr>
            <w:r>
              <w:t>11.</w:t>
            </w:r>
            <w:r>
              <w:tab/>
            </w:r>
            <w:r>
              <w:t>подчертава, че създаването на ефективен механизъм за подаване на жалби за служителите в децентрализираните агенции на Съюза изисква съчетаване на силни гаранции за поверителност, включително анонимни канали за подаване на сигнали, с ясни и хармонизирани процедури, приведени в съответствие с Правилника за длъжностните лица на ЕС, които да се съобщават на служителите чрез редовни</w:t>
            </w:r>
            <w:r>
              <w:rPr>
                <w:b/>
                <w:i/>
              </w:rPr>
              <w:t> задължителни</w:t>
            </w:r>
            <w:r>
              <w:t xml:space="preserve"> обучения; счита, че агенциите следва да назначат независими, професионално обучени служители за разглеждането на етични въпроси или жалби, или при по-малките агенции следва да се използват споделени междуведомствени структури, за да се гарантира безпристрастно разглеждане на молбите по член 90 от Правилника за длъжностните лица, както и на докладите за тормоз, конфликтите на интереси и сигналите за нередности; призовава агенциите да гарантират </w:t>
            </w:r>
            <w:r>
              <w:rPr>
                <w:b/>
                <w:i/>
              </w:rPr>
              <w:t>силна, независима и ефективна защита за лицата, подаващи сигнали за нередности, включително</w:t>
            </w:r>
            <w:r>
              <w:t xml:space="preserve"> защита срещу </w:t>
            </w:r>
            <w:r>
              <w:rPr>
                <w:b/>
                <w:i/>
              </w:rPr>
              <w:t>всякакви форми на</w:t>
            </w:r>
            <w:r>
              <w:t xml:space="preserve"> ответни действия с цел отмъщение;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отбелязва важната роля на Мрежата на агенциите на ЕС (EUAN), и по-специално на нейния Консултативен комитет за ИКТ (ICTAC), за подкрепа на готовността на агенциите за прилагане на Регламента за киберсигурността чрез засилена координация, обмен на знания и сътрудничество с ГД „Информатика“, Службата за киберсигурност за институциите, органите, службите и агенциите на Съюза (CERT-EU) и Междуинституционалния комитет за цифрова трансформация; призовава EUAN и ICTAC да предоставят изчерпателна и редовна информация за степента на изпълнение във всички децентрализирани агенции, включително общите предизвикателства, идентифицираните рискове, нуждите от ресурси и планираните мерки за смекчаване на последиците, за да може да се упражнява ефективен надзор;</w:t>
            </w:r>
          </w:p>
        </w:tc>
        <w:tc>
          <w:tcPr>
            <w:tcW w:w="4876" w:type="dxa"/>
            <w:tcBorders>
              <w:top w:val="nil"/>
              <w:left w:val="nil"/>
              <w:bottom w:val="nil"/>
              <w:right w:val="nil"/>
            </w:tcBorders>
          </w:tcPr>
          <w:p>
            <w:pPr>
              <w:pStyle w:val="Normal6a"/>
            </w:pPr>
            <w:r>
              <w:t>12.</w:t>
            </w:r>
            <w:r>
              <w:tab/>
            </w:r>
            <w:r>
              <w:t xml:space="preserve">отбелязва важната роля на Мрежата на агенциите на ЕС (EUAN), и по-специално на нейния Консултативен комитет за ИКТ (ICTAC), за подкрепа на готовността на агенциите за прилагане на Регламента за киберсигурността чрез засилена координация, обмен на знания и сътрудничество с ГД „Информатика“, Службата за киберсигурност за институциите, органите, службите и агенциите на Съюза (CERT-EU) и Междуинституционалния комитет за цифрова трансформация; призовава EUAN и ICTAC да предоставят изчерпателна и редовна информация за степента на изпълнение във всички децентрализирани агенции, включително общите предизвикателства, идентифицираните рискове, нуждите от ресурси и планираните мерки за смекчаване на последиците, за да може да се упражнява ефективен надзор; </w:t>
            </w:r>
            <w:r>
              <w:rPr>
                <w:b/>
                <w:i/>
              </w:rPr>
              <w:t>подчертава необходимостта от стабилни и засилени мерки за киберсигурност, за да се гарантира устойчивост срещу променящите се заплахи;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подчертава увеличаването на използването на инструменти с изкуствен интелект, възможностите, които предоставят, но също така и техните финансови и оперативни рискове;</w:t>
            </w:r>
            <w:r>
              <w:t xml:space="preserve"> </w:t>
            </w:r>
            <w:r>
              <w:rPr>
                <w:b/>
                <w:i/>
              </w:rPr>
              <w:t>призовава агенциите да изготвят структурирани оценки на риска за подпомаганите от ИИ процеси, особено когато са засегнати функциите по финансово управление, възлагане на обществени поръчки или вземане на решения;</w:t>
            </w:r>
            <w:r>
              <w:t xml:space="preserve"> </w:t>
            </w:r>
            <w:r>
              <w:rPr>
                <w:b/>
                <w:i/>
              </w:rPr>
              <w:t>насърчава агенциите да гарантират прозрачност при използването на инструменти с ИИ, включително документирането на логиката на вземане на решения, механизмите за човешки надзор и проверимостта на автоматизираните процеси;</w:t>
            </w:r>
            <w:r>
              <w:t xml:space="preserve"> </w:t>
            </w:r>
            <w:r>
              <w:rPr>
                <w:b/>
                <w:i/>
              </w:rPr>
              <w:t>подчертава необходимостта да се гарантира, че използването на ИИ продължава да бъде в пълно съответствие със задълженията на Съюза в областта на защитата на данните и киберсигурността;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подчертава значението на разработването на ясни, надеждни и съдържателни ключови показатели за ефективност (КПЕ) в годишните отчети за дейността на агенциите на ЕС, тъй като тези отчети представляват основен източник на информация за външните потребители; отбелязва, че </w:t>
            </w:r>
            <w:r>
              <w:rPr>
                <w:b/>
                <w:i/>
              </w:rPr>
              <w:t>при някои системи</w:t>
            </w:r>
            <w:r>
              <w:t xml:space="preserve"> за КПЕ </w:t>
            </w:r>
            <w:r>
              <w:rPr>
                <w:b/>
                <w:i/>
              </w:rPr>
              <w:t>често липсват приемственост, стандартизация, оперативна задълбоченост, документирана методология за подбор, актуализиране и оттегляне на КПЕ, прозрачност, съпоставимост и многогодишно проследяване, което ограничава съпоставимостта и способността на външните потребители за</w:t>
            </w:r>
            <w:r>
              <w:t xml:space="preserve"> обективна оценка на изпълнението; подчертава, че КПЕ следва да бъдат рационализирани </w:t>
            </w:r>
            <w:r>
              <w:rPr>
                <w:b/>
                <w:i/>
              </w:rPr>
              <w:t>и добре структурирани</w:t>
            </w:r>
            <w:r>
              <w:t>, да се основават на принципите SMART и да се прилагат последователно при циклите на докладване, което е важно за оценката на ефикасността, ефективността и напредъка към постигане на стратегическите цели;</w:t>
            </w:r>
          </w:p>
        </w:tc>
        <w:tc>
          <w:tcPr>
            <w:tcW w:w="4876" w:type="dxa"/>
            <w:tcBorders>
              <w:top w:val="nil"/>
              <w:left w:val="nil"/>
              <w:bottom w:val="nil"/>
              <w:right w:val="nil"/>
            </w:tcBorders>
          </w:tcPr>
          <w:p>
            <w:pPr>
              <w:pStyle w:val="Normal6a"/>
            </w:pPr>
            <w:r>
              <w:t>13.</w:t>
            </w:r>
            <w:r>
              <w:tab/>
            </w:r>
            <w:r>
              <w:t xml:space="preserve">подчертава значението на разработването на ясни, надеждни и съдържателни ключови показатели за ефективност (КПЕ) в годишните отчети за дейността на агенциите на ЕС, тъй като тези отчети представляват основен източник на информация за външните потребители; отбелязва, че </w:t>
            </w:r>
            <w:r>
              <w:rPr>
                <w:b/>
                <w:i/>
              </w:rPr>
              <w:t>основната цел на една стабилна система</w:t>
            </w:r>
            <w:r>
              <w:t xml:space="preserve"> за КПЕ </w:t>
            </w:r>
            <w:r>
              <w:rPr>
                <w:b/>
                <w:i/>
              </w:rPr>
              <w:t>е да се направи</w:t>
            </w:r>
            <w:r>
              <w:t xml:space="preserve"> обективна оценка на изпълнението; подчертава, че КПЕ следва да бъдат рационализирани, да се основават на принципите SMART и да се прилагат последователно при циклите на докладване, което е важно за оценката на ефикасността, ефективността и напредъка към постигане на стратегическите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подчертава значението на разработването на ясни, надеждни и съдържателни ключови показатели за ефективност (КПЕ) в годишните отчети за дейността на агенциите на ЕС, тъй като тези отчети представляват основен източник на информация за външните потребители; отбелязва, че при някои системи за КПЕ често липсват приемственост, стандартизация, оперативна задълбоченост, документирана методология за подбор, актуализиране и оттегляне на КПЕ, прозрачност, съпоставимост и многогодишно проследяване, което ограничава съпоставимостта и способността на външните потребители за обективна оценка на изпълнението; подчертава, че КПЕ следва да бъдат рационализирани и добре структурирани, да се основават на принципите SMART и да се прилагат последователно при циклите на докладване, което е важно за оценката на ефикасността, ефективността и напредъка към постигане на стратегическите цели;</w:t>
            </w:r>
          </w:p>
        </w:tc>
        <w:tc>
          <w:tcPr>
            <w:tcW w:w="4876" w:type="dxa"/>
            <w:tcBorders>
              <w:top w:val="nil"/>
              <w:left w:val="nil"/>
              <w:bottom w:val="nil"/>
              <w:right w:val="nil"/>
            </w:tcBorders>
          </w:tcPr>
          <w:p>
            <w:pPr>
              <w:pStyle w:val="Normal6a"/>
            </w:pPr>
            <w:r>
              <w:t>13.</w:t>
            </w:r>
            <w:r>
              <w:tab/>
            </w:r>
            <w:r>
              <w:t xml:space="preserve">подчертава значението на разработването на ясни, надеждни и съдържателни ключови показатели за ефективност (КПЕ) в годишните отчети за дейността на агенциите на ЕС, тъй като тези отчети представляват основен източник на информация за външните потребители; отбелязва, че при някои системи за КПЕ често липсват приемственост, стандартизация, оперативна задълбоченост, документирана методология за подбор, актуализиране и оттегляне на КПЕ, прозрачност, съпоставимост и многогодишно проследяване, което ограничава съпоставимостта и способността на външните потребители за обективна оценка на изпълнението; подчертава, че КПЕ следва да бъдат рационализирани и добре структурирани, да се основават на принципите SMART и да се прилагат последователно при циклите на докладване, което е важно за оценката на ефикасността, ефективността и напредъка към постигане на стратегическите цели; </w:t>
            </w:r>
            <w:r>
              <w:rPr>
                <w:b/>
                <w:i/>
              </w:rPr>
              <w:t>подчертава, че преминаването от докладване въз основа на вложените ресурси и дейностите към докладване, ориентирано към резултатите и въздействието, следва да намали административната тежест както за одиторите, така и за агенциите, като се съсредоточи върху съществеността и пропорционалността;</w:t>
            </w:r>
            <w:r>
              <w:t xml:space="preserve"> </w:t>
            </w:r>
            <w:r>
              <w:rPr>
                <w:b/>
                <w:i/>
              </w:rPr>
              <w:t>подчертава, че показателите за изпълнение трябва да произтичат изрично от целите на учредителния мандат на всяка агенция и да обхващат крайните продукти, резултатите и преди всичко въздействията;</w:t>
            </w:r>
            <w:r>
              <w:t xml:space="preserve"> </w:t>
            </w:r>
            <w:r>
              <w:rPr>
                <w:b/>
                <w:i/>
              </w:rPr>
              <w:t>призовава агенциите да включат анализ на разходите и ползите и прозрачно бюджетиране в своите рамки за изпълнението;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13а.</w:t>
            </w:r>
            <w:r>
              <w:tab/>
            </w:r>
            <w:r>
              <w:rPr>
                <w:b/>
                <w:i/>
              </w:rPr>
              <w:t>отбелязва като цяло слабост във вътрешния контрол и процедурите на агенциите, като някои недостатъци водят до разходи, които могат да бъдат избегнати;</w:t>
            </w:r>
            <w:r>
              <w:t xml:space="preserve"> </w:t>
            </w:r>
            <w:r>
              <w:rPr>
                <w:b/>
                <w:i/>
              </w:rPr>
              <w:t>настоятелно призовава за публичен външен одит с цел да се предложат засилени и ефективни хармонизирани правила за вътрешен контрол на агенциите с оглед на отстраняването на недостатъците в механизмите за вътрешен контрол, управлението на конфликтите на интереси, възлагането на обществени поръчки, процесите в областта на човешките ресурси и други области, многократно идентифицирани от ЕСП, за да се защитят финансовите интереси на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признава сътрудничеството с някои външни партньори, като например Организацията за икономическо сътрудничество и развитие и Мрежата на ООН за стратегическо планиране, с цел модернизиране на методологиите за КПЕ; подчертава, че някои агенции като ACER, ЕААБ и ECDC са разработили по-надеждни и оперативно значими показатели; призовава агенциите с </w:t>
            </w:r>
            <w:r>
              <w:rPr>
                <w:b/>
                <w:i/>
              </w:rPr>
              <w:t>неефективни, неподлежащи на количествена оценка и неизмерими</w:t>
            </w:r>
            <w:r>
              <w:t xml:space="preserve"> системи за КПЕ да се възползват от тези по-надеждни модели и да споделят редовно най-добри практики чрез Мрежата на агенциите на ЕС, за да се увеличи съпоставимостта, да се повиши полезността на годишните отчети за дейността за външните потребители и да се подобри цялостната оценка на изпълнението за всички агенции;</w:t>
            </w:r>
          </w:p>
        </w:tc>
        <w:tc>
          <w:tcPr>
            <w:tcW w:w="4876" w:type="dxa"/>
            <w:tcBorders>
              <w:top w:val="nil"/>
              <w:left w:val="nil"/>
              <w:bottom w:val="nil"/>
              <w:right w:val="nil"/>
            </w:tcBorders>
          </w:tcPr>
          <w:p>
            <w:pPr>
              <w:pStyle w:val="Normal6a"/>
            </w:pPr>
            <w:r>
              <w:t>14.</w:t>
            </w:r>
            <w:r>
              <w:tab/>
            </w:r>
            <w:r>
              <w:t xml:space="preserve">признава сътрудничеството с някои външни партньори, като например Организацията за икономическо сътрудничество и развитие и Мрежата на ООН за стратегическо планиране, с цел модернизиране на методологиите за КПЕ; подчертава, че някои агенции като ACER, ЕААБ и ECDC са разработили по-надеждни и оперативно значими показатели; призовава агенциите с </w:t>
            </w:r>
            <w:r>
              <w:rPr>
                <w:b/>
                <w:i/>
              </w:rPr>
              <w:t>по-малко ефективни</w:t>
            </w:r>
            <w:r>
              <w:t xml:space="preserve"> системи за КПЕ да се възползват от тези по-надеждни модели и да споделят редовно най-добри практики чрез Мрежата на агенциите на ЕС, за да се увеличи съпоставимостта, да се повиши полезността на годишните отчети за дейността за външните потребители и да се подобри цялостната оценка на изпълнението за всички агенции;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признава сътрудничеството с някои външни партньори, като например Организацията за икономическо сътрудничество и развитие и Мрежата на ООН за стратегическо планиране, с цел модернизиране на методологиите за КПЕ; подчертава, че някои агенции като ACER, ЕААБ и ECDC са разработили по-надеждни и оперативно значими показатели; призовава агенциите с неефективни, неподлежащи на количествена оценка и неизмерими системи за КПЕ да се възползват от тези по-надеждни модели и да споделят редовно най-добри практики чрез Мрежата на агенциите на ЕС, за да се увеличи съпоставимостта, да се повиши полезността на годишните отчети за дейността за външните потребители и да се подобри цялостната оценка на изпълнението за всички агенции;</w:t>
            </w:r>
          </w:p>
        </w:tc>
        <w:tc>
          <w:tcPr>
            <w:tcW w:w="4876" w:type="dxa"/>
            <w:tcBorders>
              <w:top w:val="nil"/>
              <w:left w:val="nil"/>
              <w:bottom w:val="nil"/>
              <w:right w:val="nil"/>
            </w:tcBorders>
          </w:tcPr>
          <w:p>
            <w:pPr>
              <w:pStyle w:val="Normal6a"/>
            </w:pPr>
            <w:r>
              <w:t>14.</w:t>
            </w:r>
            <w:r>
              <w:tab/>
            </w:r>
            <w:r>
              <w:t xml:space="preserve">признава сътрудничеството с някои външни партньори, като например Организацията за икономическо сътрудничество и развитие и Мрежата на ООН за стратегическо планиране, с цел модернизиране на методологиите за КПЕ; подчертава, че някои агенции като ACER, ЕААБ и ECDC са разработили по-надеждни и оперативно значими показатели; призовава агенциите с неефективни, неподлежащи на количествена оценка и неизмерими системи за КПЕ да се възползват от тези по-надеждни модели и да споделят редовно най-добри практики чрез Мрежата на агенциите на ЕС, за да се увеличи съпоставимостта, да се повиши полезността на годишните отчети за дейността за външните потребители и да се подобри цялостната оценка на изпълнението за всички агенции; </w:t>
            </w:r>
            <w:r>
              <w:rPr>
                <w:b/>
                <w:i/>
              </w:rPr>
              <w:t>призовава Комисията да изисква всички оценки на агенциите съгласно параграф 60 от общия подход систематично да оценяват икономическата ефективност и измеримото въздействие на всяка агенция върху нейната област на политиката и програмите или дейностите, които не са показали ефективност в разумен срок, да бъдат прекратени, като средствата се преразпределят за по-ефективни мерки или се върнат на данъкоплатците, когато е целесъобразно;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14а.</w:t>
            </w:r>
            <w:r>
              <w:tab/>
            </w:r>
            <w:r>
              <w:rPr>
                <w:b/>
                <w:i/>
              </w:rPr>
              <w:t>призовава Мрежата на агенциите на ЕС да разработи, в сътрудничество с Европейската сметна палата, и да представи на органа по освобождаване от отговорност до края на 2026 г. обща рамка за измерване на резултатите от дейността и общественото въздействие на агенциите, като се основава на препоръката на Палатата в Специален доклад № 22/2020;</w:t>
            </w:r>
            <w:r>
              <w:t xml:space="preserve"> </w:t>
            </w:r>
            <w:r>
              <w:rPr>
                <w:b/>
                <w:i/>
              </w:rPr>
              <w:t>счита, че тази рамка следва да включва за всяка агенция ограничен набор от показатели за резултатите и въздействието, пряко свързани с нейния учредителен мандат, и следва да позволява на Парламента и данъкоплатците да оценяват конкретните резултати в зависимост от изразходваните ресурси;</w:t>
            </w:r>
            <w:r>
              <w:t xml:space="preserve"> </w:t>
            </w:r>
            <w:r>
              <w:rPr>
                <w:b/>
                <w:i/>
              </w:rPr>
              <w:t>отправя запитване към Мрежата на агенциите на ЕС дали планира да въведе такава обща рамка и ако това е така, я призовава да информира органа по освобождаване от отговорност за очаквания график и методология;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обръща внимание на разследванията на Европейската служба за борба с измамите (OLAF), засягащи няколко агенции: ENISA (два случая от 2024 г. – един текущ и един прекратен случай, както и един случай, свързан с набиране на персонал от 2025 г.), eu-LISA (конфликт на интереси и проучвания за обществени поръчки), EIT (три случая, свързани с ОЗИ, приключени чрез възстановяване на средства в размер на 15–20 милиона евро), Frontex (осем приключени случая през периода 2023—2024 г.) и текущи разследвания в ACER и ЕАОС; настоятелно призовава всички агенции да гарантират пълно сътрудничество с OLAF, да засилят вътрешния контрол, както и гаранциите във връзка с набирането на персонал и възлагането на обществени поръчки, и да предоставят допълнителна информация на органа по освобождаване от отговорност веднага след премахване на ограниченията относно поверителността;</w:t>
            </w:r>
          </w:p>
        </w:tc>
        <w:tc>
          <w:tcPr>
            <w:tcW w:w="4876" w:type="dxa"/>
            <w:tcBorders>
              <w:top w:val="nil"/>
              <w:left w:val="nil"/>
              <w:bottom w:val="nil"/>
              <w:right w:val="nil"/>
            </w:tcBorders>
          </w:tcPr>
          <w:p>
            <w:pPr>
              <w:pStyle w:val="Normal6a"/>
            </w:pPr>
            <w:r>
              <w:t>15.</w:t>
            </w:r>
            <w:r>
              <w:tab/>
            </w:r>
            <w:r>
              <w:t xml:space="preserve">обръща внимание на разследванията на Европейската служба за борба с измамите (OLAF), засягащи няколко агенции: ENISA (два случая от 2024 г. – един текущ и един прекратен случай, както и един случай, свързан с набиране на персонал от 2025 г.), eu-LISA (конфликт на интереси и проучвания за обществени поръчки), EIT (три случая, свързани с ОЗИ, приключени чрез възстановяване на средства в размер на 15–20 милиона евро), Frontex (осем приключени случая през периода 2023—2024 г.) и текущи разследвания в ACER и ЕАОС; настоятелно призовава всички агенции да гарантират пълно сътрудничество с OLAF, да засилят вътрешния контрол, както и гаранциите във връзка с набирането на персонал и възлагането на обществени поръчки, и да предоставят допълнителна информация на органа по освобождаване от отговорност веднага след премахване на ограниченията относно поверителността; </w:t>
            </w:r>
            <w:r>
              <w:rPr>
                <w:b/>
                <w:i/>
              </w:rPr>
              <w:t>подчертава, че в случая на Европейската агенция за гранична и брегова охрана (Frontex) многократните разследвания в миналото и констатациите във връзка със спазването на основните права и недостатъците в управлението трябва да бъдат взети предвид при оценяването на цялостните резултати на Агенцията и условията, при които се разпределят бюджетните ресурси;</w:t>
            </w:r>
            <w:r>
              <w:t xml:space="preserve"> </w:t>
            </w:r>
            <w:r>
              <w:rPr>
                <w:b/>
                <w:i/>
              </w:rPr>
              <w:t>припомня, че по време на процедурата по освобождаване от отговорност във връзка с изпълнението на бюджета за 2023 г. органът по освобождаване от отговорност обърна голямо внимание на разследването на OLAF относно Агенцията на Европейския съюз в областта на убежището, което доведе до първоначалното отлагане на освобождаването от отговорност във връзка с изпълнението на бюджета;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15б.</w:t>
            </w:r>
            <w:r>
              <w:tab/>
            </w:r>
            <w:r>
              <w:rPr>
                <w:b/>
                <w:i/>
              </w:rPr>
              <w:t>отбелязва, че са в ход и две разследвания на ОЛАФ във връзка с твърдения за тормоз, неправомерно поведение и отблъскване на мигранти във връзка с Frontex и едно разследване на Европейския парламент във връзка с твърдения за нарушения на основните права във Frontex;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15г.</w:t>
            </w:r>
            <w:r>
              <w:tab/>
            </w:r>
            <w:r>
              <w:rPr>
                <w:b/>
                <w:i/>
              </w:rPr>
              <w:t>отбелязва, че между 2006 г. и 2018 г. Frontex е координирала патрули край бреговете на Северозападна Африка с цел залавяне на плавателни съдове, превозващи мигранти и търсещи убежище лица в международни води, както и в мавритански и сенегалски води, с тяхно съгласие, като е използвала собствено оборудване, плавателни съдове и самолети, понякога и чрез съвместни операции с мавританските и сенегалските сили;</w:t>
            </w:r>
            <w:r>
              <w:t xml:space="preserve"> </w:t>
            </w:r>
            <w:r>
              <w:rPr>
                <w:b/>
                <w:i/>
              </w:rPr>
              <w:t>Европейският център за конституционни права и права на човека (ECCHR), който поиска документация от Frontex по този въпрос, докладва, че не е ясно кои дейности по скрининг са били извършени преди връщанията; ECCHR подчерта недостатъците по отношение на отчетността и прозрачността, като отбеляза, че Frontex е заличила значителни части от предоставените документи, включително информация за потенциални нарушения на правата на човека</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https://www.hrw.org/report/2025/08/27/they-accused-me-of-trying-to-go-to-europe/migration-control-abuses-and-eu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15е.</w:t>
            </w:r>
            <w:r>
              <w:tab/>
            </w:r>
            <w:r>
              <w:rPr>
                <w:b/>
                <w:i/>
              </w:rPr>
              <w:t>припомня, че мандатът на Frontex беше значително разширен през 2019 г., когато с преразгледан регламент бяха разширени нейните задачи и беше дадено разрешение за постоянен корпус от 10 000 гранични служители;</w:t>
            </w:r>
            <w:r>
              <w:t xml:space="preserve"> </w:t>
            </w:r>
            <w:r>
              <w:rPr>
                <w:b/>
                <w:i/>
              </w:rPr>
              <w:t>годишният бюджет на Frontex рязко се увеличи от 142 милиона евро през 2015 г. на 922 милиона евро през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15ж.</w:t>
            </w:r>
            <w:r>
              <w:tab/>
            </w:r>
            <w:r>
              <w:rPr>
                <w:b/>
                <w:i/>
              </w:rPr>
              <w:t>отбелязва, че липсата на прозрачност подкопава обществения интерес да се търси отговорност от институция на ЕС и ограничава надзора от страна на гражданското общество;</w:t>
            </w:r>
            <w:r>
              <w:t xml:space="preserve"> </w:t>
            </w:r>
            <w:r>
              <w:rPr>
                <w:b/>
                <w:i/>
              </w:rPr>
              <w:t>отбелязва, че европейските данъкоплатци имат правото да бъдат информирани за начина, по който Frontex използва въздушно наблюдение с цел да позволи залавянето на хора от страна на либийските сили – след като е напълно наясно с произволното задържане, насилие и експлоатация, пред които са изправени хората при завръщането си в Либия – вместо за спасяване и сваляне на брега на безопасно място</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https://www.hrw.org/news/2024/04/24/eu-misses-opportunity-frontex-transparency-accountability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отбелязва, че липсата на клаузи за неучастие, които позволяват бързо прекратяване на договорите за наем, продължава да представлява финансов риск за агенциите на ЕС; припомня, че значението на включването на такива клаузи в договорите за наем стана очевидно във връзка с трудностите, с които се сблъска Европейската агенция по лекарствата (EMA) след излизането на Обединеното кралство от ЕС, като Агенцията не можа да прекрати дългосрочния си договор за наем на сграда в Лондон и в резултат на това трябваше да плаща наем както в Лондон, така и в Амстердам; признава, че от 2019 г. насам няколко агенции са въвели клаузи за спиране на изпълнението на договорите, </w:t>
            </w:r>
            <w:r>
              <w:rPr>
                <w:b/>
                <w:i/>
              </w:rPr>
              <w:t>но отбелязва</w:t>
            </w:r>
            <w:r>
              <w:t>, че не всички агенции са направили това, включително в някои случаи бяха подписани нови договори или бяха подновени договори за наем на сгради</w:t>
            </w:r>
            <w:r>
              <w:rPr>
                <w:b/>
                <w:i/>
              </w:rPr>
              <w:t>, без да бъдат включени такива разпоредби</w:t>
            </w:r>
            <w:r>
              <w:t xml:space="preserve">; настоятелно призовава агенциите и Комисията да </w:t>
            </w:r>
            <w:r>
              <w:rPr>
                <w:b/>
                <w:i/>
              </w:rPr>
              <w:t>оценяват</w:t>
            </w:r>
            <w:r>
              <w:t xml:space="preserve"> систематично </w:t>
            </w:r>
            <w:r>
              <w:rPr>
                <w:b/>
                <w:i/>
              </w:rPr>
              <w:t>необходимостта от клаузи</w:t>
            </w:r>
            <w:r>
              <w:t xml:space="preserve"> за спиране на изпълнението на договорите при договарянето или подновяването на договорите за наем на сгради, </w:t>
            </w:r>
            <w:r>
              <w:rPr>
                <w:b/>
                <w:i/>
              </w:rPr>
              <w:t>като се вземат предвид поуките, извлечени от миналия опит,</w:t>
            </w:r>
            <w:r>
              <w:t xml:space="preserve"> с цел да се ограничи финансовата експозиция и да се гарантира по-голяма гъвкавост на бюджета;</w:t>
            </w:r>
          </w:p>
        </w:tc>
        <w:tc>
          <w:tcPr>
            <w:tcW w:w="4876" w:type="dxa"/>
            <w:tcBorders>
              <w:top w:val="nil"/>
              <w:left w:val="nil"/>
              <w:bottom w:val="nil"/>
              <w:right w:val="nil"/>
            </w:tcBorders>
          </w:tcPr>
          <w:p>
            <w:pPr>
              <w:pStyle w:val="Normal6a"/>
            </w:pPr>
            <w:r>
              <w:t>16.</w:t>
            </w:r>
            <w:r>
              <w:tab/>
            </w:r>
            <w:r>
              <w:t xml:space="preserve">отбелязва, че липсата на клаузи за неучастие, които позволяват бързо прекратяване на договорите за наем, продължава да представлява финансов риск за агенциите на ЕС; припомня, че значението на включването на такива клаузи в договорите за наем стана очевидно във връзка с трудностите, с които се сблъска Европейската агенция по лекарствата (EMA) след излизането на Обединеното кралство от ЕС, като Агенцията не можа да прекрати дългосрочния си договор за наем на сграда в Лондон и в резултат на това трябваше да плаща наем както в Лондон, така и в Амстердам; признава, че от 2019 г. насам няколко агенции са въвели клаузи за спиране на изпълнението на договорите, </w:t>
            </w:r>
            <w:r>
              <w:rPr>
                <w:b/>
                <w:i/>
              </w:rPr>
              <w:t>и изразява съжаление</w:t>
            </w:r>
            <w:r>
              <w:t xml:space="preserve">, че не всички агенции са направили това, включително в някои случаи бяха подписани нови договори или бяха подновени договори за наем на сгради; настоятелно призовава агенциите и Комисията да </w:t>
            </w:r>
            <w:r>
              <w:rPr>
                <w:b/>
                <w:i/>
              </w:rPr>
              <w:t>въвеждат</w:t>
            </w:r>
            <w:r>
              <w:t xml:space="preserve"> систематично </w:t>
            </w:r>
            <w:r>
              <w:rPr>
                <w:b/>
                <w:i/>
              </w:rPr>
              <w:t>клауза</w:t>
            </w:r>
            <w:r>
              <w:t xml:space="preserve"> за спиране на изпълнението на договорите при договарянето или подновяването на договорите за наем на сгради, с цел да се ограничи финансовата експозиция и да се гарантира по-голяма гъвкавост на бюджета;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отбелязва, че липсата на клаузи за неучастие, които позволяват бързо прекратяване на договорите за наем, продължава да представлява финансов риск за агенциите на ЕС; припомня, че значението на включването на такива клаузи в договорите за наем стана очевидно във връзка с трудностите, с които се сблъска Европейската агенция по лекарствата (EMA) след излизането на Обединеното кралство от ЕС, като Агенцията не можа да прекрати дългосрочния си договор за наем на сграда в Лондон и в резултат на това трябваше да плаща наем както в Лондон, така и в Амстердам; признава, че от 2019 г. насам няколко агенции са въвели клаузи за спиране на изпълнението на договорите, но отбелязва, че не всички агенции са направили това, включително в някои случаи бяха подписани нови договори или бяха подновени договори за наем на сгради, без да бъдат включени такива разпоредби; настоятелно призовава агенциите и Комисията да </w:t>
            </w:r>
            <w:r>
              <w:rPr>
                <w:b/>
                <w:i/>
              </w:rPr>
              <w:t>оценяват</w:t>
            </w:r>
            <w:r>
              <w:t xml:space="preserve"> систематично </w:t>
            </w:r>
            <w:r>
              <w:rPr>
                <w:b/>
                <w:i/>
              </w:rPr>
              <w:t>необходимостта от</w:t>
            </w:r>
            <w:r>
              <w:t xml:space="preserve"> клаузи за спиране на изпълнението на договорите при договарянето или подновяването на договорите за наем на сгради, като се вземат предвид поуките, извлечени от миналия опит, с цел да се ограничи финансовата експозиция и да се </w:t>
            </w:r>
            <w:r>
              <w:rPr>
                <w:b/>
                <w:i/>
              </w:rPr>
              <w:t>гарантира по-голяма гъвкавост на бюджета</w:t>
            </w:r>
            <w:r>
              <w:t>;</w:t>
            </w:r>
          </w:p>
        </w:tc>
        <w:tc>
          <w:tcPr>
            <w:tcW w:w="4876" w:type="dxa"/>
            <w:tcBorders>
              <w:top w:val="nil"/>
              <w:left w:val="nil"/>
              <w:bottom w:val="nil"/>
              <w:right w:val="nil"/>
            </w:tcBorders>
          </w:tcPr>
          <w:p>
            <w:pPr>
              <w:pStyle w:val="Normal6a"/>
            </w:pPr>
            <w:r>
              <w:t>16.</w:t>
            </w:r>
            <w:r>
              <w:tab/>
            </w:r>
            <w:r>
              <w:t xml:space="preserve">отбелязва </w:t>
            </w:r>
            <w:r>
              <w:rPr>
                <w:b/>
                <w:i/>
              </w:rPr>
              <w:t>с тревога</w:t>
            </w:r>
            <w:r>
              <w:t>, че липсата на клаузи за неучастие, които позволяват бързо прекратяване на договорите за наем, продължава да представлява финансов риск за агенциите на ЕС; припомня, че значението на включването на такива клаузи в договорите за наем стана очевидно във връзка с трудностите, с които се сблъска Европейската агенция по лекарствата (EMA)</w:t>
            </w:r>
            <w:r>
              <w:rPr>
                <w:b/>
                <w:i/>
              </w:rPr>
              <w:t>, която може да се окаже задължена да плати 543 милиона евро по договора за наем на бившите си помещения в Лондон, чийто срок на действие е до 2039 г., въпреки преотдаването на помещенията под наем на дружество, което наскоро е предоговорило договора за наем с намаление;</w:t>
            </w:r>
            <w:r>
              <w:t xml:space="preserve"> </w:t>
            </w:r>
            <w:r>
              <w:rPr>
                <w:b/>
                <w:i/>
              </w:rPr>
              <w:t>поради това изразява съжаление, че в края на 2024 г. EMA е предвидила провизия за обременяващ договор в размер на 122,1 млн. евро, частично възстановена от ЕК</w:t>
            </w:r>
            <w:r>
              <w:t xml:space="preserve"> след излизането на Обединеното кралство от ЕС, </w:t>
            </w:r>
            <w:r>
              <w:rPr>
                <w:b/>
                <w:i/>
              </w:rPr>
              <w:t>след</w:t>
            </w:r>
            <w:r>
              <w:t xml:space="preserve"> като Агенцията не можа да прекрати дългосрочния си договор за наем на сграда в Лондон и в резултат на това трябваше да плаща наем както в Лондон, така и в Амстердам; признава, че от 2019 г. насам няколко агенции са въвели клаузи за спиране на изпълнението на договорите, но отбелязва, че не всички агенции са направили това, включително в някои случаи бяха подписани нови договори или бяха подновени договори за наем на сгради, без да бъдат включени такива разпоредби</w:t>
            </w:r>
            <w:r>
              <w:rPr>
                <w:b/>
                <w:i/>
              </w:rPr>
              <w:t>, което показва стряскащо ниво на аматьорство или дори безразличие към използването на парите на данъкоплатците в държавите – членки на ЕС</w:t>
            </w:r>
            <w:r>
              <w:t xml:space="preserve">; настоятелно призовава агенциите и Комисията да </w:t>
            </w:r>
            <w:r>
              <w:rPr>
                <w:b/>
                <w:i/>
              </w:rPr>
              <w:t>въвеждат</w:t>
            </w:r>
            <w:r>
              <w:t xml:space="preserve"> систематично клаузи за спиране на изпълнението на договорите при договарянето или подновяването на договорите за наем на сгради, като се вземат предвид поуките, извлечени от миналия опит, с цел да се ограничи финансовата експозиция и </w:t>
            </w:r>
            <w:r>
              <w:rPr>
                <w:b/>
                <w:i/>
              </w:rPr>
              <w:t>по този начин</w:t>
            </w:r>
            <w:r>
              <w:t xml:space="preserve"> да се </w:t>
            </w:r>
            <w:r>
              <w:rPr>
                <w:b/>
                <w:i/>
              </w:rPr>
              <w:t>спре разхищаването на парите на гражданите на държавите – членки на ЕС</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отбелязва със загриженост, че общият бюджет на 33-те децентрализирани агенции е нараснал от 3,6 милиарда евро през 2023 г. на 4,1 милиарда евро през 2024 г., което представлява увеличение с приблизително 14%;</w:t>
            </w:r>
            <w:r>
              <w:t xml:space="preserve"> </w:t>
            </w:r>
            <w:r>
              <w:rPr>
                <w:b/>
                <w:i/>
              </w:rPr>
              <w:t>подчертава, че общата тенденция трябва да бъде оценена с оглед на фискалната позиция на ЕС;</w:t>
            </w:r>
            <w:r>
              <w:t xml:space="preserve"> </w:t>
            </w:r>
            <w:r>
              <w:rPr>
                <w:b/>
                <w:i/>
              </w:rPr>
              <w:t>призовава Комисията да представи цялостен анализ на кумулативните разходи за разширяването на агенциите през последните пет години, включително разбивка между обусловения от мандата растеж и органичното административно разширяване, както и да гарантира, че всяко по-нататъшно увеличение е строго обосновано от доказуема добавена стойност;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изразява загриженост, че общият бюджет на агенциите се е увеличил повече от два пъти за 10 години, достигайки 5,3 милиарда евро през 2024 г. (в сравнение с 4,7 милиарда евро през 2023 г.), което представлява 4% от общия бюджет на Съюза за 2024 г. (в сравнение с 3% през 2023 г.)</w:t>
            </w:r>
            <w:r>
              <w:rPr>
                <w:b/>
                <w:i/>
                <w:vertAlign w:val="superscript"/>
              </w:rPr>
              <w:t>7 у</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у</w:t>
            </w:r>
            <w:r>
              <w:t xml:space="preserve"> </w:t>
            </w:r>
            <w:r>
              <w:rPr>
                <w:b/>
                <w:i/>
              </w:rPr>
              <w:t>https://www.eca.europa.eu/ECAPublications/SAR-AGENCIES-2024/SAR-AGENCIES-2024_BG.pdf.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18а.</w:t>
            </w:r>
            <w:r>
              <w:tab/>
            </w:r>
            <w:r>
              <w:rPr>
                <w:b/>
                <w:i/>
              </w:rPr>
              <w:t>подчертава, че бюджетните увеличения за агенциите трябва да бъдат придружени от съразмерно укрепване на управлението, вътрешния контрол, капацитета на персонала и планирането на усвояването;</w:t>
            </w:r>
            <w:r>
              <w:t xml:space="preserve"> </w:t>
            </w:r>
            <w:r>
              <w:rPr>
                <w:b/>
                <w:i/>
              </w:rPr>
              <w:t>предупреждава, че постоянният растеж на бюджета без съответен административен и контролен капацитет увеличава риска от нередности, преноси и неефективни разходи;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18б.</w:t>
            </w:r>
            <w:r>
              <w:tab/>
            </w:r>
            <w:r>
              <w:rPr>
                <w:b/>
                <w:i/>
              </w:rPr>
              <w:t>посочва, че бюджетът на Frontex се е увеличил от 118 милиона евро през 2011 г. на 922 милиона евро през 2024 г., което представлява най-значителното увеличение на бюджета сред агенциите през последните години;</w:t>
            </w:r>
            <w:r>
              <w:t xml:space="preserve"> </w:t>
            </w:r>
            <w:r>
              <w:rPr>
                <w:b/>
                <w:i/>
              </w:rPr>
              <w:t>счита, че всяко допълнително увеличение на бюджета за Frontex трябва да бъде строго обвързано с доказуеми подобрения в спазването на основните права, прозрачността, капацитета за усвояване и ефективните последващи действия във връзка с препоръките на Парламента, Омбудсмана, OLAF и служителя по въпросите на основните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18в.</w:t>
            </w:r>
            <w:r>
              <w:tab/>
            </w:r>
            <w:r>
              <w:rPr>
                <w:b/>
                <w:i/>
              </w:rPr>
              <w:t>отбелязва, че Агенцията на Европейския съюз за основните права (FRA) продължава да функционира със сравнително ограничени бюджетни и човешки ресурси въпреки постоянно нарастващите очаквания към нея да подкрепя институциите, органите и агенциите на Съюза за гарантирането на съобразено с основните права прилагане на правото на Съюза;</w:t>
            </w:r>
            <w:r>
              <w:t xml:space="preserve"> </w:t>
            </w:r>
            <w:r>
              <w:rPr>
                <w:b/>
                <w:i/>
              </w:rPr>
              <w:t>подчертава, че този структурен недостиг на ресурси контрастира с разширяването на мандатите и бюджетите на агенциите, които упражняват оперативни правомощия или правомощия за правоприлагане;</w:t>
            </w:r>
            <w:r>
              <w:t xml:space="preserve"> </w:t>
            </w:r>
            <w:r>
              <w:rPr>
                <w:b/>
                <w:i/>
              </w:rPr>
              <w:t>призовава Комисията и бюджетния орган да предоставят на FRA адекватни, стабилни и предвидими ресурси, съизмерими с хоризонталната ѝ роля на пазител на основните права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отбелязва, че увеличението на бюджета на ЕАОС за 2024 г. отразява </w:t>
            </w:r>
            <w:r>
              <w:rPr>
                <w:b/>
                <w:i/>
              </w:rPr>
              <w:t>новите</w:t>
            </w:r>
            <w:r>
              <w:t xml:space="preserve"> законодателни мандати и </w:t>
            </w:r>
            <w:r>
              <w:rPr>
                <w:b/>
                <w:i/>
              </w:rPr>
              <w:t>текущите</w:t>
            </w:r>
            <w:r>
              <w:t xml:space="preserve"> оперативни </w:t>
            </w:r>
            <w:r>
              <w:rPr>
                <w:b/>
                <w:i/>
              </w:rPr>
              <w:t>нужди, като чрез набирането на персонал бяха подкрепени Регламентът за възстановяване</w:t>
            </w:r>
            <w:r>
              <w:t xml:space="preserve"> на природата </w:t>
            </w:r>
            <w:r>
              <w:rPr>
                <w:b/>
                <w:i/>
              </w:rPr>
              <w:t>(приет в края на 2024 г.), преработеният текст на Регламента за Европейския регистър за изпускането и преноса на замърсители (ЕРИПЗ), сертифицирането на ЕС във връзка с поглъщането на въглерод и въглеродното земеделие (ПВВЗ) и инициативата за разширен мониторинг</w:t>
            </w:r>
            <w:r>
              <w:t xml:space="preserve"> на емисиите </w:t>
            </w:r>
            <w:r>
              <w:rPr>
                <w:b/>
                <w:i/>
              </w:rPr>
              <w:t>от тежкотоварни превозни средства</w:t>
            </w:r>
            <w:r>
              <w:t>; отбелязва освен това</w:t>
            </w:r>
            <w:r>
              <w:rPr>
                <w:b/>
                <w:i/>
              </w:rPr>
              <w:t>, че Агенцията също така е изпълнявала задачи по преразгледания Регламент относно земеползването, промените в земеползването и горското стопанство (2023 г.);</w:t>
            </w:r>
            <w:r>
              <w:t xml:space="preserve"> </w:t>
            </w:r>
            <w:r>
              <w:rPr>
                <w:b/>
                <w:i/>
              </w:rPr>
              <w:t>разбира също така</w:t>
            </w:r>
            <w:r>
              <w:t xml:space="preserve">, че новите споразумения за нивото на обслужване с ГД „Морско дело и рибарство“, ГД „Здравеопазване и безопасност на храните“ и ГД „Научни изследвания и иновации“ са разширили ролята на Агенцията във връзка с възстановяването на океаните и водите, </w:t>
            </w:r>
            <w:r>
              <w:rPr>
                <w:b/>
                <w:i/>
              </w:rPr>
              <w:t>заплахите за</w:t>
            </w:r>
            <w:r>
              <w:t xml:space="preserve"> здравето и интегрирането на данните за околната среда, като по този начин се </w:t>
            </w:r>
            <w:r>
              <w:rPr>
                <w:b/>
                <w:i/>
              </w:rPr>
              <w:t>увеличи подкрепата от страна</w:t>
            </w:r>
            <w:r>
              <w:t xml:space="preserve"> на Съюза за </w:t>
            </w:r>
            <w:r>
              <w:rPr>
                <w:b/>
                <w:i/>
              </w:rPr>
              <w:t>климата, биологичното разнообразие и политиката</w:t>
            </w:r>
            <w:r>
              <w:t>;</w:t>
            </w:r>
          </w:p>
        </w:tc>
        <w:tc>
          <w:tcPr>
            <w:tcW w:w="4876" w:type="dxa"/>
            <w:tcBorders>
              <w:top w:val="nil"/>
              <w:left w:val="nil"/>
              <w:bottom w:val="nil"/>
              <w:right w:val="nil"/>
            </w:tcBorders>
          </w:tcPr>
          <w:p>
            <w:pPr>
              <w:pStyle w:val="Normal6a"/>
            </w:pPr>
            <w:r>
              <w:t>19.</w:t>
            </w:r>
            <w:r>
              <w:tab/>
            </w:r>
            <w:r>
              <w:t xml:space="preserve">отбелязва, че увеличението на бюджета на ЕАОС за 2024 г. отразява </w:t>
            </w:r>
            <w:r>
              <w:rPr>
                <w:b/>
                <w:i/>
              </w:rPr>
              <w:t>разширяването на нейните</w:t>
            </w:r>
            <w:r>
              <w:t xml:space="preserve"> законодателни мандати и оперативни </w:t>
            </w:r>
            <w:r>
              <w:rPr>
                <w:b/>
                <w:i/>
              </w:rPr>
              <w:t>отговорности, произтичащи от изпълнението на Европейския зелен пакт, включително работата по възстановяването</w:t>
            </w:r>
            <w:r>
              <w:t xml:space="preserve"> на природата</w:t>
            </w:r>
            <w:r>
              <w:rPr>
                <w:b/>
                <w:i/>
              </w:rPr>
              <w:t>, мониторинга</w:t>
            </w:r>
            <w:r>
              <w:t xml:space="preserve"> на емисиите</w:t>
            </w:r>
            <w:r>
              <w:rPr>
                <w:b/>
                <w:i/>
              </w:rPr>
              <w:t>, управлението на въглеродните емисии, докладването на замърсителите и политиките в областта на земеползването;</w:t>
            </w:r>
            <w:r>
              <w:t xml:space="preserve"> </w:t>
            </w:r>
            <w:r>
              <w:rPr>
                <w:b/>
                <w:i/>
              </w:rPr>
              <w:t>подчертава, че целенасоченото увеличаване на персонала е позволило на Агенцията да реагира ефективно на тези нови задачи и да повиши качеството, навременността и научната обоснованост на своите анализи</w:t>
            </w:r>
            <w:r>
              <w:t xml:space="preserve">; отбелязва освен това, че новите споразумения за нивото на обслужване с ГД „Морско дело и рибарство“, ГД „Здравеопазване и безопасност на храните“ и ГД „Научни изследвания и иновации“ са разширили ролята на Агенцията във връзка с възстановяването на океаните и водите, </w:t>
            </w:r>
            <w:r>
              <w:rPr>
                <w:b/>
                <w:i/>
              </w:rPr>
              <w:t>свързаните със</w:t>
            </w:r>
            <w:r>
              <w:t xml:space="preserve"> здравето </w:t>
            </w:r>
            <w:r>
              <w:rPr>
                <w:b/>
                <w:i/>
              </w:rPr>
              <w:t>заплахи за околната среда</w:t>
            </w:r>
            <w:r>
              <w:t xml:space="preserve"> и интегрирането на данните за околната среда, като по този начин се </w:t>
            </w:r>
            <w:r>
              <w:rPr>
                <w:b/>
                <w:i/>
              </w:rPr>
              <w:t>укрепи цялостният капацитет</w:t>
            </w:r>
            <w:r>
              <w:t xml:space="preserve"> на Съюза за </w:t>
            </w:r>
            <w:r>
              <w:rPr>
                <w:b/>
                <w:i/>
              </w:rPr>
              <w:t>изпълнение на приоритетите на Зеления пакт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отбелязва, че увеличението на бюджета на ЕАОС за 2024 г. отразява новите законодателни мандати и текущите оперативни нужди, като чрез набирането на персонал бяха подкрепени Регламентът за възстановяване на природата (приет в края на 2024 г.), преработеният текст на Регламента за Европейския регистър за изпускането и преноса на замърсители (ЕРИПЗ), сертифицирането на ЕС във връзка с поглъщането на въглерод и въглеродното земеделие (ПВВЗ) и инициативата за разширен мониторинг на емисиите от тежкотоварни превозни средства; отбелязва освен това, че Агенцията също така е изпълнявала задачи по преразгледания Регламент относно земеползването, промените в земеползването и горското стопанство (2023 г.); разбира също така, че новите споразумения за нивото на обслужване с ГД „Морско дело и рибарство“, ГД „Здравеопазване и безопасност на храните“ и ГД „Научни изследвания и иновации“ са разширили ролята на Агенцията във връзка с възстановяването на океаните и водите, заплахите за здравето и интегрирането на данните за околната среда, </w:t>
            </w:r>
            <w:r>
              <w:rPr>
                <w:b/>
                <w:i/>
              </w:rPr>
              <w:t>като по този начин се увеличи подкрепата от страна</w:t>
            </w:r>
            <w:r>
              <w:t xml:space="preserve"> на Съюза </w:t>
            </w:r>
            <w:r>
              <w:rPr>
                <w:b/>
                <w:i/>
              </w:rPr>
              <w:t>за климата, биологичното разнообразие и</w:t>
            </w:r>
            <w:r>
              <w:t xml:space="preserve"> политиката;</w:t>
            </w:r>
          </w:p>
        </w:tc>
        <w:tc>
          <w:tcPr>
            <w:tcW w:w="4876" w:type="dxa"/>
            <w:tcBorders>
              <w:top w:val="nil"/>
              <w:left w:val="nil"/>
              <w:bottom w:val="nil"/>
              <w:right w:val="nil"/>
            </w:tcBorders>
          </w:tcPr>
          <w:p>
            <w:pPr>
              <w:pStyle w:val="Normal6a"/>
            </w:pPr>
            <w:r>
              <w:t>19.</w:t>
            </w:r>
            <w:r>
              <w:tab/>
            </w:r>
            <w:r>
              <w:t xml:space="preserve">отбелязва, че увеличението на бюджета на ЕАОС за 2024 г. </w:t>
            </w:r>
            <w:r>
              <w:rPr>
                <w:b/>
                <w:i/>
              </w:rPr>
              <w:t>с 33,56%</w:t>
            </w:r>
            <w:r>
              <w:t xml:space="preserve"> отразява новите законодателни мандати и текущите оперативни нужди, като чрез набирането на персонал бяха подкрепени Регламентът за възстановяване на природата (приет в края на 2024 г.), преработеният текст на Регламента за Европейския регистър за изпускането и преноса на замърсители (ЕРИПЗ), сертифицирането на ЕС във връзка с поглъщането на въглерод и въглеродното земеделие (ПВВЗ) и инициативата за разширен мониторинг на емисиите от тежкотоварни превозни средства; отбелязва освен това, че Агенцията също така е изпълнявала задачи по преразгледания Регламент относно земеползването, промените в земеползването и горското стопанство (2023 г.); разбира също така, че новите споразумения за нивото на обслужване с ГД „Морско дело и рибарство“, ГД „Здравеопазване и безопасност на храните“ и ГД „Научни изследвания и иновации“ са разширили ролята на Агенцията във връзка с възстановяването на океаните и водите, заплахите за здравето и интегрирането на данните за околната среда, </w:t>
            </w:r>
            <w:r>
              <w:rPr>
                <w:b/>
                <w:i/>
              </w:rPr>
              <w:t>предоставяйки данни и анализи, които да послужат за основа на политиката</w:t>
            </w:r>
            <w:r>
              <w:t xml:space="preserve"> на Съюза </w:t>
            </w:r>
            <w:r>
              <w:rPr>
                <w:b/>
                <w:i/>
              </w:rPr>
              <w:t>в областта на околната среда;</w:t>
            </w:r>
            <w:r>
              <w:t xml:space="preserve"> </w:t>
            </w:r>
            <w:r>
              <w:rPr>
                <w:b/>
                <w:i/>
              </w:rPr>
              <w:t>подчертава, че подобно значително увеличение на бюджета изисква строга обосновка на разходите и ползите;</w:t>
            </w:r>
            <w:r>
              <w:t xml:space="preserve"> </w:t>
            </w:r>
            <w:r>
              <w:rPr>
                <w:b/>
                <w:i/>
              </w:rPr>
              <w:t>настоява разширените дейности на ЕАОС за мониторинг на околната среда да зачитат принципа на технологична неутралност и да се основават на обективни научни данни вместо на предварително определени резултати от</w:t>
            </w:r>
            <w:r>
              <w:t xml:space="preserve"> политиката; </w:t>
            </w:r>
            <w:r>
              <w:rPr>
                <w:b/>
                <w:i/>
              </w:rPr>
              <w:t>подчертава, че рамките за мониторинг следва да обхващат пълния набор от налични технологии и подходи, включително техните съответни разходи за предприятията, държавите членки и данъкоплатците;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счита, че ENISA се намира в критично положение поради все по-сложните потребности на Съюза в областта на киберсигурността и </w:t>
            </w:r>
            <w:r>
              <w:rPr>
                <w:b/>
                <w:i/>
              </w:rPr>
              <w:t>липсата на пропорционално финансиране и подходящ персонал;</w:t>
            </w:r>
            <w:r>
              <w:t xml:space="preserve"> </w:t>
            </w:r>
            <w:r>
              <w:rPr>
                <w:b/>
                <w:i/>
              </w:rPr>
              <w:t>подкрепя</w:t>
            </w:r>
            <w:r>
              <w:t xml:space="preserve"> заключенията на Съвета относно ENISA от декември 2024 г., в които се подчертава централната роля на ENISA в системата за киберсигурност на Съюза и необходимостта от привеждане на финансирането и ресурсите в съответствие с разширения мандат на Агенцията;</w:t>
            </w:r>
          </w:p>
        </w:tc>
        <w:tc>
          <w:tcPr>
            <w:tcW w:w="4876" w:type="dxa"/>
            <w:tcBorders>
              <w:top w:val="nil"/>
              <w:left w:val="nil"/>
              <w:bottom w:val="nil"/>
              <w:right w:val="nil"/>
            </w:tcBorders>
          </w:tcPr>
          <w:p>
            <w:pPr>
              <w:pStyle w:val="Normal6a"/>
            </w:pPr>
            <w:r>
              <w:t>23.</w:t>
            </w:r>
            <w:r>
              <w:tab/>
            </w:r>
            <w:r>
              <w:t xml:space="preserve">счита, че ENISA се намира в критично положение поради все по-сложните потребности на Съюза в областта на киберсигурността и </w:t>
            </w:r>
            <w:r>
              <w:rPr>
                <w:b/>
                <w:i/>
              </w:rPr>
              <w:t>необходимостта от пропорционална численост на персонала;</w:t>
            </w:r>
            <w:r>
              <w:t xml:space="preserve"> </w:t>
            </w:r>
            <w:r>
              <w:rPr>
                <w:b/>
                <w:i/>
              </w:rPr>
              <w:t>отбелязва</w:t>
            </w:r>
            <w:r>
              <w:t xml:space="preserve"> заключенията на Съвета относно ENISA от декември 2024 г., в които се подчертава централната роля на ENISA в системата за киберсигурност на Съюза и необходимостта от привеждане на финансирането и ресурсите в съответствие с разширения мандат на Агенцията; </w:t>
            </w:r>
            <w:r>
              <w:rPr>
                <w:b/>
                <w:i/>
              </w:rPr>
              <w:t>подчертава обаче, че всички допълнителни ресурси трябва да бъдат придружени от измерими цели за изпълнение и редовно докладване относно постигнатите конкретни резултати, така че органът по освобождаване от отговорност да може да оцени икономическата ефективност;</w:t>
            </w:r>
            <w:r>
              <w:t xml:space="preserve"> </w:t>
            </w:r>
            <w:r>
              <w:rPr>
                <w:b/>
                <w:i/>
              </w:rPr>
              <w:t>подчертава обаче, че всички допълнителни ресурси трябва да бъдат придружени от измерими цели за изпълнение и редовно докладване относно постигнатите конкретни резултати, така че органът по освобождаване от отговорност да може да оцени икономическата ефективност;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счита</w:t>
            </w:r>
            <w:r>
              <w:t>, че ENISA се намира в критично положение поради все по-сложните потребности на Съюза в областта на киберсигурността и липсата на пропорционално финансиране и подходящ персонал; подкрепя заключенията на Съвета относно ENISA от декември 2024 г., в които се подчертава централната роля на ENISA в системата за киберсигурност на Съюза и необходимостта от привеждане на финансирането и ресурсите в съответствие с разширения мандат на Агенцията;</w:t>
            </w:r>
          </w:p>
        </w:tc>
        <w:tc>
          <w:tcPr>
            <w:tcW w:w="4876" w:type="dxa"/>
            <w:tcBorders>
              <w:top w:val="nil"/>
              <w:left w:val="nil"/>
              <w:bottom w:val="nil"/>
              <w:right w:val="nil"/>
            </w:tcBorders>
          </w:tcPr>
          <w:p>
            <w:pPr>
              <w:pStyle w:val="Normal6a"/>
            </w:pPr>
            <w:r>
              <w:t>23.</w:t>
            </w:r>
            <w:r>
              <w:tab/>
            </w:r>
            <w:r>
              <w:rPr>
                <w:b/>
                <w:i/>
              </w:rPr>
              <w:t>изразява сериозна загриженост</w:t>
            </w:r>
            <w:r>
              <w:t>, че ENISA се намира в критично положение поради все по-сложните потребности на Съюза в областта на киберсигурността</w:t>
            </w:r>
            <w:r>
              <w:rPr>
                <w:b/>
                <w:i/>
              </w:rPr>
              <w:t>, продължаващата ескалация на киберзаплахите</w:t>
            </w:r>
            <w:r>
              <w:t xml:space="preserve"> и липсата на пропорционално финансиране и подходящ персонал; подкрепя заключенията на Съвета относно ENISA от декември 2024 г., в които се подчертава централната роля на ENISA в системата за киберсигурност на Съюза и необходимостта от привеждане на финансирането и ресурсите в съответствие с разширения мандат на Агенцията;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отбелязва постепенното разширяване на мандата на Европол, включително наскоро приетите и предложени мерки за повишен капацитет за борба с тежката и организираната престъпност, като например контрабандата на мигранти, трафика на хора, киберпрестъпността и тероризма; припомня, че тези промени включват, наред с другото, засилено сътрудничество с частни организации чрез пряк обмен на данни, повишен капацитет за широкомащабен анализ на данни и подобрена оперативна помощ за държавите членки чрез специализирани екипи за подкрепа; подчертава, че ефективното изпълнение на тези допълнителни задачи изисква съответно увеличение на човешките ресурси в Европол; отбелязва </w:t>
            </w:r>
            <w:r>
              <w:rPr>
                <w:b/>
                <w:i/>
              </w:rPr>
              <w:t>обаче</w:t>
            </w:r>
            <w:r>
              <w:t>, че през 2024 г. бюджетът на Европол се е увеличил едва с 5,78%, спрямо 2023 г.</w:t>
            </w:r>
            <w:r>
              <w:rPr>
                <w:b/>
                <w:i/>
              </w:rPr>
              <w:t>;</w:t>
            </w:r>
            <w:r>
              <w:t xml:space="preserve"> </w:t>
            </w:r>
            <w:r>
              <w:rPr>
                <w:b/>
                <w:i/>
              </w:rPr>
              <w:t>следователно призовава настоятелно за допълнително увеличение на бюджета на Европол</w:t>
            </w:r>
            <w:r>
              <w:t xml:space="preserve">, за да се преодолее непрекъснатият недостиг на персонал </w:t>
            </w:r>
            <w:r>
              <w:rPr>
                <w:b/>
                <w:i/>
              </w:rPr>
              <w:t>и да се гарантира, че финансовите средства</w:t>
            </w:r>
            <w:r>
              <w:t xml:space="preserve"> на Европол </w:t>
            </w:r>
            <w:r>
              <w:rPr>
                <w:b/>
                <w:i/>
              </w:rPr>
              <w:t>са съизмерими с неговите все по-големи отговорности</w:t>
            </w:r>
            <w:r>
              <w:t>;</w:t>
            </w:r>
          </w:p>
        </w:tc>
        <w:tc>
          <w:tcPr>
            <w:tcW w:w="4876" w:type="dxa"/>
            <w:tcBorders>
              <w:top w:val="nil"/>
              <w:left w:val="nil"/>
              <w:bottom w:val="nil"/>
              <w:right w:val="nil"/>
            </w:tcBorders>
          </w:tcPr>
          <w:p>
            <w:pPr>
              <w:pStyle w:val="Normal6a"/>
            </w:pPr>
            <w:r>
              <w:t>25.</w:t>
            </w:r>
            <w:r>
              <w:tab/>
            </w:r>
            <w:r>
              <w:t xml:space="preserve">отбелязва постепенното разширяване на мандата на Европол, включително наскоро приетите и предложени мерки за повишен капацитет за борба с тежката и организираната престъпност, като например контрабандата на мигранти, трафика на хора, киберпрестъпността и тероризма; припомня, че тези промени включват, наред с другото, засилено сътрудничество с частни организации чрез пряк обмен на данни, повишен капацитет за широкомащабен анализ на данни и подобрена оперативна помощ за държавите членки чрез специализирани екипи за подкрепа; </w:t>
            </w:r>
            <w:r>
              <w:rPr>
                <w:b/>
                <w:i/>
              </w:rPr>
              <w:t>изтъква, че подобно разширяване на оперативните и аналитичните правомощия поражда значителни предизвикателства по отношение на демократичната отчетност, защитата на данните, спазването на основните права и ефективния надзор;</w:t>
            </w:r>
            <w:r>
              <w:t xml:space="preserve"> подчертава, че ефективното изпълнение на тези допълнителни задачи изисква съответно увеличение на човешките ресурси в Европол</w:t>
            </w:r>
            <w:r>
              <w:rPr>
                <w:b/>
                <w:i/>
              </w:rPr>
              <w:t>, но също така и стабилни вътрешни гаранции, достатъчен капацитет за спазване и засилени механизми за надзор</w:t>
            </w:r>
            <w:r>
              <w:t xml:space="preserve">; отбелязва </w:t>
            </w:r>
            <w:r>
              <w:rPr>
                <w:b/>
                <w:i/>
              </w:rPr>
              <w:t>във връзка с това</w:t>
            </w:r>
            <w:r>
              <w:t>, че през 2024 г. бюджетът на Европол се е увеличил едва с 5,78%, спрямо 2023 г.</w:t>
            </w:r>
            <w:r>
              <w:rPr>
                <w:b/>
                <w:i/>
              </w:rPr>
              <w:t>, което е недостатъчно</w:t>
            </w:r>
            <w:r>
              <w:t>, за да се преодолее непрекъснатият недостиг на персонал</w:t>
            </w:r>
            <w:r>
              <w:rPr>
                <w:b/>
                <w:i/>
              </w:rPr>
              <w:t>, особено в областите, свързани със спазването, защитата на данните и надзора;</w:t>
            </w:r>
            <w:r>
              <w:t xml:space="preserve"> </w:t>
            </w:r>
            <w:r>
              <w:rPr>
                <w:b/>
                <w:i/>
              </w:rPr>
              <w:t>поради това настоятелно призовава всяко допълнително увеличение на бюджета</w:t>
            </w:r>
            <w:r>
              <w:t xml:space="preserve"> на Европол </w:t>
            </w:r>
            <w:r>
              <w:rPr>
                <w:b/>
                <w:i/>
              </w:rPr>
              <w:t>да бъде обвързано с доказуеми подобрения в управлението, отчетността и зачитането на основните права, в съответствие с дългогодишните опасения на Парламента, изразени в предишни процедури по освобождаване от отговорност във връзка с изпълнението на бюджета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Дик Ериксон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отбелязва постепенното разширяване на мандата на Европол, включително наскоро приетите и предложени мерки за повишен капацитет за борба с тежката и организираната престъпност, като например контрабандата на мигранти, трафика на хора, киберпрестъпността и тероризма; припомня, че тези промени включват, наред с другото, засилено сътрудничество с частни организации чрез пряк обмен на данни, повишен капацитет за широкомащабен анализ на данни и подобрена оперативна помощ за държавите членки чрез специализирани екипи за подкрепа; подчертава, че ефективното изпълнение на тези допълнителни задачи изисква съответно увеличение на човешките ресурси в Европол; отбелязва обаче, че през 2024 г. бюджетът на Европол се е увеличил едва с 5,78%, спрямо 2023 г.; следователно призовава настоятелно за допълнително увеличение на бюджета на Европол, за да се преодолее непрекъснатият недостиг на персонал и да се гарантира, че финансовите средства на Европол са съизмерими с неговите все по-големи отговорности;</w:t>
            </w:r>
          </w:p>
        </w:tc>
        <w:tc>
          <w:tcPr>
            <w:tcW w:w="4876" w:type="dxa"/>
            <w:tcBorders>
              <w:top w:val="nil"/>
              <w:left w:val="nil"/>
              <w:bottom w:val="nil"/>
              <w:right w:val="nil"/>
            </w:tcBorders>
          </w:tcPr>
          <w:p>
            <w:pPr>
              <w:pStyle w:val="Normal6a"/>
            </w:pPr>
            <w:r>
              <w:t>25.</w:t>
            </w:r>
            <w:r>
              <w:tab/>
            </w:r>
            <w:r>
              <w:t xml:space="preserve">отбелязва постепенното разширяване на мандата на Европол, включително наскоро приетите и предложени мерки за повишен капацитет за борба с тежката и организираната престъпност, като например контрабандата на мигранти, трафика на хора, киберпрестъпността и тероризма; припомня, че тези промени включват, наред с другото, засилено сътрудничество с частни организации чрез пряк обмен на данни, повишен капацитет за широкомащабен анализ на данни и подобрена оперативна помощ за държавите членки чрез специализирани екипи за подкрепа; подчертава, че ефективното изпълнение на тези допълнителни задачи изисква съответно увеличение на човешките ресурси в Европол; отбелязва обаче, че през 2024 г. бюджетът на Европол се е увеличил едва с 5,78%, спрямо 2023 г.; следователно призовава настоятелно за допълнително увеличение на бюджета на Европол, за да се преодолее непрекъснатият недостиг на персонал и да се гарантира, че финансовите средства на Европол са съизмерими с неговите все по-големи отговорности; </w:t>
            </w:r>
            <w:r>
              <w:rPr>
                <w:b/>
                <w:i/>
              </w:rPr>
              <w:t>подчертава, че ролята на Европол в борбата с контрабандата на мигранти, трансграничната организирана престъпност и тероризма е с най-висок приоритет и че осигуряването на адекватни ресурси за тези основни задачи следва да има предимство пред не толкова спешните разходи на други места в структурата на агенциите;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подчертава, че Европейската агенция за гранична и брегова охрана (Frontex) трябва да съсредоточи ресурсите си върху основните си оперативни задачи, а именно наблюдението на границите на Шенгенското пространство, борбата с трансграничната престъпност и подкрепата за ефективните операции по връщане, които са от съществено значение за поддържането на надеждна рамка за управление на миграцията за Съюза;</w:t>
            </w:r>
            <w:r>
              <w:t xml:space="preserve"> </w:t>
            </w:r>
            <w:r>
              <w:rPr>
                <w:b/>
                <w:i/>
              </w:rPr>
              <w:t>призовава да продължи да се дава приоритет на набирането на персонал на първа линия по външните граници на Съюза и за съответно рационализиране на административните длъжности;</w:t>
            </w:r>
            <w:r>
              <w:t xml:space="preserve"> </w:t>
            </w:r>
            <w:r>
              <w:rPr>
                <w:b/>
                <w:i/>
              </w:rPr>
              <w:t>отбелязва, че общият процент на връщанията в Съюза продължава да бъде недостатъчен спрямо мащаба на незаконните миграционни потоци;</w:t>
            </w:r>
            <w:r>
              <w:t xml:space="preserve"> </w:t>
            </w:r>
            <w:r>
              <w:rPr>
                <w:b/>
                <w:i/>
              </w:rPr>
              <w:t>настоятелно призовава Frontex да укрепи още повече операциите си по връщане и да засили сътрудничеството с държавите членки и трети държави с цел подобряване на ефективността на програмите за връщане;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25б.</w:t>
            </w:r>
            <w:r>
              <w:tab/>
            </w:r>
            <w:r>
              <w:rPr>
                <w:b/>
                <w:i/>
              </w:rPr>
              <w:t>отбелязва продължаващите усилия на Frontex да укрепи ролята и капацитета на своя служител по въпросите на основните права;</w:t>
            </w:r>
            <w:r>
              <w:t xml:space="preserve"> </w:t>
            </w:r>
            <w:r>
              <w:rPr>
                <w:b/>
                <w:i/>
              </w:rPr>
              <w:t>подчертава, че дейностите на служителя по въпросите на основните права следва да допълват и подкрепят, а не да възпрепятстват ефективното изпълнение на оперативния мандат на Frontex, определен в учредителния ѝ регламент, а именно да подпомага държавите членки при защитата на външните граници, да подкрепя връщането на незаконни мигранти и да гарантира сигурността на Шенгенското пространство;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отбелязва, че персоналът</w:t>
            </w:r>
            <w:r>
              <w:t xml:space="preserve"> на Евроюст </w:t>
            </w:r>
            <w:r>
              <w:rPr>
                <w:b/>
                <w:i/>
              </w:rPr>
              <w:t>трябва да се увеличи</w:t>
            </w:r>
            <w:r>
              <w:t xml:space="preserve"> с оглед на предвидения му разширен мандат, така че да бъдат включени и трети държави, особено след </w:t>
            </w:r>
            <w:r>
              <w:rPr>
                <w:b/>
                <w:i/>
              </w:rPr>
              <w:t>инвазията в</w:t>
            </w:r>
            <w:r>
              <w:t xml:space="preserve"> Украйна през 2022 г., което да осигури възможност за Евроюст да събира, да съхранява и да анализира доказателства за сериозни международни престъпления (военни престъпления, геноцид, престъпления срещу човечеството) и да споделя тези доказателства с национални и международни органи, включително и Международния наказателен съд, като за целта се създаде специална база данни с доказателства за сериозни международни престъпления и по този начин се премине от обикновена подкрепа за разследванията към активна защита на важните доказателства за бъдещи разследвания; </w:t>
            </w:r>
            <w:r>
              <w:rPr>
                <w:b/>
                <w:i/>
              </w:rPr>
              <w:t>същевременно отбелязва, че бюджетът за 2024 г.</w:t>
            </w:r>
            <w:r>
              <w:t xml:space="preserve"> </w:t>
            </w:r>
            <w:r>
              <w:rPr>
                <w:b/>
                <w:i/>
              </w:rPr>
              <w:t>отразява само скромно процентно увеличение спрямо бюджета за 2023 г., и</w:t>
            </w:r>
            <w:r>
              <w:t xml:space="preserve"> настоятелно призовава финансирането за служителите да се увеличи съответно, заедно с общия бюджет, с оглед на очаквания бъдещ мандат;</w:t>
            </w:r>
          </w:p>
        </w:tc>
        <w:tc>
          <w:tcPr>
            <w:tcW w:w="4876" w:type="dxa"/>
            <w:tcBorders>
              <w:top w:val="nil"/>
              <w:left w:val="nil"/>
              <w:bottom w:val="nil"/>
              <w:right w:val="nil"/>
            </w:tcBorders>
          </w:tcPr>
          <w:p>
            <w:pPr>
              <w:pStyle w:val="Normal6a"/>
            </w:pPr>
            <w:r>
              <w:t>26.</w:t>
            </w:r>
            <w:r>
              <w:tab/>
            </w:r>
            <w:r>
              <w:rPr>
                <w:b/>
                <w:i/>
              </w:rPr>
              <w:t>призовава за увеличаване на числеността на персонала</w:t>
            </w:r>
            <w:r>
              <w:t xml:space="preserve"> на Евроюст с оглед на предвидения му разширен мандат, така че да бъдат включени и трети държави, особено след </w:t>
            </w:r>
            <w:r>
              <w:rPr>
                <w:b/>
                <w:i/>
              </w:rPr>
              <w:t>руската агресия срещу</w:t>
            </w:r>
            <w:r>
              <w:t xml:space="preserve"> Украйна през 2022 г., което да осигури възможност за Евроюст да събира, да съхранява и да анализира доказателства за сериозни международни престъпления (военни престъпления, геноцид, престъпления срещу човечеството) и да споделя тези доказателства с национални и международни органи, включително и Международния наказателен съд, като за целта се създаде специална база данни с доказателства за сериозни международни престъпления и по този начин се премине от обикновена подкрепа за разследванията към активна защита на важните доказателства за бъдещи разследвания; настоятелно призовава финансирането за служителите да се увеличи съответно, заедно с общия бюджет, с оглед на очаквания бъдещ мандат;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припомня, че в </w:t>
            </w:r>
            <w:r>
              <w:rPr>
                <w:b/>
                <w:i/>
              </w:rPr>
              <w:t>резолюциите</w:t>
            </w:r>
            <w:r>
              <w:t xml:space="preserve"> за освобождаване от отговорност във връзка с изпълнението на бюджета за 2023 г. вече </w:t>
            </w:r>
            <w:r>
              <w:rPr>
                <w:b/>
                <w:i/>
              </w:rPr>
              <w:t>бе</w:t>
            </w:r>
            <w:r>
              <w:t xml:space="preserve"> отбелязано </w:t>
            </w:r>
            <w:r>
              <w:rPr>
                <w:b/>
                <w:i/>
              </w:rPr>
              <w:t>значението на укрепването на капацитета</w:t>
            </w:r>
            <w:r>
              <w:t xml:space="preserve"> на европейските надзорни органи (ЕБО, ЕОЗППО и </w:t>
            </w:r>
            <w:r>
              <w:rPr>
                <w:b/>
                <w:i/>
              </w:rPr>
              <w:t>ESMA</w:t>
            </w:r>
            <w:r>
              <w:t xml:space="preserve">) </w:t>
            </w:r>
            <w:r>
              <w:rPr>
                <w:b/>
                <w:i/>
              </w:rPr>
              <w:t>за идентифициране и отделно отчитане на разходите за дейности, финансирани от различни източници на приходи;</w:t>
            </w:r>
            <w:r>
              <w:t xml:space="preserve"> </w:t>
            </w:r>
            <w:r>
              <w:rPr>
                <w:b/>
                <w:i/>
              </w:rPr>
              <w:t>знае, че техните учредителни регламенти</w:t>
            </w:r>
            <w:r>
              <w:t xml:space="preserve"> не предвиждат разделение между дейностите, </w:t>
            </w:r>
            <w:r>
              <w:rPr>
                <w:b/>
                <w:i/>
              </w:rPr>
              <w:t>които се финансират чрез</w:t>
            </w:r>
            <w:r>
              <w:t xml:space="preserve"> вноски </w:t>
            </w:r>
            <w:r>
              <w:rPr>
                <w:b/>
                <w:i/>
              </w:rPr>
              <w:t>от</w:t>
            </w:r>
            <w:r>
              <w:t xml:space="preserve"> Съюза, и дейностите, които се финансират чрез национални вноски</w:t>
            </w:r>
            <w:r>
              <w:rPr>
                <w:b/>
                <w:i/>
              </w:rPr>
              <w:t>, и че поради факта, че в регламентите няма ясно разграничение</w:t>
            </w:r>
            <w:r>
              <w:t xml:space="preserve"> между </w:t>
            </w:r>
            <w:r>
              <w:rPr>
                <w:b/>
                <w:i/>
              </w:rPr>
              <w:t>тези два</w:t>
            </w:r>
            <w:r>
              <w:t xml:space="preserve"> източника на финансиране</w:t>
            </w:r>
            <w:r>
              <w:rPr>
                <w:b/>
                <w:i/>
              </w:rPr>
              <w:t>, органите не правят разлика между разходите, които се покриват от бюджета на Съюза, и тези, които се финансират от държавите членки, както се подчертава в годишния доклад на Палатата за 2023 г.</w:t>
            </w:r>
            <w:r>
              <w:t>;</w:t>
            </w:r>
          </w:p>
        </w:tc>
        <w:tc>
          <w:tcPr>
            <w:tcW w:w="4876" w:type="dxa"/>
            <w:tcBorders>
              <w:top w:val="nil"/>
              <w:left w:val="nil"/>
              <w:bottom w:val="nil"/>
              <w:right w:val="nil"/>
            </w:tcBorders>
          </w:tcPr>
          <w:p>
            <w:pPr>
              <w:pStyle w:val="Normal6a"/>
            </w:pPr>
            <w:r>
              <w:t>30.</w:t>
            </w:r>
            <w:r>
              <w:tab/>
            </w:r>
            <w:r>
              <w:t xml:space="preserve">припомня, че в </w:t>
            </w:r>
            <w:r>
              <w:rPr>
                <w:b/>
                <w:i/>
              </w:rPr>
              <w:t>резолюцията</w:t>
            </w:r>
            <w:r>
              <w:t xml:space="preserve"> за освобождаване от отговорност във връзка с изпълнението на бюджета за 2023 г. вече </w:t>
            </w:r>
            <w:r>
              <w:rPr>
                <w:b/>
                <w:i/>
              </w:rPr>
              <w:t>беше</w:t>
            </w:r>
            <w:r>
              <w:t xml:space="preserve"> отбелязано</w:t>
            </w:r>
            <w:r>
              <w:rPr>
                <w:b/>
                <w:i/>
              </w:rPr>
              <w:t>, че учредителните регламенти</w:t>
            </w:r>
            <w:r>
              <w:t xml:space="preserve"> на европейските надзорни органи (ЕБО, ЕОЗППО и </w:t>
            </w:r>
            <w:r>
              <w:rPr>
                <w:b/>
                <w:i/>
              </w:rPr>
              <w:t>ЕОЦКП</w:t>
            </w:r>
            <w:r>
              <w:t xml:space="preserve">) не предвиждат разделение между дейностите, </w:t>
            </w:r>
            <w:r>
              <w:rPr>
                <w:b/>
                <w:i/>
              </w:rPr>
              <w:t>финансирани от</w:t>
            </w:r>
            <w:r>
              <w:t xml:space="preserve"> вноски </w:t>
            </w:r>
            <w:r>
              <w:rPr>
                <w:b/>
                <w:i/>
              </w:rPr>
              <w:t>на</w:t>
            </w:r>
            <w:r>
              <w:t xml:space="preserve"> Съюза, и дейностите, които се финансират чрез национални вноски</w:t>
            </w:r>
            <w:r>
              <w:rPr>
                <w:b/>
                <w:i/>
              </w:rPr>
              <w:t>;</w:t>
            </w:r>
            <w:r>
              <w:t xml:space="preserve"> </w:t>
            </w:r>
            <w:r>
              <w:rPr>
                <w:b/>
                <w:i/>
              </w:rPr>
              <w:t>отбелязва, че на практика цялостният механизъм за споделяне на разходите не изисква разграничаване на равнището на отделните дейности</w:t>
            </w:r>
            <w:r>
              <w:t xml:space="preserve"> между </w:t>
            </w:r>
            <w:r>
              <w:rPr>
                <w:b/>
                <w:i/>
              </w:rPr>
              <w:t>двата</w:t>
            </w:r>
            <w:r>
              <w:t xml:space="preserve"> източника на финансиране;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счита, че </w:t>
            </w:r>
            <w:r>
              <w:rPr>
                <w:b/>
                <w:i/>
              </w:rPr>
              <w:t>въвеждането на отделно счетоводно отчитане на разходите за дейностите на европейските надзорни органи би повишило</w:t>
            </w:r>
            <w:r>
              <w:t xml:space="preserve"> прозрачността</w:t>
            </w:r>
            <w:r>
              <w:rPr>
                <w:b/>
                <w:i/>
              </w:rPr>
              <w:t>,</w:t>
            </w:r>
            <w:r>
              <w:t xml:space="preserve"> отчетността </w:t>
            </w:r>
            <w:r>
              <w:rPr>
                <w:b/>
                <w:i/>
              </w:rPr>
              <w:t>и вземането на решения, което ще даде възможност на заинтересованите страни, включително държавите членки, финансовите институции и данъкоплатците, да оценяват по-добре ефикасността и справедливостта</w:t>
            </w:r>
            <w:r>
              <w:t xml:space="preserve">; подчертава, че </w:t>
            </w:r>
            <w:r>
              <w:rPr>
                <w:b/>
                <w:i/>
              </w:rPr>
              <w:t>настоящата липса на диференциация ограничава надзора и настоява, че приходите и разходите от</w:t>
            </w:r>
            <w:r>
              <w:t xml:space="preserve"> дейностите </w:t>
            </w:r>
            <w:r>
              <w:rPr>
                <w:b/>
                <w:i/>
              </w:rPr>
              <w:t>на европейските надзорни органи следва да се определят ясно, да се осчетоводяват отделно и да се оповестяват в годишните отчети и програмните документи</w:t>
            </w:r>
            <w:r>
              <w:t>;</w:t>
            </w:r>
          </w:p>
        </w:tc>
        <w:tc>
          <w:tcPr>
            <w:tcW w:w="4876" w:type="dxa"/>
            <w:tcBorders>
              <w:top w:val="nil"/>
              <w:left w:val="nil"/>
              <w:bottom w:val="nil"/>
              <w:right w:val="nil"/>
            </w:tcBorders>
          </w:tcPr>
          <w:p>
            <w:pPr>
              <w:pStyle w:val="Normal6a"/>
            </w:pPr>
            <w:r>
              <w:t>31.</w:t>
            </w:r>
            <w:r>
              <w:tab/>
            </w:r>
            <w:r>
              <w:t xml:space="preserve">счита, че </w:t>
            </w:r>
            <w:r>
              <w:rPr>
                <w:b/>
                <w:i/>
              </w:rPr>
              <w:t>в този контекст повишаването на</w:t>
            </w:r>
            <w:r>
              <w:t xml:space="preserve"> прозрачността </w:t>
            </w:r>
            <w:r>
              <w:rPr>
                <w:b/>
                <w:i/>
              </w:rPr>
              <w:t>при бюджетирането и докладването по дейности би допринесло за подобряване на надзора и</w:t>
            </w:r>
            <w:r>
              <w:t xml:space="preserve"> отчетността</w:t>
            </w:r>
            <w:r>
              <w:rPr>
                <w:b/>
                <w:i/>
              </w:rPr>
              <w:t>, по-специално за агенциите, финансирани от множество потоци от приходи</w:t>
            </w:r>
            <w:r>
              <w:t xml:space="preserve">; подчертава, че </w:t>
            </w:r>
            <w:r>
              <w:rPr>
                <w:b/>
                <w:i/>
              </w:rPr>
              <w:t>яснотата по отношение на връзката между източниците на приходи и</w:t>
            </w:r>
            <w:r>
              <w:t xml:space="preserve"> дейностите </w:t>
            </w:r>
            <w:r>
              <w:rPr>
                <w:b/>
                <w:i/>
              </w:rPr>
              <w:t>укрепва доверието в правилното използване на средствата на Съюза, като същевременно се спазва правната рамка, определена в учредителните регламенти на агенциите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изразява загриженост във връзка с отрицателния икономически резултат на CdT в размер на 5,7 милиона евро и продължаващия спад на оперативните приходи, свързан главно с намаляването на фактурираните страници с 11,4% за 2024 г. и със 17,6% за 2023 г.; отбелязва, че резервът за стабилност на цените, който беше създаден през 2011 г., за да компенсира колебанията в обема на поръчките от клиенти и да помогне на CdT да си осигури бюджетна и ценова стабилност, достигна до най-високата си стойност от 15,6 милиона евро през 2014 г. и спадна до 8,9 милиона евро през 2024 г. (намаление с 42,9% от 2014 г. насам); съзнава, че след като резервът бъде напълно изчерпан, всички по-нататъшни дефицити ще трябва да бъдат покривани със субсидии от бюджета на Съюза, както е предвидено в учредителния регламент на CdT; отбелязва последващия отговор на CdT във връзка с процедурата по освобождаване от отговорност за 2023 г. и призовава управителния съвет да продължи да докладва на органа по освобождаване от отговорност за евентуални промени в тези планове, предвид непрекъснатото намаляване на приходите; </w:t>
            </w:r>
            <w:r>
              <w:rPr>
                <w:b/>
                <w:i/>
              </w:rPr>
              <w:t>насърчава</w:t>
            </w:r>
            <w:r>
              <w:t xml:space="preserve"> CdT да </w:t>
            </w:r>
            <w:r>
              <w:rPr>
                <w:b/>
                <w:i/>
              </w:rPr>
              <w:t>идентифицира нови услуги, които той би могъл да предоставя, както и нови източници на приходи</w:t>
            </w:r>
            <w:r>
              <w:t xml:space="preserve">, предвид широкото разпространение на нови технологии за безплатен превод, </w:t>
            </w:r>
            <w:r>
              <w:rPr>
                <w:b/>
                <w:i/>
              </w:rPr>
              <w:t>които биха могли да засегнат броя на заявките за преводи</w:t>
            </w:r>
            <w:r>
              <w:t>;</w:t>
            </w:r>
          </w:p>
        </w:tc>
        <w:tc>
          <w:tcPr>
            <w:tcW w:w="4876" w:type="dxa"/>
            <w:tcBorders>
              <w:top w:val="nil"/>
              <w:left w:val="nil"/>
              <w:bottom w:val="nil"/>
              <w:right w:val="nil"/>
            </w:tcBorders>
          </w:tcPr>
          <w:p>
            <w:pPr>
              <w:pStyle w:val="Normal6a"/>
            </w:pPr>
            <w:r>
              <w:t>33.</w:t>
            </w:r>
            <w:r>
              <w:tab/>
            </w:r>
            <w:r>
              <w:t xml:space="preserve">изразява загриженост във връзка с отрицателния икономически резултат на CdT в размер на 5,7 милиона евро и продължаващия спад на оперативните приходи, свързан главно с намаляването на фактурираните страници с 11,4% за 2024 г. и със 17,6% за 2023 г.; отбелязва, че резервът за стабилност на цените, който беше създаден през 2011 г., за да компенсира колебанията в обема на поръчките от клиенти и да помогне на CdT да си осигури бюджетна и ценова стабилност, достигна до най-високата си стойност от 15,6 милиона евро през 2014 г. и спадна до 8,9 милиона евро през 2024 г. (намаление с 42,9% от 2014 г. насам); съзнава, че след като резервът бъде напълно изчерпан, всички по-нататъшни дефицити ще трябва да бъдат покривани със субсидии от бюджета на Съюза, както е предвидено в учредителния регламент на CdT; отбелязва последващия отговор на CdT във връзка с процедурата по освобождаване от отговорност за 2023 г. и призовава управителния съвет да продължи да докладва на органа по освобождаване от отговорност за евентуални промени в тези планове, предвид непрекъснатото намаляване на приходите; </w:t>
            </w:r>
            <w:r>
              <w:rPr>
                <w:b/>
                <w:i/>
              </w:rPr>
              <w:t>призовава</w:t>
            </w:r>
            <w:r>
              <w:t xml:space="preserve"> CdT да </w:t>
            </w:r>
            <w:r>
              <w:rPr>
                <w:b/>
                <w:i/>
              </w:rPr>
              <w:t>преосмисли дейностите си през годината и да обмисли възможността за съответно преразпределение на длъжностите</w:t>
            </w:r>
            <w:r>
              <w:t xml:space="preserve">, </w:t>
            </w:r>
            <w:r>
              <w:rPr>
                <w:b/>
                <w:i/>
              </w:rPr>
              <w:t>като се има</w:t>
            </w:r>
            <w:r>
              <w:t xml:space="preserve"> предвид широкото разпространение на нови технологии за безплатен превод, </w:t>
            </w:r>
            <w:r>
              <w:rPr>
                <w:b/>
                <w:i/>
              </w:rPr>
              <w:t>което обяснява постоянния и траен спад в неговата дейност, с цел да се намали бюджетът, отпускан от органите, използващи неговите услуги;</w:t>
            </w:r>
            <w:r>
              <w:t xml:space="preserve"> </w:t>
            </w:r>
            <w:r>
              <w:rPr>
                <w:b/>
                <w:i/>
              </w:rPr>
              <w:t>призовава да се обмисли възможността за прекратяване на мандата на агенцията</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настоява </w:t>
            </w:r>
            <w:r>
              <w:rPr>
                <w:b/>
                <w:i/>
              </w:rPr>
              <w:t>върху факта</w:t>
            </w:r>
            <w:r>
              <w:t xml:space="preserve">, че макар Финансовият регламент </w:t>
            </w:r>
            <w:r>
              <w:rPr>
                <w:b/>
                <w:i/>
              </w:rPr>
              <w:t>да</w:t>
            </w:r>
            <w:r>
              <w:t xml:space="preserve"> не поставя таван за преноса на бюджетни кредити, </w:t>
            </w:r>
            <w:r>
              <w:rPr>
                <w:b/>
                <w:i/>
              </w:rPr>
              <w:t>често отчитаното</w:t>
            </w:r>
            <w:r>
              <w:t xml:space="preserve"> високо равнище на </w:t>
            </w:r>
            <w:r>
              <w:rPr>
                <w:b/>
                <w:i/>
              </w:rPr>
              <w:t>преноси</w:t>
            </w:r>
            <w:r>
              <w:t xml:space="preserve"> на бюджетни кредити нарушава бюджетния принцип за ежегодност и </w:t>
            </w:r>
            <w:r>
              <w:rPr>
                <w:b/>
                <w:i/>
              </w:rPr>
              <w:t>може да е показателно за наличието</w:t>
            </w:r>
            <w:r>
              <w:t xml:space="preserve"> на структурни проблеми </w:t>
            </w:r>
            <w:r>
              <w:rPr>
                <w:b/>
                <w:i/>
              </w:rPr>
              <w:t>при бюджетния процес и цикъла на</w:t>
            </w:r>
            <w:r>
              <w:t xml:space="preserve"> изпълнение;</w:t>
            </w:r>
          </w:p>
        </w:tc>
        <w:tc>
          <w:tcPr>
            <w:tcW w:w="4876" w:type="dxa"/>
            <w:tcBorders>
              <w:top w:val="nil"/>
              <w:left w:val="nil"/>
              <w:bottom w:val="nil"/>
              <w:right w:val="nil"/>
            </w:tcBorders>
          </w:tcPr>
          <w:p>
            <w:pPr>
              <w:pStyle w:val="Normal6a"/>
            </w:pPr>
            <w:r>
              <w:t>34.</w:t>
            </w:r>
            <w:r>
              <w:tab/>
            </w:r>
            <w:r>
              <w:t xml:space="preserve">настоява, че макар </w:t>
            </w:r>
            <w:r>
              <w:rPr>
                <w:b/>
                <w:i/>
              </w:rPr>
              <w:t>че</w:t>
            </w:r>
            <w:r>
              <w:t xml:space="preserve"> Финансовият регламент не поставя таван за преноса на бюджетни кредити, </w:t>
            </w:r>
            <w:r>
              <w:rPr>
                <w:b/>
                <w:i/>
              </w:rPr>
              <w:t>повтарящото се</w:t>
            </w:r>
            <w:r>
              <w:t xml:space="preserve"> високо равнище на </w:t>
            </w:r>
            <w:r>
              <w:rPr>
                <w:b/>
                <w:i/>
              </w:rPr>
              <w:t>преносите</w:t>
            </w:r>
            <w:r>
              <w:t xml:space="preserve"> на бюджетни кредити нарушава бюджетния принцип за ежегодност и </w:t>
            </w:r>
            <w:r>
              <w:rPr>
                <w:b/>
                <w:i/>
              </w:rPr>
              <w:t>предполага наличие</w:t>
            </w:r>
            <w:r>
              <w:t xml:space="preserve"> на структурни проблеми </w:t>
            </w:r>
            <w:r>
              <w:rPr>
                <w:b/>
                <w:i/>
              </w:rPr>
              <w:t>в бюджетните процедури и изпълнението на бюджета;</w:t>
            </w:r>
            <w:r>
              <w:t xml:space="preserve"> </w:t>
            </w:r>
            <w:r>
              <w:rPr>
                <w:b/>
                <w:i/>
              </w:rPr>
              <w:t>призовава Комисията да изиска от агенциите с повтарящи се преноси на бюджетни кредити, надвишаващи 15 %, да представят планове за корективни действия в срок от шест месеца, включително оценка на това дали поисканите бюджетни кредити са приведени в съответствие с действителния капацитет за</w:t>
            </w:r>
            <w:r>
              <w:t xml:space="preserve"> изпълнение;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отбелязва, че през 2024 г. 11 агенции (ACER, ECDC, EFCA, EIGE, ЕОТ, EMA, ENISA, ESA, eu-LISA, EU-OSHA, Eurofound, EUSPA, FRA и Frontex) са имали равнище на преносите, надвишаващо 15%, при комбинираните бюджетни дялове, с повтарящи се тенденции; отбелязва, че в случаите на Frontex и ESA преносите надхвърлят съответно 40% и 30%;</w:t>
            </w:r>
          </w:p>
        </w:tc>
        <w:tc>
          <w:tcPr>
            <w:tcW w:w="4876" w:type="dxa"/>
            <w:tcBorders>
              <w:top w:val="nil"/>
              <w:left w:val="nil"/>
              <w:bottom w:val="nil"/>
              <w:right w:val="nil"/>
            </w:tcBorders>
          </w:tcPr>
          <w:p>
            <w:pPr>
              <w:pStyle w:val="Normal6a"/>
            </w:pPr>
            <w:r>
              <w:t>35.</w:t>
            </w:r>
            <w:r>
              <w:tab/>
            </w:r>
            <w:r>
              <w:t xml:space="preserve">отбелязва, че през 2024 г. 11 агенции (ACER, ECDC, EFCA, EIGE, ЕОТ, EMA, ENISA, ESA, eu-LISA, EU-OSHA, Eurofound, EUSPA, FRA и Frontex) са имали равнище на преносите, надвишаващо 15%, при комбинираните бюджетни дялове, с повтарящи се тенденции; отбелязва, че в случаите на Frontex и ESA преносите надхвърлят съответно 40% и 30%; </w:t>
            </w:r>
            <w:r>
              <w:rPr>
                <w:b/>
                <w:i/>
              </w:rPr>
              <w:t>призовава агенциите да подобрят многогодишното планиране, планирането на обществените поръчки и прогнозирането на поетите задължения, за да се гарантира, че бюджетните кредити се усвояват в рамките на финансовата година, за която са разрешени;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35а.</w:t>
            </w:r>
            <w:r>
              <w:tab/>
            </w:r>
            <w:r>
              <w:rPr>
                <w:b/>
                <w:i/>
              </w:rPr>
              <w:t>следователно отхвърля искането на FRA за по-голямо финансиране;</w:t>
            </w:r>
            <w:r>
              <w:t xml:space="preserve"> </w:t>
            </w:r>
            <w:r>
              <w:rPr>
                <w:b/>
                <w:i/>
              </w:rPr>
              <w:t>подчертава, че FRA следва да изпълнява мандата си с неутралност и прозрачност;</w:t>
            </w:r>
            <w:r>
              <w:t xml:space="preserve"> </w:t>
            </w:r>
            <w:r>
              <w:rPr>
                <w:b/>
                <w:i/>
              </w:rPr>
              <w:t xml:space="preserve">припомня, че бюджетът на Агенцията следва да се използва строго за безпристрастен, основан на данни анализ и за изпълнение на основните ѝ правни задачи; </w:t>
            </w:r>
            <w:r>
              <w:t xml:space="preserve"> </w:t>
            </w:r>
            <w:r>
              <w:rPr>
                <w:b/>
                <w:i/>
              </w:rPr>
              <w:t>поради това призовава да се сложи край на непрекъснатите опити на Агенцията за намеса в дейностите на институции и агенции, и по-специално на тези, които разполагат с вътрешен персонал, отговарящ за основните права;</w:t>
            </w:r>
            <w:r>
              <w:t xml:space="preserve"> </w:t>
            </w:r>
            <w:r>
              <w:rPr>
                <w:b/>
                <w:i/>
              </w:rPr>
              <w:t>призовава да се обмисли прекратяването на мандата на Агенцията, който дублира услугите, предоставяни от няколко агенции и с това ограничава нейната добавена стойност;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отбелязва, че през 2024 г. Frontex е пренесла 43 % от годишните бюджетни кредити за 2025 г. и че в годишния доклад на Европейската сметна палата относно агенциите на ЕС за финансовата 2024 година се подчертава, че повтарящите се високи равнища на преноси подкопават принципа на ежегодност на бюджета и са показателни за структурни проблеми в бюджетния процес и цикъла на изпълнение;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35б.</w:t>
            </w:r>
            <w:r>
              <w:tab/>
            </w:r>
            <w:r>
              <w:rPr>
                <w:b/>
                <w:i/>
              </w:rPr>
              <w:t>припомня, че агенциите следва да се съсредоточават върху основната си дейност;</w:t>
            </w:r>
            <w:r>
              <w:t xml:space="preserve"> </w:t>
            </w:r>
            <w:r>
              <w:rPr>
                <w:b/>
                <w:i/>
              </w:rPr>
              <w:t>осъжда намесата на една идеология, налагана през последните години от НПО с отчетливо леви позиции, които се подкрепят от Европейската комисия; </w:t>
            </w:r>
            <w:r>
              <w:t xml:space="preserve"> </w:t>
            </w:r>
            <w:r>
              <w:rPr>
                <w:b/>
                <w:i/>
              </w:rPr>
              <w:t>във връзка с това изразява съжаление относно увеличаването на персонала и бюджета, предназначени за наблюдение на основните права, в ущърб на служителите на постоянния корпус на Frontex, както беше припомнено от неговия директор през 2024 г.</w:t>
            </w:r>
            <w:r>
              <w:rPr>
                <w:b/>
                <w:i/>
                <w:vertAlign w:val="superscript"/>
              </w:rPr>
              <w:t>35 у</w:t>
            </w:r>
            <w:r>
              <w:rPr>
                <w:b/>
                <w:i/>
              </w:rPr>
              <w:t>, като по този начин Frontex се отклонява, а понякога и възпрепятства, от изпълнението на основната ѝ мисия; </w:t>
            </w:r>
            <w:r>
              <w:t xml:space="preserve"> </w:t>
            </w:r>
            <w:r>
              <w:rPr>
                <w:b/>
                <w:i/>
              </w:rPr>
              <w:t>подчертава, че всички дейности и ресурси на Frontex трябва да останат съсредоточени върху защитата на границите, борбата с трансграничната престъпност, предотвратяването на незаконната миграция и ефективното връщане на лицата, които нямат законно право да останат;</w:t>
            </w:r>
            <w:r>
              <w:t xml:space="preserve"> </w:t>
            </w:r>
            <w:r>
              <w:rPr>
                <w:b/>
                <w:i/>
              </w:rPr>
              <w:t>призовава за преразпределяне на ресурсите, така че последните да останат съсредоточени върху ключовите задачи за управление на границите, както и за продължаване на набирането на необходимия персонал на първа линия по външните граници на ЕС и за рационализиране на броя на административните длъжности;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35 у</w:t>
            </w:r>
            <w:r>
              <w:t xml:space="preserve"> </w:t>
            </w:r>
            <w:r>
              <w:rPr>
                <w:b/>
                <w:i/>
              </w:rPr>
              <w:t>https://www.euronews.com/my-europe/2024/03/05/frontex-director-replies-to-ombudsman-were-not-the-european-rescue-agency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счита, че в някои случаи преносите биха могли да се дължат на многогодишния характер на операциите или да бъдат причинени от фактори извън контрола на съответните агенции; отбелязва изявлението на Палатата, направено по време на изслушването от 1 декември 2025 г., според което при новия си одитен подход тя ще се стреми да предоставя по-ясен цялостен преглед за естеството на преносите в бъдещите си доклади, като същевременно признава пояснението на Палатата, че поради методологични и ресурсни ограничения не може да се направи диференцирана разбивка по агенции на причините за преносите; приветства готовността на Палатата да подчертае повтарящите се схеми и системните фактори, които допринасят за прекомерните преноси на средства</w:t>
            </w:r>
            <w:r>
              <w:rPr>
                <w:b/>
                <w:i/>
              </w:rPr>
              <w:t>, и</w:t>
            </w:r>
            <w:r>
              <w:t xml:space="preserve"> призовава агенциите да подобрят своето бюджетно прогнозиране и планирането на проектите, с цел да се сведат до минимум непланираните преноси и да се гарантира, че бюджетните кредити се използват ефективно в рамките на финансовата година;</w:t>
            </w:r>
          </w:p>
        </w:tc>
        <w:tc>
          <w:tcPr>
            <w:tcW w:w="4876" w:type="dxa"/>
            <w:tcBorders>
              <w:top w:val="nil"/>
              <w:left w:val="nil"/>
              <w:bottom w:val="nil"/>
              <w:right w:val="nil"/>
            </w:tcBorders>
          </w:tcPr>
          <w:p>
            <w:pPr>
              <w:pStyle w:val="Normal6a"/>
            </w:pPr>
            <w:r>
              <w:t>36.</w:t>
            </w:r>
            <w:r>
              <w:tab/>
            </w:r>
            <w:r>
              <w:t>счита, че в някои случаи преносите биха могли да се дължат на многогодишния характер на операциите или да бъдат причинени от фактори извън контрола на съответните агенции; отбелязва изявлението на Палатата, направено по време на изслушването от 1 декември 2025 г., според което при новия си одитен подход тя ще се стреми да предоставя по-ясен цялостен преглед за естеството на преносите в бъдещите си доклади, като същевременно признава пояснението на Палатата, че поради методологични и ресурсни ограничения не може да се направи диференцирана разбивка по агенции на причините за преносите; приветства готовността на Палатата да подчертае повтарящите се схеми и системните фактори, които допринасят за прекомерните преноси на средства</w:t>
            </w:r>
            <w:r>
              <w:rPr>
                <w:b/>
                <w:i/>
              </w:rPr>
              <w:t>;</w:t>
            </w:r>
            <w:r>
              <w:t xml:space="preserve"> </w:t>
            </w:r>
            <w:r>
              <w:rPr>
                <w:b/>
                <w:i/>
              </w:rPr>
              <w:t>въпреки това подчертава, че трайно високите и повтарящи се равнища на преноси могат да сочат основни структурни предизвикателства при планирането, изпълнението или разпределението на ресурсите;</w:t>
            </w:r>
            <w:r>
              <w:t xml:space="preserve"> призовава агенциите да подобрят своето бюджетно прогнозиране и планирането на проектите, с цел да се сведат до минимум непланираните преноси и да се гарантира, че бюджетните кредити се използват ефективно в рамките на финансовата година;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припомня, че регулаторната рамка изисква агенциите да извършват плащанията в рамките на определени срокове; отбелязва, че неспазването на тези срокове може да доведе до начисляването на </w:t>
            </w:r>
            <w:r>
              <w:rPr>
                <w:b/>
                <w:i/>
              </w:rPr>
              <w:t>лихва</w:t>
            </w:r>
            <w:r>
              <w:t xml:space="preserve"> за забава </w:t>
            </w:r>
            <w:r>
              <w:rPr>
                <w:b/>
                <w:i/>
              </w:rPr>
              <w:t>от кредиторите</w:t>
            </w:r>
            <w:r>
              <w:t xml:space="preserve">; отбелязва, че Палатата е докладвала за 2024 г., че за 11 агенции (ACER, Cedefop, CEPOL, ЕАОС, ЕОТ, ENISA, ETF, EUDA, Евроюст, FRA и Frontex) над 5 % от плащанията са били извършени след крайния срок; изразява загриженост </w:t>
            </w:r>
            <w:r>
              <w:rPr>
                <w:b/>
                <w:i/>
              </w:rPr>
              <w:t>за</w:t>
            </w:r>
            <w:r>
              <w:t xml:space="preserve"> увеличението на забавените плащания от 2022 г. насам, като данните показват увеличение спрямо 2023 г. (девет агенции) и спрямо 2022 г. (пет агенции);</w:t>
            </w:r>
          </w:p>
        </w:tc>
        <w:tc>
          <w:tcPr>
            <w:tcW w:w="4876" w:type="dxa"/>
            <w:tcBorders>
              <w:top w:val="nil"/>
              <w:left w:val="nil"/>
              <w:bottom w:val="nil"/>
              <w:right w:val="nil"/>
            </w:tcBorders>
          </w:tcPr>
          <w:p>
            <w:pPr>
              <w:pStyle w:val="Normal6a"/>
            </w:pPr>
            <w:r>
              <w:t>37.</w:t>
            </w:r>
            <w:r>
              <w:tab/>
            </w:r>
            <w:r>
              <w:t xml:space="preserve">припомня, че регулаторната рамка изисква агенциите да извършват плащанията в рамките на определени срокове; отбелязва, че неспазването на тези срокове </w:t>
            </w:r>
            <w:r>
              <w:rPr>
                <w:b/>
                <w:i/>
              </w:rPr>
              <w:t>подкопава доверието в Съюза като договорен партньор и</w:t>
            </w:r>
            <w:r>
              <w:t xml:space="preserve"> може да доведе до </w:t>
            </w:r>
            <w:r>
              <w:rPr>
                <w:b/>
                <w:i/>
              </w:rPr>
              <w:t>допълнителни разходи, като например</w:t>
            </w:r>
            <w:r>
              <w:t xml:space="preserve"> начисляването на </w:t>
            </w:r>
            <w:r>
              <w:rPr>
                <w:b/>
                <w:i/>
              </w:rPr>
              <w:t>лихви</w:t>
            </w:r>
            <w:r>
              <w:t xml:space="preserve"> за забава; отбелязва, че Палатата е докладвала за 2024 г., че за 11 агенции (ACER, Cedefop, CEPOL, ЕАОС, ЕОТ, ENISA, ETF, EUDA, Евроюст, FRA и Frontex) над 5 % от плащанията са били извършени след крайния срок; изразява загриженост </w:t>
            </w:r>
            <w:r>
              <w:rPr>
                <w:b/>
                <w:i/>
              </w:rPr>
              <w:t>във връзка с</w:t>
            </w:r>
            <w:r>
              <w:t xml:space="preserve"> увеличението на забавените плащания от 2022 г. насам, като данните показват увеличение спрямо 2023 г. (девет агенции) и спрямо 2022 г. (пет агенции); </w:t>
            </w:r>
            <w:r>
              <w:rPr>
                <w:b/>
                <w:i/>
              </w:rPr>
              <w:t>призовава в агенциите, в които просрочените плащания продължават в продължение на няколко години, да се предвидят планове за корективни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настоява, че е необходимо да се гарантира спазването на законоустановените срокове за плащанията, и отбелязва, че твърде честото забавяне на плащанията може да окаже неблагоприятно въздействие върху репутацията на агенциите; призовава съответните агенции да предприемат мерки за избягване на бъдещи забавяния на плащанията, както и лихви за закъснели плащания, и да гарантират своевременно уреждане на задълженията;</w:t>
            </w:r>
          </w:p>
        </w:tc>
        <w:tc>
          <w:tcPr>
            <w:tcW w:w="4876" w:type="dxa"/>
            <w:tcBorders>
              <w:top w:val="nil"/>
              <w:left w:val="nil"/>
              <w:bottom w:val="nil"/>
              <w:right w:val="nil"/>
            </w:tcBorders>
          </w:tcPr>
          <w:p>
            <w:pPr>
              <w:pStyle w:val="Normal6a"/>
            </w:pPr>
            <w:r>
              <w:t>38.</w:t>
            </w:r>
            <w:r>
              <w:tab/>
            </w:r>
            <w:r>
              <w:t xml:space="preserve">настоява, че е необходимо да се гарантира спазването на законоустановените срокове за плащанията, и отбелязва, че твърде честото забавяне на плащанията може да окаже неблагоприятно въздействие върху репутацията на агенциите; призовава съответните агенции да предприемат мерки за избягване на бъдещи забавяния на плащанията, както и лихви за закъснели плащания, и да гарантират своевременно уреждане на задълженията; </w:t>
            </w:r>
            <w:r>
              <w:rPr>
                <w:b/>
                <w:i/>
              </w:rPr>
              <w:t>припомня, че спазването на сроковете за плащане съгласно Финансовия регламент представлява правно задължение и основен елемент от финансовото управление;</w:t>
            </w:r>
            <w:r>
              <w:t xml:space="preserve"> </w:t>
            </w:r>
            <w:r>
              <w:rPr>
                <w:b/>
                <w:i/>
              </w:rPr>
              <w:t>призовава агенциите да приложат корективни мерки, които да гарантират систематично спазване на законоустановените срокове;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настоятелно</w:t>
            </w:r>
            <w:r>
              <w:t xml:space="preserve"> призовава европейските надзорни органи (ЕБО, ЕОЗППО и </w:t>
            </w:r>
            <w:r>
              <w:rPr>
                <w:b/>
                <w:i/>
              </w:rPr>
              <w:t>ESMA</w:t>
            </w:r>
            <w:r>
              <w:t xml:space="preserve">) да </w:t>
            </w:r>
            <w:r>
              <w:rPr>
                <w:b/>
                <w:i/>
              </w:rPr>
              <w:t>подобрят капацитета си за идентифициране и отделно осчетоводяване</w:t>
            </w:r>
            <w:r>
              <w:t xml:space="preserve"> на разходите </w:t>
            </w:r>
            <w:r>
              <w:rPr>
                <w:b/>
                <w:i/>
              </w:rPr>
              <w:t>за</w:t>
            </w:r>
            <w:r>
              <w:t xml:space="preserve"> дейности, </w:t>
            </w:r>
            <w:r>
              <w:rPr>
                <w:b/>
                <w:i/>
              </w:rPr>
              <w:t>които се финансират от различни</w:t>
            </w:r>
            <w:r>
              <w:t xml:space="preserve"> източници на </w:t>
            </w:r>
            <w:r>
              <w:rPr>
                <w:b/>
                <w:i/>
              </w:rPr>
              <w:t>финансиране</w:t>
            </w:r>
            <w:r>
              <w:t xml:space="preserve">, с цел </w:t>
            </w:r>
            <w:r>
              <w:rPr>
                <w:b/>
                <w:i/>
              </w:rPr>
              <w:t>подобряване на счетоводния контрол и прозрачността, както се препоръчва от Сметната палата, тъй като невъзможността за отчитане на тези разходи води до риск</w:t>
            </w:r>
            <w:r>
              <w:t xml:space="preserve"> за прозрачността </w:t>
            </w:r>
            <w:r>
              <w:rPr>
                <w:b/>
                <w:i/>
              </w:rPr>
              <w:t>при използването на средства от Съюза</w:t>
            </w:r>
            <w:r>
              <w:t>;</w:t>
            </w:r>
          </w:p>
        </w:tc>
        <w:tc>
          <w:tcPr>
            <w:tcW w:w="4876" w:type="dxa"/>
            <w:tcBorders>
              <w:top w:val="nil"/>
              <w:left w:val="nil"/>
              <w:bottom w:val="nil"/>
              <w:right w:val="nil"/>
            </w:tcBorders>
          </w:tcPr>
          <w:p>
            <w:pPr>
              <w:pStyle w:val="Normal6a"/>
            </w:pPr>
            <w:r>
              <w:t>39.</w:t>
            </w:r>
            <w:r>
              <w:tab/>
            </w:r>
            <w:r>
              <w:t xml:space="preserve">призовава европейските надзорни органи (ЕБО, ЕОЗППО и </w:t>
            </w:r>
            <w:r>
              <w:rPr>
                <w:b/>
                <w:i/>
              </w:rPr>
              <w:t>ЕОЦКП</w:t>
            </w:r>
            <w:r>
              <w:t xml:space="preserve">) да </w:t>
            </w:r>
            <w:r>
              <w:rPr>
                <w:b/>
                <w:i/>
              </w:rPr>
              <w:t>продължат да засилват прозрачността в своите системи за бюджетиране и определяне</w:t>
            </w:r>
            <w:r>
              <w:t xml:space="preserve"> на разходите </w:t>
            </w:r>
            <w:r>
              <w:rPr>
                <w:b/>
                <w:i/>
              </w:rPr>
              <w:t>по</w:t>
            </w:r>
            <w:r>
              <w:t xml:space="preserve"> дейности, </w:t>
            </w:r>
            <w:r>
              <w:rPr>
                <w:b/>
                <w:i/>
              </w:rPr>
              <w:t>особено по отношение на дейностите, финансирани от такси за надзор или други специфични</w:t>
            </w:r>
            <w:r>
              <w:t xml:space="preserve"> източници на </w:t>
            </w:r>
            <w:r>
              <w:rPr>
                <w:b/>
                <w:i/>
              </w:rPr>
              <w:t>приходи</w:t>
            </w:r>
            <w:r>
              <w:t xml:space="preserve">, с цел </w:t>
            </w:r>
            <w:r>
              <w:rPr>
                <w:b/>
                <w:i/>
              </w:rPr>
              <w:t>да се намалят рисковете</w:t>
            </w:r>
            <w:r>
              <w:t xml:space="preserve"> за прозрачността</w:t>
            </w:r>
            <w:r>
              <w:rPr>
                <w:b/>
                <w:i/>
              </w:rPr>
              <w:t>, установени от Палатата във връзка с управлението на приходите и финансовите структури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отбелязва заключението на Европейската сметна палата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w:t>
            </w:r>
          </w:p>
        </w:tc>
        <w:tc>
          <w:tcPr>
            <w:tcW w:w="4876" w:type="dxa"/>
            <w:tcBorders>
              <w:top w:val="nil"/>
              <w:left w:val="nil"/>
              <w:bottom w:val="nil"/>
              <w:right w:val="nil"/>
            </w:tcBorders>
          </w:tcPr>
          <w:p>
            <w:pPr>
              <w:pStyle w:val="Normal6a"/>
            </w:pPr>
            <w:r>
              <w:t>40.</w:t>
            </w:r>
            <w:r>
              <w:tab/>
            </w:r>
            <w:r>
              <w:t xml:space="preserve">отбелязва заключението на Европейската сметна палата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 </w:t>
            </w:r>
            <w:r>
              <w:rPr>
                <w:b/>
                <w:i/>
              </w:rPr>
              <w:t>като се имат предвид сумите, за които става въпрос, възлизащи общо на милиони евро, и многократните предупреждения на ЕСП в нейните годишни доклади през годините, изразява загриженост относно броя на агенциите, които подхождат твърде несериозно към процедурите за възлагане на обществени поръчки, които са основният източник на неправомерни плащания;</w:t>
            </w:r>
            <w:r>
              <w:t xml:space="preserve"> </w:t>
            </w:r>
            <w:r>
              <w:rPr>
                <w:b/>
                <w:i/>
              </w:rPr>
              <w:t>изразява загриженост относно повтарящия се характер на тези недостатъци, особено в някои агенции, които изглежда не са предприели необходимите стъпки или не желаят да сложат край на това положение;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отбелязва заключението на Европейската сметна палата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w:t>
            </w:r>
          </w:p>
        </w:tc>
        <w:tc>
          <w:tcPr>
            <w:tcW w:w="4876" w:type="dxa"/>
            <w:tcBorders>
              <w:top w:val="nil"/>
              <w:left w:val="nil"/>
              <w:bottom w:val="nil"/>
              <w:right w:val="nil"/>
            </w:tcBorders>
          </w:tcPr>
          <w:p>
            <w:pPr>
              <w:pStyle w:val="Normal6a"/>
            </w:pPr>
            <w:r>
              <w:t>40.</w:t>
            </w:r>
            <w:r>
              <w:tab/>
            </w:r>
            <w:r>
              <w:t xml:space="preserve">отбелязва заключението на Европейската сметна палата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 </w:t>
            </w:r>
            <w:r>
              <w:rPr>
                <w:b/>
                <w:i/>
              </w:rPr>
              <w:t>призовава съответните агенции да засилят своя предварителен контрол, да подобрят документирането на критериите за възлагане и да гарантират строга обосновка за процедурите на договаряне без предварително обявление;</w:t>
            </w:r>
            <w:r>
              <w:t xml:space="preserve"> </w:t>
            </w:r>
            <w:r>
              <w:rPr>
                <w:b/>
                <w:i/>
              </w:rPr>
              <w:t>призовава Комисията да предостави целеви насоки и обучение на агенциите с повтарящи се недостатъци при възлагането на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отбелязва заключението на Европейската сметна палата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w:t>
            </w:r>
          </w:p>
        </w:tc>
        <w:tc>
          <w:tcPr>
            <w:tcW w:w="4876" w:type="dxa"/>
            <w:tcBorders>
              <w:top w:val="nil"/>
              <w:left w:val="nil"/>
              <w:bottom w:val="nil"/>
              <w:right w:val="nil"/>
            </w:tcBorders>
          </w:tcPr>
          <w:p>
            <w:pPr>
              <w:pStyle w:val="Normal6a"/>
            </w:pPr>
            <w:r>
              <w:t>40.</w:t>
            </w:r>
            <w:r>
              <w:tab/>
            </w:r>
            <w:r>
              <w:t xml:space="preserve">отбелязва заключението на Европейската сметна палата („Палатата“) в нейния годишен доклад относно агенциите на ЕС за финансовата 2024 година („доклада на Палатата“), че резултатите от одита на Палатата са сходни с тези от предходни години, като слабостите при обществените поръчки се отбелязват като основен източник на нередовни плащания; </w:t>
            </w:r>
            <w:r>
              <w:rPr>
                <w:b/>
                <w:i/>
              </w:rPr>
              <w:t>призовава агенциите да гарантират пълна проследимост, конкурентни процедури и правилно водене на документация за всички операции по възлагане на обществени поръчки (включително договори с ниска стойност) и приканва службите за вътрешен одит на агенциите да дадат приоритет на прегледите на обществените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40а.</w:t>
            </w:r>
            <w:r>
              <w:tab/>
            </w:r>
            <w:r>
              <w:rPr>
                <w:b/>
                <w:i/>
              </w:rPr>
              <w:t>призовава ЕСП да информира Парламента всяка година в списък, разбит по агенции, за броя на жалбите до OLAF, подадени от служители на агенциите, които OLAF е решила да не разследва и които са свързани с конфликти на интереси и обществени поръчки, тъй като тези жалби са полезни слаби сигнали;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40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40б.</w:t>
            </w:r>
            <w:r>
              <w:tab/>
            </w:r>
            <w:r>
              <w:rPr>
                <w:b/>
                <w:i/>
              </w:rPr>
              <w:t>припомня, че в контекста на всяка обществена поръчка е важно да се спазват всички принципи: </w:t>
            </w:r>
            <w:r>
              <w:t xml:space="preserve"> </w:t>
            </w:r>
            <w:r>
              <w:rPr>
                <w:b/>
                <w:i/>
              </w:rPr>
              <w:t>прозрачност, пропорционалност, равно третиране, недискриминация, лоялна конкуренция между оферентите, доставки и т.н., като същевременно се отдава предпочитание на европейските дружества и продукти с европейски произход или с отворен код пред неевропейските дружества (технологичен суверенитет, продоволствена независимост и т.н.)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че както и през предходни години, Палатата счита, че рискът за доброто финансово управление е среден и е свързан предимно с процедурите за възлагане на обществени поръчки;</w:t>
            </w:r>
          </w:p>
        </w:tc>
        <w:tc>
          <w:tcPr>
            <w:tcW w:w="4876" w:type="dxa"/>
            <w:tcBorders>
              <w:top w:val="nil"/>
              <w:left w:val="nil"/>
              <w:bottom w:val="nil"/>
              <w:right w:val="nil"/>
            </w:tcBorders>
          </w:tcPr>
          <w:p>
            <w:pPr>
              <w:pStyle w:val="Normal6a"/>
            </w:pPr>
            <w:r>
              <w:t>43.</w:t>
            </w:r>
            <w:r>
              <w:tab/>
            </w:r>
            <w:r>
              <w:t xml:space="preserve">отбелязва, че както и през предходни години, Палатата счита, че рискът за доброто финансово управление е среден и е свързан предимно с процедурите за възлагане на обществени поръчки; </w:t>
            </w:r>
            <w:r>
              <w:rPr>
                <w:b/>
                <w:i/>
              </w:rPr>
              <w:t>подчертава, че „Агенциите невинаги успяват да постигнат достатъчна прозрачност или най-добро съотношение между цена и качество при тръжните процедури със сложни правила и процедурни изисквания.“</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https://www.eca.europa.eu/ECAPublications/SAR-AGENCIES-2024/SAR-AGENCIES-2024_BG.pdf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отбелязва, че Палатата определя риска за управлението на бюджета като нисък, като одитът на Палатата показва слабости, свързани основно с автоматичното пренасяне на недиференцирани бюджетни кредити и закъснели плащания; подчертава, че слабостите в системите за управление и контрол касаят някои въпроси, като например липсата на задоволителни последващи/предварителни проверки, обществени поръчки във връзка с оперативната дейност, обявени без необходимите решения за финансиране, разходи, изпълнени без надлежно делегиране на правомощия от разпоредител с бюджетни кредити, слабости в управлението на безвъзмездната финансова помощ, както и закъснения при оценката на една агенция от страна на Комисията;</w:t>
            </w:r>
          </w:p>
        </w:tc>
        <w:tc>
          <w:tcPr>
            <w:tcW w:w="4876" w:type="dxa"/>
            <w:tcBorders>
              <w:top w:val="nil"/>
              <w:left w:val="nil"/>
              <w:bottom w:val="nil"/>
              <w:right w:val="nil"/>
            </w:tcBorders>
          </w:tcPr>
          <w:p>
            <w:pPr>
              <w:pStyle w:val="Normal6a"/>
            </w:pPr>
            <w:r>
              <w:t>44.</w:t>
            </w:r>
            <w:r>
              <w:tab/>
            </w:r>
            <w:r>
              <w:t xml:space="preserve">отбелязва, че Палатата определя риска за управлението на бюджета като нисък, като одитът на Палатата показва слабости, свързани основно с автоматичното пренасяне на недиференцирани бюджетни кредити и закъснели плащания; подчертава, че слабостите в системите за управление и контрол касаят някои въпроси, като например липсата на задоволителни последващи/предварителни проверки, обществени поръчки във връзка с оперативната дейност, обявени без необходимите решения за финансиране, разходи, изпълнени без надлежно делегиране на правомощия от разпоредител с бюджетни кредити, слабости в управлението на безвъзмездната финансова помощ, както и закъснения при оценката на една агенция от страна на Комисията; </w:t>
            </w:r>
            <w:r>
              <w:rPr>
                <w:b/>
                <w:i/>
              </w:rPr>
              <w:t>подчертава, че тези слабости, изброени от Палатата, подкопават доброто финансово управление и излагат агенциите на финансови рискове и рискове за репутацията им;</w:t>
            </w:r>
            <w:r>
              <w:t xml:space="preserve"> </w:t>
            </w:r>
            <w:r>
              <w:rPr>
                <w:b/>
                <w:i/>
              </w:rPr>
              <w:t>призовава съответните агенции да гарантират пълно спазване на Финансовия регламент и да предприемат необходимите корективни мерки и приканва Комисията да следи отблизо тяхното прилагане;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отбелязва, че по отношение на ЕОТ резервите се отнасят до плащания в размер на 2,6 милиона евро, извършени през 2024 г., което представлява 5,7% от общия размер на наличните бюджетни кредити за плащания; отбелязва, че тази сума включва 2,2 милиона евро, свързани с поръчка, определена като нередовна в одитния доклад за 2022 г. поради това, че нейната стойност надвишава определения в тръжните спецификации праг, в нарушение на разпоредбите на точка 12.3, буква а) от приложение I към Финансовия регламент, както и 0,4 милиона евро, свързани със слабости при предварителните проверки по изпълнението на договорите; отбелязва отговора на ЕОТ, даден по време на изслушването от 1 декември 2025 г., според който въпреки неправомерното възлагане на поръчката, действителните плащания по договора са останали в рамките на тавана от 6 милиона евро, определен в тръжните спецификации, и че договорът е бил важен за гарантиране на непрекъснатостта на дейността на Органа по време на началната му фаза на създаване; отбелязва освен това, че нередовният договор е приключил през февруари 2024 г. и не е бил подновен; приветства уверенията на Органа, че са приложени корективни мерки, включително преразгледана тръжна документация, подобрени процедури за възлагане на обществени поръчки и актуализирани вътрешни контролни списъци, с цел предотвратяване на подобни нередности в бъдеще;</w:t>
            </w:r>
          </w:p>
        </w:tc>
        <w:tc>
          <w:tcPr>
            <w:tcW w:w="4876" w:type="dxa"/>
            <w:tcBorders>
              <w:top w:val="nil"/>
              <w:left w:val="nil"/>
              <w:bottom w:val="nil"/>
              <w:right w:val="nil"/>
            </w:tcBorders>
          </w:tcPr>
          <w:p>
            <w:pPr>
              <w:pStyle w:val="Normal6a"/>
            </w:pPr>
            <w:r>
              <w:t>48.</w:t>
            </w:r>
            <w:r>
              <w:tab/>
            </w:r>
            <w:r>
              <w:t xml:space="preserve">отбелязва, че по отношение на ЕОТ резервите се отнасят до плащания в размер на 2,6 милиона евро, извършени през 2024 г., което представлява 5,7% от общия размер на наличните бюджетни кредити за плащания; отбелязва, че тази сума включва 2,2 милиона евро, свързани с поръчка, определена като нередовна в одитния доклад за 2022 г. поради това, че нейната стойност надвишава определения в тръжните спецификации праг, в нарушение на разпоредбите на точка 12.3, буква а) от приложение I към Финансовия регламент, както и 0,4 милиона евро, свързани със слабости при предварителните проверки по изпълнението на договорите; отбелязва отговора на ЕОТ, даден по време на изслушването от 1 декември 2025 г., според който въпреки неправомерното възлагане на поръчката, действителните плащания по договора са останали в рамките на тавана от 6 милиона евро, определен в тръжните спецификации, и че договорът е бил важен за гарантиране на непрекъснатостта на дейността на Органа по време на началната му фаза на създаване; отбелязва освен това, че нередовният договор е приключил през февруари 2024 г. и не е бил подновен; приветства уверенията на Органа, че са приложени корективни мерки, включително преразгледана тръжна документация, подобрени процедури за възлагане на обществени поръчки и актуализирани вътрешни контролни списъци, с цел предотвратяване на подобни нередности в бъдеще; </w:t>
            </w:r>
            <w:r>
              <w:rPr>
                <w:b/>
                <w:i/>
              </w:rPr>
              <w:t>насърчава ЕОТ да укрепи механизмите за планиране и определяне на приоритети, за да се гарантира ефективно използване на бюджетните кредити и навременно изпълнение на оперативните дейности в бъдеще;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отбелязва, че „констатациите“ в специфичните годишни доклади на агенциите всъщност са „препоръки без конкретен срок“ на Палатата; отбелязва, че Палатата ежегодно проследява изпълнението във връзка с тези констатации, като оценява техния статут като „неприключени“ или „приключени“;</w:t>
            </w:r>
          </w:p>
        </w:tc>
        <w:tc>
          <w:tcPr>
            <w:tcW w:w="4876" w:type="dxa"/>
            <w:tcBorders>
              <w:top w:val="nil"/>
              <w:left w:val="nil"/>
              <w:bottom w:val="nil"/>
              <w:right w:val="nil"/>
            </w:tcBorders>
          </w:tcPr>
          <w:p>
            <w:pPr>
              <w:pStyle w:val="Normal6a"/>
            </w:pPr>
            <w:r>
              <w:t>50.</w:t>
            </w:r>
            <w:r>
              <w:tab/>
            </w:r>
            <w:r>
              <w:t xml:space="preserve">отбелязва, че „констатациите“ в специфичните годишни доклади на агенциите всъщност са „препоръки без конкретен срок“ на Палатата; отбелязва, че Палатата ежегодно проследява изпълнението във връзка с тези констатации, като оценява техния статут като „неприключени“ или „приключени“; </w:t>
            </w:r>
            <w:r>
              <w:rPr>
                <w:b/>
                <w:i/>
              </w:rPr>
              <w:t>счита обаче, че дългогодишните неприключени забележки следва да водят до навременни и конкретни корективни мерки, придружени от засилен надзор от страна на съответните управителни съвети, за да се предотвратят повтарящи се слабости;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обръща внимание на значителното въздействие на Акта за оперативната устойчивост на цифровите технологии (DORA), както и на Регламента относно пазарите на криптоактиви (MiCAR) върху оперативните мандати и задачи на Европейския банков орган (ЕБО); </w:t>
            </w:r>
            <w:r>
              <w:rPr>
                <w:b/>
                <w:i/>
              </w:rPr>
              <w:t>отбелязва със загриженост, че в първоначалните разпоредби не е предвидено подходящото финансиране, необходимо за определянето на функциите или етапите на подготовка и изпълнение на съответните политики;</w:t>
            </w:r>
            <w:r>
              <w:t xml:space="preserve"> </w:t>
            </w:r>
            <w:r>
              <w:rPr>
                <w:b/>
                <w:i/>
              </w:rPr>
              <w:t>напълно подкрепя становището на Органа, че в бъдещите законодателни финансови обосновки трябва да се предвиждат и обезпечават подходящи ресурси за навременното и ефективно изготвяне на тези сложни мандати;</w:t>
            </w:r>
            <w:r>
              <w:t xml:space="preserve"> </w:t>
            </w:r>
            <w:r>
              <w:rPr>
                <w:b/>
                <w:i/>
              </w:rPr>
              <w:t>настоятелно призовава да се осигури подходящо</w:t>
            </w:r>
            <w:r>
              <w:t xml:space="preserve"> финансиране </w:t>
            </w:r>
            <w:r>
              <w:rPr>
                <w:b/>
                <w:i/>
              </w:rPr>
              <w:t>за разширяването на този мандат</w:t>
            </w:r>
            <w:r>
              <w:t>;</w:t>
            </w:r>
          </w:p>
        </w:tc>
        <w:tc>
          <w:tcPr>
            <w:tcW w:w="4876" w:type="dxa"/>
            <w:tcBorders>
              <w:top w:val="nil"/>
              <w:left w:val="nil"/>
              <w:bottom w:val="nil"/>
              <w:right w:val="nil"/>
            </w:tcBorders>
          </w:tcPr>
          <w:p>
            <w:pPr>
              <w:pStyle w:val="Normal6a"/>
            </w:pPr>
            <w:r>
              <w:t>54.</w:t>
            </w:r>
            <w:r>
              <w:tab/>
            </w:r>
            <w:r>
              <w:t xml:space="preserve">обръща внимание на значителното въздействие на Акта за оперативната устойчивост на цифровите технологии (DORA), както и на Регламента относно пазарите на криптоактиви (MiCAR) върху оперативните мандати и задачи на Европейския банков орган (ЕБО); </w:t>
            </w:r>
            <w:r>
              <w:rPr>
                <w:b/>
                <w:i/>
              </w:rPr>
              <w:t>подчертава, че всяко допълнително</w:t>
            </w:r>
            <w:r>
              <w:t xml:space="preserve"> финансиране </w:t>
            </w:r>
            <w:r>
              <w:rPr>
                <w:b/>
                <w:i/>
              </w:rPr>
              <w:t>трябва да бъде предшествано от подробна оценка на съществуващото разпределение на ресурсите на ЕБО и идентифициране на потенциала за повишаване на вътрешната ефективност, преди да бъдат поискани допълнителни вноски от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обръща внимание на значителното въздействие на Акта за оперативната устойчивост на цифровите технологии (DORA), както и на Регламента относно пазарите на криптоактиви (MiCAR) върху оперативните мандати и задачи на Европейския банков орган (ЕБО); отбелязва със загриженост, че в първоначалните разпоредби не е предвидено подходящото финансиране, необходимо за определянето на функциите или етапите на подготовка и изпълнение на съответните политики; напълно подкрепя становището на Органа, че в бъдещите законодателни финансови обосновки трябва да се предвиждат и обезпечават подходящи ресурси за навременното и ефективно изготвяне на тези сложни мандати; </w:t>
            </w:r>
            <w:r>
              <w:rPr>
                <w:b/>
                <w:i/>
              </w:rPr>
              <w:t>настоятелно призовава да се осигури подходящо финансиране за разширяването на този мандат;</w:t>
            </w:r>
          </w:p>
        </w:tc>
        <w:tc>
          <w:tcPr>
            <w:tcW w:w="4876" w:type="dxa"/>
            <w:tcBorders>
              <w:top w:val="nil"/>
              <w:left w:val="nil"/>
              <w:bottom w:val="nil"/>
              <w:right w:val="nil"/>
            </w:tcBorders>
          </w:tcPr>
          <w:p>
            <w:pPr>
              <w:pStyle w:val="Normal6a"/>
            </w:pPr>
            <w:r>
              <w:t>54.</w:t>
            </w:r>
            <w:r>
              <w:tab/>
            </w:r>
            <w:r>
              <w:t>обръща внимание на значителното въздействие на Акта за оперативната устойчивост на цифровите технологии (DORA), както и на Регламента относно пазарите на криптоактиви (MiCAR) върху оперативните мандати и задачи на Европейския банков орган (ЕБО); отбелязва със загриженост, че в първоначалните разпоредби не е предвидено подходящото финансиране, необходимо за определянето на функциите или етапите на подготовка и изпълнение на съответните политики; напълно подкрепя становището на Органа, че в бъдещите законодателни финансови обосновки трябва да се предвиждат и обезпечават подходящи ресурси за навременното и ефективно изготвяне на тези сложни мандати;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отбелязва, че през юни 2024 г. Агенцията на Европейския съюз за обучение в областта на правоприлагането (CEPOL) претърпя значителна кибератака, която засегна всички области на дейност, като доведе до отмяната на 10 дейности за обучение на място и до спирането на всички онлайн обучения за остатъка от годината; отбелязва освен това, че това събитие не само значително наруши оперативните дейности на CEPOL, но и доведе до допълнителни непланирани разходи, свързани с действията за реакция във връзка с инцидента, възстановяването на системата и засилените мерки за киберсигурност; </w:t>
            </w:r>
            <w:r>
              <w:rPr>
                <w:b/>
                <w:i/>
              </w:rPr>
              <w:t>информиран е, че</w:t>
            </w:r>
            <w:r>
              <w:t xml:space="preserve"> нападението предизвика наказателно разследване, подкрепено от CERT-EU и Европол; обръща внимание на съветите на Службата за киберсигурност за институциите, органите, службите и агенциите на Съюза (CERT-EU) за възстановяване на инфраструктурата, което доведе до въвеждането на инфраструктура за подход на нулево доверие от ГД „Цифрови услуги“ в срок от три седмици;</w:t>
            </w:r>
          </w:p>
        </w:tc>
        <w:tc>
          <w:tcPr>
            <w:tcW w:w="4876" w:type="dxa"/>
            <w:tcBorders>
              <w:top w:val="nil"/>
              <w:left w:val="nil"/>
              <w:bottom w:val="nil"/>
              <w:right w:val="nil"/>
            </w:tcBorders>
          </w:tcPr>
          <w:p>
            <w:pPr>
              <w:pStyle w:val="Normal6a"/>
            </w:pPr>
            <w:r>
              <w:t>57.</w:t>
            </w:r>
            <w:r>
              <w:tab/>
            </w:r>
            <w:r>
              <w:t xml:space="preserve">отбелязва, че през юни 2024 г. Агенцията на Европейския съюз за обучение в областта на правоприлагането (CEPOL) претърпя значителна кибератака, която засегна всички области на дейност, като доведе до отмяната на 10 дейности за обучение на място и до спирането на всички онлайн обучения за остатъка от годината; отбелязва освен това, че това събитие не само значително наруши оперативните дейности на CEPOL, но и доведе до допълнителни непланирани разходи, свързани с действията за реакция във връзка с инцидента, възстановяването на системата и засилените мерки за киберсигурност; </w:t>
            </w:r>
            <w:r>
              <w:rPr>
                <w:b/>
                <w:i/>
              </w:rPr>
              <w:t>отбелязва, че пробивът в сигурността е пряк резултат от сложна кибератака, насочена срещу цифровата инфраструктура на CEPOL, и че неупълномощени участници са получили достъп до значителен обем лични данни, което е компрометирало тяхната поверителност, цялост и наличност;</w:t>
            </w:r>
            <w:r>
              <w:t xml:space="preserve"> </w:t>
            </w:r>
            <w:r>
              <w:rPr>
                <w:b/>
                <w:i/>
              </w:rPr>
              <w:t>подчертава, че поради киберинцидента приблизително 99 000 лица е трябвало да бъдат уведомени пряко за нарушението на сигурността на личните им данни;</w:t>
            </w:r>
            <w:r>
              <w:t xml:space="preserve"> нападението предизвика наказателно разследване, подкрепено от CERT-EU и Европол</w:t>
            </w:r>
            <w:r>
              <w:rPr>
                <w:b/>
                <w:i/>
              </w:rPr>
              <w:t>;</w:t>
            </w:r>
            <w:r>
              <w:t xml:space="preserve"> </w:t>
            </w:r>
            <w:r>
              <w:rPr>
                <w:b/>
                <w:i/>
              </w:rPr>
              <w:t>изразява загриженост, че въпреки някои косвени доказателства участникът в заплахата не е бил окончателно идентифициран</w:t>
            </w:r>
            <w:r>
              <w:t>; обръща внимание на съветите на Службата за киберсигурност за институциите, органите, службите и агенциите на Съюза (CERT-EU) за възстановяване на инфраструктурата, което доведе до въвеждането на инфраструктура за подход на нулево доверие</w:t>
            </w:r>
            <w:r>
              <w:rPr>
                <w:b/>
                <w:i/>
              </w:rPr>
              <w:t>, ИТ среда изцяло в облак с ново оборудване,</w:t>
            </w:r>
            <w:r>
              <w:t xml:space="preserve"> от ГД „Цифрови услуги“ в срок от три седмици; </w:t>
            </w:r>
            <w:r>
              <w:rPr>
                <w:b/>
                <w:i/>
              </w:rPr>
              <w:t>отбелязва, че понастоящем CEPOL изпълнява 42 задачи и проекта в областта на киберсигурността като част от своя план за киберсигурност;</w:t>
            </w:r>
            <w:r>
              <w:t xml:space="preserve"> </w:t>
            </w:r>
            <w:r>
              <w:rPr>
                <w:b/>
                <w:i/>
              </w:rPr>
              <w:t>подчертава, че като част от стандартната практика за целия персонал са проведени сесии за повишаване на осведомеността и обучение в областта на сигурността на ИКТ, допълнени от редовни уведомления и актуализации в интранет;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отбелязва, че през юни 2024 г. Агенцията на Европейския съюз за обучение в областта на правоприлагането (CEPOL) претърпя значителна кибератака, която засегна всички области на дейност, като доведе до отмяната на 10 дейности за обучение на място и до спирането на всички онлайн обучения за остатъка от годината; отбелязва освен това, че това събитие не само значително наруши оперативните дейности на CEPOL, но и доведе до допълнителни непланирани разходи, свързани с действията за реакция във връзка с инцидента, възстановяването на системата и засилените мерки за киберсигурност; информиран е, че нападението предизвика наказателно разследване, подкрепено от CERT-EU и Европол; обръща внимание на съветите на Службата за киберсигурност за институциите, органите, службите и агенциите на Съюза (CERT-EU) за възстановяване на инфраструктурата, което доведе до въвеждането на инфраструктура за подход на нулево доверие от ГД „Цифрови услуги“ в срок от три седмици;</w:t>
            </w:r>
          </w:p>
        </w:tc>
        <w:tc>
          <w:tcPr>
            <w:tcW w:w="4876" w:type="dxa"/>
            <w:tcBorders>
              <w:top w:val="nil"/>
              <w:left w:val="nil"/>
              <w:bottom w:val="nil"/>
              <w:right w:val="nil"/>
            </w:tcBorders>
          </w:tcPr>
          <w:p>
            <w:pPr>
              <w:pStyle w:val="Normal6a"/>
            </w:pPr>
            <w:r>
              <w:t>57.</w:t>
            </w:r>
            <w:r>
              <w:tab/>
            </w:r>
            <w:r>
              <w:t xml:space="preserve">отбелязва, че през юни 2024 г. Агенцията на Европейския съюз за обучение в областта на правоприлагането (CEPOL) претърпя значителна кибератака, която засегна всички области на дейност, като доведе до отмяната на 10 дейности за обучение на място и до спирането на всички онлайн обучения за остатъка от годината; отбелязва освен това, че това събитие не само значително наруши оперативните дейности на CEPOL, но и доведе до допълнителни непланирани разходи, свързани с действията за реакция във връзка с инцидента, възстановяването на системата и засилените мерки за киберсигурност; информиран е, че нападението предизвика наказателно разследване, подкрепено от CERT-EU и Европол; обръща внимание на съветите на Службата за киберсигурност за институциите, органите, службите и агенциите на Съюза (CERT-EU) за възстановяване на инфраструктурата, което доведе до въвеждането на инфраструктура за подход на нулево доверие от ГД „Цифрови услуги“ в срок от три седмици; </w:t>
            </w:r>
            <w:r>
              <w:rPr>
                <w:b/>
                <w:i/>
              </w:rPr>
              <w:t>подчертава, че пробивите в областта на киберсигурността пораждат не само оперативни, но и репутационни и правни рискове за агенциите;</w:t>
            </w:r>
            <w:r>
              <w:t xml:space="preserve"> </w:t>
            </w:r>
            <w:r>
              <w:rPr>
                <w:b/>
                <w:i/>
              </w:rPr>
              <w:t>призовава за задължителни минимални стандарти за киберсигурност и подходящо, стабилно финансиране, за да се гарантира ефективното им прилагане;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Виржини Жорон,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57а.</w:t>
            </w:r>
            <w:r>
              <w:tab/>
            </w:r>
            <w:r>
              <w:rPr>
                <w:b/>
                <w:i/>
              </w:rPr>
              <w:t>отбелязва общото намаляване на дейностите за обучение през 2024 г., и подчертава необходимостта да се гарантира, че ресурсите на CEPOL се използват главно за оперативно и техническо обучение, пряко свързано с правоприлагането; </w:t>
            </w:r>
            <w:r>
              <w:t xml:space="preserve"> </w:t>
            </w:r>
            <w:r>
              <w:rPr>
                <w:b/>
                <w:i/>
              </w:rPr>
              <w:t>припомня, че мандатът на CEPOL е да подобрява полицейското сътрудничество, да укрепва капацитета за разследване и предотвратяването на трансграничната престъпност, а не да участва в тематични или идеологически програми за обучение;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подчертава, че когато агенциите извършват дейност извън територията на Съюза или си сътрудничат с органи на трети държави, те остават изцяло обвързани от правото на Съюза, включително задълженията в областта на основните права, изискванията за прозрачност и стандартите за отчетност;</w:t>
            </w:r>
            <w:r>
              <w:t xml:space="preserve"> </w:t>
            </w:r>
            <w:r>
              <w:rPr>
                <w:b/>
                <w:i/>
              </w:rPr>
              <w:t>призовава Комисията да гарантира, че споразуменията за сътрудничество, оперативните договорености и рамките за обмен на данни включват приложими гаранции, механизми за мониторинг и ясни задължения за докладване на органа по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припомня, че с Регламент (ЕС, Евратом) 2023/284</w:t>
            </w:r>
            <w:r>
              <w:rPr>
                <w:vertAlign w:val="superscript"/>
              </w:rPr>
              <w:t>16</w:t>
            </w:r>
            <w:r>
              <w:t xml:space="preserve">се установява обвързваща и амбициозна рамка за киберсигурност за всички децентрализирани агенции, включително приемането на всеобхватна система за управление на риска в областта на киберсигурността, прилагането на солидни технически и организационни мерки във всички ИКТ среди, постепенния преход към архитектура с нулево доверие, засиленото сътрудничество със CERT-EU и строги задължения за докладването на инциденти; отбелязва, че някои от тези основни изисквания продължават да бъдат предизвикателство, като се имат предвид настоящите неравномерни равнища на готовност сред агенциите; подчертава, че всички агенции </w:t>
            </w:r>
            <w:r>
              <w:rPr>
                <w:b/>
                <w:i/>
              </w:rPr>
              <w:t>трябва да разглеждат кибератаката срещу CEPOL като ясна поука и да ускорят прилагането</w:t>
            </w:r>
            <w:r>
              <w:t xml:space="preserve"> на разпоредбите </w:t>
            </w:r>
            <w:r>
              <w:rPr>
                <w:b/>
                <w:i/>
              </w:rPr>
              <w:t>на Регламента относно киберсигурността</w:t>
            </w:r>
            <w:r>
              <w:t>;</w:t>
            </w:r>
          </w:p>
        </w:tc>
        <w:tc>
          <w:tcPr>
            <w:tcW w:w="4876" w:type="dxa"/>
            <w:tcBorders>
              <w:top w:val="nil"/>
              <w:left w:val="nil"/>
              <w:bottom w:val="nil"/>
              <w:right w:val="nil"/>
            </w:tcBorders>
          </w:tcPr>
          <w:p>
            <w:pPr>
              <w:pStyle w:val="Normal6a"/>
            </w:pPr>
            <w:r>
              <w:t>58.</w:t>
            </w:r>
            <w:r>
              <w:tab/>
            </w:r>
            <w:r>
              <w:t>припомня, че с Регламент (ЕС, Евратом) 2023/284</w:t>
            </w:r>
            <w:r>
              <w:rPr>
                <w:vertAlign w:val="superscript"/>
              </w:rPr>
              <w:t>16</w:t>
            </w:r>
            <w:r>
              <w:t xml:space="preserve"> се установява обвързваща и амбициозна рамка за киберсигурност за всички децентрализирани агенции, включително приемането на всеобхватна система за управление на риска в областта на киберсигурността, прилагането на солидни технически и организационни мерки във всички ИКТ среди, постепенния преход към архитектура с нулево доверие, засиленото сътрудничество със CERT-EU и строги задължения за докладването на инциденти; отбелязва, че някои от тези основни изисквания продължават да бъдат предизвикателство, като се имат предвид настоящите неравномерни равнища на готовност сред агенциите; подчертава, че </w:t>
            </w:r>
            <w:r>
              <w:rPr>
                <w:b/>
                <w:i/>
              </w:rPr>
              <w:t>инцидентът в областта на киберсигурността, засягащ CEPOL, показва системната уязвимост на агенциите, обработващи чувствителни данни;</w:t>
            </w:r>
            <w:r>
              <w:t xml:space="preserve"> </w:t>
            </w:r>
            <w:r>
              <w:rPr>
                <w:b/>
                <w:i/>
              </w:rPr>
              <w:t>призовава за ускорено прилагане във</w:t>
            </w:r>
            <w:r>
              <w:t xml:space="preserve"> всички агенции на разпоредбите </w:t>
            </w:r>
            <w:r>
              <w:rPr>
                <w:b/>
                <w:i/>
              </w:rPr>
              <w:t>за киберсигурност на Регламент (ЕС, Евратом) 2023/284 и за редовни стрес тестове на информационните системи и системите за непрекъснатост на дейността на агенциите</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w:t>
            </w:r>
            <w:r>
              <w:rPr>
                <w:b/>
                <w:i/>
              </w:rPr>
              <w:t>ОВ</w:t>
            </w:r>
            <w:r>
              <w:t xml:space="preserve"> L, 2023/2841, 18.12.2023 г., ELI: http://data.europa.</w:t>
            </w:r>
            <w:r>
              <w:rPr>
                <w:b/>
                <w:i/>
              </w:rPr>
              <w:t>eu/eli/reg/2023/2841/oj)</w:t>
            </w:r>
            <w:r>
              <w:t>.</w:t>
            </w:r>
          </w:p>
        </w:tc>
        <w:tc>
          <w:tcPr>
            <w:tcW w:w="4876" w:type="dxa"/>
            <w:tcBorders>
              <w:top w:val="nil"/>
              <w:left w:val="nil"/>
              <w:bottom w:val="nil"/>
              <w:right w:val="nil"/>
            </w:tcBorders>
          </w:tcPr>
          <w:p>
            <w:pPr>
              <w:pStyle w:val="Normal6a"/>
            </w:pPr>
            <w:r>
              <w:rPr>
                <w:vertAlign w:val="superscript"/>
              </w:rPr>
              <w:t>16</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w:t>
            </w:r>
            <w:r>
              <w:rPr>
                <w:b/>
                <w:i/>
              </w:rPr>
              <w:t>OВ</w:t>
            </w:r>
            <w:r>
              <w:t xml:space="preserve"> L, 2023/2841, 18.12.2023 г., ELI: http://data.europa.</w:t>
            </w:r>
            <w:r>
              <w:rPr>
                <w:b/>
                <w:i/>
              </w:rPr>
              <w:t>eu/eli/reg/2023/2841/oj</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припомня, че с Регламент (ЕС, Евратом) 2023/284</w:t>
            </w:r>
            <w:r>
              <w:rPr>
                <w:vertAlign w:val="superscript"/>
              </w:rPr>
              <w:t>16</w:t>
            </w:r>
            <w:r>
              <w:rPr>
                <w:b/>
                <w:i/>
              </w:rPr>
              <w:t>се</w:t>
            </w:r>
            <w:r>
              <w:t xml:space="preserve"> установява обвързваща и амбициозна рамка за киберсигурност за всички децентрализирани агенции, включително приемането на всеобхватна система за управление на риска в областта на киберсигурността, прилагането на солидни технически и организационни мерки във всички ИКТ среди, постепенния преход към архитектура с нулево доверие, засиленото сътрудничество със CERT-EU и строги задължения за докладването на инциденти; отбелязва, че някои от тези основни изисквания продължават да бъдат предизвикателство, като се имат предвид настоящите неравномерни равнища на готовност сред агенциите; подчертава, че всички агенции трябва да разглеждат кибератаката срещу CEPOL като ясна поука и да ускорят прилагането на разпоредбите на Регламента относно киберсигурността;</w:t>
            </w:r>
          </w:p>
        </w:tc>
        <w:tc>
          <w:tcPr>
            <w:tcW w:w="4876" w:type="dxa"/>
            <w:tcBorders>
              <w:top w:val="nil"/>
              <w:left w:val="nil"/>
              <w:bottom w:val="nil"/>
              <w:right w:val="nil"/>
            </w:tcBorders>
          </w:tcPr>
          <w:p>
            <w:pPr>
              <w:pStyle w:val="Normal6a"/>
            </w:pPr>
            <w:r>
              <w:t>58.</w:t>
            </w:r>
            <w:r>
              <w:tab/>
            </w:r>
            <w:r>
              <w:t>припомня, че с Регламент (ЕС, Евратом) 2023/284</w:t>
            </w:r>
            <w:r>
              <w:rPr>
                <w:vertAlign w:val="superscript"/>
              </w:rPr>
              <w:t>16</w:t>
            </w:r>
            <w:r>
              <w:t xml:space="preserve"> установява обвързваща и амбициозна рамка за киберсигурност за всички децентрализирани агенции, включително приемането на всеобхватна система за управление на риска в областта на киберсигурността, </w:t>
            </w:r>
            <w:r>
              <w:rPr>
                <w:b/>
                <w:i/>
              </w:rPr>
              <w:t>обхващаща финансовите механизми, оперативните платформи и чувствителните данни, както и</w:t>
            </w:r>
            <w:r>
              <w:t xml:space="preserve"> прилагането на солидни технически и организационни мерки във всички ИКТ среди, постепенния преход към архитектура с нулево доверие, засиленото сътрудничество със CERT-EU</w:t>
            </w:r>
            <w:r>
              <w:rPr>
                <w:b/>
                <w:i/>
              </w:rPr>
              <w:t>, ГД „Цифрови услуги“ и други съответни междуинституционални органи, както</w:t>
            </w:r>
            <w:r>
              <w:t xml:space="preserve"> и строги задължения за докладването на инциденти; отбелязва, че някои от тези основни изисквания продължават да бъдат предизвикателство, като се имат предвид настоящите неравномерни равнища на готовност сред агенциите; </w:t>
            </w:r>
            <w:r>
              <w:rPr>
                <w:b/>
                <w:i/>
              </w:rPr>
              <w:t>приканва агенциите да организират периодични симулационни учения за киберинциденти и да валидират процедурите за готовност и координация;</w:t>
            </w:r>
            <w:r>
              <w:t xml:space="preserve"> подчертава, че всички агенции трябва да разглеждат кибератаката срещу CEPOL като ясна поука и да ускорят прилагането на разпоредбите на Регламента относно киберсигурността;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w:t>
            </w:r>
            <w:r>
              <w:rPr>
                <w:b/>
                <w:i/>
              </w:rPr>
              <w:t>ОВ</w:t>
            </w:r>
            <w:r>
              <w:t xml:space="preserve"> L, 2023/2841, 18.12.2023 г., ELI: http://data.europa.</w:t>
            </w:r>
            <w:r>
              <w:rPr>
                <w:b/>
                <w:i/>
              </w:rPr>
              <w:t>eu/eli/reg/2023/2841/oj)</w:t>
            </w:r>
            <w:r>
              <w:t>.</w:t>
            </w:r>
          </w:p>
        </w:tc>
        <w:tc>
          <w:tcPr>
            <w:tcW w:w="4876" w:type="dxa"/>
            <w:tcBorders>
              <w:top w:val="nil"/>
              <w:left w:val="nil"/>
              <w:bottom w:val="nil"/>
              <w:right w:val="nil"/>
            </w:tcBorders>
          </w:tcPr>
          <w:p>
            <w:pPr>
              <w:pStyle w:val="Normal6a"/>
            </w:pPr>
            <w:r>
              <w:rPr>
                <w:vertAlign w:val="superscript"/>
              </w:rPr>
              <w:t>16</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w:t>
            </w:r>
            <w:r>
              <w:rPr>
                <w:b/>
                <w:i/>
              </w:rPr>
              <w:t>OВ</w:t>
            </w:r>
            <w:r>
              <w:t xml:space="preserve"> L, 2023/2841, 18.12.2023 г., ELI: http://data.europa.</w:t>
            </w:r>
            <w:r>
              <w:rPr>
                <w:b/>
                <w:i/>
              </w:rPr>
              <w:t>eu/eli/reg/2023/2841/oj</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призовава агенциите да засилят наблюдението в реално време и капацитета си за откриване на заплахи, за да се сведе до минимум излагането на кибератаки и времето за реагиране в случай на такива;</w:t>
            </w:r>
            <w:r>
              <w:t xml:space="preserve"> </w:t>
            </w:r>
            <w:r>
              <w:rPr>
                <w:b/>
                <w:i/>
              </w:rPr>
              <w:t>насърчава агенциите да прилагат непрекъснати програми за повишаване на осведомеността и обучение на персонала в областта на киберсигурността;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отбелязва недостатъчното представителство на мъжете сред служителите на EIGE — едва 29 % и 21 % (8 мъже) в управителния съвет; насърчава EIGE да установи по-добър баланс между половете при бъдещото наемане на служители;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59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отбелязва констатациите на Палатата относно системите за управление и контрол на </w:t>
            </w:r>
            <w:r>
              <w:rPr>
                <w:b/>
                <w:i/>
              </w:rPr>
              <w:t>Европейския институт за равенство между половете (EIGE)</w:t>
            </w:r>
            <w:r>
              <w:t>, включително</w:t>
            </w:r>
            <w:r>
              <w:rPr>
                <w:b/>
                <w:i/>
              </w:rPr>
              <w:t>:</w:t>
            </w:r>
          </w:p>
        </w:tc>
        <w:tc>
          <w:tcPr>
            <w:tcW w:w="4876" w:type="dxa"/>
            <w:tcBorders>
              <w:top w:val="nil"/>
              <w:left w:val="nil"/>
              <w:bottom w:val="nil"/>
              <w:right w:val="nil"/>
            </w:tcBorders>
          </w:tcPr>
          <w:p>
            <w:pPr>
              <w:pStyle w:val="Normal6a"/>
            </w:pPr>
            <w:r>
              <w:t>59.</w:t>
            </w:r>
            <w:r>
              <w:tab/>
            </w:r>
            <w:r>
              <w:t xml:space="preserve">отбелязва констатациите на Палатата относно системите за управление и контрол на </w:t>
            </w:r>
            <w:r>
              <w:rPr>
                <w:b/>
                <w:i/>
              </w:rPr>
              <w:t>EIGE</w:t>
            </w:r>
            <w:r>
              <w:t xml:space="preserve">, включително </w:t>
            </w:r>
            <w:r>
              <w:rPr>
                <w:b/>
                <w:i/>
              </w:rPr>
              <w:t>прекомерните и ограничителни критерии в търг за услуги по почистване от 2024 г., недостатъците в две оценки на офертите поради липсващи изисквания за доказателства и слабия надзор върху три договора на база „изработено време и използвани ресурси“, при които отработените дни не са били проверени, което създава рискове от надплащане;</w:t>
            </w:r>
            <w:r>
              <w:t xml:space="preserve"> </w:t>
            </w:r>
            <w:r>
              <w:rPr>
                <w:b/>
                <w:i/>
              </w:rPr>
              <w:t>отбелязва ангажимента на EIGE да засили предварителните проверки;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59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нередности при възлагането на обществени поръчки:</w:t>
            </w:r>
            <w:r>
              <w:t xml:space="preserve"> </w:t>
            </w:r>
            <w:r>
              <w:rPr>
                <w:b/>
                <w:i/>
              </w:rPr>
              <w:t>посочва, че през 2024 г.</w:t>
            </w:r>
            <w:r>
              <w:t xml:space="preserve"> </w:t>
            </w:r>
            <w:r>
              <w:rPr>
                <w:b/>
                <w:i/>
              </w:rPr>
              <w:t>EIGE е приложил прекомерни изисквания за финансов капацитет и ограничителни критерии за подбор в тръжна процедура за услуги по почистване, които според Палатата може да са разубедили или дори да са попречили на потенциалните оференти да участват;</w:t>
            </w:r>
            <w:r>
              <w:t xml:space="preserve"> </w:t>
            </w:r>
            <w:r>
              <w:rPr>
                <w:b/>
                <w:i/>
              </w:rPr>
              <w:t>потвърждава, че EIGE подчертава, че ограничителните критерии са били поискани от съвъзлагащите органи (Комисията и Парламента) и че нито един потенциален оферент не се е оплакал от критериите за подбор;</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59 – тире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неадекватна оценка на офертите:</w:t>
            </w:r>
            <w:r>
              <w:t xml:space="preserve"> </w:t>
            </w:r>
            <w:r>
              <w:rPr>
                <w:b/>
                <w:i/>
              </w:rPr>
              <w:t>отбелязва, че при две обществени поръчки (на стойност 220 000 EUR и 193 175 EUR) комисиите за оценка на EIGE не са оценили правилно способността на оферентите да управляват експертни екипи, тъй като в тръжните спецификации EIGE не е изискал от оферентите да представят подходящи доказателства в това отношение, което създава риск от предоставяне на некачествени услуги;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59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слаб надзор върху договорите:</w:t>
            </w:r>
            <w:r>
              <w:t xml:space="preserve"> </w:t>
            </w:r>
            <w:r>
              <w:rPr>
                <w:b/>
                <w:i/>
              </w:rPr>
              <w:t>признава, че EIGE е платил фактури, изпълнени по три договора на база „изработено време и използвани ресурси“, без да провери действително отработените дни, като е нарушил член 45, параграф 5 от своя финансов регламент и се е изложил на риск от надплащане;</w:t>
            </w:r>
            <w:r>
              <w:t xml:space="preserve"> </w:t>
            </w:r>
            <w:r>
              <w:rPr>
                <w:b/>
                <w:i/>
              </w:rPr>
              <w:t>отбелязва, че EIGE ще засили съответно предварителните проверки;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отбелязва констатациите на Палатата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повечето от които се отнасят до нередности </w:t>
            </w:r>
            <w:r>
              <w:rPr>
                <w:b/>
                <w:i/>
              </w:rPr>
              <w:t>в областта на обществените поръчки, стартирали през предходни години</w:t>
            </w:r>
            <w:r>
              <w:t>, които са довели до нередовни плащания през 2024 г.</w:t>
            </w:r>
            <w:r>
              <w:rPr>
                <w:b/>
                <w:i/>
              </w:rPr>
              <w:t>, включително:</w:t>
            </w:r>
          </w:p>
        </w:tc>
        <w:tc>
          <w:tcPr>
            <w:tcW w:w="4876" w:type="dxa"/>
            <w:tcBorders>
              <w:top w:val="nil"/>
              <w:left w:val="nil"/>
              <w:bottom w:val="nil"/>
              <w:right w:val="nil"/>
            </w:tcBorders>
          </w:tcPr>
          <w:p>
            <w:pPr>
              <w:pStyle w:val="Normal6a"/>
            </w:pPr>
            <w:r>
              <w:t>60.</w:t>
            </w:r>
            <w:r>
              <w:tab/>
            </w:r>
            <w:r>
              <w:t xml:space="preserve">отбелязва констатациите на Палатата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повечето от които се отнасят до нередности </w:t>
            </w:r>
            <w:r>
              <w:rPr>
                <w:b/>
                <w:i/>
              </w:rPr>
              <w:t>от по-ранни процедури</w:t>
            </w:r>
            <w:r>
              <w:t>, които са довели до нередовни плащания през 2024 г.</w:t>
            </w:r>
            <w:r>
              <w:rPr>
                <w:b/>
                <w:i/>
              </w:rPr>
              <w:t>;</w:t>
            </w:r>
            <w:r>
              <w:t xml:space="preserve"> </w:t>
            </w:r>
            <w:r>
              <w:rPr>
                <w:b/>
                <w:i/>
              </w:rPr>
              <w:t>подчертава по-специално нередовната процедура на договаряне за наемане на помещения в Страсбург, при която критериите за възлагане са били предоговорени, а помещенията не са отговаряли на спецификациите (850 000 EUR);</w:t>
            </w:r>
            <w:r>
              <w:t xml:space="preserve"> </w:t>
            </w:r>
            <w:r>
              <w:rPr>
                <w:b/>
                <w:i/>
              </w:rPr>
              <w:t>измененията във финансовите оферти на оферентите в процедура за електрически и строителни работи, довели до нередовен договор (150 000 EUR);</w:t>
            </w:r>
            <w:r>
              <w:t xml:space="preserve"> </w:t>
            </w:r>
            <w:r>
              <w:rPr>
                <w:b/>
                <w:i/>
              </w:rPr>
              <w:t>промени в ценовите елементи, надхвърлящи позволеното в член 151 от Финансовия регламент, които засягат възложените поръчки (1,4 милиона евро);</w:t>
            </w:r>
            <w:r>
              <w:t xml:space="preserve"> </w:t>
            </w:r>
            <w:r>
              <w:rPr>
                <w:b/>
                <w:i/>
              </w:rPr>
              <w:t>опасения във връзка с подновената състезателна процедура за наблюдение и поддръжка на ВИС, при която спечелилата оферта (47,8 милиона евро) е била непропорционално по-ниска от тази на конкурентите и е довела до значителни оперативни и договорни рискове;</w:t>
            </w:r>
            <w:r>
              <w:t xml:space="preserve"> </w:t>
            </w:r>
            <w:r>
              <w:rPr>
                <w:b/>
                <w:i/>
              </w:rPr>
              <w:t>както и неразрешения спор относно разходите за поддръжка на СВИ, който доведе до изтичане на покритието и накара eu-LISA да плати 5,3 милиона евро през 2023 г. и 1,3 милиона евро през 2024 г. за такси за възстановяване, които според нея е трябвало да бъдат поети от изпълнителя;</w:t>
            </w:r>
            <w:r>
              <w:t xml:space="preserve"> </w:t>
            </w:r>
            <w:r>
              <w:rPr>
                <w:b/>
                <w:i/>
              </w:rPr>
              <w:t>изразява съжаление, че до края на 2024 г. не е започнат съдебен спор;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нередности при процедура на договаряне, започнала през 2019 г.</w:t>
            </w:r>
            <w:r>
              <w:t xml:space="preserve"> </w:t>
            </w:r>
            <w:r>
              <w:rPr>
                <w:b/>
                <w:i/>
              </w:rPr>
              <w:t>и приключила през 2020 г., за наемане на помещения в Страсбург, при която площта на помещенията и броят на работните места са били под нуждите, определени в тръжните спецификации, а качеството на офертата е било оценено като много ниско, но не е било отхвърлено;</w:t>
            </w:r>
            <w:r>
              <w:t xml:space="preserve"> </w:t>
            </w:r>
            <w:r>
              <w:rPr>
                <w:b/>
                <w:i/>
              </w:rPr>
              <w:t>отбелязва освен това, че критериите за възлагане впоследствие също са били договорени с оферента в нарушение на член 167, параграф 3 и точка 6.5 от приложение I към Финансовия регламент;</w:t>
            </w:r>
            <w:r>
              <w:t xml:space="preserve"> </w:t>
            </w:r>
            <w:r>
              <w:rPr>
                <w:b/>
                <w:i/>
              </w:rPr>
              <w:t>изтъква, че процедурата на договаряне и произтичащият от нея договор за наем са нередовни, както и свързаните с него плащания, които през 2024 г.</w:t>
            </w:r>
            <w:r>
              <w:t xml:space="preserve"> </w:t>
            </w:r>
            <w:r>
              <w:rPr>
                <w:b/>
                <w:i/>
              </w:rPr>
              <w:t>възлизат на 850 000 евро;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 тире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изменения на финансовите оферти на оферентите в хода на процедура за възлагане на обществена поръчка за електрически и строителни работи в Страсбург, които засягат резултата от процедурата и водят до нередовен договор и свързани с него плащания в размер на 150 000 EUR през 2024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промени в ценообразуващите елементи на финансовите оферти извън корекциите, разрешени съгласно член 151 от Финансовия регламент, които оказват съществено въздействие върху резултата от тръжната процедура и водят до нередовни договори и свързани с тях плащания на обща стойност 1,4 милиона евро през 2024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подновяване на състезателната процедура за услуги за мониторинг и поддръжка във връзка с Визовата информационна система;</w:t>
            </w:r>
            <w:r>
              <w:t xml:space="preserve"> </w:t>
            </w:r>
            <w:r>
              <w:rPr>
                <w:b/>
                <w:i/>
              </w:rPr>
              <w:t>изразява загриженост във връзка с факта, че офертата на спечелилия оферент (47,8 милиона евро) е била пет пъти по-ниска от втората най-евтина оферта (243,4 милиона евро) и 50 пъти по-ниска от тази на най-високия оферент (2,4 милиарда евро), което поражда опасения относно нейната валидност;</w:t>
            </w:r>
            <w:r>
              <w:t xml:space="preserve"> </w:t>
            </w:r>
            <w:r>
              <w:rPr>
                <w:b/>
                <w:i/>
              </w:rPr>
              <w:t>обръща внимание на факта, че eu‑LISA създаде работна група за преглед на подновяването на конкурса, която потвърди оценката на финансовите служители, но докладва за оперативни и договорни рискове, свързани с факта, че агенцията ще трябва да плати предварително по-голямата част от договорната цена;</w:t>
            </w:r>
            <w:r>
              <w:t xml:space="preserve"> </w:t>
            </w:r>
            <w:r>
              <w:rPr>
                <w:b/>
                <w:i/>
              </w:rPr>
              <w:t>подчертава, че Палатата счита този риск за значителен;</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 тире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припомня, че след забавяне на въвеждането на Системата за влизане/излизане (СВИ) възникна спор, при който изпълнителят отказа да покрие допълнителните разходи за поддръжка на някои ИТ продукти, което доведе до прекъсване на услугите по поддръжката между ноември 2022 г.</w:t>
            </w:r>
            <w:r>
              <w:t xml:space="preserve"> </w:t>
            </w:r>
            <w:r>
              <w:rPr>
                <w:b/>
                <w:i/>
              </w:rPr>
              <w:t>и април 2023 г.</w:t>
            </w:r>
            <w:r>
              <w:t xml:space="preserve"> </w:t>
            </w:r>
            <w:r>
              <w:rPr>
                <w:b/>
                <w:i/>
              </w:rPr>
              <w:t>и изложи eu-LISA на оперативни рискове;</w:t>
            </w:r>
            <w:r>
              <w:t xml:space="preserve"> </w:t>
            </w:r>
            <w:r>
              <w:rPr>
                <w:b/>
                <w:i/>
              </w:rPr>
              <w:t>припомня, че за да се справи с непосредствения риск за непрекъснатостта на дейността, през 2023 г. eu-LISA измени рамковия договор за хоризонтални операции (TOF), така че да включи таксите за възстановяване, санкциите, налагани, когато поддръжката не се подновява навреме, и впоследствие плати 5,3 милиона евро през 2023 г.</w:t>
            </w:r>
            <w:r>
              <w:t xml:space="preserve"> </w:t>
            </w:r>
            <w:r>
              <w:rPr>
                <w:b/>
                <w:i/>
              </w:rPr>
              <w:t>и 1,3 милиона евро през 2024 г.</w:t>
            </w:r>
            <w:r>
              <w:t xml:space="preserve"> </w:t>
            </w:r>
            <w:r>
              <w:rPr>
                <w:b/>
                <w:i/>
              </w:rPr>
              <w:t>за подновяване на поддръжката на софтуера и свързаните с това разходи за възстановяване, които според тълкуването на Агенцията е трябвало да бъдат поети от изпълнителя на СВИ;</w:t>
            </w:r>
            <w:r>
              <w:t xml:space="preserve"> </w:t>
            </w:r>
            <w:r>
              <w:rPr>
                <w:b/>
                <w:i/>
              </w:rPr>
              <w:t>припомня освен това, че въпреки размера на оспорваните суми и продължаващия статут на констатацията на Палатата като неприключена, към края на 2024 г. eu-LISA не е започнала съдебно производство срещу изпълнителя на СВИ;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признава, че eu-LISA е изправена пред значителни предизвикателства </w:t>
            </w:r>
            <w:r>
              <w:rPr>
                <w:b/>
                <w:i/>
              </w:rPr>
              <w:t>и</w:t>
            </w:r>
            <w:r>
              <w:t xml:space="preserve"> подчертава </w:t>
            </w:r>
            <w:r>
              <w:rPr>
                <w:b/>
                <w:i/>
              </w:rPr>
              <w:t>необходимостта от увеличаване на нейния</w:t>
            </w:r>
            <w:r>
              <w:t xml:space="preserve"> персонал, </w:t>
            </w:r>
            <w:r>
              <w:rPr>
                <w:b/>
                <w:i/>
              </w:rPr>
              <w:t>за да се справи</w:t>
            </w:r>
            <w:r>
              <w:t xml:space="preserve"> ефективно </w:t>
            </w:r>
            <w:r>
              <w:rPr>
                <w:b/>
                <w:i/>
              </w:rPr>
              <w:t>с тези предизвикателства и да гарантира непрекъснатостта на дейността си, както и че това следва да бъде финансирано по съответния начин</w:t>
            </w:r>
            <w:r>
              <w:t>;</w:t>
            </w:r>
          </w:p>
        </w:tc>
        <w:tc>
          <w:tcPr>
            <w:tcW w:w="4876" w:type="dxa"/>
            <w:tcBorders>
              <w:top w:val="nil"/>
              <w:left w:val="nil"/>
              <w:bottom w:val="nil"/>
              <w:right w:val="nil"/>
            </w:tcBorders>
          </w:tcPr>
          <w:p>
            <w:pPr>
              <w:pStyle w:val="Normal6a"/>
            </w:pPr>
            <w:r>
              <w:t>62.</w:t>
            </w:r>
            <w:r>
              <w:tab/>
            </w:r>
            <w:r>
              <w:t>признава, че eu-LISA е изправена пред значителни предизвикателства</w:t>
            </w:r>
            <w:r>
              <w:rPr>
                <w:b/>
                <w:i/>
              </w:rPr>
              <w:t>;</w:t>
            </w:r>
            <w:r>
              <w:t xml:space="preserve"> </w:t>
            </w:r>
            <w:r>
              <w:rPr>
                <w:b/>
                <w:i/>
              </w:rPr>
              <w:t>отбелязва обаче, че Палатата е установила трайни и системни нередности при възлагането на обществени поръчки в операциите на eu-LISA;</w:t>
            </w:r>
            <w:r>
              <w:t xml:space="preserve"> подчертава</w:t>
            </w:r>
            <w:r>
              <w:rPr>
                <w:b/>
                <w:i/>
              </w:rPr>
              <w:t>, че преди да бъде одобрен и финансиран допълнителен</w:t>
            </w:r>
            <w:r>
              <w:t xml:space="preserve"> персонал, </w:t>
            </w:r>
            <w:r>
              <w:rPr>
                <w:b/>
                <w:i/>
              </w:rPr>
              <w:t>Агенцията трябва първо да докаже, че е отстранила структурните слабости, установени от Палатата, и че съществуващите ресурси се използват</w:t>
            </w:r>
            <w:r>
              <w:t xml:space="preserve"> ефективно;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приветства факта, че механизмите на оперативните работни групи (ОРГ) и съвместните екипи за разследване (СЕР) на Европол изиграха важна роля за разбиването на криптираната комуникационна платформа Matrix, като демонстрираха своята допълваща се, но същевременно специфична роля в борбата с транснационалната организирана престъпност; отбелязва, че операцията започна като оперативна работна група през юни 2024 г. между Нидерландия, Франция, Литва, Италия и Испания, като улесни обмена на разузнавателна информация и мониторинга на престъпната дейност; подчертава, че преходът към съвместни екипи за разследване в рамките на Евроюст даде възможност за официална координация на разследванията, което доведе до арести, изземвания и декриптиране на 2,3 милиона съобщения на 33 езика; отбелязва, че германските органи са предоставили техническа подкрепа, докато испанската, френската и нидерландската полиция са сътрудничили по време на разследването; счита, че този случай подчертава ефективността на трансграничното сътрудничество за разбиване на незаконните мрежи и необходимостта от устойчиви инвестиции в капацитет за правоприлагане за справяне с променящите се престъпни тактики;</w:t>
            </w:r>
          </w:p>
        </w:tc>
        <w:tc>
          <w:tcPr>
            <w:tcW w:w="4876" w:type="dxa"/>
            <w:tcBorders>
              <w:top w:val="nil"/>
              <w:left w:val="nil"/>
              <w:bottom w:val="nil"/>
              <w:right w:val="nil"/>
            </w:tcBorders>
          </w:tcPr>
          <w:p>
            <w:pPr>
              <w:pStyle w:val="Normal6a"/>
            </w:pPr>
            <w:r>
              <w:t>70.</w:t>
            </w:r>
            <w:r>
              <w:tab/>
            </w:r>
            <w:r>
              <w:t xml:space="preserve">приветства факта, че механизмите на оперативните работни групи (ОРГ) и съвместните екипи за разследване (СЕР) на Европол изиграха важна роля за разбиването на криптираната комуникационна платформа Matrix, като демонстрираха своята допълваща се, но същевременно специфична роля в борбата с транснационалната организирана престъпност; отбелязва, че операцията започна като оперативна работна група през юни 2024 г. между Нидерландия, Франция, Литва, Италия и Испания, като улесни обмена на разузнавателна информация и мониторинга на престъпната дейност; подчертава, че преходът към съвместни екипи за разследване в рамките на Евроюст даде възможност за официална координация на разследванията, което доведе до арести, изземвания и декриптиране на 2,3 милиона съобщения на 33 езика; отбелязва, че германските органи са предоставили техническа подкрепа, докато испанската, френската и нидерландската полиция са сътрудничили по време на разследването; счита, че този случай подчертава ефективността на трансграничното сътрудничество за разбиване на незаконните мрежи и необходимостта от устойчиви инвестиции в капацитет за правоприлагане за справяне с променящите се престъпни тактики; </w:t>
            </w:r>
            <w:r>
              <w:rPr>
                <w:b/>
                <w:i/>
              </w:rPr>
              <w:t>подчертава и приветства положителните резултати, постигнати от агенциите, организиращи сътрудничеството между държавите членки;</w:t>
            </w:r>
            <w:r>
              <w:t xml:space="preserve"> </w:t>
            </w:r>
            <w:r>
              <w:rPr>
                <w:b/>
                <w:i/>
              </w:rPr>
              <w:t>изразява съжаление, че, обратно, по-голямата част от агенциите са възприели по-скоро една хиерархична централизираща, предписателна и технократска логика по отношение на държавите членки;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отбелязва доклада за състоянието на Агенцията на Европейския съюз в областта на убежището (EUAA) от 31 октомври 2025 г. относно изпълнението на корективните действия, договорени между изпълнителния директор и управителния съвет, като последващи действия във връзка с резолюцията на Парламента; отбелязва, че управителният съвет разглежда забележките на Парламента в съответствие със своите процедури и ще направи преглед на напредъка по неизпълнените мерки на заседанието си през ноември 2025 г.;</w:t>
            </w:r>
          </w:p>
        </w:tc>
        <w:tc>
          <w:tcPr>
            <w:tcW w:w="4876" w:type="dxa"/>
            <w:tcBorders>
              <w:top w:val="nil"/>
              <w:left w:val="nil"/>
              <w:bottom w:val="nil"/>
              <w:right w:val="nil"/>
            </w:tcBorders>
          </w:tcPr>
          <w:p>
            <w:pPr>
              <w:pStyle w:val="Normal6a"/>
            </w:pPr>
            <w:r>
              <w:t>71.</w:t>
            </w:r>
            <w:r>
              <w:tab/>
            </w:r>
            <w:r>
              <w:t xml:space="preserve">отбелязва доклада за състоянието на Агенцията на Европейския съюз в областта на убежището (EUAA) от 31 октомври 2025 г. относно изпълнението на корективните действия, договорени между изпълнителния директор и управителния съвет, като последващи действия във връзка с резолюцията на Парламента; отбелязва, че управителният съвет разглежда забележките на Парламента в съответствие със своите процедури и ще направи преглед на напредъка по неизпълнените мерки на заседанието си през ноември 2025 г.; </w:t>
            </w:r>
            <w:r>
              <w:rPr>
                <w:b/>
                <w:i/>
              </w:rPr>
              <w:t>настоятелно призовава Агенцията да изясни изцяло всички нерешени въпроси, да изпълни препоръките на OLAF по надежден и прозрачен начин и да установи механизми за солиден вътрешен контрол, етичен надзор и отчетност;</w:t>
            </w:r>
            <w:r>
              <w:t xml:space="preserve"> </w:t>
            </w:r>
            <w:r>
              <w:rPr>
                <w:b/>
                <w:i/>
              </w:rPr>
              <w:t>призовава Агенцията да информира без ненужно забавяне органа по освобождаване от отговорност относно предприетите евентуални коригиращи мерки;</w:t>
            </w:r>
            <w:r>
              <w:t xml:space="preserve"> </w:t>
            </w:r>
            <w:r>
              <w:rPr>
                <w:b/>
                <w:i/>
              </w:rPr>
              <w:t>подчертава спешната необходимост Агенцията на ЕС в областта на убежището да подкрепя държавите членки в мерките за предотвратяване на незаконната миграция и да обработва ефективно решенията за връщане;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отбелязва доклада за състоянието на Агенцията на Европейския съюз в областта на убежището (EUAA) от 31 октомври 2025 г. относно изпълнението на корективните действия, договорени между изпълнителния директор и управителния съвет, като последващи действия във връзка с резолюцията на Парламента; отбелязва, че управителният съвет разглежда забележките на Парламента в съответствие със своите процедури и ще направи преглед на напредъка по неизпълнените мерки на заседанието си през ноември 2025 г.;</w:t>
            </w:r>
          </w:p>
        </w:tc>
        <w:tc>
          <w:tcPr>
            <w:tcW w:w="4876" w:type="dxa"/>
            <w:tcBorders>
              <w:top w:val="nil"/>
              <w:left w:val="nil"/>
              <w:bottom w:val="nil"/>
              <w:right w:val="nil"/>
            </w:tcBorders>
          </w:tcPr>
          <w:p>
            <w:pPr>
              <w:pStyle w:val="Normal6a"/>
            </w:pPr>
            <w:r>
              <w:t>71.</w:t>
            </w:r>
            <w:r>
              <w:tab/>
            </w:r>
            <w:r>
              <w:t xml:space="preserve">отбелязва доклада за състоянието на Агенцията на Европейския съюз в областта на убежището (EUAA) от 31 октомври 2025 г. относно изпълнението на корективните действия, договорени между изпълнителния директор и управителния съвет, като последващи действия във връзка с резолюцията на Парламента; </w:t>
            </w:r>
            <w:r>
              <w:rPr>
                <w:b/>
                <w:i/>
              </w:rPr>
              <w:t>приветства факта, че след няколко години Агенцията на ЕС в областта на убежището най-накрая прекрати договорите си за наем на помещения в Лесбос и Рим, които бяха определени от Европейската сметна палата като неправомерни от 2014 г. насам и които все още струват 123 800 EUR само през 2023 г., без допълнителни разходи през 2024 г.; </w:t>
            </w:r>
            <w:r>
              <w:t xml:space="preserve"> </w:t>
            </w:r>
            <w:r>
              <w:rPr>
                <w:b/>
                <w:i/>
              </w:rPr>
              <w:t>отново изразява своята загриженост относно аномалията на такова забавяне при прекратяването на този отдавна установен проблем и причинените от него финансови загуби, тъй като този бюджет би могъл да бъде разпределен по различен начин, по-специално в подкрепа на нейната дейност за борба с незаконната имиграция;</w:t>
            </w:r>
            <w:r>
              <w:t xml:space="preserve"> отбелязва, че управителният съвет разглежда забележките на Парламента в съответствие със своите процедури и ще направи преглед на напредъка по неизпълнените мерки на заседанието си през ноември 2025 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72а.</w:t>
            </w:r>
            <w:r>
              <w:tab/>
            </w:r>
            <w:r>
              <w:rPr>
                <w:b/>
                <w:i/>
              </w:rPr>
              <w:t>подчертава, че приключването на разследванията на OLAF само по себе си не представлява приключване на управленските неуспехи;</w:t>
            </w:r>
            <w:r>
              <w:t xml:space="preserve"> </w:t>
            </w:r>
            <w:r>
              <w:rPr>
                <w:b/>
                <w:i/>
              </w:rPr>
              <w:t>отново заявява, че органът по освобождаване от отговорност запазва пълни права за надзор, докато структурните слабости в управлението, прозрачността и разглеждането на конфликти на интереси не бъдат напълно отстранени и проверени;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73а.</w:t>
            </w:r>
            <w:r>
              <w:tab/>
            </w:r>
            <w:r>
              <w:rPr>
                <w:b/>
                <w:i/>
              </w:rPr>
              <w:t>подчертава, че изборът на НПО или експерти от гражданското общество, които се включват в разискванията в рамките на агенциите, следва да отразяват равновесието на политическите сили в Европейския парламент;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Ерик Маркварт</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73а.</w:t>
            </w:r>
            <w:r>
              <w:tab/>
            </w:r>
            <w:r>
              <w:rPr>
                <w:b/>
                <w:i/>
              </w:rPr>
              <w:t>запазва си правото да обвързва с условия или да отлага бъдещи решения за освобождаване от отговорност в случаите, когато агенциите не успеят да осъществят пълни и проверими структурни реформи след сериозни констатации;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73а.</w:t>
            </w:r>
            <w:r>
              <w:tab/>
            </w:r>
            <w:r>
              <w:rPr>
                <w:b/>
                <w:i/>
              </w:rPr>
              <w:t>отбелязва, че през май 2025 г. освобождаването от отговорност на Агенцията на ЕС в областта на убежището беше отложено поради „много тревожни“ констатации на Европейската служба за борба с измамите (OLAF) относно управлението и стабилността;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73б.</w:t>
            </w:r>
            <w:r>
              <w:tab/>
            </w:r>
            <w:r>
              <w:rPr>
                <w:b/>
                <w:i/>
              </w:rPr>
              <w:t>отбелязва, че висшето ръководство на Агенцията на Европейския съюз в областта на убежището е заобикаляло Правилника за длъжностните лица, за да насърчи „приятелски кръг“ сред висшите длъжности, както беше установено при поверително разследване на OLAF;;</w:t>
            </w:r>
            <w:r>
              <w:t xml:space="preserve"> </w:t>
            </w:r>
            <w:r>
              <w:rPr>
                <w:b/>
                <w:i/>
              </w:rPr>
              <w:t>отбелязва, че разследващите служители на OLAF са отбелязали, че подобни практики за наемане на работа са в нарушение на Правилника за длъжностните лица на ЕС, тъй като ръководството е обвинено в заобикаляне на установените процедури и пренебрегване на вътрешните препоръки</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https://www.politico.eu/article/eu-asylum-agency-bosses-promotions-watchdog-probe/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75 – подточка 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настоява, че Frontex има задължения в областта на правата на човека съгласно Хартата на основните права на ЕС, както и съгласно Регламента за Frontex от 2019 г. и собствения план за действие на агенцията в областта на основните права;</w:t>
            </w:r>
            <w:r>
              <w:t xml:space="preserve"> </w:t>
            </w:r>
            <w:r>
              <w:rPr>
                <w:b/>
                <w:i/>
              </w:rPr>
              <w:t>подчертава, че международното право в областта на правата на човека задължава Frontex да се въздържа от пряко нарушаване на правата на човека на когото и да било, както и да не излага косвено тези права на сериозни нарушения, като изтезания, на други места;</w:t>
            </w:r>
            <w:r>
              <w:t xml:space="preserve"> </w:t>
            </w:r>
            <w:r>
              <w:rPr>
                <w:b/>
                <w:i/>
              </w:rPr>
              <w:t>поради това настоятелно призовава Агенцията да предприеме стъпки за смекчаване на рисковете за правата на човека от своите дейности по събиране на разузнавателни данни и управление на границите;</w:t>
            </w:r>
            <w:r>
              <w:t xml:space="preserve"> </w:t>
            </w:r>
            <w:r>
              <w:rPr>
                <w:b/>
                <w:i/>
              </w:rPr>
              <w:t>припомня освен това, че Frontex също така е задължена да защитава правото на живот, включително чрез предприемане на положителни стъпки за предотвратяване на загубата на човешки живот при предвидими заплахи и животозастрашаващи ситуации</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https://www.hrw.org/news/2025/04/14/eu-border-agency-use-aerial-surveillance-save-lives-sea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75 – подточка 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призовава FRONTEX да засили планирането и изпълнението на бюджета, за да гарантира спазването на принципа на ежегодност;</w:t>
            </w:r>
            <w:r>
              <w:t xml:space="preserve"> </w:t>
            </w:r>
            <w:r>
              <w:rPr>
                <w:b/>
                <w:i/>
              </w:rPr>
              <w:t>подчертава, че мащабът и сложността на мандата на Агенцията изискват стабилни вътрешни механизми, и приканва Агенцията да засили надзора върху процедурите за възлагане на обществени поръчки и управление на договорите;</w:t>
            </w:r>
            <w:r>
              <w:t xml:space="preserve"> </w:t>
            </w:r>
            <w:r>
              <w:rPr>
                <w:b/>
                <w:i/>
              </w:rPr>
              <w:t>насърчава FRONTEX да засили процедурите за последващи действия във връзка с констатациите от одита и да докладва на органа по освобождаване от отговорност за постигнатия измерим напредък;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75 – подточка v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vб)</w:t>
            </w:r>
            <w:r>
              <w:tab/>
            </w:r>
            <w:r>
              <w:rPr>
                <w:b/>
                <w:i/>
              </w:rPr>
              <w:t>настоява, че промените в мандата и бюджета на Frontex следва да укрепват, а не да размиват нейните стандарти в областта на правата на човека, прозрачността и отчетността;</w:t>
            </w:r>
            <w:r>
              <w:t xml:space="preserve"> </w:t>
            </w:r>
            <w:r>
              <w:rPr>
                <w:b/>
                <w:i/>
              </w:rPr>
              <w:t>както и че това ще включва гарантиране, че предоставянето на активи и услуги на Frontex на държавите членки зависи от широко определение за бедствие, сътрудничество с хуманитарни организации и наблюдение на случаи на бедствие и спасителни операции;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75 – подточка v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Евроюст да сподели с Комисията бъдещите бюджетни нужди по отношение на бъдещото разширяване на мандата и настоятелно призовава за осигуряване на подходящо финансиране и персонал за справяне с посоченото разширяване на мандата;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отбелязва със загриженост, че ЕОТ продължава да разчита прекомерно на временни работници, командировани национални експерти и служители, наети чрез агенции за временна заетост, за основните оперативни и финансови функции; отбелязва, че в края на 2022 г. временните работници са представлявали 58 % от работната сила на ЕОТ и въпреки лекото намаление делът е останал много висок — 47 % в края както на 2023 г., така и на 2024 г.; отбелязва освен това, че в нарушение на член 41, параграф 1 от финансовите правила на ЕОТ Органът е разчитал на служител, нает чрез агенция за временна заетост, и на стажант за извършването на основни финансови дейности, свързани с изпълнението на бюджета, между ноември 2022 г. и март 2023 г. — практика, която е продължила през 2023 г. и 2024 г. с продължаващото използване на</w:t>
            </w:r>
            <w:r>
              <w:rPr>
                <w:b/>
                <w:i/>
              </w:rPr>
              <w:t xml:space="preserve">  </w:t>
            </w:r>
            <w:r>
              <w:t>служител, нает чрез агенция за временна заетост, за основни финансови задачи;</w:t>
            </w:r>
          </w:p>
        </w:tc>
        <w:tc>
          <w:tcPr>
            <w:tcW w:w="4876" w:type="dxa"/>
            <w:tcBorders>
              <w:top w:val="nil"/>
              <w:left w:val="nil"/>
              <w:bottom w:val="nil"/>
              <w:right w:val="nil"/>
            </w:tcBorders>
          </w:tcPr>
          <w:p>
            <w:pPr>
              <w:pStyle w:val="Normal6a"/>
            </w:pPr>
            <w:r>
              <w:t>78.</w:t>
            </w:r>
            <w:r>
              <w:tab/>
            </w:r>
            <w:r>
              <w:t xml:space="preserve">отбелязва със загриженост, че ЕОТ продължава да разчита прекомерно на временни работници, командировани национални експерти и служители, наети чрез агенции за временна заетост, за основните оперативни и финансови функции; отбелязва, че в края на 2022 г. временните работници са представлявали 58 % от работната сила на ЕОТ и въпреки лекото намаление делът е останал много висок — 47 % в края както на 2023 г., така и на 2024 г.; отбелязва освен това, че в нарушение на член 41, параграф 1 от финансовите правила на ЕОТ Органът е разчитал на служител, нает чрез агенция за временна заетост, и на стажант за извършването на основни финансови дейности, свързани с изпълнението на бюджета, между ноември 2022 г. и март 2023 г. — практика, която е продължила през 2023 г. и 2024 г. с продължаващото използване на служител, нает чрез агенция за временна заетост, за основни финансови задачи; </w:t>
            </w:r>
            <w:r>
              <w:rPr>
                <w:b/>
                <w:i/>
              </w:rPr>
              <w:t>отбелязва, че директорът на ЕОТ редовно изисква от Парламента, по време на изслушванията и в писмена форма, да преобразува длъжностите за командировани национални експерти в щатни длъжности за срочно наети служители;</w:t>
            </w:r>
            <w:r>
              <w:t xml:space="preserve"> </w:t>
            </w:r>
            <w:r>
              <w:rPr>
                <w:b/>
                <w:i/>
              </w:rPr>
              <w:t>припомня, че Съдът постанови, че всички конкурси трябва да бъдат открити и без длъжности, запазени за вътрешни кандидати;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отбелязва обяснението, предоставено по време на изслушването, проведено на 1 декември 2025 г., от изпълнителния директор на ЕОТ относно структурно високия дял на срочно наетите работници, по-специално командировани национални експерти, които понастоящем представляват около 42‑50 % от оперативния персонал на ЕОТ и </w:t>
            </w:r>
            <w:r>
              <w:rPr>
                <w:b/>
                <w:i/>
              </w:rPr>
              <w:t>са правно възпрепятствани</w:t>
            </w:r>
            <w:r>
              <w:t xml:space="preserve"> да изпълняват основни функции</w:t>
            </w:r>
            <w:r>
              <w:rPr>
                <w:b/>
                <w:i/>
              </w:rPr>
              <w:t>, като например да представляват Органа или да управляват финансови досиета и досиета за обществени поръчки</w:t>
            </w:r>
            <w:r>
              <w:t xml:space="preserve">, като по този начин се създава концентрация на отговорности и по-висок риск от грешки; подкрепя </w:t>
            </w:r>
            <w:r>
              <w:rPr>
                <w:b/>
                <w:i/>
              </w:rPr>
              <w:t>искането на изпълнителния директор за</w:t>
            </w:r>
            <w:r>
              <w:t xml:space="preserve"> коригиране на щатното разписание, за да се </w:t>
            </w:r>
            <w:r>
              <w:rPr>
                <w:b/>
                <w:i/>
              </w:rPr>
              <w:t>даде възможност за преминаване от ресурсно</w:t>
            </w:r>
            <w:r>
              <w:t xml:space="preserve"> осигуряване, основано на командировани национални експерти, </w:t>
            </w:r>
            <w:r>
              <w:rPr>
                <w:b/>
                <w:i/>
              </w:rPr>
              <w:t>към</w:t>
            </w:r>
            <w:r>
              <w:t xml:space="preserve"> допълнителни длъжности за срочно наети служители, които </w:t>
            </w:r>
            <w:r>
              <w:rPr>
                <w:b/>
                <w:i/>
              </w:rPr>
              <w:t>следва</w:t>
            </w:r>
            <w:r>
              <w:t xml:space="preserve"> да бъдат заети чрез открити и състезателни процедури в рамките на съществуващия бюджетен таван; счита, че Органът по труда следва да </w:t>
            </w:r>
            <w:r>
              <w:rPr>
                <w:b/>
                <w:i/>
              </w:rPr>
              <w:t>бъде ролев модел в</w:t>
            </w:r>
            <w:r>
              <w:t xml:space="preserve"> трудовите стандарти и да се стреми да предлага по-дълги договори</w:t>
            </w:r>
            <w:r>
              <w:rPr>
                <w:b/>
                <w:i/>
              </w:rPr>
              <w:t>, което би било в интерес на персонала</w:t>
            </w:r>
            <w:r>
              <w:t>, непрекъснатостта на дейността</w:t>
            </w:r>
            <w:r>
              <w:rPr>
                <w:b/>
                <w:i/>
              </w:rPr>
              <w:t>,</w:t>
            </w:r>
            <w:r>
              <w:t xml:space="preserve"> запазването на знанията </w:t>
            </w:r>
            <w:r>
              <w:rPr>
                <w:b/>
                <w:i/>
              </w:rPr>
              <w:t>и избягването на затруднения, свързани с недостиг на капацитет</w:t>
            </w:r>
            <w:r>
              <w:t>;</w:t>
            </w:r>
          </w:p>
        </w:tc>
        <w:tc>
          <w:tcPr>
            <w:tcW w:w="4876" w:type="dxa"/>
            <w:tcBorders>
              <w:top w:val="nil"/>
              <w:left w:val="nil"/>
              <w:bottom w:val="nil"/>
              <w:right w:val="nil"/>
            </w:tcBorders>
          </w:tcPr>
          <w:p>
            <w:pPr>
              <w:pStyle w:val="Normal6a"/>
            </w:pPr>
            <w:r>
              <w:t>79.</w:t>
            </w:r>
            <w:r>
              <w:tab/>
            </w:r>
            <w:r>
              <w:t xml:space="preserve">отбелязва обяснението, предоставено по време на изслушването, проведено на 1 декември 2025 г., от изпълнителния директор на ЕОТ относно структурно високия дял на срочно наетите работници, по-специално командировани национални експерти, които понастоящем представляват около 42‑50 % от оперативния персонал на ЕОТ и </w:t>
            </w:r>
            <w:r>
              <w:rPr>
                <w:b/>
                <w:i/>
              </w:rPr>
              <w:t>които не могат</w:t>
            </w:r>
            <w:r>
              <w:t xml:space="preserve"> да изпълняват </w:t>
            </w:r>
            <w:r>
              <w:rPr>
                <w:b/>
                <w:i/>
              </w:rPr>
              <w:t>законно</w:t>
            </w:r>
            <w:r>
              <w:t> основни функции, като по този начин се създава концентрация на отговорности и по-висок риск от грешки;</w:t>
            </w:r>
            <w:r>
              <w:rPr>
                <w:b/>
                <w:i/>
              </w:rPr>
              <w:t xml:space="preserve"> </w:t>
            </w:r>
            <w:r>
              <w:t xml:space="preserve"> подкрепя коригиране на щатното разписание, за да се </w:t>
            </w:r>
            <w:r>
              <w:rPr>
                <w:b/>
                <w:i/>
              </w:rPr>
              <w:t>замени ресурсното</w:t>
            </w:r>
            <w:r>
              <w:t xml:space="preserve"> осигуряване, основано на командировани национални експерти, </w:t>
            </w:r>
            <w:r>
              <w:rPr>
                <w:b/>
                <w:i/>
              </w:rPr>
              <w:t>с</w:t>
            </w:r>
            <w:r>
              <w:t xml:space="preserve"> допълнителни длъжности за срочно наети служители, които да бъдат заети чрез открити и състезателни процедури в рамките на съществуващия бюджетен таван; счита, че Органът по труда следва да </w:t>
            </w:r>
            <w:r>
              <w:rPr>
                <w:b/>
                <w:i/>
              </w:rPr>
              <w:t>служи като пример при</w:t>
            </w:r>
            <w:r>
              <w:t xml:space="preserve"> трудовите стандарти и да се стреми да предлага по-дълги договори </w:t>
            </w:r>
            <w:r>
              <w:rPr>
                <w:b/>
                <w:i/>
              </w:rPr>
              <w:t>за подкрепа на служителите</w:t>
            </w:r>
            <w:r>
              <w:t xml:space="preserve">, непрекъснатостта на дейността </w:t>
            </w:r>
            <w:r>
              <w:rPr>
                <w:b/>
                <w:i/>
              </w:rPr>
              <w:t>и</w:t>
            </w:r>
            <w:r>
              <w:t xml:space="preserve"> запазването на знанията;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отбелязва обяснението, предоставено по време на изслушването, проведено на 1 декември 2025 г., от изпълнителния директор на ЕОТ относно структурно високия дял на срочно наетите работници, по-специално командировани национални експерти, които понастоящем представляват около 42‑50 % от оперативния персонал на ЕОТ и са правно възпрепятствани да изпълняват основни функции, като например да представляват Органа или да управляват финансови досиета и досиета за обществени поръчки, като по този начин се създава концентрация на отговорности и по-висок риск от грешки; подкрепя искането на изпълнителния директор за коригиране на щатното разписание, за да се даде възможност за преминаване от ресурсно осигуряване, основано на командировани национални експерти, към допълнителни длъжности за срочно наети служители, които следва да бъдат заети чрез открити и състезателни процедури в рамките на съществуващия бюджетен таван; счита, че Органът по труда следва да бъде ролев модел в трудовите стандарти и да се стреми да предлага по-дълги договори, което би било в интерес на персонала, непрекъснатостта на дейността, запазването на знанията и избягването на затруднения, свързани с недостиг на капацитет;</w:t>
            </w:r>
          </w:p>
        </w:tc>
        <w:tc>
          <w:tcPr>
            <w:tcW w:w="4876" w:type="dxa"/>
            <w:tcBorders>
              <w:top w:val="nil"/>
              <w:left w:val="nil"/>
              <w:bottom w:val="nil"/>
              <w:right w:val="nil"/>
            </w:tcBorders>
          </w:tcPr>
          <w:p>
            <w:pPr>
              <w:pStyle w:val="Normal6a"/>
            </w:pPr>
            <w:r>
              <w:t>79.</w:t>
            </w:r>
            <w:r>
              <w:tab/>
            </w:r>
            <w:r>
              <w:t xml:space="preserve">отбелязва обяснението, предоставено по време на изслушването, проведено на 1 декември 2025 г., от изпълнителния директор на ЕОТ относно структурно високия дял на срочно наетите работници, по-специално командировани национални експерти, които понастоящем представляват около 42‑50 % от оперативния персонал на ЕОТ и са правно възпрепятствани да изпълняват основни функции, като например да представляват Органа или да управляват финансови досиета и досиета за обществени поръчки, като по този начин се създава концентрация на отговорности и по-висок риск от грешки; подкрепя искането на изпълнителния директор за коригиране на щатното разписание, за да се даде възможност за преминаване от ресурсно осигуряване, основано на командировани национални експерти, към допълнителни длъжности за срочно наети служители, които следва да бъдат заети чрез открити и състезателни процедури в рамките на съществуващия бюджетен таван; счита, че Органът по труда следва да бъде ролев модел в трудовите стандарти и да се стреми да предлага по-дълги договори, което би било в интерес на персонала, непрекъснатостта на дейността, запазването на знанията и избягването на затруднения, свързани с недостиг на капацитет; </w:t>
            </w:r>
            <w:r>
              <w:rPr>
                <w:b/>
                <w:i/>
              </w:rPr>
              <w:t>призовава Органа да засили допълнително сътрудничеството с националните органи по труда, за да се избегне дублирането на дейности и да се подобри обменът на информация;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отбелязва, че системите за мониторинг във всички агенции, включително SMART целите и КПЕ, следва да бъдат укрепени, за да се подобри оценката на изпълнението и ангажираността на заинтересованите страни; подчертава, че пропуските в данните (особено в Европейската фондация за обучение, ETF), липсващите цели за ефективност и липсата на показатели на национално равнище подкопават ефективността; отбелязва, че тези предизвикателства изискват подобрена пълнота на данните, по-ясно определяне на целите и подобрени рамки за мониторинг, така че да се гарантират всеобхватни оценки на изпълнението и привеждане в съответствие с нуждите на заинтересованите страни;</w:t>
            </w:r>
          </w:p>
        </w:tc>
        <w:tc>
          <w:tcPr>
            <w:tcW w:w="4876" w:type="dxa"/>
            <w:tcBorders>
              <w:top w:val="nil"/>
              <w:left w:val="nil"/>
              <w:bottom w:val="nil"/>
              <w:right w:val="nil"/>
            </w:tcBorders>
          </w:tcPr>
          <w:p>
            <w:pPr>
              <w:pStyle w:val="Normal6a"/>
            </w:pPr>
            <w:r>
              <w:t>81.</w:t>
            </w:r>
            <w:r>
              <w:tab/>
            </w:r>
            <w:r>
              <w:t xml:space="preserve">отбелязва, че системите за мониторинг във всички агенции, включително SMART целите и КПЕ, следва да бъдат укрепени, за да се подобри оценката на изпълнението и ангажираността на заинтересованите страни; подчертава, че пропуските в данните (особено в Европейската фондация за обучение, ETF), липсващите цели за ефективност и липсата на показатели на национално равнище подкопават ефективността; отбелязва, че тези предизвикателства изискват подобрена пълнота на данните, по-ясно определяне на целите и подобрени рамки за мониторинг, така че да се гарантират всеобхватни оценки на изпълнението и привеждане в съответствие с нуждите на заинтересованите страни; </w:t>
            </w:r>
            <w:r>
              <w:rPr>
                <w:b/>
                <w:i/>
              </w:rPr>
              <w:t>подчертава значението на прозрачните структури за управление и гаранциите във връзка с конфликтите на интереси с цел подкрепа на доверието на заинтересованите страни в тяхната работа;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Виржини Жорон, Ондржей Кнотек,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отбелязва, че четирите агенции (Cedefop, EU‑OSHA, Eurofound и ETF) имат потенциала да намалят административната тежест и да подобрят ефективността чрез споделянето на услуги</w:t>
            </w:r>
            <w:r>
              <w:rPr>
                <w:vertAlign w:val="superscript"/>
              </w:rPr>
              <w:t>20</w:t>
            </w:r>
            <w:r>
              <w:t xml:space="preserve">; подчертава, че </w:t>
            </w:r>
            <w:r>
              <w:rPr>
                <w:b/>
                <w:i/>
              </w:rPr>
              <w:t>агенциите</w:t>
            </w:r>
            <w:r>
              <w:t xml:space="preserve"> следва да намалят административната тежест за служителите, за да поддържат устойчиво работно натоварване, като споделят общи услуги за човешки ресурси, правни, ИТ и технически функции; посочва, че това би дало възможност на агенциите да намалят персонала, който се занимава с административни дейности, и да </w:t>
            </w:r>
            <w:r>
              <w:rPr>
                <w:b/>
                <w:i/>
              </w:rPr>
              <w:t>засилят</w:t>
            </w:r>
            <w:r>
              <w:t xml:space="preserve"> акцента върху основните операции;</w:t>
            </w:r>
          </w:p>
        </w:tc>
        <w:tc>
          <w:tcPr>
            <w:tcW w:w="4876" w:type="dxa"/>
            <w:tcBorders>
              <w:top w:val="nil"/>
              <w:left w:val="nil"/>
              <w:bottom w:val="nil"/>
              <w:right w:val="nil"/>
            </w:tcBorders>
          </w:tcPr>
          <w:p>
            <w:pPr>
              <w:pStyle w:val="Normal6a"/>
            </w:pPr>
            <w:r>
              <w:t>82.</w:t>
            </w:r>
            <w:r>
              <w:tab/>
            </w:r>
            <w:r>
              <w:t>отбелязва, че четирите агенции (Cedefop, EU‑OSHA, Eurofound и ETF) имат потенциала да намалят административната тежест и да подобрят ефективността чрез споделянето на услуги</w:t>
            </w:r>
            <w:r>
              <w:rPr>
                <w:vertAlign w:val="superscript"/>
              </w:rPr>
              <w:t>20</w:t>
            </w:r>
            <w:r>
              <w:t xml:space="preserve">; подчертава, че </w:t>
            </w:r>
            <w:r>
              <w:rPr>
                <w:b/>
                <w:i/>
              </w:rPr>
              <w:t>всички агенции</w:t>
            </w:r>
            <w:r>
              <w:t xml:space="preserve"> следва да намалят административната тежест за служителите, за да поддържат устойчиво работно натоварване, като споделят общи услуги за човешки ресурси, правни, </w:t>
            </w:r>
            <w:r>
              <w:rPr>
                <w:b/>
                <w:i/>
              </w:rPr>
              <w:t>финансови,</w:t>
            </w:r>
            <w:r>
              <w:t xml:space="preserve"> ИТ и технически функции; посочва, че това би дало възможност на агенциите да намалят персонала, който се занимава с административни дейности, и да </w:t>
            </w:r>
            <w:r>
              <w:rPr>
                <w:b/>
                <w:i/>
              </w:rPr>
              <w:t>подобрят неговия експертен опит;</w:t>
            </w:r>
            <w:r>
              <w:t xml:space="preserve"> </w:t>
            </w:r>
            <w:r>
              <w:rPr>
                <w:b/>
                <w:i/>
              </w:rPr>
              <w:t>освен това призовава агенциите да споделят ресурси и капацитет във връзка със сградния фонд чрез централизиране на функциите за подкрепа посредством единна платформа, когато това е възможно, което ще осигури финансови икономии за всяка една от тези агенции, както и засилване на</w:t>
            </w:r>
            <w:r>
              <w:t xml:space="preserve"> акцента върху основните операции;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 222.</w:t>
            </w:r>
          </w:p>
        </w:tc>
        <w:tc>
          <w:tcPr>
            <w:tcW w:w="4876" w:type="dxa"/>
            <w:tcBorders>
              <w:top w:val="nil"/>
              <w:left w:val="nil"/>
              <w:bottom w:val="nil"/>
              <w:right w:val="nil"/>
            </w:tcBorders>
          </w:tcPr>
          <w:p>
            <w:pPr>
              <w:pStyle w:val="Normal6a"/>
            </w:pPr>
            <w:r>
              <w:rPr>
                <w:vertAlign w:val="superscript"/>
              </w:rPr>
              <w:t>20</w:t>
            </w:r>
            <w:r>
              <w:t xml:space="preserve"> </w:t>
            </w:r>
            <w:r>
              <w:t>SWD(2024) 222.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отбелязва, че четирите агенции (Cedefop, EU‑OSHA, Eurofound и ETF) имат потенциала да намалят административната тежест и да подобрят ефективността чрез споделянето на услуги</w:t>
            </w:r>
            <w:r>
              <w:rPr>
                <w:vertAlign w:val="superscript"/>
              </w:rPr>
              <w:t>20</w:t>
            </w:r>
            <w:r>
              <w:t>; подчертава, че агенциите следва да намалят административната тежест за служителите, за да поддържат устойчиво работно натоварване, като споделят общи услуги за човешки ресурси, правни, ИТ и технически функции; посочва, че това би дало възможност на агенциите да намалят персонала, който се занимава с административни дейности, и да засилят акцента върху основните операции;</w:t>
            </w:r>
          </w:p>
        </w:tc>
        <w:tc>
          <w:tcPr>
            <w:tcW w:w="4876" w:type="dxa"/>
            <w:tcBorders>
              <w:top w:val="nil"/>
              <w:left w:val="nil"/>
              <w:bottom w:val="nil"/>
              <w:right w:val="nil"/>
            </w:tcBorders>
          </w:tcPr>
          <w:p>
            <w:pPr>
              <w:pStyle w:val="Normal6a"/>
            </w:pPr>
            <w:r>
              <w:t>82.</w:t>
            </w:r>
            <w:r>
              <w:tab/>
            </w:r>
            <w:r>
              <w:t>отбелязва, че четирите агенции (Cedefop, EU‑OSHA, Eurofound и ETF) имат потенциала да намалят административната тежест и да подобрят ефективността чрез споделянето на услуги</w:t>
            </w:r>
            <w:r>
              <w:rPr>
                <w:vertAlign w:val="superscript"/>
              </w:rPr>
              <w:t>20</w:t>
            </w:r>
            <w:r>
              <w:t xml:space="preserve">; подчертава, че агенциите следва да намалят административната тежест за служителите, за да поддържат устойчиво работно натоварване, като споделят общи услуги за човешки ресурси, правни, ИТ и технически функции; посочва, че това би дало възможност на агенциите да намалят персонала, който се занимава с административни дейности, и да засилят акцента върху основните операции; </w:t>
            </w:r>
            <w:r>
              <w:rPr>
                <w:b/>
                <w:i/>
              </w:rPr>
              <w:t>призовава тези агенции, в тясно сътрудничество със Сметната палата, да разработят структуриран план за внедряване на споделени услуги с конкретни етапни цели, включително измерими цели за повишаване на ефективността и планирани икономии в евро;</w:t>
            </w:r>
            <w:r>
              <w:t xml:space="preserve"> </w:t>
            </w:r>
            <w:r>
              <w:rPr>
                <w:b/>
                <w:i/>
              </w:rPr>
              <w:t>настоява, че този план следва да улеснява взаимния обмен на най-добри практики и препоръки между съответните агенции, както и в рамките на по-широката Мрежа на агенциите на ЕС, въз основа на одитните констатации и хоризонталните оценки на Палатата;</w:t>
            </w:r>
            <w:r>
              <w:t xml:space="preserve"> </w:t>
            </w:r>
            <w:r>
              <w:rPr>
                <w:b/>
                <w:i/>
              </w:rPr>
              <w:t>призовава Комисията да докладва ежегодно на органа по освобождаване от отговорност относно напредъка, постигнат по този план, посочвайки начините за подобряване на резултатите от дейността на отделните агенции и реализираните реални икономии;</w:t>
            </w:r>
            <w:r>
              <w:t xml:space="preserve"> </w:t>
            </w:r>
            <w:r>
              <w:rPr>
                <w:b/>
                <w:i/>
              </w:rPr>
              <w:t>подчертава, че първият доклад за напредъка следва да бъде представен до края на 2026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 222.</w:t>
            </w:r>
          </w:p>
        </w:tc>
        <w:tc>
          <w:tcPr>
            <w:tcW w:w="4876" w:type="dxa"/>
            <w:tcBorders>
              <w:top w:val="nil"/>
              <w:left w:val="nil"/>
              <w:bottom w:val="nil"/>
              <w:right w:val="nil"/>
            </w:tcBorders>
          </w:tcPr>
          <w:p>
            <w:pPr>
              <w:pStyle w:val="Normal6a"/>
            </w:pPr>
            <w:r>
              <w:rPr>
                <w:vertAlign w:val="superscript"/>
              </w:rPr>
              <w:t>20</w:t>
            </w:r>
            <w:r>
              <w:t xml:space="preserve"> </w:t>
            </w:r>
            <w:r>
              <w:t>SWD(2024) 222.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отбелязва, че Европейският център за развитие на професионалното обучение (Cedefop) е участвал в правен спор с бивш служител, чийто договор не е бил подновен през 2017 г.; припомня, че през 2020 г. Общият съд отмени решението на Cedefop и разпореди изплащането на финансова компенсация, което беше изпълнено от Cedefop; отбелязва, че последващо дело, заведено от бившия служител във връзка с изпълнението на това решение, е било отхвърлено от Общия съд през февруари 2024 г.; отбелязва, че бившият служител е обжалвал това решение пред Съда на Европейския съюз (дело C-209/24 P) и че окончателното решение все още не е постановено; припомня, че Общият съд установи нарушения на основните процесуални гаранции, включително правото на изслушване, правото на защита, задължението за полагане на дължима грижа и принципа на добра администрация; </w:t>
            </w:r>
            <w:r>
              <w:rPr>
                <w:b/>
                <w:i/>
              </w:rPr>
              <w:t>отбелязва със загриженост, че вследствие на тези констатации изглежда не е започната дисциплинарна процедура:</w:t>
            </w:r>
            <w:r>
              <w:t xml:space="preserve"> критикува прекомерната продължителност на процеса на вземане на решения и факта, че делото продължава да бъде висящо</w:t>
            </w:r>
            <w:r>
              <w:rPr>
                <w:b/>
                <w:i/>
              </w:rPr>
              <w:t>;</w:t>
            </w:r>
            <w:r>
              <w:t xml:space="preserve"> </w:t>
            </w:r>
            <w:r>
              <w:rPr>
                <w:b/>
                <w:i/>
              </w:rPr>
              <w:t>настоятелно призовава въпросният член на персонала да получи обезщетение за загубата на доходи</w:t>
            </w:r>
            <w:r>
              <w:t>; настоятелно призовава свързаните с персонала решения да се вземат по прозрачен и проследим начин;</w:t>
            </w:r>
          </w:p>
        </w:tc>
        <w:tc>
          <w:tcPr>
            <w:tcW w:w="4876" w:type="dxa"/>
            <w:tcBorders>
              <w:top w:val="nil"/>
              <w:left w:val="nil"/>
              <w:bottom w:val="nil"/>
              <w:right w:val="nil"/>
            </w:tcBorders>
          </w:tcPr>
          <w:p>
            <w:pPr>
              <w:pStyle w:val="Normal6a"/>
            </w:pPr>
            <w:r>
              <w:t>83.</w:t>
            </w:r>
            <w:r>
              <w:tab/>
            </w:r>
            <w:r>
              <w:t xml:space="preserve">отбелязва, че Европейският център за развитие на професионалното обучение (Cedefop) е участвал в правен спор с бивш служител, чийто договор не е бил подновен през 2017 г.; припомня, че през 2020 г. Общият съд отмени решението на Cedefop и разпореди изплащането на финансова компенсация, което беше изпълнено от Cedefop; отбелязва, че последващо дело, заведено от бившия служител във връзка с изпълнението на това решение, е било отхвърлено от Общия съд през февруари 2024 г.; отбелязва, че бившият служител е обжалвал това решение пред Съда на Европейския съюз (дело C-209/24 P) и че окончателното решение все още не е постановено; припомня, че Общият съд установи нарушения на основните процесуални гаранции, включително правото на изслушване, правото на защита, задължението за полагане на дължима грижа и принципа на добра администрация; </w:t>
            </w:r>
            <w:r>
              <w:rPr>
                <w:b/>
                <w:i/>
              </w:rPr>
              <w:t>подчертава, че след като директорът не е спазвал кодекса за поведение, нито административните и процедурните разпоредби, управителният съвет е отказал да поднови договора с директора;</w:t>
            </w:r>
            <w:r>
              <w:t xml:space="preserve"> критикува прекомерната продължителност на процеса на вземане на решения</w:t>
            </w:r>
            <w:r>
              <w:rPr>
                <w:b/>
                <w:i/>
              </w:rPr>
              <w:t>, твърде големите разходи за съдебното производство и правните съветници, както</w:t>
            </w:r>
            <w:r>
              <w:t xml:space="preserve"> и факта, че делото продължава да бъде висящо; настоятелно призовава свързаните с персонала решения да се вземат по прозрачен и проследим начин; </w:t>
            </w:r>
            <w:r>
              <w:rPr>
                <w:b/>
                <w:i/>
              </w:rPr>
              <w:t>призовава Комисията и агенциите да създадат механизми, които да осигуряват за агенциите по-голяма гъвкавост при разглеждането и решаването на спорове, свързани с персонала, на ранен етап от процедурата, включително чрез доброволно уреждане на спорове, когато това е целесъобразно, с цел да се избегнат продължителни и скъпоструващи съдебни дела;</w:t>
            </w:r>
            <w:r>
              <w:t xml:space="preserve"> </w:t>
            </w:r>
            <w:r>
              <w:rPr>
                <w:b/>
                <w:i/>
              </w:rPr>
              <w:t>освен това призовава Комисията и Мрежата на агенциите на ЕС да създадат обща правна служба за агенциите, която да се занимава с правните въпроси на агенциите и да предоставя навременни правни насоки;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отбелязва, че Европейският център за развитие на професионалното обучение (Cedefop) е участвал в правен спор с бивш служител, чийто договор не е бил подновен през 2017 г.; припомня, че през 2020 г. Общият съд отмени решението на Cedefop и разпореди изплащането на финансова компенсация, което беше изпълнено от Cedefop; отбелязва, че последващо дело, заведено от бившия служител във връзка с изпълнението на това решение, е било отхвърлено от Общия съд през февруари 2024 г.; отбелязва, че бившият служител е обжалвал това решение пред Съда на Европейския съюз (дело C-209/24 P) и че окончателното решение все още не е постановено; припомня, че Общият съд установи нарушения на основните процесуални гаранции, </w:t>
            </w:r>
            <w:r>
              <w:rPr>
                <w:b/>
                <w:i/>
              </w:rPr>
              <w:t>включително правото на изслушване, правото на защита, задължението за полагане на дължима грижа и принципа на добра администрация;</w:t>
            </w:r>
            <w:r>
              <w:t xml:space="preserve"> </w:t>
            </w:r>
            <w:r>
              <w:rPr>
                <w:b/>
                <w:i/>
              </w:rPr>
              <w:t>отбелязва със загриженост, че вследствие на тези констатации</w:t>
            </w:r>
            <w:r>
              <w:t xml:space="preserve"> изглежда не </w:t>
            </w:r>
            <w:r>
              <w:rPr>
                <w:b/>
                <w:i/>
              </w:rPr>
              <w:t>е започната дисциплинарна процедура:</w:t>
            </w:r>
            <w:r>
              <w:t xml:space="preserve"> критикува прекомерната продължителност на процеса на вземане на решения и факта, че делото продължава да бъде висящо; настоятелно призовава </w:t>
            </w:r>
            <w:r>
              <w:rPr>
                <w:b/>
                <w:i/>
              </w:rPr>
              <w:t>въпросният</w:t>
            </w:r>
            <w:r>
              <w:t xml:space="preserve"> член на персонала да получи обезщетение за загубата на доходи; настоятелно призовава свързаните с персонала решения да се вземат по прозрачен и проследим начин;</w:t>
            </w:r>
          </w:p>
        </w:tc>
        <w:tc>
          <w:tcPr>
            <w:tcW w:w="4876" w:type="dxa"/>
            <w:tcBorders>
              <w:top w:val="nil"/>
              <w:left w:val="nil"/>
              <w:bottom w:val="nil"/>
              <w:right w:val="nil"/>
            </w:tcBorders>
          </w:tcPr>
          <w:p>
            <w:pPr>
              <w:pStyle w:val="Normal6a"/>
            </w:pPr>
            <w:r>
              <w:t>83.</w:t>
            </w:r>
            <w:r>
              <w:tab/>
            </w:r>
            <w:r>
              <w:t xml:space="preserve">отбелязва, че Европейският център за развитие на професионалното обучение (Cedefop) е участвал в правен спор с бивш служител, чийто договор не е бил подновен през 2017 г.; припомня, че през 2020 г. Общият съд отмени решението на Cedefop и разпореди изплащането на финансова компенсация, което беше изпълнено от Cedefop; отбелязва, че последващо дело, заведено от бившия служител във връзка с изпълнението на това решение, е било отхвърлено от Общия съд през февруари 2024 г.; отбелязва, че бившият служител е обжалвал това решение пред Съда на Европейския съюз (дело C-209/24 P) и че окончателното решение все още не е постановено; припомня, че Общият съд установи нарушения на основните процесуални гаранции, </w:t>
            </w:r>
            <w:r>
              <w:rPr>
                <w:b/>
                <w:i/>
              </w:rPr>
              <w:t>но въпреки това</w:t>
            </w:r>
            <w:r>
              <w:t xml:space="preserve"> изглежда не </w:t>
            </w:r>
            <w:r>
              <w:rPr>
                <w:b/>
                <w:i/>
              </w:rPr>
              <w:t>са предприети дисциплинарни мерки;</w:t>
            </w:r>
            <w:r>
              <w:t xml:space="preserve"> критикува прекомерната продължителност на процеса на вземане на решения и факта, че делото продължава да бъде висящо; настоятелно призовава </w:t>
            </w:r>
            <w:r>
              <w:rPr>
                <w:b/>
                <w:i/>
              </w:rPr>
              <w:t>съответният</w:t>
            </w:r>
            <w:r>
              <w:t xml:space="preserve"> член на персонала да получи обезщетение за загубата на доходи; настоятелно призовава свързаните с персонала решения да се вземат по прозрачен и проследим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84а.</w:t>
            </w:r>
            <w:r>
              <w:tab/>
            </w:r>
            <w:r>
              <w:rPr>
                <w:b/>
                <w:i/>
              </w:rPr>
              <w:t>отбелязва, че 75% от раковите заболявания, свързани с работата, се дължат на експозицията на азбест, признава приноса на EU-OSHA от 2024 г. за новите насоки на Комисията относно азбеста и насърчава EU-OSHA да продължи да обезпечава персонал и бюджетни средства за провеждането на информационни дейности относно азбеста и методите за справяне с широко разпространения проблем с азбеста в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Виржини Жорон,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обръща внимание на Решението за изпълнение на Комисията от 28 юни 2024 г. за отмяна на Решение C (2018) 4831 (final) на Комисията, с което се отказва разрешение за търговия съгласно Регламент (ЕО) № 726/2004 за „Aplidin (plitidepsin)“, лекарствен продукт за хуманна употреба; подчертава, че отнемането на посоченото разрешение се основава на констатирания конфликт на интереси по отношение на един от научните съветници, участвали в консултативната група, който е имал активна роля в разработването на конкурентен лекарствен продукт — обстоятелство, което е трябвало да го изключи от участие в съответствие с принципа на обективна безпристрастност; подчертава, че EMA значително е засилила своята политика за разглеждане на конкуриращи се интереси на членовете на научния комитет и експертите, приета от управителния съвет на EMA през декември 2024 г. и влязла в сила на 1 май 2025 г.;</w:t>
            </w:r>
          </w:p>
        </w:tc>
        <w:tc>
          <w:tcPr>
            <w:tcW w:w="4876" w:type="dxa"/>
            <w:tcBorders>
              <w:top w:val="nil"/>
              <w:left w:val="nil"/>
              <w:bottom w:val="nil"/>
              <w:right w:val="nil"/>
            </w:tcBorders>
          </w:tcPr>
          <w:p>
            <w:pPr>
              <w:pStyle w:val="Normal6a"/>
            </w:pPr>
            <w:r>
              <w:t>94.</w:t>
            </w:r>
            <w:r>
              <w:tab/>
            </w:r>
            <w:r>
              <w:t xml:space="preserve">обръща внимание на Решението за изпълнение на Комисията от 28 юни 2024 г. за отмяна на Решение C (2018) 4831 (final) на Комисията, с което се отказва разрешение за търговия съгласно Регламент (ЕО) № 726/2004 за „Aplidin (plitidepsin)“, лекарствен продукт за хуманна употреба; подчертава, че отнемането на посоченото разрешение се основава на констатирания конфликт на интереси по отношение на един от научните съветници, участвали в консултативната група, който е имал активна роля в разработването на конкурентен лекарствен продукт — обстоятелство, което е трябвало да го изключи от участие в съответствие с принципа на обективна безпристрастност; </w:t>
            </w:r>
            <w:r>
              <w:rPr>
                <w:b/>
                <w:i/>
              </w:rPr>
              <w:t>припомня също така, че през 2024 г. Съдът отмени</w:t>
            </w:r>
            <w:r>
              <w:rPr>
                <w:b/>
                <w:i/>
                <w:vertAlign w:val="superscript"/>
              </w:rPr>
              <w:t>1a</w:t>
            </w:r>
            <w:r>
              <w:t xml:space="preserve"> </w:t>
            </w:r>
            <w:r>
              <w:rPr>
                <w:b/>
                <w:i/>
              </w:rPr>
              <w:t>отказ за издаване на разрешение за търговия с лекарствения продукт Hopveus (на фирмата „Debrégeas et associés Pharma“, известна също така като „D&amp;A Pharma“), продукт, разработен от френското дружество Debrégeas, вследствие на конфликт на интереси, при който експерт, изпълняващ функцията „главен изследовател“, е бил замесен в клинично изпитване на конкурентен продукт (дело C-291/22 P);</w:t>
            </w:r>
            <w:r>
              <w:t xml:space="preserve"> </w:t>
            </w:r>
            <w:r>
              <w:rPr>
                <w:b/>
                <w:i/>
              </w:rPr>
              <w:t>припомня многократните критики, отправяни към пристрастния или твърде мързелив подход на EMA при разглеждането и анализа на сериозни странични ефекти;</w:t>
            </w:r>
            <w:r>
              <w:t xml:space="preserve"> </w:t>
            </w:r>
            <w:r>
              <w:rPr>
                <w:b/>
                <w:i/>
              </w:rPr>
              <w:t>отбелязва, че EMA редовно е обвинявана за това, че омаловажава съобщенията за сериозни странични ефекти, че не разглежда по подходящ начин необработените клинични доклади или че реагира твърде бавно при идентифицирането на рискове, което води до полемики и липса на доверие в нейните оценки (ваксините срещу COVID, ваксината срещу човешкия папиломавирус и др.);</w:t>
            </w:r>
            <w:r>
              <w:t xml:space="preserve"> </w:t>
            </w:r>
            <w:r>
              <w:rPr>
                <w:b/>
                <w:i/>
              </w:rPr>
              <w:t>припомня, че EMA разчита на данните, предоставяни от сектора;</w:t>
            </w:r>
            <w:r>
              <w:t xml:space="preserve"> </w:t>
            </w:r>
            <w:r>
              <w:rPr>
                <w:b/>
                <w:i/>
              </w:rPr>
              <w:t>посочва, че EMA е критикувана за това, че разчита твърде много на спонсорирани клинични изпитвания, което оказва значително въздействие върху общественото доверие;</w:t>
            </w:r>
            <w:r>
              <w:t xml:space="preserve"> </w:t>
            </w:r>
            <w:r>
              <w:rPr>
                <w:b/>
                <w:i/>
              </w:rPr>
              <w:t>отбелязва, че тези противоречия допринесоха за намаляване на ваксинационното покритие в някои държави и до оплаквания за липсата на независимост на EMA и за нейната близост с големи фармацевтични компании“;</w:t>
            </w:r>
            <w:r>
              <w:t xml:space="preserve"> подчертава, че EMA значително е засилила своята политика за разглеждане на конкуриращи се интереси на членовете на научния комитет и експертите, приета от управителния съвет на EMA през декември 2024 г. и влязла в сила на 1 май 2025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https://eur-lex.europa.eu/legal-content/FR/TXT/PDF/?uri=CELEX:62022CJ0291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94а.</w:t>
            </w:r>
            <w:r>
              <w:tab/>
            </w:r>
            <w:r>
              <w:rPr>
                <w:b/>
                <w:i/>
              </w:rPr>
              <w:t>приветства работата на Европейската агенция по лекарствата за преодоляване на недостига на антибиотика амоксицилин в Европа и нейната съвместна работа с националните агенции по лекарствата с цел справяне с недостига на това лекарство, в резултат на което през 2024 г. амоксицилинът беше изваден от списъка на дефицитните лекарства;</w:t>
            </w:r>
            <w:r>
              <w:t xml:space="preserve"> </w:t>
            </w:r>
            <w:r>
              <w:rPr>
                <w:b/>
                <w:i/>
              </w:rPr>
              <w:t>насърчава ЕМА да продължи да използва персонал и бюджетни средства за подобни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94а.</w:t>
            </w:r>
            <w:r>
              <w:tab/>
            </w:r>
            <w:r>
              <w:rPr>
                <w:b/>
                <w:i/>
              </w:rPr>
              <w:t>освен това осъжда отпускането на 72 000 EUR за коледни украси през 2024 г., с посредничеството на дружеството „Santa’s Office“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https://www.ema.europa.eu/en/documents/other/annual-list-contracts-2024_en.pdf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94б.</w:t>
            </w:r>
            <w:r>
              <w:tab/>
            </w:r>
            <w:r>
              <w:rPr>
                <w:b/>
                <w:i/>
              </w:rPr>
              <w:t>отбелязва, че Сметната палата препоръча в своя Специален доклад № 12/2024 Европейската агенция по лекарствата да продължи да работи за това нейните съобщения да достигат лесно до широката общественост, така че тя да може да получи по-добра представа за използването на средствата на Съюза от тази агенция;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94в.</w:t>
            </w:r>
            <w:r>
              <w:tab/>
            </w:r>
            <w:r>
              <w:rPr>
                <w:b/>
                <w:i/>
              </w:rPr>
              <w:t>отбелязва, че в своя Специален доклад № 12/2024 Сметната палата препоръча на Европейската агенция по лекарствата да продължи да работи и да координира усилията си с Европейския център за профилактика и контрол върху заболяванията (ECDC) и Органа за готовност и реакция при извънредни здравни ситуации (HERA), за да се гарантира по-добра готовност за бъдещи пандемии, включително по-ясно разделение на труда и отговорностите, както и по-ефективно използване на средствата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94г.</w:t>
            </w:r>
            <w:r>
              <w:tab/>
            </w:r>
            <w:r>
              <w:rPr>
                <w:b/>
                <w:i/>
              </w:rPr>
              <w:t>отбелязва, че Сметната палата препоръча в своя Специален доклад № 12/24 EMA да направи преглед на инструментите, процедурите и насоките, въведени от нея по време на пандемията, да определи кои от тях следва да бъдат запазени за бъдещи пандемии или други кризисни ситуации, и да ги адаптира в съответствие с текущия научен и технологичен напредък;</w:t>
            </w:r>
            <w:r>
              <w:t xml:space="preserve"> </w:t>
            </w:r>
            <w:r>
              <w:rPr>
                <w:b/>
                <w:i/>
              </w:rPr>
              <w:t>насърчава използването на подходящи ресурси за постигането на тази цел;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94д.</w:t>
            </w:r>
            <w:r>
              <w:tab/>
            </w:r>
            <w:r>
              <w:rPr>
                <w:b/>
                <w:i/>
              </w:rPr>
              <w:t>подчертава, че EMA е отбелязала текущия недостиг на някои критично важни лекарства за лечението на рак, включително флударабин, виндезин, флуорурацил, цисплатин, топотекан и метотрексат, които са от съществено значение за лечението на пациенти с левкемия, лимфом, рак на яйчниците и дребноклетъчен белодробен карцином;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94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94е.</w:t>
            </w:r>
            <w:r>
              <w:tab/>
            </w:r>
            <w:r>
              <w:rPr>
                <w:b/>
                <w:i/>
              </w:rPr>
              <w:t>подчертава, че EMA е отбелязала текущия недостиг на някои критично важни лекарства за лечението на диабет, включително инсулин аспарат (Fiasp, NovoRapid PumpCart), инсулин лиспро (Sanofi), човешки инсулин във всички негови форми (краткосрочно действие, бързо освобождаване, средносрочно действие, смесено действие и удължено освобождаване), инсуман рапид, базал, Comb 25, лираглутид (Victoza), дулаглутид (Trulicity) и лираглутид (Saxenda), които са от съществено значение за лечението на диабет тип 1 и тип 2, както и за пациенти, нуждаещи се от GLP-1 рецепторни агонисти за контрол на кръвната захар и намаляване на метаболитния риск;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95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95.</w:t>
            </w:r>
            <w:r>
              <w:tab/>
            </w:r>
            <w:r>
              <w:t>изразява сериозна загриженост относно повтарящите се нарушения на Финансовия регламент</w:t>
            </w:r>
            <w:r>
              <w:rPr>
                <w:b/>
                <w:i/>
              </w:rPr>
              <w:t>, установени в</w:t>
            </w:r>
            <w:r>
              <w:t xml:space="preserve"> процедурите за възлагане на обществени поръчки на Агенцията на Европейския съюз по наркотиците (EUDA), като отбелязва петте нередности, </w:t>
            </w:r>
            <w:r>
              <w:rPr>
                <w:b/>
                <w:i/>
              </w:rPr>
              <w:t>за които сигнализира</w:t>
            </w:r>
            <w:r>
              <w:t xml:space="preserve"> Палатата през 2024 г.</w:t>
            </w:r>
            <w:r>
              <w:rPr>
                <w:b/>
                <w:i/>
              </w:rPr>
              <w:t>;</w:t>
            </w:r>
            <w:r>
              <w:t xml:space="preserve"> </w:t>
            </w:r>
            <w:r>
              <w:rPr>
                <w:b/>
                <w:i/>
              </w:rPr>
              <w:t>подчертава, че тези нередности включват:</w:t>
            </w:r>
          </w:p>
        </w:tc>
        <w:tc>
          <w:tcPr>
            <w:tcW w:w="4876" w:type="dxa"/>
            <w:tcBorders>
              <w:top w:val="nil"/>
              <w:left w:val="nil"/>
              <w:bottom w:val="nil"/>
              <w:right w:val="nil"/>
            </w:tcBorders>
          </w:tcPr>
          <w:p>
            <w:pPr>
              <w:pStyle w:val="Normal6a"/>
            </w:pPr>
            <w:r>
              <w:t>95.</w:t>
            </w:r>
            <w:r>
              <w:tab/>
            </w:r>
            <w:r>
              <w:t xml:space="preserve">изразява сериозна загриженост относно повтарящите се нарушения на Финансовия регламент </w:t>
            </w:r>
            <w:r>
              <w:rPr>
                <w:b/>
                <w:i/>
              </w:rPr>
              <w:t>при</w:t>
            </w:r>
            <w:r>
              <w:t xml:space="preserve"> процедурите за възлагане на обществени поръчки на Агенцията на Европейския съюз по наркотиците (EUDA), като отбелязва петте нередности, </w:t>
            </w:r>
            <w:r>
              <w:rPr>
                <w:b/>
                <w:i/>
              </w:rPr>
              <w:t>установени от</w:t>
            </w:r>
            <w:r>
              <w:t xml:space="preserve"> Палатата през 2024 г.</w:t>
            </w:r>
            <w:r>
              <w:rPr>
                <w:b/>
                <w:i/>
              </w:rPr>
              <w:t>:</w:t>
            </w:r>
            <w:r>
              <w:t xml:space="preserve"> </w:t>
            </w:r>
            <w:r>
              <w:rPr>
                <w:b/>
                <w:i/>
              </w:rPr>
              <w:t>неразрешено разделяне на договори и необосновано използване на процедури на договаряне при договори за организиране на мероприятия в Лисабон (210 668 EUR);</w:t>
            </w:r>
            <w:r>
              <w:t xml:space="preserve"> </w:t>
            </w:r>
            <w:r>
              <w:rPr>
                <w:b/>
                <w:i/>
              </w:rPr>
              <w:t>сериозни слабости в договор на стойност 410 000 EUR за система за докладване относно трафика на наркотици, което прави договора и плащането на 60 000 EUR нередовни;</w:t>
            </w:r>
            <w:r>
              <w:t xml:space="preserve"> </w:t>
            </w:r>
            <w:r>
              <w:rPr>
                <w:b/>
                <w:i/>
              </w:rPr>
              <w:t>твърде големи плащания в размер на 14 007 EUR за церемонии по откриване;</w:t>
            </w:r>
            <w:r>
              <w:t xml:space="preserve"> </w:t>
            </w:r>
            <w:r>
              <w:rPr>
                <w:b/>
                <w:i/>
              </w:rPr>
              <w:t>неправилно възлагане на обществена поръчка във връзка с договор за събиране на данни в Украйна, на стойност от 10 000 EUR;</w:t>
            </w:r>
            <w:r>
              <w:t xml:space="preserve"> </w:t>
            </w:r>
            <w:r>
              <w:rPr>
                <w:b/>
                <w:i/>
              </w:rPr>
              <w:t>и неспазване на изискванията за публичност и конфликт на интереси при договор за временни услуги, на стойност 100 000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95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неразрешено разделяне на договори и неправилно използване на процедури на договаряне без обосновка за три договора за събития в Лисабон (място на провеждане и кетъринг, на обща стойност 210 668 EUR), наред с липсата на ключова документация и неспазването на изискванията за публичност на обществените поръчки;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95 – тире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сериозни недостатъци в договор на стойност 410 000 EUR за система за докладване относно трафика на наркотици, включително липса на подходящи тръжни спецификации, критерии за възлагане и комисия за оценка, което прави договора и плащането по него на стойност 60 000 EUR нередовни;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95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прекомерни плащания в размер на 14 007 EUR над договорената стойност на договора за церемониите по откриване, в нарушение на член 73 от финансовия регламент на EUDA;</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95 – тире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неправилно проведена обществена поръчка за договор за събиране на данни на стойност 10 000 EUR в Украйна, в която липсваха критерии за възлагане и подходяща документация;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95 – тире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неспазване на изискванията за публичност и декларации за конфликт на интереси при поръчка за временни услуги на стойност 100 000 EUR;</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97а.</w:t>
            </w:r>
            <w:r>
              <w:tab/>
            </w:r>
            <w:r>
              <w:rPr>
                <w:b/>
                <w:i/>
              </w:rPr>
              <w:t>отбелязва аналитичните и координационните дейности, извършвани от EUDA с цел подкрепа на националните органи;</w:t>
            </w:r>
            <w:r>
              <w:t xml:space="preserve"> </w:t>
            </w:r>
            <w:r>
              <w:rPr>
                <w:b/>
                <w:i/>
              </w:rPr>
              <w:t>отбелязва, че през 2024 г. EUDA е обучила над 11 700 специалисти в областта на политиката за контрол на наркотиците, включително служители на правоприлагащите органи, здравни работници и създатели на политики;</w:t>
            </w:r>
            <w:r>
              <w:t xml:space="preserve"> </w:t>
            </w:r>
            <w:r>
              <w:rPr>
                <w:b/>
                <w:i/>
              </w:rPr>
              <w:t>припомня, че средствата на Съюза в тази сфера следва да допринасят най-вече за предотвратяване и борба с трафика на наркотици, за засилване на сътрудничеството в областта на правоприлагането и за защита на общественото здраве и безопасност, както и че дейностите по обучение следва да продължат да са насочени към оперативното сътрудничество, обмена на разузнавателни данни и предотвратяването на организираната престъпност;</w:t>
            </w:r>
            <w:r>
              <w:t xml:space="preserve"> </w:t>
            </w:r>
            <w:r>
              <w:rPr>
                <w:b/>
                <w:i/>
              </w:rPr>
              <w:t>подчертава, че сътрудничеството с други агенции на Съюза трябва да цели повишаване на сигурността и упражняване на ефективен граничен контрол, като се гарантират измерими резултати и ефикасно използване на средствата на Съюза;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98а.</w:t>
            </w:r>
            <w:r>
              <w:tab/>
            </w:r>
            <w:r>
              <w:rPr>
                <w:b/>
                <w:i/>
              </w:rPr>
              <w:t>подчертава, че Сметната палата препоръчва ECDC да работи с държавите членки за укрепване на хармонизирана система за наблюдение на инфекциозните заболявания в рамките на ЕС, подобряване на вътрешните процеси за предоставяне на по-навременни и по-практични насоки и по-ясна комуникация с обществеността, като се използва прост език с цел по-добро представяне на използването на средствата на Съюза, както бе отбелязано в Специален доклад № 12/2024 на Сметната палата;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Виржини Жорон,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98а.</w:t>
            </w:r>
            <w:r>
              <w:tab/>
            </w:r>
            <w:r>
              <w:rPr>
                <w:b/>
                <w:i/>
              </w:rPr>
              <w:t>приветства факта, че ЕОБХ е приел нова политика относно конфликтите на интереси, след като там бяха констатирани различни проблеми:</w:t>
            </w:r>
            <w:r>
              <w:t xml:space="preserve"> </w:t>
            </w:r>
            <w:r>
              <w:rPr>
                <w:b/>
                <w:i/>
              </w:rPr>
              <w:t>включително случаите на Диана Банати, бивш председател на управителния съвет, която е подала оставка през 2012 г., след като е приела да работи за ILSI (лобистка група, подкрепяща сектора), без да декларира връзките си с тази група, и Сузи Ренкенс, бивш началник на отдела за ГМО, която е започнала работа в Syngenta през 2008 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100 – подточка ii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iiа)</w:t>
            </w:r>
            <w:r>
              <w:tab/>
            </w:r>
            <w:r>
              <w:rPr>
                <w:b/>
                <w:i/>
              </w:rPr>
              <w:t>ECDC и EMA да използват част от своя бюджет за изпълнение на препоръките, посочени от Европейската сметна палата в Специален доклад № 12/2024 и изброени по-горе;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Моника Холмайер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100 – подточка ii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iiб)</w:t>
            </w:r>
            <w:r>
              <w:tab/>
            </w:r>
            <w:r>
              <w:rPr>
                <w:b/>
                <w:i/>
              </w:rPr>
              <w:t>EMA, Комисията и държавите членки да предприемат незабавни мерки за преодоляване на продължаващия недостиг на горепосочените критично важни лекарства, и във връзка с това настоятелно призовава EMA да си сътрудничи тясно с националните органи и с Европейската комисия за:</w:t>
            </w:r>
            <w:r>
              <w:t xml:space="preserve"> </w:t>
            </w:r>
            <w:r>
              <w:rPr>
                <w:b/>
                <w:i/>
              </w:rPr>
              <w:t>i) разпределяне на достатъчно средства за справяне с проблема; ii) анализ и справяне с причините за този недостиг, включително производството, веригата на доставки, предизвикателствата пред дистрибуцията и пречките на вътрешния пазар или националния протекционизъм, включително необходимостта от производство на европейски лекарства; iii) разработване на планове за действие при извънредни ситуации, за да се гарантира непрекъснат достъп за пациентите, включително приоритизиране на случаите на голяма нужда;</w:t>
            </w:r>
            <w:r>
              <w:t xml:space="preserve"> </w:t>
            </w:r>
            <w:r>
              <w:rPr>
                <w:b/>
                <w:i/>
              </w:rPr>
              <w:t>подчертава, че незабавните и координирани действия са много важни за предотвратяване на евентуални забавяния при лечението, за избягване на влошени резултати за пациентите и за защита на общественото доверие в европейската здравна система;</w:t>
            </w:r>
            <w:r>
              <w:t xml:space="preserve"> </w:t>
            </w:r>
            <w:r>
              <w:rPr>
                <w:b/>
                <w:i/>
              </w:rPr>
              <w:t>насърчава ЕМА да използва допълнителни вътрешни средства от своя бюджет за постигането на тази цел;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104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104.</w:t>
            </w:r>
            <w:r>
              <w:tab/>
            </w:r>
            <w:r>
              <w:t>отбелязва трите констатации на Палатата относно нередности при възлагането на обществени поръчки в ЕАОС, включително:</w:t>
            </w:r>
          </w:p>
        </w:tc>
        <w:tc>
          <w:tcPr>
            <w:tcW w:w="4876" w:type="dxa"/>
            <w:tcBorders>
              <w:top w:val="nil"/>
              <w:left w:val="nil"/>
              <w:bottom w:val="nil"/>
              <w:right w:val="nil"/>
            </w:tcBorders>
          </w:tcPr>
          <w:p>
            <w:pPr>
              <w:pStyle w:val="Normal6a"/>
            </w:pPr>
            <w:r>
              <w:t>104.</w:t>
            </w:r>
            <w:r>
              <w:tab/>
            </w:r>
            <w:r>
              <w:t xml:space="preserve">отбелязва трите констатации на Палатата относно нередности при възлагането на обществени поръчки в ЕАОС, включително: </w:t>
            </w:r>
            <w:r>
              <w:rPr>
                <w:b/>
                <w:i/>
              </w:rPr>
              <w:t>нередовни плащания по рамковото споразумение за предоставяне на столови и ресторантьорски услуги (6 514 EUR, възстановени без фактура, и завишаване на цените с 34% над механизма за индексиране);</w:t>
            </w:r>
            <w:r>
              <w:t xml:space="preserve"> </w:t>
            </w:r>
            <w:r>
              <w:rPr>
                <w:b/>
                <w:i/>
              </w:rPr>
              <w:t>използването на вътрешната система за срещи на експерти вместо изискваните формуляри за поръчка, което е възпрепятствало надлежното проследяване на кумулативните разходи и е създало риск от превишаване на тавана по договора;</w:t>
            </w:r>
            <w:r>
              <w:t xml:space="preserve"> </w:t>
            </w:r>
            <w:r>
              <w:rPr>
                <w:b/>
                <w:i/>
              </w:rPr>
              <w:t>и непосочването на вида на договора за консултантски договор в сферата на информационните технологии, на стойност 731 000 EUR, в нарушение на приложение I към Финансовия регламент;</w:t>
            </w:r>
            <w:r>
              <w:t xml:space="preserve"> </w:t>
            </w:r>
            <w:r>
              <w:rPr>
                <w:b/>
                <w:i/>
              </w:rPr>
              <w:t>отбелязва обясненията и ангажиментите на Агенцията за подобряване на процедурите и за гарантиране на тяхното спазване в бъдеще;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104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нередовни плащания по рамков договор за столови и кетъринг услуги, възстановяване на 6 514 EUR без фактура, адресирана до Агенцията, в нарушение на член 111, параграф 2 от Финансовия регламент, и увеличаване на цените за обяд с 34 % над договорения механизъм за индексиране;</w:t>
            </w:r>
            <w:r>
              <w:t xml:space="preserve"> </w:t>
            </w:r>
            <w:r>
              <w:rPr>
                <w:b/>
                <w:i/>
              </w:rPr>
              <w:t>отбелязва отговора на Агенцията, че това са изолирани инциденти, като впоследствие процедурите са били изяснени и укрепени, и че корекцията на цените се е дължала на извънредни инфлационни условия;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104 – тире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използване на вътрешната система за срещи на експерти за поръчване на кетъринг услуги вместо формулярите за поръчка, изисквани съгласно рамковия договор, като по този начин се предотвратява надеждният мониторинг на кумулативните разходи и се рискува превишаване на тавана на договорите в нарушение на член 111, параграфи 1 и 3 от Финансовия регламент;</w:t>
            </w:r>
            <w:r>
              <w:t xml:space="preserve"> </w:t>
            </w:r>
            <w:r>
              <w:rPr>
                <w:b/>
                <w:i/>
              </w:rPr>
              <w:t>отбелязва отговора на ЕАОС, че системата за срещи на експерти осигурява рационализиран процес на контрол и че тя ще измени съответно рамковия договор;</w:t>
            </w:r>
            <w:r>
              <w:t xml:space="preserve"> </w:t>
            </w:r>
            <w:r>
              <w:rPr>
                <w:b/>
                <w:i/>
              </w:rPr>
              <w:t>подчертава, че за да се отговори изцяло на опасенията на Палатата, системата за срещи на експерти следва да бъде интегрирана със счетоводната система, за да се гарантира, че всички поръчки за кетъринг услуги автоматично пораждат правно обвързващи ангажименти;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104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вид договор:</w:t>
            </w:r>
            <w:r>
              <w:t xml:space="preserve"> </w:t>
            </w:r>
            <w:r>
              <w:rPr>
                <w:b/>
                <w:i/>
              </w:rPr>
              <w:t>отбелязва, че ЕАОС не е уточнила вида на конкретния договор (с фиксирана цена или на база „изработено време и използвани ресурси“) за договор за консултантски услуги в областта на информационните технологии на стойност 731 000 EUR, в противоречие с раздел 1.1 от приложение I към Финансовия регламент, което прави невъзможно съпоставянето на общата сума на договора с цената за консултант;</w:t>
            </w:r>
            <w:r>
              <w:t xml:space="preserve"> </w:t>
            </w:r>
            <w:r>
              <w:rPr>
                <w:b/>
                <w:i/>
              </w:rPr>
              <w:t>отбелязва обяснението на ЕАОС, че пропускът не е имал финансово отражение, и ангажимента да се гарантира, че тази информация е включена във всички бъдещи договори;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104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вид договор: </w:t>
            </w:r>
            <w:r>
              <w:rPr>
                <w:b/>
                <w:i/>
              </w:rPr>
              <w:t>отбелязва</w:t>
            </w:r>
            <w:r>
              <w:t xml:space="preserve">, че ЕАОС не е уточнила вида на конкретния договор (с фиксирана цена или на база „изработено време и използвани ресурси“) за договор за консултантски услуги в областта на информационните технологии на стойност </w:t>
            </w:r>
            <w:r>
              <w:rPr>
                <w:b/>
                <w:i/>
              </w:rPr>
              <w:t>731 000</w:t>
            </w:r>
            <w:r>
              <w:t xml:space="preserve"> EUR, в противоречие с раздел 1.1 от приложение I към Финансовия регламент, което прави невъзможно съпоставянето на общата сума на договора с цената за консултант; отбелязва обяснението на ЕАОС, че пропускът не е имал финансово отражение, и ангажимента да се гарантира, че тази информация е включена във всички бъдещи договори;</w:t>
            </w:r>
          </w:p>
        </w:tc>
        <w:tc>
          <w:tcPr>
            <w:tcW w:w="4876" w:type="dxa"/>
            <w:tcBorders>
              <w:top w:val="nil"/>
              <w:left w:val="nil"/>
              <w:bottom w:val="nil"/>
              <w:right w:val="nil"/>
            </w:tcBorders>
          </w:tcPr>
          <w:p>
            <w:pPr>
              <w:pStyle w:val="Normal6a"/>
            </w:pPr>
            <w:r>
              <w:rPr>
                <w:b/>
                <w:i/>
              </w:rPr>
              <w:t>–</w:t>
            </w:r>
            <w:r>
              <w:tab/>
            </w:r>
            <w:r>
              <w:t xml:space="preserve">вид договор: </w:t>
            </w:r>
            <w:r>
              <w:rPr>
                <w:b/>
                <w:i/>
              </w:rPr>
              <w:t>изразява съжаление за това</w:t>
            </w:r>
            <w:r>
              <w:t xml:space="preserve">, че ЕАОС не е уточнила вида на конкретния договор (с фиксирана цена или на база „изработено време и използвани ресурси“) за договор за консултантски услуги в областта на информационните технологии на стойност </w:t>
            </w:r>
            <w:r>
              <w:rPr>
                <w:b/>
                <w:i/>
              </w:rPr>
              <w:t>731 000</w:t>
            </w:r>
            <w:r>
              <w:t xml:space="preserve"> EUR, в противоречие с раздел 1.1 от приложение I към Финансовия регламент, което прави невъзможно съпоставянето на общата сума на договора с цената за консултант; отбелязва обяснението на ЕАОС, че пропускът не е имал финансово отражение, и ангажимента да се гарантира, че тази информация е включена във всички бъдещи договори; </w:t>
            </w:r>
            <w:r>
              <w:rPr>
                <w:b/>
                <w:i/>
              </w:rPr>
              <w:t>настоятелно призовава услугите за закупуване и правните услуги на агенциите да се поставят на професионална основа, за да се избегне повтарянето на тези грешки и произтичащият от това риск за публичните средства;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104а.</w:t>
            </w:r>
            <w:r>
              <w:tab/>
            </w:r>
            <w:r>
              <w:rPr>
                <w:b/>
                <w:i/>
              </w:rPr>
              <w:t>подчертава, че редица публикации на ЕАОС отразяват идеологически подход към Зеления пакт, което би могло да окаже непропорционално въздействие върху селскостопанския и промишления сектор в Европа, и призовава Агенцията да подкрепи строг научен подход, без политически активизъм;</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105.</w:t>
            </w:r>
            <w:r>
              <w:tab/>
            </w:r>
            <w:r>
              <w:t>отбелязва констатацията на Палатата, че Европейската агенция по химикали (ECHA) е подписала конкретен договор за ИТ инфраструктура на стойност 8,1 милиона евро, което надвишава с 1,3 милиона евро делегирания лимит на разпоредителя с бюджетни кредити; отбелязва обяснението на Агенцията, че договорът се основава на необвързващи прогнози за обема на услугите в рамките на годишните бюджетни кредити и че действителните бюджетни задължения не надвишават делегираните правомощия; насърчава ECHA да гарантира ясно съответствие между финансовото делегиране и договорните ангажименти;</w:t>
            </w:r>
          </w:p>
        </w:tc>
        <w:tc>
          <w:tcPr>
            <w:tcW w:w="4876" w:type="dxa"/>
            <w:tcBorders>
              <w:top w:val="nil"/>
              <w:left w:val="nil"/>
              <w:bottom w:val="nil"/>
              <w:right w:val="nil"/>
            </w:tcBorders>
          </w:tcPr>
          <w:p>
            <w:pPr>
              <w:pStyle w:val="Normal6a"/>
            </w:pPr>
            <w:r>
              <w:t>105.</w:t>
            </w:r>
            <w:r>
              <w:tab/>
            </w:r>
            <w:r>
              <w:t xml:space="preserve">отбелязва констатацията на Палатата, че Европейската агенция по химикали (ECHA) е подписала конкретен договор за ИТ инфраструктура на стойност 8,1 милиона евро, което надвишава с 1,3 милиона евро делегирания лимит на разпоредителя с бюджетни кредити; отбелязва обяснението на Агенцията, че договорът се основава на необвързващи прогнози за обема на услугите в рамките на годишните бюджетни кредити и че действителните бюджетни задължения не надвишават делегираните правомощия; насърчава ECHA да гарантира ясно съответствие между финансовото делегиране и договорните ангажименти; </w:t>
            </w:r>
            <w:r>
              <w:rPr>
                <w:b/>
                <w:i/>
              </w:rPr>
              <w:t>призовава Агенцията да въведе подобрени, ориентирани към бъдещето механизми за проверка на външните изпълнители, които участват в работата по вземане на регулаторни решения от страна на Агенцията;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106.</w:t>
            </w:r>
            <w:r>
              <w:tab/>
            </w:r>
            <w:r>
              <w:t>обръща внимание на опасенията, изразени от няколко организации на гражданското общество във връзка с потенциален професионален конфликт на интереси в случая на Ramboll Germany GmbH — консултантско дружество, което преди това е извършило технически проучвания за ECHA, като същевременно е предоставяло услуги на заинтересовани страни от сектора, стремящи се да повлияят на предстоящите ограничения на перфлуороалкилираните и полифлуороалкилираните съединения (PFAS); потвърждава твърдението на организациите, че паралелните дейности на Ramboll биха могли да компрометират безпристрастността, изисквана съгласно член 2, параграф 56 и член 143, буква г), от Финансовия регламент;</w:t>
            </w:r>
          </w:p>
        </w:tc>
        <w:tc>
          <w:tcPr>
            <w:tcW w:w="4876" w:type="dxa"/>
            <w:tcBorders>
              <w:top w:val="nil"/>
              <w:left w:val="nil"/>
              <w:bottom w:val="nil"/>
              <w:right w:val="nil"/>
            </w:tcBorders>
          </w:tcPr>
          <w:p>
            <w:pPr>
              <w:pStyle w:val="Normal6a"/>
            </w:pPr>
            <w:r>
              <w:t>106.</w:t>
            </w:r>
            <w:r>
              <w:tab/>
            </w:r>
            <w:r>
              <w:t xml:space="preserve">обръща внимание на опасенията, изразени от няколко организации на гражданското общество във връзка с потенциален професионален конфликт на интереси в случая на Ramboll Germany GmbH — консултантско дружество, което преди това е извършило технически проучвания за ECHA, като същевременно е предоставяло услуги на заинтересовани страни от сектора, стремящи се да повлияят на предстоящите ограничения на перфлуороалкилираните и полифлуороалкилираните съединения (PFAS); </w:t>
            </w:r>
            <w:r>
              <w:rPr>
                <w:b/>
                <w:i/>
              </w:rPr>
              <w:t>подчертава, че структурите за предоставяне на експертни консултации следва да отразяват балансирано представителство във връзка с експертния опит на субекти от научните среди, промишлеността и гражданското общество, за да се подобри легитимността и основаното на факти вземане на решения;</w:t>
            </w:r>
            <w:r>
              <w:t xml:space="preserve"> потвърждава твърдението на организациите, че паралелните дейности на Ramboll биха могли да компрометират безпристрастността, изисквана съгласно член 2, параграф 56 и член 143, буква г), от Финансовия регламент; </w:t>
            </w:r>
            <w:r>
              <w:rPr>
                <w:b/>
                <w:i/>
              </w:rPr>
              <w:t>подчертава, че принципът на добро управление изисква Агенцията да гарантира, че процедурите по възлагане на обществени поръчки и изпълнение на договори се провеждат така, че да се запази институционалната безпристрастност и общественото доверие;</w:t>
            </w:r>
            <w:r>
              <w:t xml:space="preserve"> </w:t>
            </w:r>
            <w:r>
              <w:rPr>
                <w:b/>
                <w:i/>
              </w:rPr>
              <w:t>отбелязва, че един предполагаем конфликт на интереси може да засегне доверието във финансираните от Съюза дейности, дори при липсата на процесуални нарушения;</w:t>
            </w:r>
            <w:r>
              <w:t xml:space="preserve"> </w:t>
            </w:r>
            <w:r>
              <w:rPr>
                <w:b/>
                <w:i/>
              </w:rPr>
              <w:t>призовава за засилени предпазни мерки, насочени към реалните и очевидните рискове;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w:t>
            </w:r>
            <w:r>
              <w:rPr>
                <w:b/>
                <w:i/>
              </w:rPr>
              <w:t>въпреки това</w:t>
            </w:r>
            <w:r>
              <w:t xml:space="preserve"> подчертава, че </w:t>
            </w:r>
            <w:r>
              <w:rPr>
                <w:b/>
                <w:i/>
              </w:rPr>
              <w:t>е важно</w:t>
            </w:r>
            <w:r>
              <w:t xml:space="preserve"> да се гарантират стабилни</w:t>
            </w:r>
            <w:r>
              <w:rPr>
                <w:b/>
                <w:i/>
              </w:rPr>
              <w:t>,</w:t>
            </w:r>
            <w:r>
              <w:t xml:space="preserve"> проактивни </w:t>
            </w:r>
            <w:r>
              <w:rPr>
                <w:b/>
                <w:i/>
              </w:rPr>
              <w:t>и ориентирани към бъдещето проверки на конфликтите</w:t>
            </w:r>
            <w:r>
              <w:t xml:space="preserve"> на интереси </w:t>
            </w:r>
            <w:r>
              <w:rPr>
                <w:b/>
                <w:i/>
              </w:rPr>
              <w:t>за всички външни изпълнители, особено за тези, които участват в техническа работа, допринасяща за чувствителни регулаторни решения</w:t>
            </w:r>
            <w:r>
              <w:t xml:space="preserve">; </w:t>
            </w:r>
            <w:r>
              <w:rPr>
                <w:b/>
                <w:i/>
              </w:rPr>
              <w:t>изразява загриженост, че някои договори между НПО и Комисията съдържаха точки от работната  програма, чиято цел е да се подкопае работата на ECHA и процеса на вземане на решения на съответните комисии в Европейския парламент;</w:t>
            </w:r>
            <w:r>
              <w:t xml:space="preserve"> </w:t>
            </w:r>
            <w:r>
              <w:rPr>
                <w:b/>
                <w:i/>
              </w:rPr>
              <w:t>подчертава, че сред членовете на експертните групи следва се подържа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w:t>
            </w:r>
          </w:p>
        </w:tc>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подчертава, че </w:t>
            </w:r>
            <w:r>
              <w:rPr>
                <w:b/>
                <w:i/>
              </w:rPr>
              <w:t>трябва</w:t>
            </w:r>
            <w:r>
              <w:t xml:space="preserve"> да се гарантират </w:t>
            </w:r>
            <w:r>
              <w:rPr>
                <w:b/>
                <w:i/>
              </w:rPr>
              <w:t>особено</w:t>
            </w:r>
            <w:r>
              <w:t xml:space="preserve"> стабилни </w:t>
            </w:r>
            <w:r>
              <w:rPr>
                <w:b/>
                <w:i/>
              </w:rPr>
              <w:t>и</w:t>
            </w:r>
            <w:r>
              <w:t xml:space="preserve"> проактивни </w:t>
            </w:r>
            <w:r>
              <w:rPr>
                <w:b/>
                <w:i/>
              </w:rPr>
              <w:t>процедури за предотвратяване на всякакъв риск от конфликт</w:t>
            </w:r>
            <w:r>
              <w:t xml:space="preserve"> на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Клаудиу Манда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допринасяща за чувствителни регулаторни решения; </w:t>
            </w:r>
            <w:r>
              <w:rPr>
                <w:b/>
                <w:i/>
              </w:rPr>
              <w:t>изразява загриженост, че някои договори между НПО и Комисията съдържаха точки от работната  програма, чиято цел е да се подкопае работата на ECHA и процеса на вземане на решения на съответните комисии в Европейския парламент;</w:t>
            </w:r>
            <w:r>
              <w:t xml:space="preserve"> подчертава, че сред членовете на експертните групи следва се </w:t>
            </w:r>
            <w:r>
              <w:rPr>
                <w:b/>
                <w:i/>
              </w:rPr>
              <w:t>подържа</w:t>
            </w:r>
            <w:r>
              <w:t xml:space="preserve">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w:t>
            </w:r>
          </w:p>
        </w:tc>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допринасяща за чувствителни регулаторни решения; подчертава, че сред членовете на експертните групи следва се </w:t>
            </w:r>
            <w:r>
              <w:rPr>
                <w:b/>
                <w:i/>
              </w:rPr>
              <w:t>поддържа</w:t>
            </w:r>
            <w:r>
              <w:t xml:space="preserve">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 </w:t>
            </w:r>
            <w:r>
              <w:rPr>
                <w:b/>
                <w:i/>
              </w:rPr>
              <w:t>приканва Агенцията да включи проверките за независимост на изпълнителите в своята по-широка рамка за вътрешен контрол и управление на риска;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w:t>
            </w:r>
            <w:r>
              <w:rPr>
                <w:b/>
                <w:i/>
              </w:rPr>
              <w:t>допринасяща за</w:t>
            </w:r>
            <w:r>
              <w:t xml:space="preserve"> чувствителни регулаторни решения; изразява </w:t>
            </w:r>
            <w:r>
              <w:rPr>
                <w:b/>
                <w:i/>
              </w:rPr>
              <w:t>загриженост</w:t>
            </w:r>
            <w:r>
              <w:t>, че някои договори между НПО и Комисията съдържаха точки от работната</w:t>
            </w:r>
            <w:r>
              <w:rPr>
                <w:b/>
                <w:i/>
              </w:rPr>
              <w:t xml:space="preserve">  </w:t>
            </w:r>
            <w:r>
              <w:t xml:space="preserve">програма, чиято цел е да се подкопае работата на ECHA и процеса на вземане на решения на съответните комисии в Европейския парламент; подчертава, че сред членовете на експертните групи следва се </w:t>
            </w:r>
            <w:r>
              <w:rPr>
                <w:b/>
                <w:i/>
              </w:rPr>
              <w:t>подържа</w:t>
            </w:r>
            <w:r>
              <w:t xml:space="preserve">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w:t>
            </w:r>
          </w:p>
        </w:tc>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w:t>
            </w:r>
            <w:r>
              <w:rPr>
                <w:b/>
                <w:i/>
              </w:rPr>
              <w:t>служеща като основа за вземането на</w:t>
            </w:r>
            <w:r>
              <w:t xml:space="preserve"> чувствителни регулаторни решения; изразява </w:t>
            </w:r>
            <w:r>
              <w:rPr>
                <w:b/>
                <w:i/>
              </w:rPr>
              <w:t>възмущението си от факта</w:t>
            </w:r>
            <w:r>
              <w:t>, че някои договори между НПО и Комисията съдържаха точки от работната програма, чиято цел е да се подкопае работата на ECHA и процеса на вземане на решения на съответните комисии в Европейския парламент</w:t>
            </w:r>
            <w:r>
              <w:rPr>
                <w:b/>
                <w:i/>
              </w:rPr>
              <w:t>, като това представлява отново намеса на Комисията, която се плаща от данъкоплатците в държавите членки, с цел насочване на решенията според нейния идеологически подход, в ущърб на демократичния законодателен процес</w:t>
            </w:r>
            <w:r>
              <w:t xml:space="preserve">; подчертава, че сред членовете на експертните групи следва се </w:t>
            </w:r>
            <w:r>
              <w:rPr>
                <w:b/>
                <w:i/>
              </w:rPr>
              <w:t>поддържа</w:t>
            </w:r>
            <w:r>
              <w:t xml:space="preserve">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допринасяща за чувствителни регулаторни решения; изразява загриженост, че някои договори между НПО и Комисията съдържаха точки от работната</w:t>
            </w:r>
            <w:r>
              <w:rPr>
                <w:b/>
                <w:i/>
              </w:rPr>
              <w:t xml:space="preserve">  </w:t>
            </w:r>
            <w:r>
              <w:t xml:space="preserve">програма, чиято цел е да се подкопае работата на ECHA и процеса на вземане на решения на съответните комисии в Европейския парламент; подчертава, че сред членовете на експертните групи следва се </w:t>
            </w:r>
            <w:r>
              <w:rPr>
                <w:b/>
                <w:i/>
              </w:rPr>
              <w:t>подържа</w:t>
            </w:r>
            <w:r>
              <w:t xml:space="preserve">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w:t>
            </w:r>
          </w:p>
        </w:tc>
        <w:tc>
          <w:tcPr>
            <w:tcW w:w="4876" w:type="dxa"/>
            <w:tcBorders>
              <w:top w:val="nil"/>
              <w:left w:val="nil"/>
              <w:bottom w:val="nil"/>
              <w:right w:val="nil"/>
            </w:tcBorders>
          </w:tcPr>
          <w:p>
            <w:pPr>
              <w:pStyle w:val="Normal6a"/>
            </w:pPr>
            <w:r>
              <w:t>107.</w:t>
            </w:r>
            <w:r>
              <w:tab/>
            </w:r>
            <w:r>
              <w:t xml:space="preserve">отбелязва обаче пояснението на ECHA, че работата, извършена от Ramboll Deutschland за Агенцията във връзка с PFAS, е била извършена между 2020 г. и 2021 г., преди работата на консултантското дружество с промишления сектор през 2022 г., и че оценките на конфликтите на интереси са били извършени в съответствие с процедурите на ECHA към момента на възлагане на договора; отбелязва освен това, че съгласно настоящия рамков договор от 2024 г. Ramboll не е представил оферти за конкретни договори; приветства изявлението на ECHA, че е извършила подробен вътрешен преглед в отговор на исканията за достъп до документи и не е установила неуправляван конфликт на интереси; въпреки това подчертава, че е важно да се гарантират стабилни, проактивни и ориентирани към бъдещето проверки на конфликтите на интереси за всички външни изпълнители, особено за тези, които участват в техническа работа, допринасяща за чувствителни регулаторни решения; изразява загриженост, че някои договори между НПО и Комисията съдържаха точки от работната програма, чиято цел е да се подкопае работата на ECHA и процеса на вземане на решения на съответните комисии в Европейския парламент; </w:t>
            </w:r>
            <w:r>
              <w:rPr>
                <w:b/>
                <w:i/>
              </w:rPr>
              <w:t>призовава Комисията да гарантира пълна прозрачност по отношение на тези договори и да подложи финансираните от НПО дейности, които целят оказване на влияние върху резултатите от регулаторната или законодателната дейност, на същото ниво на контрол и на същите изисквания за оповестяването на информация като тези, които важат за всички други заинтересовани страни;</w:t>
            </w:r>
            <w:r>
              <w:t xml:space="preserve"> подчертава, че сред членовете на експертните групи следва се </w:t>
            </w:r>
            <w:r>
              <w:rPr>
                <w:b/>
                <w:i/>
              </w:rPr>
              <w:t>поддържа</w:t>
            </w:r>
            <w:r>
              <w:t xml:space="preserve"> баланс между различни сектори, включително частния сектор, научните сектори и гражданското общество, за да бъдат представени различни компетентности и гледни точки;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Виржини Жорон, Тамаш Дойч,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107а.</w:t>
            </w:r>
            <w:r>
              <w:tab/>
            </w:r>
            <w:r>
              <w:rPr>
                <w:b/>
                <w:i/>
              </w:rPr>
              <w:t>подчертава, че становищата на ECHA оказват пряко въздействие върху конкурентоспособността на някои стратегически сектори, като например селското стопанство, агрохранителната промишленост, преработката на пластмаси и европейската химическа промишленост;</w:t>
            </w:r>
            <w:r>
              <w:t xml:space="preserve"> </w:t>
            </w:r>
            <w:r>
              <w:rPr>
                <w:b/>
                <w:i/>
              </w:rPr>
              <w:t>счита, че нейните становища не трябва да водят до регулаторна инфлация, която дестабилизира европейските предприятия, и по-специално МСП, нито до систематични забрани, които нямат нищо общо с действителната ситуация в сектора или с международната конкурентоспособност;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rPr>
                <w:b/>
                <w:i/>
              </w:rPr>
              <w:t>припомня, че забележката на Палатата относно структурната зависимост на ACER от временни работници остава неприключена от 2019 г.</w:t>
            </w:r>
            <w:r>
              <w:t xml:space="preserve"> </w:t>
            </w:r>
            <w:r>
              <w:rPr>
                <w:b/>
                <w:i/>
              </w:rPr>
              <w:t>насам, като временните служители продължават да изпълняват дългосрочни задачи, които обикновено следва да се поемат от пряко наетите служители;</w:t>
            </w:r>
            <w:r>
              <w:t xml:space="preserve"> отбелязва, че </w:t>
            </w:r>
            <w:r>
              <w:rPr>
                <w:b/>
                <w:i/>
              </w:rPr>
              <w:t>въпреки че броят на временните работници е намалял от 18 през 2023 г.</w:t>
            </w:r>
            <w:r>
              <w:t xml:space="preserve"> </w:t>
            </w:r>
            <w:r>
              <w:rPr>
                <w:b/>
                <w:i/>
              </w:rPr>
              <w:t>на 16 през 2024 г., положението се е запазило и ACER възнамерява да възложи част от тези дейности на подизпълнители;</w:t>
            </w:r>
            <w:r>
              <w:t xml:space="preserve"> </w:t>
            </w:r>
            <w:r>
              <w:rPr>
                <w:b/>
                <w:i/>
              </w:rPr>
              <w:t>отбелязва отговорите на Агенцията на въпросника, според които е необходимо мащабно</w:t>
            </w:r>
            <w:r>
              <w:t xml:space="preserve"> възлагане на външни изпълнители </w:t>
            </w:r>
            <w:r>
              <w:rPr>
                <w:b/>
                <w:i/>
              </w:rPr>
              <w:t>поради недостатъчните вътрешни ресурси и специализиран експертен опит;</w:t>
            </w:r>
            <w:r>
              <w:t xml:space="preserve"> </w:t>
            </w:r>
            <w:r>
              <w:rPr>
                <w:b/>
                <w:i/>
              </w:rPr>
              <w:t>отбелязва, че ACER възлага на външни изпълнители широк набор от функции, включително високоспециализирани консултантски услуги и проучвания в областта на енергийното регулиране, правни услуги, организиране на събития и различни общи услуги, но че най-значителната зависимост се отнася до</w:t>
            </w:r>
            <w:r>
              <w:t xml:space="preserve"> областта на информационните технологии, където </w:t>
            </w:r>
            <w:r>
              <w:rPr>
                <w:b/>
                <w:i/>
              </w:rPr>
              <w:t>проектирането, разработването, внедряването, обслужването, поддръжката и сигурността на нейните системи се извършват до голяма степен от</w:t>
            </w:r>
            <w:r>
              <w:t xml:space="preserve"> външни доставчици </w:t>
            </w:r>
            <w:r>
              <w:rPr>
                <w:b/>
                <w:i/>
              </w:rPr>
              <w:t>на услуги;</w:t>
            </w:r>
            <w:r>
              <w:t xml:space="preserve"> </w:t>
            </w:r>
            <w:r>
              <w:rPr>
                <w:b/>
                <w:i/>
              </w:rPr>
              <w:t>във връзка с това подчертава, че повече от 100 външни експерти в областта на информационните технологии (не непременно на пълно работно време) са ангажирани с предоставянето на ИТ услуги на ACER в сравнение със само 17 вътрешни ИТ служители, което създава значителен структурен дисбаланс;</w:t>
            </w:r>
            <w:r>
              <w:t xml:space="preserve"> </w:t>
            </w:r>
            <w:r>
              <w:rPr>
                <w:b/>
                <w:i/>
              </w:rPr>
              <w:t>отбелязва освен това, че ACER заявява</w:t>
            </w:r>
            <w:r>
              <w:t xml:space="preserve">, че този модел </w:t>
            </w:r>
            <w:r>
              <w:rPr>
                <w:b/>
                <w:i/>
              </w:rPr>
              <w:t>на възлагане на дейности на външни изпълнители е бил изрично</w:t>
            </w:r>
            <w:r>
              <w:t xml:space="preserve"> препоръчан от Комисията с оглед на </w:t>
            </w:r>
            <w:r>
              <w:rPr>
                <w:b/>
                <w:i/>
              </w:rPr>
              <w:t>ограниченото щатно разписание</w:t>
            </w:r>
            <w:r>
              <w:t xml:space="preserve"> на Агенцията </w:t>
            </w:r>
            <w:r>
              <w:rPr>
                <w:b/>
                <w:i/>
              </w:rPr>
              <w:t>и ограничените ресурси;</w:t>
            </w:r>
            <w:r>
              <w:t xml:space="preserve"> </w:t>
            </w:r>
            <w:r>
              <w:rPr>
                <w:b/>
                <w:i/>
              </w:rPr>
              <w:t>подчертава обаче</w:t>
            </w:r>
            <w:r>
              <w:t xml:space="preserve">, </w:t>
            </w:r>
            <w:r>
              <w:rPr>
                <w:b/>
                <w:i/>
              </w:rPr>
              <w:t>че подобна постоянна зависимост от външни доставчици за основни ИТ способности, съчетана с продължаващото използване на временни работници за постоянни задачи, поражда опасения по отношение на</w:t>
            </w:r>
            <w:r>
              <w:t xml:space="preserve"> запазването на знанията</w:t>
            </w:r>
            <w:r>
              <w:rPr>
                <w:b/>
                <w:i/>
              </w:rPr>
              <w:t>,</w:t>
            </w:r>
            <w:r>
              <w:t xml:space="preserve"> оперативната приемственост </w:t>
            </w:r>
            <w:r>
              <w:rPr>
                <w:b/>
                <w:i/>
              </w:rPr>
              <w:t>и дългосрочния институционален капацитет</w:t>
            </w:r>
            <w:r>
              <w:t>;</w:t>
            </w:r>
          </w:p>
        </w:tc>
        <w:tc>
          <w:tcPr>
            <w:tcW w:w="4876" w:type="dxa"/>
            <w:tcBorders>
              <w:top w:val="nil"/>
              <w:left w:val="nil"/>
              <w:bottom w:val="nil"/>
              <w:right w:val="nil"/>
            </w:tcBorders>
          </w:tcPr>
          <w:p>
            <w:pPr>
              <w:pStyle w:val="Normal6a"/>
            </w:pPr>
            <w:r>
              <w:t>111.</w:t>
            </w:r>
            <w:r>
              <w:tab/>
            </w:r>
            <w:r>
              <w:t xml:space="preserve">отбелязва, че </w:t>
            </w:r>
            <w:r>
              <w:rPr>
                <w:b/>
                <w:i/>
              </w:rPr>
              <w:t>моделът на ACER за</w:t>
            </w:r>
            <w:r>
              <w:t xml:space="preserve"> възлагане </w:t>
            </w:r>
            <w:r>
              <w:rPr>
                <w:b/>
                <w:i/>
              </w:rPr>
              <w:t>на дейности</w:t>
            </w:r>
            <w:r>
              <w:t xml:space="preserve"> на външни изпълнители </w:t>
            </w:r>
            <w:r>
              <w:rPr>
                <w:b/>
                <w:i/>
              </w:rPr>
              <w:t>се е наложил твърде много, особено в</w:t>
            </w:r>
            <w:r>
              <w:t xml:space="preserve"> областта на информационните технологии, където </w:t>
            </w:r>
            <w:r>
              <w:rPr>
                <w:b/>
                <w:i/>
              </w:rPr>
              <w:t>Агенцията разчита основно на услугите на</w:t>
            </w:r>
            <w:r>
              <w:t xml:space="preserve"> външни доставчици</w:t>
            </w:r>
            <w:r>
              <w:rPr>
                <w:b/>
                <w:i/>
              </w:rPr>
              <w:t>;</w:t>
            </w:r>
            <w:r>
              <w:t xml:space="preserve"> </w:t>
            </w:r>
            <w:r>
              <w:rPr>
                <w:b/>
                <w:i/>
              </w:rPr>
              <w:t>счита</w:t>
            </w:r>
            <w:r>
              <w:t>, че този модел</w:t>
            </w:r>
            <w:r>
              <w:rPr>
                <w:b/>
                <w:i/>
              </w:rPr>
              <w:t>, който първоначално бе</w:t>
            </w:r>
            <w:r>
              <w:t xml:space="preserve"> препоръчан от Комисията</w:t>
            </w:r>
            <w:r>
              <w:rPr>
                <w:b/>
                <w:i/>
              </w:rPr>
              <w:t>, сега следва да се преразгледа,</w:t>
            </w:r>
            <w:r>
              <w:t xml:space="preserve"> с оглед на </w:t>
            </w:r>
            <w:r>
              <w:rPr>
                <w:b/>
                <w:i/>
              </w:rPr>
              <w:t>структурните рискове, които той създава;</w:t>
            </w:r>
            <w:r>
              <w:t xml:space="preserve"> </w:t>
            </w:r>
            <w:r>
              <w:rPr>
                <w:b/>
                <w:i/>
              </w:rPr>
              <w:t>подчертава, че трябва незабавно да се обърне внимание на силната зависимост</w:t>
            </w:r>
            <w:r>
              <w:t xml:space="preserve"> на Агенцията </w:t>
            </w:r>
            <w:r>
              <w:rPr>
                <w:b/>
                <w:i/>
              </w:rPr>
              <w:t>в сферата на ИТ</w:t>
            </w:r>
            <w:r>
              <w:t xml:space="preserve">, </w:t>
            </w:r>
            <w:r>
              <w:rPr>
                <w:b/>
                <w:i/>
              </w:rPr>
              <w:t>за да се гарантира</w:t>
            </w:r>
            <w:r>
              <w:t xml:space="preserve"> запазването на знанията </w:t>
            </w:r>
            <w:r>
              <w:rPr>
                <w:b/>
                <w:i/>
              </w:rPr>
              <w:t>и</w:t>
            </w:r>
            <w:r>
              <w:t xml:space="preserve"> оперативната приемственост</w:t>
            </w:r>
            <w:r>
              <w:rPr>
                <w:b/>
                <w:i/>
              </w:rPr>
              <w:t>;</w:t>
            </w:r>
            <w:r>
              <w:t xml:space="preserve"> </w:t>
            </w:r>
            <w:r>
              <w:rPr>
                <w:b/>
                <w:i/>
              </w:rPr>
              <w:t>изисква от Комисията и от ACER да докладват на органа по освобождаване от отговорност относно приетите корективни мерки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Виржини Жорон, Жюлиен Санчез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111а.</w:t>
            </w:r>
            <w:r>
              <w:tab/>
            </w:r>
            <w:r>
              <w:rPr>
                <w:b/>
                <w:i/>
              </w:rPr>
              <w:t>изразява съжаление относно увеличението със 17,26% на бюджета на ACER през 2024 г. спрямо 2023 г., с оглед на неефективността на Агенцията, даже и нейния контрапродуктивен ефект през последните години, и по-специално повторното отваряне на въглищните електроцентрали, които по дефиниция замърсяват околната среда, с цел да се гарантира минимална стабилност на енергийните доставки в Европа;</w:t>
            </w:r>
            <w:r>
              <w:t xml:space="preserve"> </w:t>
            </w:r>
            <w:r>
              <w:rPr>
                <w:b/>
                <w:i/>
              </w:rPr>
              <w:t>изразява съжаление за това, че Агенцията не е могла да спре повишаването на разходите за енергия, като работи за друга система на ценообразуване с цел защита на интересите на европейските потребители;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отбелязва, че през 2023 г. EIT е прехвърлил своите споразумения за отпускане на безвъзмездни средства от годишна към многогодишна структура; обръща внимание на факта, че тази промяна оказва въздействие върху оценката на Палатата на законосъобразността и редовността, която може да бъде извършена само по време на междинните и окончателните плащания; отбелязва, че през 2024 г. EIT е платил 412 милиона евро под формата на предварително финансиране за многогодишни споразумения, което представлява 92,9 % от общия размер на плащанията за годината; отбелязва, че законосъобразността и редовността на тези плащания ще бъдат оценени през следващите години;</w:t>
            </w:r>
          </w:p>
        </w:tc>
        <w:tc>
          <w:tcPr>
            <w:tcW w:w="4876" w:type="dxa"/>
            <w:tcBorders>
              <w:top w:val="nil"/>
              <w:left w:val="nil"/>
              <w:bottom w:val="nil"/>
              <w:right w:val="nil"/>
            </w:tcBorders>
          </w:tcPr>
          <w:p>
            <w:pPr>
              <w:pStyle w:val="Normal6a"/>
            </w:pPr>
            <w:r>
              <w:t>120.</w:t>
            </w:r>
            <w:r>
              <w:tab/>
            </w:r>
            <w:r>
              <w:t xml:space="preserve">отбелязва, че през 2023 г. EIT е прехвърлил своите споразумения за отпускане на безвъзмездни средства от годишна към многогодишна структура; обръща внимание на факта, че тази промяна оказва въздействие върху оценката на Палатата на законосъобразността и редовността, която може да бъде извършена само по време на междинните и окончателните плащания; отбелязва, че през 2024 г. EIT е платил 412 милиона евро под формата на предварително финансиране за многогодишни споразумения, което представлява 92,9 % от общия размер на плащанията за годината; отбелязва, че законосъобразността и редовността на тези плащания ще бъдат оценени през следващите години; </w:t>
            </w:r>
            <w:r>
              <w:rPr>
                <w:b/>
                <w:i/>
              </w:rPr>
              <w:t>подчертава, че такъв висок дял на плащанията по линия на предварителното финансиране изисква засилени механизми за мониторинг и контрол, с цел да се намали рискът от бъдещи финансови корекции или възстановяване на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124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недостатъчни човешки ресурси: отбелязва, че Палатата и Службата за вътрешен одит на Комисията признават този риск, като подчертават нередностите, дължащи се на недостиг на персонал; </w:t>
            </w:r>
            <w:r>
              <w:rPr>
                <w:b/>
                <w:i/>
              </w:rPr>
              <w:t>настоятелно</w:t>
            </w:r>
            <w:r>
              <w:t xml:space="preserve"> призовава </w:t>
            </w:r>
            <w:r>
              <w:rPr>
                <w:b/>
                <w:i/>
              </w:rPr>
              <w:t>за увеличаване на числеността на персонала и за съответно увеличаване</w:t>
            </w:r>
            <w:r>
              <w:t xml:space="preserve"> на финансирането;</w:t>
            </w:r>
          </w:p>
        </w:tc>
        <w:tc>
          <w:tcPr>
            <w:tcW w:w="4876" w:type="dxa"/>
            <w:tcBorders>
              <w:top w:val="nil"/>
              <w:left w:val="nil"/>
              <w:bottom w:val="nil"/>
              <w:right w:val="nil"/>
            </w:tcBorders>
          </w:tcPr>
          <w:p>
            <w:pPr>
              <w:pStyle w:val="Normal6a"/>
            </w:pPr>
            <w:r>
              <w:rPr>
                <w:b/>
                <w:i/>
              </w:rPr>
              <w:t>–</w:t>
            </w:r>
            <w:r>
              <w:tab/>
            </w:r>
            <w:r>
              <w:t xml:space="preserve">недостатъчни човешки ресурси: отбелязва, че Палатата и Службата за вътрешен одит на Комисията признават този риск, като подчертават нередностите, дължащи се на недостиг на персонал; призовава </w:t>
            </w:r>
            <w:r>
              <w:rPr>
                <w:b/>
                <w:i/>
              </w:rPr>
              <w:t>EIT да представи подробна оценка за потребностите от служители, като обвърже исканите допълнителни длъжности с конкретни оперативни цели и очаквани резултати, преди да бъде разрешено каквото и да било увеличение</w:t>
            </w:r>
            <w:r>
              <w:t xml:space="preserve"> на финансирането </w:t>
            </w:r>
            <w:r>
              <w:rPr>
                <w:b/>
                <w:i/>
              </w:rPr>
              <w:t>за персонал</w:t>
            </w:r>
            <w:r>
              <w:t xml:space="preserve">; </w:t>
            </w:r>
            <w:r>
              <w:rPr>
                <w:b/>
                <w:i/>
              </w:rPr>
              <w:t>отбелязва, че органът по освобождаване от отговорност не може да подкрепи неограничени заявки за ресурси, без да се демонстрира ясно как допълнителният персонал ще допринесе за подобряване на резултатите и за намаляване на процента на нередностите;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127а.</w:t>
            </w:r>
            <w:r>
              <w:tab/>
            </w:r>
            <w:r>
              <w:rPr>
                <w:b/>
                <w:i/>
              </w:rPr>
              <w:t>отбелязва стратегическата роля на EUSPA като ключов стълб на космическата програма на ЕС за укрепване на промишлената база, конкурентоспособността и иновациите на Съюза;</w:t>
            </w:r>
            <w:r>
              <w:t xml:space="preserve"> </w:t>
            </w:r>
            <w:r>
              <w:rPr>
                <w:b/>
                <w:i/>
              </w:rPr>
              <w:t>приканва Комисията при подготовката на следващата многогодишна финансова рамка (МФР) да гарантира, че EUSPA разполага с подходящи правомощия и ресурси, за да се подобри нейната ефективност и капацитет за изпълнение на задачите, в подкрепа на стратегическата автономност и суверенитета на Съюза, включително чрез изпълнението на нови задачи съгласно Акта на ЕС за космическото пространство;</w:t>
            </w:r>
            <w:r>
              <w:t xml:space="preserve"> </w:t>
            </w:r>
            <w:r>
              <w:rPr>
                <w:b/>
                <w:i/>
              </w:rPr>
              <w:t>подчертава, че е важно да се отдава приоритет на европейските обществени поръчки в области, които са от решаващо значение за устойчивостта, сигурността и технологичната независимост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140</w:t>
    </w:r>
    <w:r>
      <w:fldChar w:fldCharType="end"/>
    </w:r>
    <w:r>
      <w:t>/</w:t>
    </w:r>
    <w:r>
      <w:fldChar w:fldCharType="begin"/>
    </w:r>
    <w:r>
      <w:instrText xml:space="preserve"> NUMPAGES </w:instrText>
    </w:r>
    <w:r>
      <w:fldChar w:fldCharType="separate"/>
    </w:r>
    <w:r>
      <w:t>140</w:t>
    </w:r>
    <w:r>
      <w:fldChar w:fldCharType="end"/>
    </w:r>
    <w:r>
      <w:tab/>
    </w:r>
    <w:r>
      <w:rPr>
        <w:rStyle w:val="HideTWBExt"/>
      </w:rPr>
      <w:t>&lt;PathFdR&gt;</w:t>
    </w:r>
    <w:r>
      <w:t>AM\1336258BG.docx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AM\1336258BG.docx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140</w:t>
    </w:r>
    <w:r>
      <w:fldChar w:fldCharType="end"/>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AM\1336258BG.docx</w:t>
    </w:r>
    <w:r>
      <w:rPr>
        <w:rStyle w:val="HideTWBExt"/>
      </w:rPr>
      <w:t>&lt;/PathFdR&gt;</w:t>
    </w:r>
    <w:r>
      <w:tab/>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140</Pages>
  <Words>34281</Words>
  <Characters>206795</Characters>
  <Application>Microsoft Office Word</Application>
  <DocSecurity>0</DocSecurity>
  <Lines>1</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398435</vt:lpwstr>
  </property>
  <property fmtid="{D5CDD505-2E9C-101B-9397-08002B2CF9AE}" pid="7" name="dmxml.render.traceId">
    <vt:lpwstr>69a7fd7d53f409ed07d1f90b8100e4ee</vt:lpwstr>
  </property>
  <property fmtid="{D5CDD505-2E9C-101B-9397-08002B2CF9AE}" pid="8" name="FooterPath">
    <vt:lpwstr>AM\1336258BG.docx</vt:lpwstr>
  </property>
  <property fmtid="{D5CDD505-2E9C-101B-9397-08002B2CF9AE}" pid="9" name="PE Number">
    <vt:lpwstr>784.141</vt:lpwstr>
  </property>
  <property fmtid="{D5CDD505-2E9C-101B-9397-08002B2CF9AE}" pid="10" name="UID">
    <vt:lpwstr>eu.europa.europarl-DIN1-2026-0000040745_01.01-bg-01.00_text-xml</vt:lpwstr>
  </property>
</Properties>
</file>