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Výbor pro rozpočtovou kontrolu</w:t>
      </w:r>
      <w:r>
        <w:rPr>
          <w:rStyle w:val="HideTWBExt"/>
        </w:rPr>
        <w:t>&lt;/Commission&gt;</w:t>
      </w:r>
    </w:p>
    <w:p>
      <w:pPr>
        <w:pStyle w:val="LineBottom"/>
      </w:pPr>
      <w:r>
        <w:t xml:space="preserve"> </w:t>
      </w:r>
    </w:p>
    <w:p>
      <w:pPr>
        <w:pStyle w:val="CoverReference"/>
      </w:pPr>
      <w:r>
        <w:rPr>
          <w:rStyle w:val="HideTWBExt"/>
        </w:rPr>
        <w:t>&lt;RefProc&gt;</w:t>
      </w:r>
      <w:r>
        <w:t>2025/2156</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{19/02/2026}</w:t>
      </w:r>
      <w:r>
        <w:t>19.2.2026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174</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Monika Hohlmeier</w:t>
      </w:r>
      <w:r>
        <w:rPr>
          <w:rStyle w:val="HideTWBExt"/>
        </w:rPr>
        <w:t>&lt;/Rapporteur&gt;</w:t>
      </w:r>
    </w:p>
    <w:p>
      <w:pPr>
        <w:pStyle w:val="CoverNormal24a"/>
      </w:pPr>
      <w:r>
        <w:rPr>
          <w:rStyle w:val="HideTWBExt"/>
        </w:rPr>
        <w:t>&lt;DocRefPE&gt;</w:t>
      </w:r>
      <w:r>
        <w:t>(PE776.806v01-00)</w:t>
      </w:r>
      <w:r>
        <w:rPr>
          <w:rStyle w:val="HideTWBExt"/>
        </w:rPr>
        <w:t>&lt;/DocRefPE&gt;</w:t>
      </w:r>
    </w:p>
    <w:p>
      <w:pPr>
        <w:pStyle w:val="CoverNormal"/>
      </w:pPr>
      <w:r>
        <w:rPr>
          <w:rStyle w:val="HideTWBExt"/>
        </w:rPr>
        <w:t>&lt;Titre&gt;</w:t>
      </w:r>
      <w:r>
        <w:t>Udělení absolutoria za rozpočtový rok 2024: souhrnný rozpočet EU – agentury</w:t>
      </w:r>
      <w:r>
        <w:rPr>
          <w:rStyle w:val="HideTWBExt"/>
        </w:rPr>
        <w:t>&lt;/Titre&gt;</w:t>
      </w:r>
    </w:p>
    <w:p>
      <w:pPr>
        <w:pStyle w:val="CoverNormal24a"/>
      </w:pPr>
      <w:r>
        <w:rPr>
          <w:rStyle w:val="HideTWBExt"/>
        </w:rPr>
        <w:t>&lt;DocRef&gt;</w:t>
      </w:r>
      <w:r>
        <w:t>(2025/2156(DEC))</w:t>
      </w:r>
      <w:r>
        <w:rPr>
          <w:rStyle w:val="HideTWBExt"/>
        </w:rPr>
        <w:t>&lt;/DocRef&gt;</w:t>
      </w:r>
    </w:p>
    <w:p>
      <w:r>
        <w:br w:type="page"/>
      </w:r>
      <w:r>
        <w:t>AM_Com_NonLegReportAM_Com_LegReport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decentralizované agentury, výkonné agentury a další subjekty Unie jsou právně samostatné subjekty, jež se zřizují, aby prováděly technické, vědecké a řídicí úkoly, a jež pomáhají orgánům Unie koncipovat a realizovat různé politiky; vzhledem k tomu, že sídlí v různých členských státech a výrazně ovlivňují oblasti, které mají zásadní význam pro každodenní život občanů Unie, jako je zdraví, bezpečnost, ochrana, svoboda a spravedlnost;</w:t>
            </w:r>
          </w:p>
        </w:tc>
        <w:tc>
          <w:tcPr>
            <w:tcW w:w="4876" w:type="dxa"/>
            <w:tcBorders>
              <w:top w:val="nil"/>
              <w:left w:val="nil"/>
              <w:bottom w:val="nil"/>
              <w:right w:val="nil"/>
            </w:tcBorders>
          </w:tcPr>
          <w:p>
            <w:pPr>
              <w:pStyle w:val="Normal6a"/>
            </w:pPr>
            <w:r>
              <w:t>A.</w:t>
            </w:r>
            <w:r>
              <w:tab/>
            </w:r>
            <w:r>
              <w:t xml:space="preserve">vzhledem k tomu, že decentralizované agentury, výkonné agentury a další subjekty Unie jsou právně samostatné subjekty, jež se zřizují, aby prováděly technické, vědecké a řídicí úkoly, a jež pomáhají orgánům Unie koncipovat a realizovat různé politiky; vzhledem k tomu, že sídlí v různých členských státech a výrazně ovlivňují oblasti, které mají zásadní význam pro každodenní život občanů Unie, jako je zdraví, bezpečnost, ochrana, svoboda a spravedlnost; </w:t>
            </w:r>
            <w:r>
              <w:rPr>
                <w:b/>
                <w:i/>
              </w:rPr>
              <w:t>připomíná, že postup udělování absolutoria není pouze technickým účetnictvím, ale základním nástrojem demokratické odpovědnosti, jehož prostřednictvím Parlament posuzuje, zda subjekty Unie jednají v souladu s hodnotami Unie, základními právy a zásadami řádného finančního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některé agentury dostatečně neměří dopad svých stanovisek na hospodářství nebo zaměstnanost v Evropě, protože jejich dopad někdy bývá negativní;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vzhledem k tomu</w:t>
            </w:r>
            <w:r>
              <w:t>, že toto usnesení obsahuje pro každý ze subjektů uvedených v článku 70 nařízení (EU, Euratom) 2024/2509 a pro Zásobovací agenturu Euratomu připomínky horizontální povahy, které doprovázejí rozhodnutí o udělení absolutoria v souladu s článkem 268 nařízení (EU, Euratom) č. 2024/1046 a článkem 3 přílohy V jednacího řádu Parlamentu;</w:t>
            </w:r>
          </w:p>
        </w:tc>
        <w:tc>
          <w:tcPr>
            <w:tcW w:w="4876" w:type="dxa"/>
            <w:tcBorders>
              <w:top w:val="nil"/>
              <w:left w:val="nil"/>
              <w:bottom w:val="nil"/>
              <w:right w:val="nil"/>
            </w:tcBorders>
          </w:tcPr>
          <w:p>
            <w:pPr>
              <w:pStyle w:val="Normal6a"/>
            </w:pPr>
            <w:r>
              <w:t>B.</w:t>
            </w:r>
            <w:r>
              <w:tab/>
            </w:r>
            <w:r>
              <w:rPr>
                <w:b/>
                <w:i/>
              </w:rPr>
              <w:t>s politováním bere na vědomí</w:t>
            </w:r>
            <w:r>
              <w:t>, že toto usnesení obsahuje pro každý ze subjektů uvedených v článku 70 nařízení (EU, Euratom) 2024/2509 a pro Zásobovací agenturu Euratomu připomínky horizontální povahy, které doprovázejí rozhodnutí o udělení absolutoria v souladu s článkem 268 nařízení (EU, Euratom) č. 2024/1046 a článkem 3 přílohy V jednacího řádu Parlamentu</w:t>
            </w:r>
            <w:r>
              <w:rPr>
                <w:b/>
                <w:i/>
              </w:rPr>
              <w:t>, takže není možné každé absolutorium posoudit samostatně a identifikovat a řešit problémy, které jsou pro něj specifické, ani přijmout rozhodnutí k jednotlivým absolutoriím, což má vliv na konečné hlasování o tomto usnesení</w:t>
            </w:r>
            <w:r>
              <w:t xml:space="preserve">; </w:t>
            </w:r>
            <w:r>
              <w:rPr>
                <w:b/>
                <w:i/>
              </w:rPr>
              <w:t>žádá proto, aby Výbor pro rozpočtovou kontrolu a výbory, které byly požádány o vypracování stanoviska, začaly jednotlivá absolutoria opět posuzovat samostatně;</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decentralizované agentury Unie a Zásobovací agentura Euratomu by se měly zaměřit na úkoly s jasnou evropskou přidanou hodnotou a organizace takových úkolů by měla být optimalizována, aby se zabránilo překrývání činností, což je v nejlepším zájmu daňových poplatníků Unie;</w:t>
            </w:r>
          </w:p>
        </w:tc>
        <w:tc>
          <w:tcPr>
            <w:tcW w:w="4876" w:type="dxa"/>
            <w:tcBorders>
              <w:top w:val="nil"/>
              <w:left w:val="nil"/>
              <w:bottom w:val="nil"/>
              <w:right w:val="nil"/>
            </w:tcBorders>
          </w:tcPr>
          <w:p>
            <w:pPr>
              <w:pStyle w:val="Normal6a"/>
            </w:pPr>
            <w:r>
              <w:t>C.</w:t>
            </w:r>
            <w:r>
              <w:tab/>
            </w:r>
            <w:r>
              <w:t>vzhledem k tomu, že decentralizované agentury Unie a Zásobovací agentura Euratomu by se měly zaměřit na úkoly s jasnou evropskou přidanou hodnotou a organizace takových úkolů by měla být optimalizována, aby se zabránilo překrývání činností, což je v nejlepším zájmu daňových poplatníků Unie</w:t>
            </w:r>
            <w:r>
              <w:rPr>
                <w:b/>
                <w:i/>
              </w:rPr>
              <w:t>, zejména v oblasti zdravotní péče (zejména v případě Evropského střediska pro prevenci a kontrolu nemocí, jehož pravomoci se překrývají s pravomocemi Úřadu Evropské komise pro připravenost a reakci na mimořádné situace v oblasti zdraví), odborné přípravy a pracovních podmínek (Cedefop, ETF, EU-OSHA a Eurofound)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Účetní dvůr vydal za rozpočtový rok 2024 výrok bez výhrad téměř všem agenturám;</w:t>
            </w:r>
            <w:r>
              <w:t xml:space="preserve"> </w:t>
            </w:r>
            <w:r>
              <w:rPr>
                <w:b/>
                <w:i/>
              </w:rPr>
              <w:t>vzhledem k tomu, že zachování vysokých standardů řádného finančního řízení, účinných systémů vnitřní kontroly a rozpočtové kázně má i nadále zásadní význam pro zajištění řádného a transparentního využívání finančních prostředků Unie a pro posílení důvěry občanů v orgány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vzhledem k tomu, že agentury Unie v posledních letech zaznamenaly rozšiřování svých povinností;</w:t>
            </w:r>
            <w:r>
              <w:t xml:space="preserve"> </w:t>
            </w:r>
            <w:r>
              <w:rPr>
                <w:b/>
                <w:i/>
              </w:rPr>
              <w:t>vzhledem k tomu, že přiměřené a předvídatelné zdroje v kombinaci se spolehlivými správními strukturami a jasnými mechanismy odpovědnosti jsou nezbytné k tomu, aby mohly účinně plnit své mandáty a zachovat důvěryhodnost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vzhledem k tomu, že kybernetický bezpečnostní incident, který v roce 2024 postihl jednu agenturu, názorně ukázal zranitelnost subjektů Unie, které nakládají s citlivými údaji;</w:t>
            </w:r>
            <w:r>
              <w:t xml:space="preserve"> </w:t>
            </w:r>
            <w:r>
              <w:rPr>
                <w:b/>
                <w:i/>
              </w:rPr>
              <w:t>vzhledem k tomu, že horizontální prioritou všech agentur by mělo být posílení kybernetické bezpečnosti, plánování kontinuity činností a systémů vnitřní kontroly;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vyjadřuje hluboké znepokojení nad rostoucím dluhovým zatížením EU a výpůjčními náklady;</w:t>
            </w:r>
            <w:r>
              <w:t xml:space="preserve"> </w:t>
            </w:r>
            <w:r>
              <w:rPr>
                <w:b/>
                <w:i/>
              </w:rPr>
              <w:t>konstatuje, že podle výroční zprávy Evropského účetního dvora by nesplacené úvěry EU mohly do roku 2027 přesáhnout 900 miliard EUR, což je téměř desetinásobek oproti roku 2020 před zavedením ozdravného balíčku nástroje NextGenerationEU;</w:t>
            </w:r>
            <w:r>
              <w:t xml:space="preserve"> </w:t>
            </w:r>
            <w:r>
              <w:rPr>
                <w:b/>
                <w:i/>
              </w:rPr>
              <w:t>varuje, že rostoucí výpůjční náklady představují riziko pro budoucí rozpočty a omezují fiskální prostor pro nové priority;</w:t>
            </w:r>
            <w:r>
              <w:t xml:space="preserve"> </w:t>
            </w:r>
            <w:r>
              <w:rPr>
                <w:b/>
                <w:i/>
              </w:rPr>
              <w:t>trvá proto na tom, že tento bezprecedentní fiskální tlak vyžaduje důsledné hledání úspor ve všech agenturách EU;</w:t>
            </w:r>
            <w:r>
              <w:t xml:space="preserve"> </w:t>
            </w:r>
            <w:r>
              <w:rPr>
                <w:b/>
                <w:i/>
              </w:rPr>
              <w:t>vyzývá Komisi a síť agentur EU, aby předložily plán na strukturální snížení nákladů a prokázaly tak institucionální odpovědnost v době vysokého veřejného dluhu;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poukazuje na to, že zřízení nebo rozšíření agentur EU má sice za cíl posílit kapacity Unie, nicméně je </w:t>
            </w:r>
            <w:r>
              <w:rPr>
                <w:b/>
                <w:i/>
              </w:rPr>
              <w:t>velmi</w:t>
            </w:r>
            <w:r>
              <w:t xml:space="preserve"> důležité zajistit, aby se tento proces opíral o podrobná hodnocení a posouzení dopadů </w:t>
            </w:r>
            <w:r>
              <w:rPr>
                <w:b/>
                <w:i/>
              </w:rPr>
              <w:t>a byla u něj jednoznačně prokázána přidaná hodnota;</w:t>
            </w:r>
            <w:r>
              <w:t xml:space="preserve"> </w:t>
            </w:r>
            <w:r>
              <w:rPr>
                <w:b/>
                <w:i/>
              </w:rPr>
              <w:t>aby bylo možné se poučit a v případě potřeby zvážit ukončení jejich mandátu;</w:t>
            </w:r>
            <w:r>
              <w:t xml:space="preserve"> </w:t>
            </w:r>
            <w:r>
              <w:rPr>
                <w:b/>
                <w:i/>
              </w:rPr>
              <w:t>zdůrazňuje, že tento přístup by nejen zajistil lepší regulaci, ale zvýšil by také</w:t>
            </w:r>
            <w:r>
              <w:t xml:space="preserve"> účinnost, odpovědnost, transparentnost a soudržnost institucionálního prostředí Unie;</w:t>
            </w:r>
          </w:p>
        </w:tc>
        <w:tc>
          <w:tcPr>
            <w:tcW w:w="4876" w:type="dxa"/>
            <w:tcBorders>
              <w:top w:val="nil"/>
              <w:left w:val="nil"/>
              <w:bottom w:val="nil"/>
              <w:right w:val="nil"/>
            </w:tcBorders>
          </w:tcPr>
          <w:p>
            <w:pPr>
              <w:pStyle w:val="Normal6a"/>
            </w:pPr>
            <w:r>
              <w:t>2.</w:t>
            </w:r>
            <w:r>
              <w:tab/>
            </w:r>
            <w:r>
              <w:t>poukazuje na to, že zřízení nebo rozšíření agentur EU má sice za cíl posílit kapacity Unie, nicméně je důležité zajistit, aby se tento proces opíral o podrobná hodnocení a posouzení dopadů</w:t>
            </w:r>
            <w:r>
              <w:rPr>
                <w:b/>
                <w:i/>
              </w:rPr>
              <w:t>, aby se zvýšila</w:t>
            </w:r>
            <w:r>
              <w:t xml:space="preserve"> účinnost, odpovědnost, transparentnost a soudržnost institucionálního prostředí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poukazuje na to, že zřízení nebo rozšíření agentur EU má sice za cíl posílit kapacity Unie, nicméně je velmi důležité zajistit, aby se tento proces opíral o podrobná hodnocení a posouzení dopadů a byla u něj jednoznačně prokázána přidaná hodnota; aby bylo možné se poučit a v případě potřeby </w:t>
            </w:r>
            <w:r>
              <w:rPr>
                <w:b/>
                <w:i/>
              </w:rPr>
              <w:t>zvážit ukončení</w:t>
            </w:r>
            <w:r>
              <w:t xml:space="preserve"> jejich </w:t>
            </w:r>
            <w:r>
              <w:rPr>
                <w:b/>
                <w:i/>
              </w:rPr>
              <w:t>mandátu</w:t>
            </w:r>
            <w:r>
              <w:t>; zdůrazňuje, že tento přístup by nejen zajistil lepší regulaci, ale zvýšil by také účinnost, odpovědnost, transparentnost a soudržnost institucionálního prostředí Unie;</w:t>
            </w:r>
          </w:p>
        </w:tc>
        <w:tc>
          <w:tcPr>
            <w:tcW w:w="4876" w:type="dxa"/>
            <w:tcBorders>
              <w:top w:val="nil"/>
              <w:left w:val="nil"/>
              <w:bottom w:val="nil"/>
              <w:right w:val="nil"/>
            </w:tcBorders>
          </w:tcPr>
          <w:p>
            <w:pPr>
              <w:pStyle w:val="Normal6a"/>
            </w:pPr>
            <w:r>
              <w:t>2.</w:t>
            </w:r>
            <w:r>
              <w:tab/>
            </w:r>
            <w:r>
              <w:t xml:space="preserve">poukazuje na to, že zřízení nebo rozšíření agentur EU má sice za cíl posílit kapacity Unie, nicméně je velmi důležité zajistit, aby se tento proces opíral o podrobná hodnocení a posouzení dopadů a byla u něj jednoznačně prokázána přidaná hodnota; aby bylo možné se poučit a v případě potřeby </w:t>
            </w:r>
            <w:r>
              <w:rPr>
                <w:b/>
                <w:i/>
              </w:rPr>
              <w:t>ukončit</w:t>
            </w:r>
            <w:r>
              <w:t xml:space="preserve"> jejich </w:t>
            </w:r>
            <w:r>
              <w:rPr>
                <w:b/>
                <w:i/>
              </w:rPr>
              <w:t>mandát, zejména v případě zdvojování činností nebo překrývání pravomocí</w:t>
            </w:r>
            <w:r>
              <w:t>; zdůrazňuje, že tento přístup by nejen zajistil lepší regulaci, ale zvýšil by také účinnost, odpovědnost, transparentnost a soudržnost institucionálního prostředí Unie;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poukazuje na to, že zřízení nebo rozšíření agentur EU má sice za cíl posílit kapacity Unie, nicméně je velmi důležité zajistit, aby se tento proces opíral o podrobná hodnocení a posouzení dopadů a byla u něj jednoznačně prokázána přidaná hodnota; aby bylo možné se poučit a v případě potřeby zvážit ukončení jejich mandátu; zdůrazňuje, že tento přístup by nejen zajistil lepší regulaci, ale zvýšil by také účinnost, odpovědnost, transparentnost a soudržnost institucionálního prostředí Unie;</w:t>
            </w:r>
          </w:p>
        </w:tc>
        <w:tc>
          <w:tcPr>
            <w:tcW w:w="4876" w:type="dxa"/>
            <w:tcBorders>
              <w:top w:val="nil"/>
              <w:left w:val="nil"/>
              <w:bottom w:val="nil"/>
              <w:right w:val="nil"/>
            </w:tcBorders>
          </w:tcPr>
          <w:p>
            <w:pPr>
              <w:pStyle w:val="Normal6a"/>
            </w:pPr>
            <w:r>
              <w:t>2.</w:t>
            </w:r>
            <w:r>
              <w:tab/>
            </w:r>
            <w:r>
              <w:t xml:space="preserve">poukazuje na to, že zřízení nebo rozšíření agentur EU má sice za cíl posílit kapacity Unie, nicméně je velmi důležité zajistit, aby se tento proces opíral o podrobná hodnocení a posouzení dopadů a byla u něj jednoznačně prokázána přidaná hodnota; aby bylo možné se poučit a v případě potřeby zvážit ukončení jejich mandátu; zdůrazňuje, že tento přístup by nejen zajistil lepší regulaci, ale zvýšil by také účinnost, odpovědnost, transparentnost a soudržnost institucionálního prostředí Unie; </w:t>
            </w:r>
            <w:r>
              <w:rPr>
                <w:b/>
                <w:i/>
              </w:rPr>
              <w:t>zdůrazňuje, že zvažované sloučení, konsolidace nebo ukončení mandátů agentur musí být vždy založeno na komplexním politickém posouzení, včetně demokratické odpovědnosti, nezávislosti, dopadu na základní práva a přidané hodnoty, a nikoli pouze na rozpočtových hlediscích nebo účinnosti;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poukazuje na to, že zřízení nebo rozšíření agentur EU má sice za cíl posílit kapacity Unie, nicméně je velmi důležité zajistit, aby se tento proces opíral o podrobná hodnocení a posouzení dopadů a byla u něj jednoznačně prokázána přidaná hodnota; aby bylo možné se poučit a v případě potřeby zvážit ukončení jejich mandátu; zdůrazňuje, že tento přístup by nejen zajistil lepší regulaci, ale zvýšil by také účinnost, odpovědnost, transparentnost a soudržnost institucionálního prostředí Unie;</w:t>
            </w:r>
          </w:p>
        </w:tc>
        <w:tc>
          <w:tcPr>
            <w:tcW w:w="4876" w:type="dxa"/>
            <w:tcBorders>
              <w:top w:val="nil"/>
              <w:left w:val="nil"/>
              <w:bottom w:val="nil"/>
              <w:right w:val="nil"/>
            </w:tcBorders>
          </w:tcPr>
          <w:p>
            <w:pPr>
              <w:pStyle w:val="Normal6a"/>
            </w:pPr>
            <w:r>
              <w:t>2.</w:t>
            </w:r>
            <w:r>
              <w:tab/>
            </w:r>
            <w:r>
              <w:t>poukazuje na to, že zřízení nebo rozšíření agentur EU má sice za cíl posílit kapacity Unie, nicméně je velmi důležité zajistit, aby se tento proces opíral o podrobná hodnocení</w:t>
            </w:r>
            <w:r>
              <w:rPr>
                <w:b/>
                <w:i/>
              </w:rPr>
              <w:t>, důkladné analýzy nákladů a přínosů</w:t>
            </w:r>
            <w:r>
              <w:t xml:space="preserve"> a posouzení dopadů a byla u něj jednoznačně prokázána přidaná hodnota; aby bylo možné se poučit a v případě potřeby zvážit ukončení jejich mandátu; zdůrazňuje, že tento přístup by nejen zajistil lepší regulaci, ale zvýšil by také účinnost, odpovědnost, transparentnost a soudržnost institucionálního prostředí Unie; </w:t>
            </w:r>
            <w:r>
              <w:rPr>
                <w:b/>
                <w:i/>
              </w:rPr>
              <w:t>zdůrazňuje, že činnosti financované EU by měly být posuzovány výhradně podle očekávané návratnosti a měřitelného dopadu v souladu se zásadami hospodárnosti, účinnosti a účelnosti;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zdůrazňuje, že transparentnost není pouze povinností dodržovat předpisy, ale i předpokladem pro získání důvěry veřejnosti v agentury, které vykonávají významné regulační nebo provozní pravomoci;</w:t>
            </w:r>
            <w:r>
              <w:t xml:space="preserve"> </w:t>
            </w:r>
            <w:r>
              <w:rPr>
                <w:b/>
                <w:i/>
              </w:rPr>
              <w:t>vyzývá agentury, aby proaktivně, včas a uživatelsky vstřícným způsobem zveřejňovaly klíčové dokumenty, včetně rozhodnutí správní rady, smluv, které nejsou důvěrné povahy, a výsledků hodnocení;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připomíná, že bod 60 společného přístupu stanoví, že každá agentura by měla být hodnocena jednou za pět let; žádá Komisi, aby zkoumala možnosti dalších synergií a konsolidace činností a posoudila, zda by bylo možné za účelem zajištění nákladové efektivity a zjednodušení jejich funkcí sloučit agentury plnící vzájemně se doplňující činnosti, například agentury s mandátem v oblasti vzdělávání a odborné přípravy, přičemž v případě nízké efektivity nebo redundance by mohly být také přezkoumány mandáty některých agentur; vybízí k tomu, aby byla tam, kde je to nezbytné pro zachování efektivity a zajištění optimálního využívání zdrojů, uplatňována ustanovení o skončení platnosti a o přezkumu; je přesvědčen, že pro fungování agentur má klíčový význam rozpočtová efektivita; v tomto ohledu připomíná doporučení Účetního dvora obsažené ve zvláštní zprávě č. 22/2020</w:t>
            </w:r>
            <w:r>
              <w:rPr>
                <w:vertAlign w:val="superscript"/>
              </w:rPr>
              <w:t>2</w:t>
            </w:r>
            <w:r>
              <w:t>, podle něhož má Komise v kontextu kontroly účelnosti, které provádí v různých oblastech politiky, více využívat průřezová hodnocení agentur;</w:t>
            </w:r>
          </w:p>
        </w:tc>
        <w:tc>
          <w:tcPr>
            <w:tcW w:w="4876" w:type="dxa"/>
            <w:tcBorders>
              <w:top w:val="nil"/>
              <w:left w:val="nil"/>
              <w:bottom w:val="nil"/>
              <w:right w:val="nil"/>
            </w:tcBorders>
          </w:tcPr>
          <w:p>
            <w:pPr>
              <w:pStyle w:val="Normal6a"/>
            </w:pPr>
            <w:r>
              <w:t>3.</w:t>
            </w:r>
            <w:r>
              <w:tab/>
            </w:r>
            <w:r>
              <w:t xml:space="preserve">připomíná, že bod 60 společného přístupu stanoví, že každá agentura by měla být hodnocena jednou za pět let; žádá Komisi, aby zkoumala možnosti dalších synergií a konsolidace činností a posoudila, zda by bylo možné za účelem zajištění nákladové efektivity a zjednodušení jejich funkcí sloučit agentury plnící vzájemně se doplňující činnosti, například agentury s mandátem v oblasti vzdělávání a odborné přípravy, přičemž v případě nízké efektivity nebo redundance by mohly být také přezkoumány mandáty některých agentur; </w:t>
            </w:r>
            <w:r>
              <w:rPr>
                <w:b/>
                <w:i/>
              </w:rPr>
              <w:t>trvá na tom, aby v souladu se zásadami proporcionality, účinnosti a fiskální odpovědnosti podléhaly všechny agentury Unie časově omezeným mandátům a pravidelným přezkumům výkonnosti;</w:t>
            </w:r>
            <w:r>
              <w:t xml:space="preserve"> </w:t>
            </w:r>
            <w:r>
              <w:rPr>
                <w:b/>
                <w:i/>
              </w:rPr>
              <w:t>zdůrazňuje, že bez zbytečných odkladů by mělo být zahájeno řízení o skončení činnosti agentur, jejichž zakládající cíle byly splněny nebo které již neplní jedinečnou a zásadní funkci v unijním rámci;</w:t>
            </w:r>
            <w:r>
              <w:t xml:space="preserve"> </w:t>
            </w:r>
            <w:r>
              <w:rPr>
                <w:b/>
                <w:i/>
              </w:rPr>
              <w:t>vyzývá Komisi, aby každoročně předkládala podrobný přezkum relevantnosti každé agentury a aby v případě, že některá agentura splnila svůj původní úkol nebo se stala nadbytečnou, doporučila její zrušení nebo omezení mandátu;</w:t>
            </w:r>
            <w:r>
              <w:t xml:space="preserve"> vybízí k tomu, aby byla tam, kde je to nezbytné pro zachování efektivity a zajištění optimálního využívání zdrojů, uplatňována ustanovení o skončení platnosti a o přezkumu; je přesvědčen, že pro fungování agentur má klíčový význam rozpočtová efektivita; v tomto ohledu připomíná doporučení Účetního dvora obsažené ve zvláštní zprávě č. 22/2020</w:t>
            </w:r>
            <w:r>
              <w:rPr>
                <w:vertAlign w:val="superscript"/>
              </w:rPr>
              <w:t>2</w:t>
            </w:r>
            <w:r>
              <w:t xml:space="preserve">, podle něhož má Komise v kontextu kontroly účelnosti, které provádí v různých oblastech politiky, více využívat průřezová hodnocení agentur; </w:t>
            </w:r>
            <w:r>
              <w:rPr>
                <w:b/>
                <w:i/>
              </w:rPr>
              <w:t>zdůrazňuje, že Účetní dvůr ve zvláštní zprávě 22/2020 konstatoval, že agentury sice podávají zprávy o své činnosti, ale jejich skutečný příspěvek k politice EU není jasně měřen ani není vysvětlen veřejnosti;</w:t>
            </w:r>
            <w:r>
              <w:t xml:space="preserve"> </w:t>
            </w:r>
            <w:r>
              <w:rPr>
                <w:b/>
                <w:i/>
              </w:rPr>
              <w:t>vyzývá Komisi, aby se tímto zjištěním začala neprodleně zabývat;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„Budoucnost agentur EU – je zde potenciál pro větší flexibilitu a spolupráci“, https://op.europa.eu/webpub/eca/special-reports/agencies-performance-audit-22-2020/cs/index.html.</w:t>
            </w:r>
            <w:r>
              <w:rPr>
                <w:b/>
                <w:i/>
              </w:rPr>
              <w:t>.</w:t>
            </w:r>
          </w:p>
        </w:tc>
        <w:tc>
          <w:tcPr>
            <w:tcW w:w="4876" w:type="dxa"/>
            <w:tcBorders>
              <w:top w:val="nil"/>
              <w:left w:val="nil"/>
              <w:bottom w:val="nil"/>
              <w:right w:val="nil"/>
            </w:tcBorders>
          </w:tcPr>
          <w:p>
            <w:pPr>
              <w:pStyle w:val="Normal6a"/>
            </w:pPr>
            <w:r>
              <w:rPr>
                <w:vertAlign w:val="superscript"/>
              </w:rPr>
              <w:t>2</w:t>
            </w:r>
            <w:r>
              <w:t xml:space="preserve"> </w:t>
            </w:r>
            <w:r>
              <w:t>„Budoucnost agentur EU – je zde potenciál pro větší flexibilitu a spolupráci“, https://op.europa.eu/webpub/eca/special-reports/agencies-performance-audit-22-2020/cs/index.html.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připomíná, že bod 60 společného přístupu stanoví, že každá agentura by měla být hodnocena jednou za pět let; žádá Komisi, aby </w:t>
            </w:r>
            <w:r>
              <w:rPr>
                <w:b/>
                <w:i/>
              </w:rPr>
              <w:t>zkoumala</w:t>
            </w:r>
            <w:r>
              <w:t xml:space="preserve"> možnosti dalších synergií a konsolidace činností a posoudila, zda by bylo možné za účelem zajištění nákladové efektivity a zjednodušení jejich funkcí sloučit agentury plnící vzájemně se doplňující činnosti, například agentury s mandátem v oblasti vzdělávání a odborné přípravy, přičemž v případě nízké efektivity nebo redundance by mohly být také přezkoumány mandáty některých agentur; vybízí k tomu, aby byla tam, kde je to nezbytné pro zachování efektivity a zajištění optimálního využívání zdrojů, uplatňována ustanovení o skončení platnosti a o přezkumu; je přesvědčen, že pro fungování agentur má klíčový význam rozpočtová efektivita; v tomto ohledu připomíná doporučení Účetního dvora obsažené ve zvláštní zprávě č. 22/2020</w:t>
            </w:r>
            <w:r>
              <w:rPr>
                <w:vertAlign w:val="superscript"/>
              </w:rPr>
              <w:t>2</w:t>
            </w:r>
            <w:r>
              <w:rPr>
                <w:b/>
                <w:i/>
              </w:rPr>
              <w:t>,</w:t>
            </w:r>
            <w:r>
              <w:t xml:space="preserve"> podle něhož má Komise v kontextu kontroly účelnosti, které provádí v různých oblastech politiky, více využívat průřezová hodnocení agentur;</w:t>
            </w:r>
          </w:p>
        </w:tc>
        <w:tc>
          <w:tcPr>
            <w:tcW w:w="4876" w:type="dxa"/>
            <w:tcBorders>
              <w:top w:val="nil"/>
              <w:left w:val="nil"/>
              <w:bottom w:val="nil"/>
              <w:right w:val="nil"/>
            </w:tcBorders>
          </w:tcPr>
          <w:p>
            <w:pPr>
              <w:pStyle w:val="Normal6a"/>
            </w:pPr>
            <w:r>
              <w:t>3.</w:t>
            </w:r>
            <w:r>
              <w:tab/>
            </w:r>
            <w:r>
              <w:t xml:space="preserve">připomíná, že bod 60 společného přístupu stanoví, že každá agentura by měla být hodnocena jednou za pět let; žádá Komisi, aby </w:t>
            </w:r>
            <w:r>
              <w:rPr>
                <w:b/>
                <w:i/>
              </w:rPr>
              <w:t>mimo jiné na základě zpráv Účetního dvora prozkoumala</w:t>
            </w:r>
            <w:r>
              <w:t xml:space="preserve"> možnosti dalších synergií a konsolidace činností a posoudila, zda by bylo možné za účelem zajištění nákladové efektivity a zjednodušení jejich funkcí sloučit agentury plnící vzájemně se doplňující činnosti, například agentury s mandátem v oblasti vzdělávání a odborné přípravy, přičemž v případě nízké efektivity nebo redundance by mohly být také přezkoumány mandáty některých agentur; vybízí k tomu, aby byla tam, kde je to nezbytné pro zachování efektivity a zajištění optimálního využívání zdrojů, uplatňována ustanovení o skončení platnosti a o přezkumu; je přesvědčen, že pro fungování agentur má klíčový význam rozpočtová efektivita; v tomto ohledu připomíná doporučení Účetního dvora obsažené ve zvláštní zprávě č. 22/2020</w:t>
            </w:r>
            <w:r>
              <w:rPr>
                <w:vertAlign w:val="superscript"/>
              </w:rPr>
              <w:t>2</w:t>
            </w:r>
            <w:r>
              <w:t xml:space="preserve"> podle něhož má Komise v kontextu kontroly účelnosti, které provádí v různých oblastech politiky, více využívat průřezová hodnocení agentur;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„Budoucnost agentur EU – je zde potenciál pro větší flexibilitu a spolupráci“, https://op.europa.eu/webpub/eca/special-reports/agencies-performance-audit-22-2020/cs/index.html.</w:t>
            </w:r>
            <w:r>
              <w:rPr>
                <w:b/>
                <w:i/>
              </w:rPr>
              <w:t>.</w:t>
            </w:r>
          </w:p>
        </w:tc>
        <w:tc>
          <w:tcPr>
            <w:tcW w:w="4876" w:type="dxa"/>
            <w:tcBorders>
              <w:top w:val="nil"/>
              <w:left w:val="nil"/>
              <w:bottom w:val="nil"/>
              <w:right w:val="nil"/>
            </w:tcBorders>
          </w:tcPr>
          <w:p>
            <w:pPr>
              <w:pStyle w:val="Normal6a"/>
            </w:pPr>
            <w:r>
              <w:rPr>
                <w:vertAlign w:val="superscript"/>
              </w:rPr>
              <w:t>2</w:t>
            </w:r>
            <w:r>
              <w:t xml:space="preserve"> </w:t>
            </w:r>
            <w:r>
              <w:t>„Budoucnost agentur EU – je zde potenciál pro větší flexibilitu a spolupráci“, https://op.europa.eu/webpub/eca/special-reports/agencies-performance-audit-22-2020/cs/index.html.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zdůrazňuje, že 33 decentralizovaných agentur, na něž se vztahuje toto usnesení, spravuje celkový rozpočet ve výši více než 4,1 miliardy EUR z veřejných prostředků;</w:t>
            </w:r>
            <w:r>
              <w:t xml:space="preserve"> </w:t>
            </w:r>
            <w:r>
              <w:rPr>
                <w:b/>
                <w:i/>
              </w:rPr>
              <w:t>zdůrazňuje, že zatímco v rámci postupu udělování absolutoria je náležitě ověřováno dodržování platných pravidel, Parlament musí rovněž systematicky posuzovat skutečný dopad těchto agentur na občany a daňové poplatníky;</w:t>
            </w:r>
            <w:r>
              <w:t xml:space="preserve"> </w:t>
            </w:r>
            <w:r>
              <w:rPr>
                <w:b/>
                <w:i/>
              </w:rPr>
              <w:t>konstatuje, že jak zdůraznil Účetní dvůr ve zvláštní zprávě 22/2020, agentury sice podávají rozsáhlé zprávy o své činnosti, ale jejich měřitelný přínos k cílům politiky Unie není dostatečně prokázaný;</w:t>
            </w:r>
            <w:r>
              <w:t xml:space="preserve"> </w:t>
            </w:r>
            <w:r>
              <w:rPr>
                <w:b/>
                <w:i/>
              </w:rPr>
              <w:t>domnívá se, že každá agentura by měla být povinna každoročně podávat zprávu o omezeném souboru kvantifikovatelných výsledků a ukazatelů dopadu, které přímo souvisejí s jejím zakládajícím mandátem a zahrnují oblasti, jako jsou výsledky v oblasti veřejného zdraví, účinnost ostrahy hranic, inovační výstupy nebo případně výsledky prosazování právních předpisů;</w:t>
            </w:r>
            <w:r>
              <w:t xml:space="preserve"> </w:t>
            </w:r>
            <w:r>
              <w:rPr>
                <w:b/>
                <w:i/>
              </w:rPr>
              <w:t>vyzývá síť agentur EU (EUAN), aby ve spolupráci s Evropským účetním dvorem vypracovala společný rámec pro měření výkonnosti a dopadu založený na „kompasu výkonnosti“, který by rozlišoval vstupy, výstupy, výsledky a dopady, a aby jej do konce roku 2026 předložila orgánu příslušnému k udělení absolutoria, aby Parlament a daňoví poplatníci mohli posoudit konkrétní výsledky dosažené pomocí vynaložených zdrojů;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připomíná, že agentury Unie jsou zřizovány k plnění jasně vymezených mandátů a politických cílů;</w:t>
            </w:r>
            <w:r>
              <w:t xml:space="preserve"> </w:t>
            </w:r>
            <w:r>
              <w:rPr>
                <w:b/>
                <w:i/>
              </w:rPr>
              <w:t>zdůrazňuje, že v souladu se zásadami řádného finančního řízení a proporcionality by měla být další existence agentury pravidelně přehodnocována s ohledem na cíle stanovené v době jejího zřízení;</w:t>
            </w:r>
            <w:r>
              <w:t xml:space="preserve"> </w:t>
            </w:r>
            <w:r>
              <w:rPr>
                <w:b/>
                <w:i/>
              </w:rPr>
              <w:t>vyzývá Komisi, aby více využívala ustanovení o skončení platnosti a systematická hodnocení mandátu a aby navrhla zrušení, sloučení nebo restrukturalizaci agentur, jejichž zakládajících cílů bylo prokazatelně dosaženo nebo jejichž přidanou hodnotu již nelze obhájit;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vyzývá Účetní dvůr, aby určil agentury, jejichž činnosti se překrývají, aby bylo možné snížit jejich počet a zracionalizovat jejich fungování, a tak snížit náklady a chránit finanční zájmy Unie;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zdůrazňuje, že dodržování základních práv a zásad právního státu je předpokladem pro dobrou výkonnost a řádné finanční řízení;</w:t>
            </w:r>
            <w:r>
              <w:t xml:space="preserve"> </w:t>
            </w:r>
            <w:r>
              <w:rPr>
                <w:b/>
                <w:i/>
              </w:rPr>
              <w:t>domnívá se, že agentury, které neplní povinnosti v oblasti základních práv, nelze považovat za agentury s uspokojivými výsledky, a to bez ohledu na to, jak plní rozpočet;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poukazuje na význam postupu udělování absolutoria, u něhož nejde pouze o splnění povinnosti vyplývající ze Smlouvy, nýbrž také o prosazování transparentnosti, odpovědnosti a otevřeného dialogu o financích Unie; domnívá se, že praxe udělování absolutoria </w:t>
            </w:r>
            <w:r>
              <w:rPr>
                <w:b/>
                <w:i/>
              </w:rPr>
              <w:t>pouze interním orgánem, kterou uplatňují agentury, například</w:t>
            </w:r>
            <w:r>
              <w:t xml:space="preserve"> Úřad Evropské unie pro duševní vlastnictví (EUIPO), Odrůdový úřad Společenství (CPVO) a Jednotný výbor pro řešení krizí (SRB), </w:t>
            </w:r>
            <w:r>
              <w:rPr>
                <w:b/>
                <w:i/>
              </w:rPr>
              <w:t>může vést k případným střetům zájmů nebo nedostatečnému</w:t>
            </w:r>
            <w:r>
              <w:t xml:space="preserve"> hodnocení a </w:t>
            </w:r>
            <w:r>
              <w:rPr>
                <w:b/>
                <w:i/>
              </w:rPr>
              <w:t>kontrole, zatímco udělování absolutoria Parlamentem zvyšuje</w:t>
            </w:r>
            <w:r>
              <w:t xml:space="preserve"> transparentnost a odpovědnost vůči veřejnosti; </w:t>
            </w:r>
            <w:r>
              <w:rPr>
                <w:b/>
                <w:i/>
              </w:rPr>
              <w:t>domnívá se, že tento vyšší standard by se měl jednotně vztahovat na všechny subjekty související s Unií bez ohledu na jejich model financování, a</w:t>
            </w:r>
            <w:r>
              <w:t xml:space="preserve"> připomíná společný přístup k plně samofinancovaným agenturám (bod 58), který vyzývá k prozkoumání mechanismů demokratické odpovědnosti, včetně každoročního podávání zpráv Parlamentu, Radě a Komisi, jakož i zvážení jejich doporučení, s cílem zajistit veřejnou kontrolu nad agenturami provádějícími politiky EU bez </w:t>
            </w:r>
            <w:r>
              <w:rPr>
                <w:b/>
                <w:i/>
              </w:rPr>
              <w:t>tradičních postupů</w:t>
            </w:r>
            <w:r>
              <w:t xml:space="preserve"> udělování absolutoria;</w:t>
            </w:r>
          </w:p>
        </w:tc>
        <w:tc>
          <w:tcPr>
            <w:tcW w:w="4876" w:type="dxa"/>
            <w:tcBorders>
              <w:top w:val="nil"/>
              <w:left w:val="nil"/>
              <w:bottom w:val="nil"/>
              <w:right w:val="nil"/>
            </w:tcBorders>
          </w:tcPr>
          <w:p>
            <w:pPr>
              <w:pStyle w:val="Normal6a"/>
            </w:pPr>
            <w:r>
              <w:t>4.</w:t>
            </w:r>
            <w:r>
              <w:tab/>
            </w:r>
            <w:r>
              <w:t xml:space="preserve">poukazuje na význam postupu udělování absolutoria, u něhož nejde pouze o splnění povinnosti vyplývající ze Smlouvy, nýbrž také o prosazování transparentnosti, odpovědnosti a otevřeného dialogu o financích Unie; domnívá se, že praxe udělování absolutoria </w:t>
            </w:r>
            <w:r>
              <w:rPr>
                <w:b/>
                <w:i/>
              </w:rPr>
              <w:t>prostřednictvím systémů správy a řízení stanovených v zakládajících aktech agentur, jako je</w:t>
            </w:r>
            <w:r>
              <w:t xml:space="preserve"> Úřad Evropské unie pro duševní vlastnictví (EUIPO), Odrůdový úřad Společenství (CPVO) a Jednotný výbor pro řešení krizí (SRB), </w:t>
            </w:r>
            <w:r>
              <w:rPr>
                <w:b/>
                <w:i/>
              </w:rPr>
              <w:t>odráží jejich specifické právní a finanční rámce a zajišťuje odpovídající</w:t>
            </w:r>
            <w:r>
              <w:t xml:space="preserve"> hodnocení a </w:t>
            </w:r>
            <w:r>
              <w:rPr>
                <w:b/>
                <w:i/>
              </w:rPr>
              <w:t>kontrolu a zároveň podporuje</w:t>
            </w:r>
            <w:r>
              <w:t xml:space="preserve"> transparentnost a odpovědnost vůči veřejnosti; připomíná společný přístup k plně samofinancovaným agenturám (bod 58), který vyzývá k prozkoumání mechanismů demokratické odpovědnosti, včetně každoročního podávání zpráv Parlamentu, Radě a Komisi, jakož i zvážení jejich doporučení, s cílem zajistit veřejnou kontrolu nad agenturami provádějícími politiky EU bez </w:t>
            </w:r>
            <w:r>
              <w:rPr>
                <w:b/>
                <w:i/>
              </w:rPr>
              <w:t>využití souhrnného rozpočtu EU;</w:t>
            </w:r>
            <w:r>
              <w:t xml:space="preserve"> </w:t>
            </w:r>
            <w:r>
              <w:rPr>
                <w:b/>
                <w:i/>
              </w:rPr>
              <w:t>bylo by však žádoucí, aby se plně samofinancované agentury, jako je úřad EUIPO, staly součástí postupu</w:t>
            </w:r>
            <w:r>
              <w:t xml:space="preserve"> udělování absolutoria </w:t>
            </w:r>
            <w:r>
              <w:rPr>
                <w:b/>
                <w:i/>
              </w:rPr>
              <w:t>agenturám, za něž odpovídá Výbor pro rozpočtovou kontrolu, nebo aby se na ně alespoň vztahovaly přísnější povinnosti týkající se podávání zpráv Výboru pro rozpočtovou kontrolu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Maravillas Abadía Jover, Adrián Vázquez Lázara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poukazuje na význam postupu udělování absolutoria, u něhož nejde pouze o splnění povinnosti vyplývající ze Smlouvy, nýbrž také o prosazování transparentnosti, odpovědnosti a otevřeného dialogu o financích Unie; domnívá se, že praxe udělování absolutoria </w:t>
            </w:r>
            <w:r>
              <w:rPr>
                <w:b/>
                <w:i/>
              </w:rPr>
              <w:t>pouze interním orgánem</w:t>
            </w:r>
            <w:r>
              <w:t xml:space="preserve">, kterou uplatňují agentury, například Úřad Evropské unie pro duševní vlastnictví (EUIPO), Odrůdový úřad Společenství (CPVO) a Jednotný výbor pro řešení krizí (SRB), </w:t>
            </w:r>
            <w:r>
              <w:rPr>
                <w:b/>
                <w:i/>
              </w:rPr>
              <w:t>může vést k případným střetům zájmů nebo nedostatečnému</w:t>
            </w:r>
            <w:r>
              <w:t xml:space="preserve"> hodnocení a </w:t>
            </w:r>
            <w:r>
              <w:rPr>
                <w:b/>
                <w:i/>
              </w:rPr>
              <w:t>kontrole, zatímco udělování absolutoria Parlamentem zvyšuje</w:t>
            </w:r>
            <w:r>
              <w:t xml:space="preserve"> transparentnost a odpovědnost vůči veřejnosti; </w:t>
            </w:r>
            <w:r>
              <w:rPr>
                <w:b/>
                <w:i/>
              </w:rPr>
              <w:t>domnívá se, že tento vyšší standard by se měl jednotně vztahovat na všechny subjekty související s Unií bez ohledu na jejich model financování, a</w:t>
            </w:r>
            <w:r>
              <w:t xml:space="preserve"> připomíná společný přístup k plně samofinancovaným agenturám (bod 58), který vyzývá k prozkoumání mechanismů demokratické odpovědnosti, včetně každoročního podávání zpráv Parlamentu, Radě a Komisi, jakož i zvážení jejich doporučení, s cílem zajistit veřejnou kontrolu nad agenturami provádějícími politiky EU </w:t>
            </w:r>
            <w:r>
              <w:rPr>
                <w:b/>
                <w:i/>
              </w:rPr>
              <w:t>bez tradičních postupů udělování absolutoria</w:t>
            </w:r>
            <w:r>
              <w:t>;</w:t>
            </w:r>
          </w:p>
        </w:tc>
        <w:tc>
          <w:tcPr>
            <w:tcW w:w="4876" w:type="dxa"/>
            <w:tcBorders>
              <w:top w:val="nil"/>
              <w:left w:val="nil"/>
              <w:bottom w:val="nil"/>
              <w:right w:val="nil"/>
            </w:tcBorders>
          </w:tcPr>
          <w:p>
            <w:pPr>
              <w:pStyle w:val="Normal6a"/>
            </w:pPr>
            <w:r>
              <w:t>4.</w:t>
            </w:r>
            <w:r>
              <w:tab/>
            </w:r>
            <w:r>
              <w:t xml:space="preserve">poukazuje na význam postupu udělování absolutoria, u něhož nejde pouze o splnění povinnosti vyplývající ze Smlouvy, nýbrž také o prosazování transparentnosti, odpovědnosti a otevřeného dialogu o financích Unie; domnívá se, že praxe udělování absolutoria, kterou uplatňují agentury </w:t>
            </w:r>
            <w:r>
              <w:rPr>
                <w:b/>
                <w:i/>
              </w:rPr>
              <w:t>prostřednictvím systémů správy a řízení stanovených v zakládajících aktech agentur</w:t>
            </w:r>
            <w:r>
              <w:t xml:space="preserve">, například Úřad Evropské unie pro duševní vlastnictví (EUIPO), Odrůdový úřad Společenství (CPVO) a Jednotný výbor pro řešení krizí (SRB), </w:t>
            </w:r>
            <w:r>
              <w:rPr>
                <w:b/>
                <w:i/>
              </w:rPr>
              <w:t>odráží jejich specifické právní a finanční rámce a zajišťuje odpovídající</w:t>
            </w:r>
            <w:r>
              <w:t xml:space="preserve"> hodnocení a </w:t>
            </w:r>
            <w:r>
              <w:rPr>
                <w:b/>
                <w:i/>
              </w:rPr>
              <w:t>kontrolu a zároveň podporuje</w:t>
            </w:r>
            <w:r>
              <w:t xml:space="preserve"> transparentnost a odpovědnost vůči veřejnosti; připomíná společný přístup k plně samofinancovaným agenturám (bod 58), který vyzývá k prozkoumání mechanismů demokratické odpovědnosti, včetně každoročního podávání zpráv Parlamentu, Radě a Komisi, jakož i zvážení jejich doporučení, s cílem zajistit veřejnou kontrolu nad agenturami provádějícími politiky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připomíná, že zásada právního státu se stejným způsobem vztahuje na orgány, úřady a agentury Unie, aby bylo zajištěno, že i ony samy budou vázány stejnými zásadami transparentnosti, odpovědnosti a zákonnosti, které se vyžadují od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se znepokojením konstatuje, že decentralizovaným agenturám Unie byl v průběhu let svěřován stále větší počet úkolů prostřednictvím revidovaných nařízení, nových právních předpisů nebo dohod o úrovni služeb a pověřovacích dohod s Komisí, často bez odpovídajících strukturálních zdrojů nebo stálých pracovních míst; zdůrazňuje, že tento opakující se trend vytváří provozní tlak, který by mohl následně přispět k nedostatkům v rozpočtovém řízení a rostoucí strukturální závislosti na externích dodavatelích, zejména v oblasti informačních a komunikačních technologií (IKT), kybernetické bezpečnosti a dalších provozních podpůrných funkcí; </w:t>
            </w:r>
            <w:r>
              <w:rPr>
                <w:b/>
                <w:i/>
              </w:rPr>
              <w:t>varuje, že tato</w:t>
            </w:r>
            <w:r>
              <w:t xml:space="preserve"> dlouhodobá závislost </w:t>
            </w:r>
            <w:r>
              <w:rPr>
                <w:b/>
                <w:i/>
              </w:rPr>
              <w:t>může ohrozit institucionální kapacitu, kontinuitu a uchovávání znalostí a vytvářet riziko strukturální závislosti</w:t>
            </w:r>
            <w:r>
              <w:t xml:space="preserve"> na externích poskytovatelích </w:t>
            </w:r>
            <w:r>
              <w:rPr>
                <w:b/>
                <w:i/>
              </w:rPr>
              <w:t>a snížené</w:t>
            </w:r>
            <w:r>
              <w:t xml:space="preserve"> provozní autonomie;</w:t>
            </w:r>
          </w:p>
        </w:tc>
        <w:tc>
          <w:tcPr>
            <w:tcW w:w="4876" w:type="dxa"/>
            <w:tcBorders>
              <w:top w:val="nil"/>
              <w:left w:val="nil"/>
              <w:bottom w:val="nil"/>
              <w:right w:val="nil"/>
            </w:tcBorders>
          </w:tcPr>
          <w:p>
            <w:pPr>
              <w:pStyle w:val="Normal6a"/>
            </w:pPr>
            <w:r>
              <w:t>5.</w:t>
            </w:r>
            <w:r>
              <w:tab/>
            </w:r>
            <w:r>
              <w:t xml:space="preserve">se znepokojením konstatuje, že decentralizovaným agenturám Unie byl v průběhu let svěřován stále větší počet úkolů prostřednictvím revidovaných nařízení, nových právních předpisů nebo dohod o úrovni služeb a pověřovacích dohod s Komisí, často bez odpovídajících strukturálních zdrojů nebo stálých pracovních míst; zdůrazňuje, že tento opakující se trend vytváří provozní tlak, který by mohl následně přispět k nedostatkům v rozpočtovém řízení a rostoucí strukturální závislosti na externích dodavatelích, zejména v oblasti informačních a komunikačních technologií (IKT), kybernetické bezpečnosti a dalších provozních podpůrných funkcí; </w:t>
            </w:r>
            <w:r>
              <w:rPr>
                <w:b/>
                <w:i/>
              </w:rPr>
              <w:t>konstatuje, že</w:t>
            </w:r>
            <w:r>
              <w:t xml:space="preserve"> dlouhodobá závislost na externích poskytovatelích </w:t>
            </w:r>
            <w:r>
              <w:rPr>
                <w:b/>
                <w:i/>
              </w:rPr>
              <w:t>by měla být pravidelně posuzována, aby bylo zajištěno zachování institucionální kapacity, kontinuity a</w:t>
            </w:r>
            <w:r>
              <w:t xml:space="preserve"> provozní autonomie;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vyzývá agentury, aby snížily strukturální závislost na externích konzultantech, zejména pokud jde o hlavní funkce;</w:t>
            </w:r>
            <w:r>
              <w:t xml:space="preserve"> </w:t>
            </w:r>
            <w:r>
              <w:rPr>
                <w:b/>
                <w:i/>
              </w:rPr>
              <w:t>zdůrazňuje, že nadměrná externalizace podkopává institucionální paměť, odpovědnost a efektivnost nákladů;</w:t>
            </w:r>
            <w:r>
              <w:t xml:space="preserve"> </w:t>
            </w:r>
            <w:r>
              <w:rPr>
                <w:b/>
                <w:i/>
              </w:rPr>
              <w:t>vyzývá Komisi k zajištění toho, aby agentury měly dostatečný počet zaměstnanců, a mohly tak vykonávat své mandáty interně;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konstatuje, že využívání externích dodavatelů a soukromých subjektů v oblasti informací, komunikačních technologií a kybernetické bezpečnosti může ohrozit nezávislost agentur EU a zároveň oslabit digitální suverenitu EU a osobní integritu občanů;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konstatuje, že nedostatky v oblasti právního státu v některých členských státech, včetně oslabení nezávislosti soudnictví a kapacity trestního stíhání, mohou oslabit rámce spolupráce, spolehlivost údajů a provozní integritu agentur;</w:t>
            </w:r>
            <w:r>
              <w:t xml:space="preserve"> </w:t>
            </w:r>
            <w:r>
              <w:rPr>
                <w:b/>
                <w:i/>
              </w:rPr>
              <w:t>vyzývá Komisi, aby tato rizika posuzovala a řešila při přidělování úkolů a zdrojů agenturám;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zdůrazňuje, že transparentnost, důkladné kontroly střetů zájmů a jasná pravidla upravující interakce se zúčastněnými stranami jsou základními zárukami nezávislosti, důvěryhodnosti a odpovědnosti decentralizovaných agentur Unie; zdůrazňuje, že </w:t>
            </w:r>
            <w:r>
              <w:rPr>
                <w:b/>
                <w:i/>
              </w:rPr>
              <w:t>mnoho agentur působí v odvětvích, kde je nezbytná úzká spolupráce s průmyslem, poradenskými společnostmi, technickými odborníky, nevládními organizacemi nebo externími partnery, ale kde přetrvávají rizika nepatřičného ovlivňování, nevyvážených konzultací nebo neprůhlednosti;</w:t>
            </w:r>
            <w:r>
              <w:t xml:space="preserve"> </w:t>
            </w:r>
            <w:r>
              <w:rPr>
                <w:b/>
                <w:i/>
              </w:rPr>
              <w:t>zdůrazňuje, že</w:t>
            </w:r>
            <w:r>
              <w:t xml:space="preserve"> transparentní postupy, zveřejňování schůzí, vyvážený a transparentní výběr odborníků a průběžné prověřování střetů zájmů jsou nezbytné k zajištění toho, aby rozhodnutí agentur byla založena </w:t>
            </w:r>
            <w:r>
              <w:rPr>
                <w:b/>
                <w:i/>
              </w:rPr>
              <w:t>výhradně na objektivních důkazech a</w:t>
            </w:r>
            <w:r>
              <w:t xml:space="preserve"> na obecném zájmu Unie; naléhavě vyzývá všechny agentury, aby tato opatření zavedly a prosazovaly;</w:t>
            </w:r>
          </w:p>
        </w:tc>
        <w:tc>
          <w:tcPr>
            <w:tcW w:w="4876" w:type="dxa"/>
            <w:tcBorders>
              <w:top w:val="nil"/>
              <w:left w:val="nil"/>
              <w:bottom w:val="nil"/>
              <w:right w:val="nil"/>
            </w:tcBorders>
          </w:tcPr>
          <w:p>
            <w:pPr>
              <w:pStyle w:val="Normal6a"/>
            </w:pPr>
            <w:r>
              <w:t>6.</w:t>
            </w:r>
            <w:r>
              <w:tab/>
            </w:r>
            <w:r>
              <w:t>zdůrazňuje, že transparentnost, důkladné kontroly střetů zájmů a jasná pravidla upravující interakce se zúčastněnými stranami jsou základními zárukami nezávislosti, důvěryhodnosti a odpovědnosti decentralizovaných agentur Unie; zdůrazňuje, že transparentní postupy, zveřejňování schůzí, vyvážený a transparentní výběr odborníků a průběžné prověřování střetů zájmů jsou nezbytné k zajištění toho, aby rozhodnutí agentur byla založena na obecném zájmu Unie; naléhavě vyzývá všechny agentury, aby tato opatření zavedly a prosazovaly;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zdůrazňuje, že transparentnost, důkladné kontroly střetů zájmů a jasná pravidla upravující interakce se zúčastněnými stranami jsou základními zárukami nezávislosti, důvěryhodnosti a odpovědnosti decentralizovaných agentur Unie; zdůrazňuje, že mnoho agentur působí v odvětvích, kde je nezbytná úzká spolupráce s průmyslem, poradenskými společnostmi, technickými odborníky, nevládními organizacemi nebo externími partnery, ale kde přetrvávají rizika nepatřičného ovlivňování, nevyvážených konzultací nebo neprůhlednosti; zdůrazňuje, že transparentní postupy, zveřejňování schůzí, </w:t>
            </w:r>
            <w:r>
              <w:rPr>
                <w:b/>
                <w:i/>
              </w:rPr>
              <w:t>vyvážený</w:t>
            </w:r>
            <w:r>
              <w:t xml:space="preserve"> a transparentní výběr odborníků a průběžné prověřování střetů zájmů jsou nezbytné k zajištění toho, aby rozhodnutí agentur byla založena výhradně na objektivních důkazech a na obecném zájmu Unie; naléhavě vyzývá všechny agentury, aby tato opatření zavedly a prosazovaly;</w:t>
            </w:r>
          </w:p>
        </w:tc>
        <w:tc>
          <w:tcPr>
            <w:tcW w:w="4876" w:type="dxa"/>
            <w:tcBorders>
              <w:top w:val="nil"/>
              <w:left w:val="nil"/>
              <w:bottom w:val="nil"/>
              <w:right w:val="nil"/>
            </w:tcBorders>
          </w:tcPr>
          <w:p>
            <w:pPr>
              <w:pStyle w:val="Normal6a"/>
            </w:pPr>
            <w:r>
              <w:t>6.</w:t>
            </w:r>
            <w:r>
              <w:tab/>
            </w:r>
            <w:r>
              <w:t xml:space="preserve">zdůrazňuje, že transparentnost, důkladné kontroly střetů zájmů a jasná pravidla upravující interakce se zúčastněnými stranami jsou základními zárukami nezávislosti, důvěryhodnosti a odpovědnosti decentralizovaných agentur Unie; zdůrazňuje, že mnoho agentur působí v odvětvích, kde je nezbytná úzká spolupráce s průmyslem, poradenskými společnostmi, technickými odborníky, nevládními organizacemi nebo externími partnery, ale kde přetrvávají rizika nepatřičného ovlivňování, nevyvážených konzultací nebo neprůhlednosti; zdůrazňuje, že transparentní postupy, zveřejňování schůzí, </w:t>
            </w:r>
            <w:r>
              <w:rPr>
                <w:b/>
                <w:i/>
              </w:rPr>
              <w:t>odůvodněný</w:t>
            </w:r>
            <w:r>
              <w:t xml:space="preserve"> a transparentní výběr odborníků a průběžné prověřování střetů zájmů </w:t>
            </w:r>
            <w:r>
              <w:rPr>
                <w:b/>
                <w:i/>
              </w:rPr>
              <w:t>u vedoucích pracovníků, osob, které přijímají rozhodnutí, a osob a subjektů spojených s těmito agenturami</w:t>
            </w:r>
            <w:r>
              <w:t xml:space="preserve"> jsou nezbytné k zajištění toho, aby rozhodnutí agentur byla založena výhradně na objektivních důkazech a na obecném zájmu Unie</w:t>
            </w:r>
            <w:r>
              <w:rPr>
                <w:b/>
                <w:i/>
              </w:rPr>
              <w:t>, a k zajištění včasného sledování přidělených evropských prostředků</w:t>
            </w:r>
            <w:r>
              <w:t>; naléhavě vyzývá všechny agentury, aby tato opatření zavedly a prosazovaly;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zdůrazňuje, že transparentnost, důkladné kontroly střetů zájmů a jasná pravidla upravující interakce se zúčastněnými stranami jsou základními zárukami nezávislosti, důvěryhodnosti a odpovědnosti decentralizovaných agentur Unie; zdůrazňuje, že mnoho agentur působí v odvětvích, kde je nezbytná úzká spolupráce s průmyslem, poradenskými společnostmi, technickými odborníky, nevládními organizacemi nebo externími partnery, ale kde přetrvávají rizika nepatřičného ovlivňování, nevyvážených konzultací nebo neprůhlednosti; zdůrazňuje, že transparentní postupy, zveřejňování schůzí, vyvážený a transparentní výběr odborníků a průběžné prověřování střetů zájmů jsou nezbytné k zajištění toho, aby rozhodnutí agentur byla založena výhradně na objektivních důkazech a na obecném zájmu Unie; naléhavě vyzývá všechny agentury, aby tato opatření zavedly a prosazovaly;</w:t>
            </w:r>
          </w:p>
        </w:tc>
        <w:tc>
          <w:tcPr>
            <w:tcW w:w="4876" w:type="dxa"/>
            <w:tcBorders>
              <w:top w:val="nil"/>
              <w:left w:val="nil"/>
              <w:bottom w:val="nil"/>
              <w:right w:val="nil"/>
            </w:tcBorders>
          </w:tcPr>
          <w:p>
            <w:pPr>
              <w:pStyle w:val="Normal6a"/>
            </w:pPr>
            <w:r>
              <w:t>6.</w:t>
            </w:r>
            <w:r>
              <w:tab/>
            </w:r>
            <w:r>
              <w:t xml:space="preserve">zdůrazňuje, že transparentnost, důkladné kontroly střetů zájmů a jasná pravidla upravující interakce se zúčastněnými stranami jsou základními zárukami nezávislosti, </w:t>
            </w:r>
            <w:r>
              <w:rPr>
                <w:b/>
                <w:i/>
              </w:rPr>
              <w:t>institucionální</w:t>
            </w:r>
            <w:r>
              <w:t xml:space="preserve"> důvěryhodnosti a odpovědnosti decentralizovaných agentur Unie</w:t>
            </w:r>
            <w:r>
              <w:rPr>
                <w:b/>
                <w:i/>
              </w:rPr>
              <w:t>, jakož i důvěry veřejnosti v jejich silné a spolehlivé fungování</w:t>
            </w:r>
            <w:r>
              <w:t xml:space="preserve">; zdůrazňuje, že mnoho agentur působí v odvětvích, kde je nezbytná úzká spolupráce s průmyslem, poradenskými společnostmi, technickými odborníky, nevládními organizacemi nebo externími partnery, ale kde přetrvávají rizika nepatřičného ovlivňování, nevyvážených konzultací nebo neprůhlednosti; zdůrazňuje, že transparentní postupy, zveřejňování schůzí, vyvážený a transparentní výběr odborníků a průběžné prověřování střetů zájmů jsou nezbytné k zajištění toho, aby rozhodnutí agentur byla založena výhradně na objektivních důkazech a na obecném zájmu Unie; naléhavě vyzývá všechny agentury, aby tato opatření zavedly a prosazovaly; </w:t>
            </w:r>
            <w:r>
              <w:rPr>
                <w:b/>
                <w:i/>
              </w:rPr>
              <w:t>vyzývá agentury, aby zavedly pravidelné nezávislé přezkumy rámců pro střet zájmů a neprodleně provedly nápravná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zdůrazňuje, že střety zájmů a efekt otáčivých dveří představují systémová rizika v oblasti správy a řízení, zejména pro agentury, které úzce spolupracují s průmyslem;</w:t>
            </w:r>
            <w:r>
              <w:t xml:space="preserve"> </w:t>
            </w:r>
            <w:r>
              <w:rPr>
                <w:b/>
                <w:i/>
              </w:rPr>
              <w:t>vyzývá k přísnějším přechodným obdobím po skončení pracovního poměru, proaktivnímu monitorování a plné transparentnosti interakcí se zúčastněnými stranami;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vyzývá Komisi a síť agentur EU, aby podporovaly meziagenturní poradenství a vzájemné učení s cílem zvýšit standardy řádné správy a zlepšit postupy v oblasti transparentnosti;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je si vědom toho, že decentralizované agentury jsou lobbistickým rizikům vystaveny v různé míře v závislosti na svém mandátu a provozním kontextu; </w:t>
            </w:r>
            <w:r>
              <w:rPr>
                <w:b/>
                <w:i/>
              </w:rPr>
              <w:t>zdůrazňuje, že se rovněž liší stávající</w:t>
            </w:r>
            <w:r>
              <w:t xml:space="preserve"> postupy </w:t>
            </w:r>
            <w:r>
              <w:rPr>
                <w:b/>
                <w:i/>
              </w:rPr>
              <w:t>pro zajištění</w:t>
            </w:r>
            <w:r>
              <w:t xml:space="preserve"> transparentnosti</w:t>
            </w:r>
            <w:r>
              <w:rPr>
                <w:b/>
                <w:i/>
              </w:rPr>
              <w:t>;</w:t>
            </w:r>
            <w:r>
              <w:t xml:space="preserve"> </w:t>
            </w:r>
            <w:r>
              <w:rPr>
                <w:b/>
                <w:i/>
              </w:rPr>
              <w:t>konstatuje, že například agentura eu‑LISA vede na svých internetových stránkách zvláštní rejstřík transparentnosti, kde jsou uváděny všechny schůze jejího vrcholného vedení s hospodářskými subjekty, agentura Frontex na svých internetových stránkách vede rejstřík s informacemi o schůzích týkajících se záležitostí souvisejících se zadáváním veřejných zakázek a agentura ECHA zveřejňuje informace o schůzích vedoucích pracovníků s externími organizacemi zúčastněných stran;</w:t>
            </w:r>
            <w:r>
              <w:t xml:space="preserve"> </w:t>
            </w:r>
            <w:r>
              <w:rPr>
                <w:b/>
                <w:i/>
              </w:rPr>
              <w:t>je toho názoru</w:t>
            </w:r>
            <w:r>
              <w:t>, že zatímco univerzální model by nebyl ani přiměřený, ani operativně smysluplný, stanovení společných minimálních norem by posílilo soudržnost</w:t>
            </w:r>
            <w:r>
              <w:rPr>
                <w:b/>
                <w:i/>
              </w:rPr>
              <w:t>;</w:t>
            </w:r>
            <w:r>
              <w:t xml:space="preserve"> </w:t>
            </w:r>
            <w:r>
              <w:rPr>
                <w:b/>
                <w:i/>
              </w:rPr>
              <w:t>bere na vědomí odpovědi, které agentury poskytly v předchozím cyklu udělování absolutoria, včetně jejich různého využívání rejstříku transparentnosti a skutečnosti, že několik agentur již zavedlo interní rejstříky transparentnosti nebo systémy střetu zájmů přizpůsobené svým mandátům</w:t>
            </w:r>
            <w:r>
              <w:t xml:space="preserve">; vyzývá agentury, aby přijaly minimální normy, jako je uplatňování zásady čtyř očí, jasná strategie kodexu chování včetně jasných pravidel, která zabrání střetu zájmů, a zavedení </w:t>
            </w:r>
            <w:r>
              <w:rPr>
                <w:b/>
                <w:i/>
              </w:rPr>
              <w:t>zvláštních</w:t>
            </w:r>
            <w:r>
              <w:t xml:space="preserve"> interních rejstříků transparentnosti </w:t>
            </w:r>
            <w:r>
              <w:rPr>
                <w:b/>
                <w:i/>
              </w:rPr>
              <w:t>s jasnými normami odrážejícími mandát agentury a příslušná</w:t>
            </w:r>
            <w:r>
              <w:t xml:space="preserve"> pravidla pro ochranu údajů; zdůrazňuje, že rejstříky </w:t>
            </w:r>
            <w:r>
              <w:rPr>
                <w:b/>
                <w:i/>
              </w:rPr>
              <w:t>transparentnosti</w:t>
            </w:r>
            <w:r>
              <w:t xml:space="preserve"> by měly být auditorům přístupné případ od případu; domnívá se, že zavádění by mělo být postupné </w:t>
            </w:r>
            <w:r>
              <w:rPr>
                <w:b/>
                <w:i/>
              </w:rPr>
              <w:t>s přihlédnutím k novým digitálním možnostem</w:t>
            </w:r>
            <w:r>
              <w:t xml:space="preserve"> s cílem zabránit </w:t>
            </w:r>
            <w:r>
              <w:rPr>
                <w:b/>
                <w:i/>
              </w:rPr>
              <w:t>vytváření další</w:t>
            </w:r>
            <w:r>
              <w:t xml:space="preserve"> administrativní </w:t>
            </w:r>
            <w:r>
              <w:rPr>
                <w:b/>
                <w:i/>
              </w:rPr>
              <w:t>zátěže pro agentury</w:t>
            </w:r>
            <w:r>
              <w:t>;</w:t>
            </w:r>
          </w:p>
        </w:tc>
        <w:tc>
          <w:tcPr>
            <w:tcW w:w="4876" w:type="dxa"/>
            <w:tcBorders>
              <w:top w:val="nil"/>
              <w:left w:val="nil"/>
              <w:bottom w:val="nil"/>
              <w:right w:val="nil"/>
            </w:tcBorders>
          </w:tcPr>
          <w:p>
            <w:pPr>
              <w:pStyle w:val="Normal6a"/>
            </w:pPr>
            <w:r>
              <w:t>7.</w:t>
            </w:r>
            <w:r>
              <w:tab/>
            </w:r>
            <w:r>
              <w:t xml:space="preserve">je si vědom toho, že decentralizované agentury jsou lobbistickým rizikům vystaveny v různé míře v závislosti na svém mandátu a provozním kontextu; </w:t>
            </w:r>
            <w:r>
              <w:rPr>
                <w:b/>
                <w:i/>
              </w:rPr>
              <w:t>konstatuje, že</w:t>
            </w:r>
            <w:r>
              <w:t xml:space="preserve"> postupy </w:t>
            </w:r>
            <w:r>
              <w:rPr>
                <w:b/>
                <w:i/>
              </w:rPr>
              <w:t>v oblasti</w:t>
            </w:r>
            <w:r>
              <w:t xml:space="preserve"> transparentnosti </w:t>
            </w:r>
            <w:r>
              <w:rPr>
                <w:b/>
                <w:i/>
              </w:rPr>
              <w:t>se proto v jednotlivých agenturách liší;</w:t>
            </w:r>
            <w:r>
              <w:t xml:space="preserve"> </w:t>
            </w:r>
            <w:r>
              <w:rPr>
                <w:b/>
                <w:i/>
              </w:rPr>
              <w:t>domnívá se</w:t>
            </w:r>
            <w:r>
              <w:t xml:space="preserve">, že zatímco univerzální model by nebyl ani přiměřený, ani operativně smysluplný, stanovení společných minimálních norem by posílilo soudržnost </w:t>
            </w:r>
            <w:r>
              <w:rPr>
                <w:b/>
                <w:i/>
              </w:rPr>
              <w:t>a odpovědnost</w:t>
            </w:r>
            <w:r>
              <w:t xml:space="preserve">; vyzývá agentury, aby přijaly minimální normy, jako je uplatňování zásady čtyř očí, jasná strategie kodexu chování včetně jasných pravidel, která zabrání střetu zájmů, a zavedení interních rejstříků transparentnosti </w:t>
            </w:r>
            <w:r>
              <w:rPr>
                <w:b/>
                <w:i/>
              </w:rPr>
              <w:t>odrážejících jejich příslušné mandáty a platná</w:t>
            </w:r>
            <w:r>
              <w:t xml:space="preserve"> pravidla pro ochranu údajů; zdůrazňuje, že </w:t>
            </w:r>
            <w:r>
              <w:rPr>
                <w:b/>
                <w:i/>
              </w:rPr>
              <w:t>takové</w:t>
            </w:r>
            <w:r>
              <w:t xml:space="preserve"> rejstříky by měly být auditorům přístupné případ od případu; domnívá se, že </w:t>
            </w:r>
            <w:r>
              <w:rPr>
                <w:b/>
                <w:i/>
              </w:rPr>
              <w:t>jejich</w:t>
            </w:r>
            <w:r>
              <w:t xml:space="preserve"> zavádění by mělo být postupné </w:t>
            </w:r>
            <w:r>
              <w:rPr>
                <w:b/>
                <w:i/>
              </w:rPr>
              <w:t>a mělo by využívat digitální řešení</w:t>
            </w:r>
            <w:r>
              <w:t xml:space="preserve"> s cílem zabránit </w:t>
            </w:r>
            <w:r>
              <w:rPr>
                <w:b/>
                <w:i/>
              </w:rPr>
              <w:t>zbytečné</w:t>
            </w:r>
            <w:r>
              <w:t xml:space="preserve"> administrativní </w:t>
            </w:r>
            <w:r>
              <w:rPr>
                <w:b/>
                <w:i/>
              </w:rPr>
              <w:t>zátěži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je si vědom toho, že decentralizované agentury jsou lobbistickým rizikům vystaveny v různé míře v závislosti na svém mandátu a provozním kontextu; zdůrazňuje, že se rovněž liší stávající postupy pro zajištění transparentnosti; konstatuje, že například agentura eu‑LISA vede na svých internetových stránkách zvláštní rejstřík transparentnosti, kde jsou uváděny všechny schůze jejího vrcholného vedení s hospodářskými subjekty, agentura Frontex na svých internetových stránkách vede rejstřík s informacemi o schůzích týkajících se záležitostí souvisejících se zadáváním veřejných zakázek a agentura ECHA zveřejňuje informace o schůzích vedoucích pracovníků s externími organizacemi zúčastněných stran; je toho názoru, že zatímco univerzální model by nebyl ani přiměřený, ani operativně smysluplný, stanovení společných minimálních norem by posílilo soudržnost; bere na vědomí odpovědi, které agentury poskytly v předchozím cyklu udělování absolutoria, včetně jejich různého využívání rejstříku transparentnosti a skutečnosti, že několik agentur již zavedlo interní rejstříky transparentnosti nebo systémy střetu zájmů přizpůsobené svým mandátům; vyzývá agentury, aby přijaly minimální normy, jako je uplatňování zásady čtyř očí, jasná strategie kodexu chování včetně jasných pravidel, která zabrání střetu zájmů, a zavedení zvláštních interních rejstříků transparentnosti s jasnými normami odrážejícími mandát agentury a příslušná pravidla pro ochranu údajů; zdůrazňuje, že rejstříky transparentnosti by měly být auditorům přístupné případ od případu; domnívá se, že zavádění by mělo být postupné s přihlédnutím k novým digitálním možnostem s cílem zabránit vytváření další administrativní zátěže pro agentury;</w:t>
            </w:r>
          </w:p>
        </w:tc>
        <w:tc>
          <w:tcPr>
            <w:tcW w:w="4876" w:type="dxa"/>
            <w:tcBorders>
              <w:top w:val="nil"/>
              <w:left w:val="nil"/>
              <w:bottom w:val="nil"/>
              <w:right w:val="nil"/>
            </w:tcBorders>
          </w:tcPr>
          <w:p>
            <w:pPr>
              <w:pStyle w:val="Normal6a"/>
            </w:pPr>
            <w:r>
              <w:t>7.</w:t>
            </w:r>
            <w:r>
              <w:tab/>
            </w:r>
            <w:r>
              <w:t xml:space="preserve">je si vědom toho, že decentralizované agentury jsou lobbistickým rizikům vystaveny v různé míře v závislosti na svém mandátu a provozním kontextu; zdůrazňuje, že se rovněž liší stávající postupy pro zajištění transparentnosti; konstatuje, že například agentura eu‑LISA vede na svých internetových stránkách zvláštní rejstřík transparentnosti, kde jsou uváděny všechny schůze jejího vrcholného vedení s hospodářskými subjekty, agentura Frontex na svých internetových stránkách vede rejstřík s informacemi o schůzích týkajících se záležitostí souvisejících se zadáváním veřejných zakázek a agentura ECHA zveřejňuje informace o schůzích vedoucích pracovníků s externími organizacemi zúčastněných stran; je toho názoru, že zatímco univerzální model by nebyl ani přiměřený, ani operativně smysluplný, stanovení společných minimálních norem by posílilo soudržnost; bere na vědomí odpovědi, které agentury poskytly v předchozím cyklu udělování absolutoria, včetně jejich různého využívání rejstříku transparentnosti a skutečnosti, že několik agentur již zavedlo interní rejstříky transparentnosti nebo systémy střetu zájmů přizpůsobené svým mandátům; vyzývá agentury, aby přijaly minimální normy, jako je uplatňování zásady čtyř očí, jasná strategie kodexu chování včetně jasných pravidel, která zabrání střetu zájmů, a zavedení zvláštních interních rejstříků transparentnosti s jasnými normami odrážejícími mandát agentury a příslušná pravidla pro ochranu údajů; zdůrazňuje, že rejstříky transparentnosti by měly být auditorům přístupné případ od případu; domnívá se, že zavádění by mělo být postupné s přihlédnutím k novým digitálním možnostem s cílem zabránit vytváření další administrativní zátěže pro agentury; </w:t>
            </w:r>
            <w:r>
              <w:rPr>
                <w:b/>
                <w:i/>
              </w:rPr>
              <w:t>konstatuje však, že v případě agentury Frontex se poskytování informací v rámci transparentnosti omezuje v podstatě na schůzky týkající se zadávání veřejných zakázek, což nezajišťuje plné dodržování odpovědnosti vůči veřejnosti, zejména s ohledem na operativní činnost agentury;</w:t>
            </w:r>
            <w:r>
              <w:t xml:space="preserve"> </w:t>
            </w:r>
            <w:r>
              <w:rPr>
                <w:b/>
                <w:i/>
              </w:rPr>
              <w:t>vyzývá k širším a aktivnějším postupům v oblasti transparentnosti, včetně včasného přístupu k dokumentům a informacím důležitým pro operativní rozhodování;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požaduje plnou transparentnost, pokud jde o kontakty agentur s militantními nevládními organizacemi nebo zájmovými skupinami;</w:t>
            </w:r>
            <w:r>
              <w:t xml:space="preserve"> </w:t>
            </w:r>
            <w:r>
              <w:rPr>
                <w:b/>
                <w:i/>
              </w:rPr>
              <w:t>vyzývá agentury, aby systematicky zveřejňovaly seznam svých setkání s partnery, kteří nejsou součástí evropských institucí ani členských států, a obdržené příspěvky;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konstatuje, že 33 decentralizovaných agentur v roce 2024 uvedlo, že zaměstnávají celkem 11 491 osob (oproti 10 580 osobám v roce 2023), k nimž patří úředníci, dočasní zaměstnanci, smluvní zaměstnanci a vyslaní národní odborníci, což v porovnání s rokem 2023 představuje nárůst o 8,61 %; </w:t>
            </w:r>
            <w:r>
              <w:rPr>
                <w:b/>
                <w:i/>
              </w:rPr>
              <w:t>konstatuje, že ačkoli se genderová vyváženost v decentralizovaných agenturách Unie zlepšuje, přetrvávají značné rozdíly;</w:t>
            </w:r>
            <w:r>
              <w:t xml:space="preserve"> </w:t>
            </w:r>
            <w:r>
              <w:rPr>
                <w:b/>
                <w:i/>
              </w:rPr>
              <w:t>zdůrazňuje, že některé agentury, například ACER, EASA, ERA, eu‑LISA a Europol, zaměstnávají vyšší procento mužů, zatímco v agenturách, jako je CdT, EFSA, EMA, ETF a Eurojust, pracuje více žen;</w:t>
            </w:r>
            <w:r>
              <w:t xml:space="preserve"> </w:t>
            </w:r>
            <w:r>
              <w:rPr>
                <w:b/>
                <w:i/>
              </w:rPr>
              <w:t>konstatuje, že zjištěný poměr závisí na jednotlivých odvětvích, přičemž muži převládají v oblasti IT a prosazování práva a ženy jsou častěji zastoupeny v odvětví vzdělávání/odborné přípravy a zdravotní péče;</w:t>
            </w:r>
            <w:r>
              <w:t xml:space="preserve"> </w:t>
            </w:r>
            <w:r>
              <w:rPr>
                <w:b/>
                <w:i/>
              </w:rPr>
              <w:t>připomíná, že Unie svému závazku podporovat rovnost žen a mužů na vedoucích pozicích stále plně nedostála;</w:t>
            </w:r>
            <w:r>
              <w:t xml:space="preserve"> </w:t>
            </w:r>
            <w:r>
              <w:rPr>
                <w:b/>
                <w:i/>
              </w:rPr>
              <w:t>zdůrazňuje, že Komise by měla zlepšit v tomto ohledu své úsilí;</w:t>
            </w:r>
            <w:r>
              <w:t xml:space="preserve"> připomíná, že nařízení (EHS, Euratom, ESUO) č. 259/68 (služební řád</w:t>
            </w:r>
            <w:r>
              <w:rPr>
                <w:vertAlign w:val="superscript"/>
              </w:rPr>
              <w:t>3</w:t>
            </w:r>
            <w:r>
              <w:t>) stanoví, že nábor by měl být rovněž založen na co nejširší zeměpisné vyváženosti zaměstnanců vybraných z členských států EU; konstatuje, že existuje přirozená tendence, že vyšší procentní podíl zaměstnanců pochází z členského státu, v němž se agentura nachází; připomíná, že pro agentury se sídlem v zemích s relativně nízkým opravným koeficientem je setrvale obtížné přilákat kvalifikované zaměstnance zeměpisně rozmanitého původu;</w:t>
            </w:r>
          </w:p>
        </w:tc>
        <w:tc>
          <w:tcPr>
            <w:tcW w:w="4876" w:type="dxa"/>
            <w:tcBorders>
              <w:top w:val="nil"/>
              <w:left w:val="nil"/>
              <w:bottom w:val="nil"/>
              <w:right w:val="nil"/>
            </w:tcBorders>
          </w:tcPr>
          <w:p>
            <w:pPr>
              <w:pStyle w:val="Normal6a"/>
            </w:pPr>
            <w:r>
              <w:t>8.</w:t>
            </w:r>
            <w:r>
              <w:tab/>
            </w:r>
            <w:r>
              <w:t>konstatuje, že 33 decentralizovaných agentur v roce 2024 uvedlo, že zaměstnávají celkem 11 491 osob (oproti 10 580 osobám v roce 2023), k nimž patří úředníci, dočasní zaměstnanci, smluvní zaměstnanci a vyslaní národní odborníci, což v porovnání s rokem 2023 představuje nárůst o 8,61 %; připomíná, že nařízení (EHS, Euratom, ESUO) č. 259/68 (služební řád</w:t>
            </w:r>
            <w:r>
              <w:rPr>
                <w:vertAlign w:val="superscript"/>
              </w:rPr>
              <w:t>3</w:t>
            </w:r>
            <w:r>
              <w:t xml:space="preserve">) stanoví, že nábor by měl být rovněž založen </w:t>
            </w:r>
            <w:r>
              <w:rPr>
                <w:b/>
                <w:i/>
              </w:rPr>
              <w:t>na zásluhách a</w:t>
            </w:r>
            <w:r>
              <w:t xml:space="preserve"> na co nejširší zeměpisné vyváženosti zaměstnanců vybraných z členských států EU; konstatuje, že existuje přirozená tendence, že vyšší procentní podíl zaměstnanců pochází z členského státu, v němž se agentura nachází; připomíná, že pro agentury se sídlem v zemích s relativně nízkým opravným koeficientem je setrvale obtížné přilákat kvalifikované zaměstnance zeměpisně rozmanitého původu;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Nařízení Rady (EHS, Euratom, ESUO) č. 259/68 ze dne 29. února 1968, kterým se stanoví služební řád úředníků a pracovní řád ostatních zaměstnanců Evropských společenství a kterým se zavádějí zvláštní opatření dočasně použitelná na úředníky Komise (Úř. věst. L 56, 4.3.1968, s. 1, ELI: http://data.europa.eu/eli/reg/1968/259(1)/oj.).</w:t>
            </w:r>
          </w:p>
        </w:tc>
        <w:tc>
          <w:tcPr>
            <w:tcW w:w="4876" w:type="dxa"/>
            <w:tcBorders>
              <w:top w:val="nil"/>
              <w:left w:val="nil"/>
              <w:bottom w:val="nil"/>
              <w:right w:val="nil"/>
            </w:tcBorders>
          </w:tcPr>
          <w:p>
            <w:pPr>
              <w:pStyle w:val="Normal6a"/>
            </w:pPr>
            <w:r>
              <w:rPr>
                <w:vertAlign w:val="superscript"/>
              </w:rPr>
              <w:t>3</w:t>
            </w:r>
            <w:r>
              <w:t xml:space="preserve"> </w:t>
            </w:r>
            <w:r>
              <w:t>Nařízení Rady (EHS, Euratom, ESUO) č. 259/68 ze dne 29. února 1968, kterým se stanoví služební řád úředníků a pracovní řád ostatních zaměstnanců Evropských společenství a kterým se zavádějí zvláštní opatření dočasně použitelná na úředníky Komise (Úř. věst. L 56, 4.3.1968, s.</w:t>
            </w:r>
            <w:r>
              <w:rPr>
                <w:b/>
                <w:i/>
              </w:rPr>
              <w:t xml:space="preserve"> </w:t>
            </w:r>
            <w:r>
              <w:t xml:space="preserve"> 1, ELI: http://data.europa.eu/eli/reg/1968/259(1)/oj.).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konstatuje, že 33 decentralizovaných agentur v roce 2024 uvedlo, že zaměstnávají celkem 11 491 osob (oproti 10 580 osobám v roce 2023), k nimž patří úředníci, dočasní zaměstnanci, smluvní zaměstnanci a vyslaní národní odborníci, což v porovnání s rokem 2023 představuje nárůst o 8,61 %; konstatuje, že ačkoli se genderová vyváženost v decentralizovaných agenturách Unie zlepšuje, přetrvávají značné rozdíly; zdůrazňuje, že některé agentury, například ACER, EASA, ERA, eu‑LISA a Europol, zaměstnávají vyšší procento mužů, zatímco v agenturách, jako je CdT, EFSA, EMA, ETF a Eurojust, pracuje více žen; </w:t>
            </w:r>
            <w:r>
              <w:rPr>
                <w:b/>
                <w:i/>
              </w:rPr>
              <w:t>konstatuje, že zjištěný poměr závisí na jednotlivých odvětvích, přičemž muži převládají v oblasti IT a prosazování práva a ženy jsou častěji zastoupeny v odvětví vzdělávání/odborné přípravy a zdravotní péče;</w:t>
            </w:r>
            <w:r>
              <w:t xml:space="preserve"> </w:t>
            </w:r>
            <w:r>
              <w:rPr>
                <w:b/>
                <w:i/>
              </w:rPr>
              <w:t>připomíná</w:t>
            </w:r>
            <w:r>
              <w:t>, že Unie svému závazku podporovat rovnost žen a mužů na vedoucích pozicích stále plně nedostála; zdůrazňuje, že Komise by měla zlepšit v tomto ohledu své úsilí; připomíná, že nařízení (EHS, Euratom, ESUO) č. 259/68 (služební řád</w:t>
            </w:r>
            <w:r>
              <w:rPr>
                <w:b/>
                <w:i/>
                <w:vertAlign w:val="superscript"/>
              </w:rPr>
              <w:t>3</w:t>
            </w:r>
            <w:r>
              <w:t>) stanoví, že nábor by měl být rovněž založen na co nejširší zeměpisné vyváženosti zaměstnanců vybraných z členských států EU; konstatuje, že existuje přirozená tendence, že vyšší procentní podíl zaměstnanců pochází z členského státu, v němž se agentura nachází; připomíná, že pro agentury se sídlem v zemích s relativně nízkým opravným koeficientem je setrvale obtížné přilákat kvalifikované zaměstnance zeměpisně rozmanitého původu;</w:t>
            </w:r>
          </w:p>
        </w:tc>
        <w:tc>
          <w:tcPr>
            <w:tcW w:w="4876" w:type="dxa"/>
            <w:tcBorders>
              <w:top w:val="nil"/>
              <w:left w:val="nil"/>
              <w:bottom w:val="nil"/>
              <w:right w:val="nil"/>
            </w:tcBorders>
          </w:tcPr>
          <w:p>
            <w:pPr>
              <w:pStyle w:val="Normal6a"/>
            </w:pPr>
            <w:r>
              <w:t>8.</w:t>
            </w:r>
            <w:r>
              <w:tab/>
            </w:r>
            <w:r>
              <w:t xml:space="preserve">konstatuje, že 33 decentralizovaných agentur v roce 2024 uvedlo, že zaměstnávají celkem 11 491 osob (oproti 10 580 osobám v roce 2023), k nimž patří úředníci, dočasní zaměstnanci, smluvní zaměstnanci a vyslaní národní odborníci, což v porovnání s rokem 2023 představuje nárůst o 8,61 %; konstatuje, že ačkoli se genderová vyváženost v decentralizovaných agenturách Unie zlepšuje, přetrvávají značné rozdíly; zdůrazňuje, že některé agentury, například ACER, EASA, ERA, eu‑LISA a Europol, zaměstnávají vyšší procento mužů, zatímco v agenturách, jako je CdT, EFSA, EMA, ETF a Eurojust, pracuje více žen; </w:t>
            </w:r>
            <w:r>
              <w:rPr>
                <w:b/>
                <w:i/>
              </w:rPr>
              <w:t>vyjadřuje politování nad tím</w:t>
            </w:r>
            <w:r>
              <w:t>, že Unie svému závazku podporovat rovnost žen a mužů na vedoucích pozicích stále plně nedostála; zdůrazňuje, že Komise by měla zlepšit v tomto ohledu své úsilí; připomíná, že nařízení (EHS, Euratom, ESUO) č. 259/68 (služební řád</w:t>
            </w:r>
            <w:r>
              <w:rPr>
                <w:b/>
                <w:i/>
              </w:rPr>
              <w:t>[1]</w:t>
            </w:r>
            <w:r>
              <w:t xml:space="preserve">) stanoví, že nábor by měl </w:t>
            </w:r>
            <w:r>
              <w:rPr>
                <w:b/>
                <w:i/>
              </w:rPr>
              <w:t>probíhat na základě objektivních a transparentních kritérií vycházejících ze zásluh a</w:t>
            </w:r>
            <w:r>
              <w:t xml:space="preserve"> být rovněž založen na co nejširší zeměpisné vyváženosti zaměstnanců vybraných z členských států EU; konstatuje, že existuje přirozená tendence, že vyšší procentní podíl zaměstnanců pochází z členského státu, v němž se agentura nachází; připomíná, že pro agentury se sídlem v zemích s relativně nízkým opravným koeficientem je setrvale obtížné přilákat kvalifikované zaměstnance zeměpisně rozmanitého původu;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Nařízení Rady (EHS, Euratom, ESUO) č. 259/68 ze dne 29. února 1968, kterým se stanoví služební řád úředníků a pracovní řád ostatních zaměstnanců Evropských společenství a kterým se zavádějí zvláštní opatření dočasně použitelná na úředníky Komise (Úř. věst. L 56, 4.3.1968, s.</w:t>
            </w:r>
            <w:r>
              <w:t xml:space="preserve"> </w:t>
            </w:r>
            <w:r>
              <w:rPr>
                <w:b/>
                <w:i/>
              </w:rPr>
              <w:t>1, ELI: http://data.europa.eu/eli/reg/1968/259(1)/oj.).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konstatuje, že 33 decentralizovaných agentur v roce 2024 uvedlo, že zaměstnávají celkem 11 491 osob (oproti 10 580 osobám v roce 2023), k nimž patří úředníci, dočasní zaměstnanci, smluvní zaměstnanci a vyslaní národní odborníci, což v porovnání s rokem 2023 představuje nárůst o 8,61 %; konstatuje, že ačkoli se genderová vyváženost v decentralizovaných agenturách Unie zlepšuje, přetrvávají značné rozdíly; zdůrazňuje, že některé agentury, například ACER, EASA, ERA, eu‑LISA a Europol, zaměstnávají vyšší procento mužů, zatímco v agenturách, jako je CdT, EFSA, EMA, ETF a Eurojust, pracuje více žen; konstatuje, že zjištěný poměr závisí na jednotlivých odvětvích, přičemž muži převládají v oblasti IT a prosazování práva a ženy jsou častěji zastoupeny v odvětví vzdělávání/odborné přípravy a zdravotní péče; připomíná, že Unie svému závazku podporovat rovnost žen a mužů na vedoucích pozicích stále plně nedostála; zdůrazňuje, že Komise by měla zlepšit v tomto ohledu své úsilí; připomíná, že nařízení (EHS, Euratom, ESUO) č. 259/68 (služební řád</w:t>
            </w:r>
            <w:r>
              <w:rPr>
                <w:vertAlign w:val="superscript"/>
              </w:rPr>
              <w:t>3</w:t>
            </w:r>
            <w:r>
              <w:t>) stanoví, že nábor by měl být rovněž založen na co nejširší zeměpisné vyváženosti zaměstnanců vybraných z členských států EU; konstatuje, že existuje přirozená tendence, že vyšší procentní podíl zaměstnanců pochází z členského státu, v němž se agentura nachází; připomíná, že pro agentury se sídlem v zemích s relativně nízkým opravným koeficientem je setrvale obtížné přilákat kvalifikované zaměstnance zeměpisně rozmanitého původu;</w:t>
            </w:r>
          </w:p>
        </w:tc>
        <w:tc>
          <w:tcPr>
            <w:tcW w:w="4876" w:type="dxa"/>
            <w:tcBorders>
              <w:top w:val="nil"/>
              <w:left w:val="nil"/>
              <w:bottom w:val="nil"/>
              <w:right w:val="nil"/>
            </w:tcBorders>
          </w:tcPr>
          <w:p>
            <w:pPr>
              <w:pStyle w:val="Normal6a"/>
            </w:pPr>
            <w:r>
              <w:t>8.</w:t>
            </w:r>
            <w:r>
              <w:tab/>
            </w:r>
            <w:r>
              <w:t xml:space="preserve">konstatuje, že 33 decentralizovaných agentur v roce 2024 uvedlo, že zaměstnávají celkem 11 491 osob (oproti 10 580 osobám v roce 2023), k nimž patří úředníci, dočasní zaměstnanci, smluvní zaměstnanci a vyslaní národní odborníci, což v porovnání s rokem 2023 představuje nárůst o 8,61 %; konstatuje, že ačkoli se genderová vyváženost v decentralizovaných agenturách Unie zlepšuje, přetrvávají značné rozdíly; zdůrazňuje, že některé agentury, například ACER, EASA, ERA, eu‑LISA a Europol, zaměstnávají vyšší procento mužů, zatímco v agenturách, jako je CdT, EFSA, EMA, ETF a Eurojust, pracuje více žen; konstatuje, že zjištěný poměr závisí na jednotlivých odvětvích, přičemž muži převládají v oblasti IT a prosazování práva a ženy jsou častěji zastoupeny v odvětví vzdělávání/odborné přípravy a zdravotní péče; připomíná, že Unie svému závazku podporovat rovnost žen a mužů na vedoucích pozicích stále plně nedostála; zdůrazňuje, že Komise by měla zlepšit v tomto ohledu své úsilí; </w:t>
            </w:r>
            <w:r>
              <w:rPr>
                <w:b/>
                <w:i/>
              </w:rPr>
              <w:t>vyzývá agentury, aby přijaly nápravné strategie, včetně transparentních postupů povyšování a cíleného rozvoje vedení zaměřeného na zlepšení genderové vyváženosti;</w:t>
            </w:r>
            <w:r>
              <w:t xml:space="preserve"> připomíná, že nařízení (EHS, Euratom, ESUO) č. 259/68 (služební řád</w:t>
            </w:r>
            <w:r>
              <w:rPr>
                <w:vertAlign w:val="superscript"/>
              </w:rPr>
              <w:t>3</w:t>
            </w:r>
            <w:r>
              <w:t>) stanoví, že nábor by měl být rovněž založen na co nejširší zeměpisné vyváženosti zaměstnanců vybraných z členských států EU; konstatuje, že existuje přirozená tendence, že vyšší procentní podíl zaměstnanců pochází z členského státu, v němž se agentura nachází; připomíná, že pro agentury se sídlem v zemích s relativně nízkým opravným koeficientem je setrvale obtížné přilákat kvalifikované zaměstnance zeměpisně rozmanitého původu;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Nařízení Rady (EHS, Euratom, ESUO) č. 259/68 ze dne 29. února 1968, kterým se stanoví služební řád úředníků a pracovní řád ostatních zaměstnanců Evropských společenství a kterým se zavádějí zvláštní opatření dočasně použitelná na úředníky Komise (Úř. věst. L 56, 4.3.1968, s. 1, ELI: http://data.europa.eu/eli/reg/1968/259(1)/oj.).</w:t>
            </w:r>
          </w:p>
        </w:tc>
        <w:tc>
          <w:tcPr>
            <w:tcW w:w="4876" w:type="dxa"/>
            <w:tcBorders>
              <w:top w:val="nil"/>
              <w:left w:val="nil"/>
              <w:bottom w:val="nil"/>
              <w:right w:val="nil"/>
            </w:tcBorders>
          </w:tcPr>
          <w:p>
            <w:pPr>
              <w:pStyle w:val="Normal6a"/>
            </w:pPr>
            <w:r>
              <w:rPr>
                <w:vertAlign w:val="superscript"/>
              </w:rPr>
              <w:t>3</w:t>
            </w:r>
            <w:r>
              <w:t xml:space="preserve"> </w:t>
            </w:r>
            <w:r>
              <w:t>Nařízení Rady (EHS, Euratom, ESUO) č. 259/68 ze dne 29. února 1968, kterým se stanoví služební řád úředníků a pracovní řád ostatních zaměstnanců Evropských společenství a kterým se zavádějí zvláštní opatření dočasně použitelná na úředníky Komise (Úř. věst. L 56, 4.3.1968, s.</w:t>
            </w:r>
            <w:r>
              <w:rPr>
                <w:b/>
                <w:i/>
              </w:rPr>
              <w:t xml:space="preserve"> </w:t>
            </w:r>
            <w:r>
              <w:t xml:space="preserve"> 1, ELI: http://data.europa.eu/eli/reg/1968/259(1)/oj.).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konstatuje, že 33 decentralizovaných agentur v roce 2024 uvedlo, že zaměstnávají celkem 11 491 osob (oproti 10 580 osobám v roce 2023), k nimž patří úředníci, dočasní zaměstnanci, smluvní zaměstnanci a vyslaní národní odborníci, což v porovnání s rokem 2023 představuje nárůst o 8,61 %; konstatuje, že ačkoli se genderová vyváženost v decentralizovaných agenturách Unie zlepšuje, přetrvávají značné rozdíly; zdůrazňuje, že některé agentury, například ACER, EASA, ERA, eu‑LISA a Europol, zaměstnávají vyšší procento mužů, zatímco v agenturách, jako je CdT, EFSA, EMA, ETF a Eurojust, pracuje více žen; konstatuje, že zjištěný poměr závisí na jednotlivých odvětvích, přičemž muži převládají v oblasti IT a prosazování práva a ženy jsou častěji zastoupeny v odvětví vzdělávání/odborné přípravy a zdravotní péče; připomíná, že Unie svému závazku podporovat rovnost žen a mužů na vedoucích pozicích stále plně nedostála; zdůrazňuje, že Komise by měla zlepšit v tomto ohledu své úsilí; připomíná, že nařízení (EHS, Euratom, ESUO) č. 259/68 (služební řád</w:t>
            </w:r>
            <w:r>
              <w:rPr>
                <w:vertAlign w:val="superscript"/>
              </w:rPr>
              <w:t>3</w:t>
            </w:r>
            <w:r>
              <w:t>) stanoví, že nábor by měl být rovněž založen na co nejširší zeměpisné vyváženosti zaměstnanců vybraných z členských států EU; konstatuje, že existuje přirozená tendence, že vyšší procentní podíl zaměstnanců pochází z členského státu, v němž se agentura nachází; připomíná, že pro agentury se sídlem v zemích s relativně nízkým opravným koeficientem je setrvale obtížné přilákat kvalifikované zaměstnance zeměpisně rozmanitého původu;</w:t>
            </w:r>
          </w:p>
        </w:tc>
        <w:tc>
          <w:tcPr>
            <w:tcW w:w="4876" w:type="dxa"/>
            <w:tcBorders>
              <w:top w:val="nil"/>
              <w:left w:val="nil"/>
              <w:bottom w:val="nil"/>
              <w:right w:val="nil"/>
            </w:tcBorders>
          </w:tcPr>
          <w:p>
            <w:pPr>
              <w:pStyle w:val="Normal6a"/>
            </w:pPr>
            <w:r>
              <w:t>8.</w:t>
            </w:r>
            <w:r>
              <w:tab/>
            </w:r>
            <w:r>
              <w:t>konstatuje, že 33 decentralizovaných agentur v roce 2024 uvedlo, že zaměstnávají celkem 11 491 osob (oproti 10 580 osobám v roce 2023), k nimž patří úředníci, dočasní zaměstnanci, smluvní zaměstnanci a vyslaní národní odborníci, což v porovnání s rokem 2023 představuje nárůst o 8,61 %</w:t>
            </w:r>
            <w:r>
              <w:rPr>
                <w:b/>
                <w:i/>
              </w:rPr>
              <w:t>;</w:t>
            </w:r>
            <w:r>
              <w:t xml:space="preserve"> </w:t>
            </w:r>
            <w:r>
              <w:rPr>
                <w:b/>
                <w:i/>
              </w:rPr>
              <w:t>vyjadřuje politování nad tímto výrazným zvýšením, které s sebou nese dodatečné náklady na zaměstnance, a to v době, kdy Evropané trpí v důsledku inflace a vyšších životních nákladů</w:t>
            </w:r>
            <w:r>
              <w:t>; konstatuje, že ačkoli se genderová vyváženost v decentralizovaných agenturách Unie zlepšuje, přetrvávají značné rozdíly; zdůrazňuje, že některé agentury, například ACER, EASA, ERA, eu‑LISA a Europol, zaměstnávají vyšší procento mužů, zatímco v agenturách, jako je CdT, EFSA, EMA, ETF a Eurojust, pracuje více žen; konstatuje, že zjištěný poměr závisí na jednotlivých odvětvích, přičemž muži převládají v oblasti IT a prosazování práva a ženy jsou častěji zastoupeny v odvětví vzdělávání/odborné přípravy a zdravotní péče; připomíná, že Unie svému závazku podporovat rovnost žen a mužů na vedoucích pozicích stále plně nedostála; zdůrazňuje, že Komise by měla zlepšit v tomto ohledu své úsilí; připomíná, že nařízení (EHS, Euratom, ESUO) č. 259/68 (služební řád</w:t>
            </w:r>
            <w:r>
              <w:rPr>
                <w:vertAlign w:val="superscript"/>
              </w:rPr>
              <w:t>3</w:t>
            </w:r>
            <w:r>
              <w:t>) stanoví, že nábor by měl být rovněž založen na co nejširší zeměpisné vyváženosti zaměstnanců vybraných z členských států EU; konstatuje, že existuje přirozená tendence, že vyšší procentní podíl zaměstnanců pochází z členského státu, v němž se agentura nachází; připomíná, že pro agentury se sídlem v zemích s relativně nízkým opravným koeficientem je setrvale obtížné přilákat kvalifikované zaměstnance zeměpisně rozmanitého původu;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Nařízení Rady (EHS, Euratom, ESUO) č. 259/68 ze dne 29. února 1968, kterým se stanoví služební řád úředníků a pracovní řád ostatních zaměstnanců Evropských společenství a kterým se zavádějí zvláštní opatření dočasně použitelná na úředníky Komise (Úř. věst. L 56, 4.3.1968, s. 1, ELI: http://data.europa.eu/eli/reg/1968/259(1)/oj.).</w:t>
            </w:r>
          </w:p>
        </w:tc>
        <w:tc>
          <w:tcPr>
            <w:tcW w:w="4876" w:type="dxa"/>
            <w:tcBorders>
              <w:top w:val="nil"/>
              <w:left w:val="nil"/>
              <w:bottom w:val="nil"/>
              <w:right w:val="nil"/>
            </w:tcBorders>
          </w:tcPr>
          <w:p>
            <w:pPr>
              <w:pStyle w:val="Normal6a"/>
            </w:pPr>
            <w:r>
              <w:rPr>
                <w:vertAlign w:val="superscript"/>
              </w:rPr>
              <w:t>3</w:t>
            </w:r>
            <w:r>
              <w:t xml:space="preserve"> </w:t>
            </w:r>
            <w:r>
              <w:t>Nařízení Rady (EHS, Euratom, ESUO) č. 259/68 ze dne 29. února 1968, kterým se stanoví služební řád úředníků a pracovní řád ostatních zaměstnanců Evropských společenství a kterým se zavádějí zvláštní opatření dočasně použitelná na úředníky Komise (Úř. věst. L 56, 4.3.1968, s.</w:t>
            </w:r>
            <w:r>
              <w:rPr>
                <w:b/>
                <w:i/>
              </w:rPr>
              <w:t xml:space="preserve"> </w:t>
            </w:r>
            <w:r>
              <w:t xml:space="preserve"> 1, ELI: http://data.europa.eu/eli/reg/1968/259(1)/oj.).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bere na vědomí neustále rostoucí počet zaměstnanců těchto agentur a vyzývá k navýšení jejich rozpočtu;</w:t>
            </w:r>
            <w:r>
              <w:t xml:space="preserve"> </w:t>
            </w:r>
            <w:r>
              <w:rPr>
                <w:b/>
                <w:i/>
              </w:rPr>
              <w:t>připomíná však, že jakékoli úpravy financování nebo personálního obsazení v budoucnu musí být založeny na prokazatelném zvýšení efektivity, transparentních ukazatelích výkonnosti a měřitelných provozních výsledcích;</w:t>
            </w:r>
            <w:r>
              <w:t xml:space="preserve"> </w:t>
            </w:r>
            <w:r>
              <w:rPr>
                <w:b/>
                <w:i/>
              </w:rPr>
              <w:t>zdůrazňuje, že navýšení zdrojů by nemělo vést k rozšiřování administrativy ani ke zdvojování funkcí, které již vykonávají vnitrostátní orgány;</w:t>
            </w:r>
            <w:r>
              <w:t xml:space="preserve"> </w:t>
            </w:r>
            <w:r>
              <w:rPr>
                <w:b/>
                <w:i/>
              </w:rPr>
              <w:t>zdůrazňuje, že je třeba zachovat štíhlou strukturu zaměřenou na výsledky, která bude v souladu s mandátem každé agentury podle práva Unie;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vybízí agentury, aby do svých strategií v oblasti lidských zdrojů začlenily jasné cíle genderové vyváženosti;</w:t>
            </w:r>
            <w:r>
              <w:t xml:space="preserve"> </w:t>
            </w:r>
            <w:r>
              <w:rPr>
                <w:b/>
                <w:i/>
              </w:rPr>
              <w:t>vyzývá agentury, aby zajistily, že komise vybírající pracovníky na vedoucí pozice budou genderově vyvážené a budou fungovat podle jasných kritérií založených na zásluhách;</w:t>
            </w:r>
            <w:r>
              <w:t xml:space="preserve"> </w:t>
            </w:r>
            <w:r>
              <w:rPr>
                <w:b/>
                <w:i/>
              </w:rPr>
              <w:t>vyzývá Komisi a síť agentur EU, aby vypracovaly sdílené osvědčené postupy a srovnávací nástroje na podporu agentur při dosahování udržitelné genderové vyváženosti i ve vedoucích pozicích;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konstatuje, že v 16 z 33 agentur (konkrétně Úřad BEREC, CdT, Cedefop, CEPOL, ECDC, EEA, ELA, eu‑LISA, EU‑OSHA, Eurofound, Eurojust, Europol, FRA) činila míra fluktuace zaměstnanců v roce 2024 více než 5 % a že dvě z nich překročily 10% míru (konkrétně EIT, ETF); oceňuje agentury, které přijaly cílená opatření k zabránění vysoké míře fluktuace zaměstnanců; vyzývá Komisi a členské státy, aby v zájmu zajištění lepší kontinuity a uchování znalostí umožnily vyšší počet smluvních zaměstnanců na delší období nebo vyšší počet dočasných zaměstnanců;</w:t>
            </w:r>
          </w:p>
        </w:tc>
        <w:tc>
          <w:tcPr>
            <w:tcW w:w="4876" w:type="dxa"/>
            <w:tcBorders>
              <w:top w:val="nil"/>
              <w:left w:val="nil"/>
              <w:bottom w:val="nil"/>
              <w:right w:val="nil"/>
            </w:tcBorders>
          </w:tcPr>
          <w:p>
            <w:pPr>
              <w:pStyle w:val="Normal6a"/>
            </w:pPr>
            <w:r>
              <w:t>9.</w:t>
            </w:r>
            <w:r>
              <w:tab/>
            </w:r>
            <w:r>
              <w:t xml:space="preserve">konstatuje, že v 16 z 33 agentur (konkrétně Úřad BEREC, CdT, Cedefop, CEPOL, ECDC, EEA, ELA, eu‑LISA, EU‑OSHA, Eurofound, Eurojust, Europol, FRA) činila míra fluktuace zaměstnanců v roce 2024 více než 5 % a že dvě z nich překročily 10% míru (konkrétně EIT, ETF); oceňuje agentury, které přijaly cílená opatření k zabránění vysoké míře fluktuace zaměstnanců; vyzývá Komisi a členské státy, aby v zájmu zajištění lepší kontinuity a uchování znalostí umožnily vyšší počet smluvních zaměstnanců na delší období nebo vyšší počet dočasných zaměstnanců; </w:t>
            </w:r>
            <w:r>
              <w:rPr>
                <w:b/>
                <w:i/>
              </w:rPr>
              <w:t>zdůrazňuje, že správní rady nesou kolektivní odpovědnost za integritu, odpovědnost a řádné fungování agentur;</w:t>
            </w:r>
            <w:r>
              <w:t xml:space="preserve"> </w:t>
            </w:r>
            <w:r>
              <w:rPr>
                <w:b/>
                <w:i/>
              </w:rPr>
              <w:t>vyjadřuje politování nad případy, kdy správní rady nereagovaly rozhodně na závažná zjištění, a vyzývá k tomu, aby jednání správních rad byla vůči orgánu příslušnému k udělení absolutoria transparentnější;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domnívá se, že vysoká míra vyhoření, fluktuace a nejistého zaměstnání představují strukturální riziko pro institucionální integritu, vnitřní kontroly a whistleblowing, a tím i pro řádné finanční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vítá skutečnost, že v roce 2024 většina agentur přijala a provedla Chartu rozmanitosti a začleňování</w:t>
            </w:r>
            <w:r>
              <w:rPr>
                <w:b/>
                <w:i/>
                <w:vertAlign w:val="superscript"/>
              </w:rPr>
              <w:t>4</w:t>
            </w:r>
            <w:r>
              <w:rPr>
                <w:b/>
                <w:i/>
              </w:rPr>
              <w:t>, která podporuje rovné zacházení, rozmanitost a začleňování na pracovišti a ve společenském životě;</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https://agencies-network.europa.eu/document/download/04667fb8-be05-4818-9f62-0cb99f0c5538_en?filename=EUAN%20WG%25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vítá skutečnost, že v roce 2024 většina agentur přijala a provedla Chartu rozmanitosti a začleňování</w:t>
            </w:r>
            <w:r>
              <w:rPr>
                <w:vertAlign w:val="superscript"/>
              </w:rPr>
              <w:t>4</w:t>
            </w:r>
            <w:r>
              <w:t>, která podporuje rovné zacházení, rozmanitost a začleňování na pracovišti a ve společenském životě;</w:t>
            </w:r>
          </w:p>
        </w:tc>
        <w:tc>
          <w:tcPr>
            <w:tcW w:w="4876" w:type="dxa"/>
            <w:tcBorders>
              <w:top w:val="nil"/>
              <w:left w:val="nil"/>
              <w:bottom w:val="nil"/>
              <w:right w:val="nil"/>
            </w:tcBorders>
          </w:tcPr>
          <w:p>
            <w:pPr>
              <w:pStyle w:val="Normal6a"/>
            </w:pPr>
            <w:r>
              <w:t>10.</w:t>
            </w:r>
            <w:r>
              <w:tab/>
            </w:r>
            <w:r>
              <w:t>vítá skutečnost, že v roce 2024 většina agentur přijala a provedla Chartu rozmanitosti a začleňování</w:t>
            </w:r>
            <w:r>
              <w:rPr>
                <w:vertAlign w:val="superscript"/>
              </w:rPr>
              <w:t>4</w:t>
            </w:r>
            <w:r>
              <w:t xml:space="preserve">, která podporuje rovné zacházení, rozmanitost a začleňování na pracovišti a ve společenském životě; </w:t>
            </w:r>
            <w:r>
              <w:rPr>
                <w:b/>
                <w:i/>
              </w:rPr>
              <w:t>důrazně vybízí agentury, které se dosud nepřipojily, aby zvážily její bezodkladné přijetí a provedení;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https://agencies-network.europa.eu/document/download/04667fb8-be05-4818-9f62-0cb99f0c5538_en?filename=EUAN%20WG%25</w:t>
            </w:r>
          </w:p>
        </w:tc>
        <w:tc>
          <w:tcPr>
            <w:tcW w:w="4876" w:type="dxa"/>
            <w:tcBorders>
              <w:top w:val="nil"/>
              <w:left w:val="nil"/>
              <w:bottom w:val="nil"/>
              <w:right w:val="nil"/>
            </w:tcBorders>
          </w:tcPr>
          <w:p>
            <w:pPr>
              <w:pStyle w:val="Normal6a"/>
            </w:pPr>
            <w:r>
              <w:rPr>
                <w:vertAlign w:val="superscript"/>
              </w:rPr>
              <w:t>4</w:t>
            </w:r>
            <w:r>
              <w:t xml:space="preserve"> </w:t>
            </w:r>
            <w:r>
              <w:t>https://agencies-network.europa.eu/document/download/04667fb8-be05-4818-9f62-0cb99f0c5538_en?filename=EUAN%20WG%25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vytvoření účinného mechanismu vyřizování stížností zaměstnanců decentralizovaných agentur Unie vyžaduje kombinaci silných záruk důvěrnosti, včetně anonymních kanálů pro oznamování, a jasných harmonizovaných postupů, které se řídí služebním řádem a jsou zaměstnancům sdělované na pravidelných školeních; domnívá se, že agentury by měly jmenovat nezávislé, odborně vyškolené úředníky pro etiku či stížnosti nebo využívat sdílené meziagenturní struktury pro menší agentury s cílem zajistit nestranné vyřizování žádostí podle článku 90 služebního řádu, zpráv o obtěžování, střetů zájmů a whistleblowingu; vyzývá agentury, aby zajistily</w:t>
            </w:r>
            <w:r>
              <w:rPr>
                <w:b/>
                <w:i/>
              </w:rPr>
              <w:t>, že zaměstnanci budou mít přístup k externímu způsobu eskalace a silné ochraně před odvetnými opatřeními prostřednictvím systematických následných kontrol, přičemž transparentnost by měla být posílena prostřednictvím každoročních anonymizovaných zpráv o stížnostech a výsledcích a nestrannost by měla být zlepšena využíváním meziagenturních vyšetřovacích komisí pro citlivé případy</w:t>
            </w:r>
            <w:r>
              <w:t xml:space="preserve">; </w:t>
            </w:r>
            <w:r>
              <w:rPr>
                <w:b/>
                <w:i/>
              </w:rPr>
              <w:t>vyzývá k zavedení ochranných mechanismů proti křivému obvinění a udání;</w:t>
            </w:r>
          </w:p>
        </w:tc>
        <w:tc>
          <w:tcPr>
            <w:tcW w:w="4876" w:type="dxa"/>
            <w:tcBorders>
              <w:top w:val="nil"/>
              <w:left w:val="nil"/>
              <w:bottom w:val="nil"/>
              <w:right w:val="nil"/>
            </w:tcBorders>
          </w:tcPr>
          <w:p>
            <w:pPr>
              <w:pStyle w:val="Normal6a"/>
            </w:pPr>
            <w:r>
              <w:t>11.</w:t>
            </w:r>
            <w:r>
              <w:tab/>
            </w:r>
            <w:r>
              <w:t xml:space="preserve">zdůrazňuje, že vytvoření účinného mechanismu vyřizování stížností zaměstnanců decentralizovaných agentur Unie vyžaduje kombinaci silných záruk důvěrnosti, včetně anonymních kanálů pro oznamování, a jasných harmonizovaných postupů, které se řídí služebním řádem a jsou zaměstnancům sdělované na pravidelných </w:t>
            </w:r>
            <w:r>
              <w:rPr>
                <w:b/>
                <w:i/>
              </w:rPr>
              <w:t>povinných</w:t>
            </w:r>
            <w:r>
              <w:t xml:space="preserve"> školeních; domnívá se, že agentury by měly jmenovat nezávislé, odborně vyškolené úředníky pro etiku či stížnosti nebo využívat sdílené meziagenturní struktury pro menší agentury s cílem zajistit nestranné vyřizování žádostí podle článku 90 služebního řádu, zpráv o obtěžování, střetů zájmů a whistleblowingu; vyzývá agentury, aby zajistily </w:t>
            </w:r>
            <w:r>
              <w:rPr>
                <w:b/>
                <w:i/>
              </w:rPr>
              <w:t>silnou, nezávislou a účinnou ochranu oznamovatelů, včetně ochrany před jakoukoli formou odvetných opatření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bere na vědomí důležitou úlohu sítě agentur EU (EUAN), a zejména jejího poradního výboru pro IKT (ICTAC), které agenturám pomáhají připravit se na provádění nařízení o kybernetické bezpečnosti prostřednictvím posílené koordinace, sdílení znalostí a spolupráce s GŘ DIGIT, CERT-EU a interinstitucionálním výborem pro digitální transformaci; vyzývá EUAN a ICTAC, aby poskytovaly komplexní a pravidelné informace o stavu provádění ve všech decentralizovaných agenturách, včetně společných výzev, zjištěných rizik, potřeb v oblasti zdrojů a plánovaných zmírňujících opatření, s cílem umožnit účinný dohled;</w:t>
            </w:r>
          </w:p>
        </w:tc>
        <w:tc>
          <w:tcPr>
            <w:tcW w:w="4876" w:type="dxa"/>
            <w:tcBorders>
              <w:top w:val="nil"/>
              <w:left w:val="nil"/>
              <w:bottom w:val="nil"/>
              <w:right w:val="nil"/>
            </w:tcBorders>
          </w:tcPr>
          <w:p>
            <w:pPr>
              <w:pStyle w:val="Normal6a"/>
            </w:pPr>
            <w:r>
              <w:t>12.</w:t>
            </w:r>
            <w:r>
              <w:tab/>
            </w:r>
            <w:r>
              <w:t xml:space="preserve">bere na vědomí důležitou úlohu sítě agentur EU (EUAN), a zejména jejího poradního výboru pro IKT (ICTAC), které agenturám pomáhají připravit se na provádění nařízení o kybernetické bezpečnosti prostřednictvím posílené koordinace, sdílení znalostí a spolupráce s GŘ DIGIT, CERT-EU a interinstitucionálním výborem pro digitální transformaci; vyzývá EUAN a ICTAC, aby poskytovaly komplexní a pravidelné informace o stavu provádění ve všech decentralizovaných agenturách, včetně společných výzev, zjištěných rizik, potřeb v oblasti zdrojů a plánovaných zmírňujících opatření, s cílem umožnit účinný dohled; </w:t>
            </w:r>
            <w:r>
              <w:rPr>
                <w:b/>
                <w:i/>
              </w:rPr>
              <w:t>zdůrazňuje, že pro zajištění odolnosti vůči vyvíjejícím se hrozbám je nutné přijmout robustní a důraznější opatření v oblasti kybernetické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upozorňuje na stále širší využívání nástrojů umělé inteligence, příležitosti, které tyto nástroje poskytují, ale také na jejich finanční a provozní rizika;</w:t>
            </w:r>
            <w:r>
              <w:t xml:space="preserve"> </w:t>
            </w:r>
            <w:r>
              <w:rPr>
                <w:b/>
                <w:i/>
              </w:rPr>
              <w:t>vyzývá agentury, aby zavedly strukturované posuzování rizik pro procesy podporované umělou inteligencí, zejména pokud jsou dotčeny funkce finančního řízení, zadávání veřejných zakázek nebo rozhodování;</w:t>
            </w:r>
            <w:r>
              <w:t xml:space="preserve"> </w:t>
            </w:r>
            <w:r>
              <w:rPr>
                <w:b/>
                <w:i/>
              </w:rPr>
              <w:t>vybízí agentury, aby zajistily transparentnost při používání nástrojů umělé inteligence, včetně dokumentace rozhodovací logiky, mechanismů lidského dohledu a kontrolovatelnosti automatizovaných procesů;</w:t>
            </w:r>
            <w:r>
              <w:t xml:space="preserve"> </w:t>
            </w:r>
            <w:r>
              <w:rPr>
                <w:b/>
                <w:i/>
              </w:rPr>
              <w:t>zdůrazňuje, že je třeba zajistit, aby využívání umělé inteligence zůstalo v plném souladu s povinnostmi Unie v oblasti ochrany údajů a kybernetické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zdůrazňuje, že je důležité, aby ve výročních zprávách o činnosti agentur EU byly stanoveny jasné, spolehlivé a smysluplné klíčové ukazatele výkonnosti, neboť tyto zprávy představují primární zdroj informací pro externí uživatele; konstatuje, že </w:t>
            </w:r>
            <w:r>
              <w:rPr>
                <w:b/>
                <w:i/>
              </w:rPr>
              <w:t>některé systémy</w:t>
            </w:r>
            <w:r>
              <w:t xml:space="preserve"> klíčových ukazatelů výkonnosti </w:t>
            </w:r>
            <w:r>
              <w:rPr>
                <w:b/>
                <w:i/>
              </w:rPr>
              <w:t>často postrádají kontinuitu, standardizaci, operační hloubku, zdokumentovanou metodiku pro výběr, aktualizaci a rušení klíčových ukazatelů výkonnosti, transparentnost, srovnatelnost a víceleté sledování, což snižuje srovnatelnost a schopnost externích uživatelů</w:t>
            </w:r>
            <w:r>
              <w:t xml:space="preserve"> objektivně posuzovat výkonnost; zdůrazňuje, že klíčové ukazatele výkonnosti by měly být zefektivněny </w:t>
            </w:r>
            <w:r>
              <w:rPr>
                <w:b/>
                <w:i/>
              </w:rPr>
              <w:t>a dobře navrženy</w:t>
            </w:r>
            <w:r>
              <w:t>, měly by vycházet ze zásad SMART a měly by být důsledně uplatňovány ve všech cyklech podávání zpráv, které jsou nezbytné pro hodnocení účinnosti, účelnosti a pokroku při plnění strategických cílů;</w:t>
            </w:r>
          </w:p>
        </w:tc>
        <w:tc>
          <w:tcPr>
            <w:tcW w:w="4876" w:type="dxa"/>
            <w:tcBorders>
              <w:top w:val="nil"/>
              <w:left w:val="nil"/>
              <w:bottom w:val="nil"/>
              <w:right w:val="nil"/>
            </w:tcBorders>
          </w:tcPr>
          <w:p>
            <w:pPr>
              <w:pStyle w:val="Normal6a"/>
            </w:pPr>
            <w:r>
              <w:t>13.</w:t>
            </w:r>
            <w:r>
              <w:tab/>
            </w:r>
            <w:r>
              <w:t xml:space="preserve">zdůrazňuje, že je důležité, aby ve výročních zprávách o činnosti agentur EU byly stanoveny jasné, spolehlivé a smysluplné klíčové ukazatele výkonnosti, neboť tyto zprávy představují primární zdroj informací pro externí uživatele; konstatuje, že </w:t>
            </w:r>
            <w:r>
              <w:rPr>
                <w:b/>
                <w:i/>
              </w:rPr>
              <w:t>hlavním účelem spolehlivého systému</w:t>
            </w:r>
            <w:r>
              <w:t xml:space="preserve"> klíčových ukazatelů výkonnosti </w:t>
            </w:r>
            <w:r>
              <w:rPr>
                <w:b/>
                <w:i/>
              </w:rPr>
              <w:t>je</w:t>
            </w:r>
            <w:r>
              <w:t xml:space="preserve"> objektivně posuzovat výkonnost; zdůrazňuje, že klíčové ukazatele výkonnosti by měly být zefektivněny, měly by vycházet ze zásad SMART a měly by být důsledně uplatňovány ve všech cyklech podávání zpráv, které jsou nezbytné pro hodnocení účinnosti, účelnosti a pokroku při plnění strategických cílů;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zdůrazňuje, že je důležité, aby ve výročních zprávách o činnosti agentur EU byly stanoveny jasné, spolehlivé a smysluplné klíčové ukazatele výkonnosti, neboť tyto zprávy představují primární zdroj informací pro externí uživatele; konstatuje, že některé systémy klíčových ukazatelů výkonnosti často postrádají kontinuitu, standardizaci, operační hloubku, zdokumentovanou metodiku pro výběr, aktualizaci a rušení klíčových ukazatelů výkonnosti, transparentnost, srovnatelnost a víceleté sledování, což snižuje srovnatelnost a schopnost externích uživatelů objektivně posuzovat výkonnost; zdůrazňuje, že klíčové ukazatele výkonnosti by měly být zefektivněny a dobře navrženy, měly by vycházet ze zásad SMART a měly by být důsledně uplatňovány ve všech cyklech podávání zpráv, které jsou nezbytné pro hodnocení účinnosti, účelnosti a pokroku při plnění strategických cílů;</w:t>
            </w:r>
          </w:p>
        </w:tc>
        <w:tc>
          <w:tcPr>
            <w:tcW w:w="4876" w:type="dxa"/>
            <w:tcBorders>
              <w:top w:val="nil"/>
              <w:left w:val="nil"/>
              <w:bottom w:val="nil"/>
              <w:right w:val="nil"/>
            </w:tcBorders>
          </w:tcPr>
          <w:p>
            <w:pPr>
              <w:pStyle w:val="Normal6a"/>
            </w:pPr>
            <w:r>
              <w:t>13.</w:t>
            </w:r>
            <w:r>
              <w:tab/>
            </w:r>
            <w:r>
              <w:t xml:space="preserve">zdůrazňuje, že je důležité, aby ve výročních zprávách o činnosti agentur EU byly stanoveny jasné, spolehlivé a smysluplné klíčové ukazatele výkonnosti, neboť tyto zprávy představují primární zdroj informací pro externí uživatele; konstatuje, že některé systémy klíčových ukazatelů výkonnosti často postrádají kontinuitu, standardizaci, operační hloubku, zdokumentovanou metodiku pro výběr, aktualizaci a rušení klíčových ukazatelů výkonnosti, transparentnost, srovnatelnost a víceleté sledování, což snižuje srovnatelnost a schopnost externích uživatelů objektivně posuzovat výkonnost; zdůrazňuje, že klíčové ukazatele výkonnosti by měly být zefektivněny a dobře navrženy, měly by vycházet ze zásad SMART a měly by být důsledně uplatňovány ve všech cyklech podávání zpráv, které jsou nezbytné pro hodnocení účinnosti, účelnosti a pokroku při plnění strategických cílů; </w:t>
            </w:r>
            <w:r>
              <w:rPr>
                <w:b/>
                <w:i/>
              </w:rPr>
              <w:t>zdůrazňuje, že přechod od podávání zpráv o vstupech/činnostech k podávání zpráv zaměřených na výsledky a dopady by měl snížit administrativní zátěž auditorů i agentur tím, že se zaměří na významnost a proporcionalitu;</w:t>
            </w:r>
            <w:r>
              <w:t xml:space="preserve"> </w:t>
            </w:r>
            <w:r>
              <w:rPr>
                <w:b/>
                <w:i/>
              </w:rPr>
              <w:t>zdůrazňuje, že ukazatele výkonnosti musí být výslovně odvozeny z cílů zakládajícího mandátu každé agentury a zachycovat výstupy, výsledky a především dopady;</w:t>
            </w:r>
            <w:r>
              <w:t xml:space="preserve"> </w:t>
            </w:r>
            <w:r>
              <w:rPr>
                <w:b/>
                <w:i/>
              </w:rPr>
              <w:t>vyzývá agentury, aby do svých výkonnostních rámců zahrnuly analýzu nákladů a přínosů a transparentní sestavování rozpočtu;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obecně pozoruje nedostatky ve vnitřních kontrolách a postupech agentur, z nichž některé generují náklady, kterým lze předejít;</w:t>
            </w:r>
            <w:r>
              <w:t xml:space="preserve"> </w:t>
            </w:r>
            <w:r>
              <w:rPr>
                <w:b/>
                <w:i/>
              </w:rPr>
              <w:t>naléhavě vyzývá k provedení veřejného externího auditu s cílem navrhnout robustnější a účinnější harmonizovaná pravidla vnitřní kontroly agentur za účelem odstranění nedostatků v jejich mechanismech vnitřní kontroly, řešení střetu zájmů, zadávání veřejných zakázek, personálních procesech a dalších oblastech opakovaně označovaných Účetním dvorem o ochránit tak finanční zájmy Unie;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uznává spolupráci s externími partnery, jako je Organizace pro hospodářskou spolupráci a rozvoj a síť OSN pro strategické plánování, na modernizaci metodik klíčových ukazatelů výkonnosti; zdůrazňuje, že některé agentury, například ACER, EASA a ECDC, vyvinuly spolehlivější a provozně relevantnější ukazatele; vyzývá agentury s </w:t>
            </w:r>
            <w:r>
              <w:rPr>
                <w:b/>
                <w:i/>
              </w:rPr>
              <w:t>neúčinnými, nekvantifikovatelnými a neměřitelnými</w:t>
            </w:r>
            <w:r>
              <w:t xml:space="preserve"> systémy klíčových ukazatelů výkonnosti, aby vycházely z těchto silnějších modelů a systematicky sdílely osvědčené postupy prostřednictvím sítě EUAN s cílem zlepšit srovnatelnost, zvýšit užitečnost výročních zpráv o činnosti pro externí uživatele a posílit celkové hodnocení výkonnosti napříč agenturami;</w:t>
            </w:r>
          </w:p>
        </w:tc>
        <w:tc>
          <w:tcPr>
            <w:tcW w:w="4876" w:type="dxa"/>
            <w:tcBorders>
              <w:top w:val="nil"/>
              <w:left w:val="nil"/>
              <w:bottom w:val="nil"/>
              <w:right w:val="nil"/>
            </w:tcBorders>
          </w:tcPr>
          <w:p>
            <w:pPr>
              <w:pStyle w:val="Normal6a"/>
            </w:pPr>
            <w:r>
              <w:t>14.</w:t>
            </w:r>
            <w:r>
              <w:tab/>
            </w:r>
            <w:r>
              <w:t xml:space="preserve">uznává spolupráci s externími partnery, jako je Organizace pro hospodářskou spolupráci a rozvoj a síť OSN pro strategické plánování, na modernizaci metodik klíčových ukazatelů výkonnosti; zdůrazňuje, že některé agentury, například ACER, EASA a ECDC, vyvinuly spolehlivější a provozně relevantnější ukazatele; vyzývá agentury s </w:t>
            </w:r>
            <w:r>
              <w:rPr>
                <w:b/>
                <w:i/>
              </w:rPr>
              <w:t>méně účinnými</w:t>
            </w:r>
            <w:r>
              <w:t xml:space="preserve"> systémy klíčových ukazatelů výkonnosti, aby vycházely z těchto silnějších modelů a systematicky sdílely osvědčené postupy prostřednictvím sítě EUAN s cílem zlepšit srovnatelnost, zvýšit užitečnost výročních zpráv o činnosti pro externí uživatele a posílit celkové hodnocení výkonnosti napříč agenturami;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uznává spolupráci s externími partnery, jako je Organizace pro hospodářskou spolupráci a rozvoj a síť OSN pro strategické plánování, na modernizaci metodik klíčových ukazatelů výkonnosti; zdůrazňuje, že některé agentury, například ACER, EASA a ECDC, vyvinuly spolehlivější a provozně relevantnější ukazatele; vyzývá agentury s neúčinnými, nekvantifikovatelnými a neměřitelnými systémy klíčových ukazatelů výkonnosti, aby vycházely z těchto silnějších modelů a systematicky sdílely osvědčené postupy prostřednictvím sítě EUAN s cílem zlepšit srovnatelnost, zvýšit užitečnost výročních zpráv o činnosti pro externí uživatele a posílit celkové hodnocení výkonnosti napříč agenturami;</w:t>
            </w:r>
          </w:p>
        </w:tc>
        <w:tc>
          <w:tcPr>
            <w:tcW w:w="4876" w:type="dxa"/>
            <w:tcBorders>
              <w:top w:val="nil"/>
              <w:left w:val="nil"/>
              <w:bottom w:val="nil"/>
              <w:right w:val="nil"/>
            </w:tcBorders>
          </w:tcPr>
          <w:p>
            <w:pPr>
              <w:pStyle w:val="Normal6a"/>
            </w:pPr>
            <w:r>
              <w:t>14.</w:t>
            </w:r>
            <w:r>
              <w:tab/>
            </w:r>
            <w:r>
              <w:t xml:space="preserve">uznává spolupráci s externími partnery, jako je Organizace pro hospodářskou spolupráci a rozvoj a síť OSN pro strategické plánování, na modernizaci metodik klíčových ukazatelů výkonnosti; zdůrazňuje, že některé agentury, například ACER, EASA a ECDC, vyvinuly spolehlivější a provozně relevantnější ukazatele; vyzývá agentury s neúčinnými, nekvantifikovatelnými a neměřitelnými systémy klíčových ukazatelů výkonnosti, aby vycházely z těchto silnějších modelů a systematicky sdílely osvědčené postupy prostřednictvím sítě EUAN s cílem zlepšit srovnatelnost, zvýšit užitečnost výročních zpráv o činnosti pro externí uživatele a posílit celkové hodnocení výkonnosti napříč agenturami; </w:t>
            </w:r>
            <w:r>
              <w:rPr>
                <w:b/>
                <w:i/>
              </w:rPr>
              <w:t>vyzývá Komisi, aby požadovala, aby všechna hodnocení agentur podle bodu 60 společného přístupu systematicky posuzovala efektivnost nákladů a měřitelný dopad každé agentury na její oblast politiky a aby programy nebo činnosti, které neprokázaly účinnost, byly v přiměřeném časovém rámci ukončeny a finanční prostředky přesunuty na účinnější opatření, případně vráceny daňovým poplatníkům;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vyzývá síť agentur EU (EUAN), aby ve spolupráci s Účetním dvorem vypracovala a do konce roku 2026 předložila orgánu příslušnému k udělení absolutoria společný rámec pro měření výkonnosti agentur a společenských dopadů, a to na základě doporučení Účetního dvora uvedeného ve zvláštní zprávě 22/2020;</w:t>
            </w:r>
            <w:r>
              <w:t xml:space="preserve"> </w:t>
            </w:r>
            <w:r>
              <w:rPr>
                <w:b/>
                <w:i/>
              </w:rPr>
              <w:t>domnívá se, že tento rámec by měl pro každou agenturu zahrnovat omezený soubor ukazatelů výsledků a dopadů přímo souvisejících s jejím zakládajícím mandátem a měl by Parlamentu a daňovým poplatníkům umožnit posoudit konkrétní výsledky, pokud jde o vynaložené zdroje;</w:t>
            </w:r>
            <w:r>
              <w:t xml:space="preserve"> </w:t>
            </w:r>
            <w:r>
              <w:rPr>
                <w:b/>
                <w:i/>
              </w:rPr>
              <w:t>táže se sítě EUAN, zda má v úmyslu takový společný rámec zavést, a pokud ano, žádá ji, aby informovala orgán příslušný k udělení absolutoria o očekávaném harmonogramu a metodice;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upozorňuje na vyšetřování Evropského úřadu pro boj proti podvodům (OLAF), která se týkají několika agentur: agentury ENISA (dva případy v roce 2024, jeden probíhající, jeden zamítnutý a jeden případ týkající se náboru v roce 2025), agentury eu-LISA (šetření v oblasti střetů zájmů a zadávání veřejných zakázek), institutu EIT (tři případy související se znalostními a inovačními společenstvími uzavřené se zpětně získanými prostředky ve výši 15‑20 milionů EUR), agentury Frontex (osm uzavřených případů v letech 2023‑2024) a agentur ACER a EEA, kde probíhá vyšetřování; apeluje na všechny agentury, aby zajistily plnou spolupráci s úřadem OLAF, posílily vnitřní kontroly a záruky při náboru zaměstnanců a zadávání veřejných zakázek a aby orgánu příslušnému k udělení absolutoria poskytly další informace, jakmile budou zrušena omezení důvěrnosti;</w:t>
            </w:r>
          </w:p>
        </w:tc>
        <w:tc>
          <w:tcPr>
            <w:tcW w:w="4876" w:type="dxa"/>
            <w:tcBorders>
              <w:top w:val="nil"/>
              <w:left w:val="nil"/>
              <w:bottom w:val="nil"/>
              <w:right w:val="nil"/>
            </w:tcBorders>
          </w:tcPr>
          <w:p>
            <w:pPr>
              <w:pStyle w:val="Normal6a"/>
            </w:pPr>
            <w:r>
              <w:t>15.</w:t>
            </w:r>
            <w:r>
              <w:tab/>
            </w:r>
            <w:r>
              <w:t xml:space="preserve">upozorňuje na vyšetřování Evropského úřadu pro boj proti podvodům (OLAF), která se týkají několika agentur: agentury ENISA (dva případy v roce 2024, jeden probíhající, jeden zamítnutý a jeden případ týkající se náboru v roce 2025), agentury eu-LISA (šetření v oblasti střetů zájmů a zadávání veřejných zakázek), institutu EIT (tři případy související se znalostními a inovačními společenstvími uzavřené se zpětně získanými prostředky ve výši 15‑20 milionů EUR), agentury Frontex (osm uzavřených případů v letech 2023‑2024) a agentur ACER a EEA, kde probíhá vyšetřování; apeluje na všechny agentury, aby zajistily plnou spolupráci s úřadem OLAF, posílily vnitřní kontroly a záruky při náboru zaměstnanců a zadávání veřejných zakázek a aby orgánu příslušnému k udělení absolutoria poskytly další informace, jakmile budou zrušena omezení důvěrnosti; </w:t>
            </w:r>
            <w:r>
              <w:rPr>
                <w:b/>
                <w:i/>
              </w:rPr>
              <w:t>zdůrazňuje, že v případě Evropské agentury pro pohraniční a pobřežní stráž (Frontex) musí být při posuzování celkové výkonnosti agentury a podmínek, za nichž jsou přidělovány rozpočtové zdroje, zohledněna opakovaná vyšetřování, která byla v minulosti vedena, a zjištění týkající se dodržování základních práv a nedostatků v oblasti správy a řízení;</w:t>
            </w:r>
            <w:r>
              <w:t xml:space="preserve"> </w:t>
            </w:r>
            <w:r>
              <w:rPr>
                <w:b/>
                <w:i/>
              </w:rPr>
              <w:t>připomíná, že během udělování absolutoria za rok 2023 věnoval orgán příslušný k udělení absolutoria vyčerpávající pozornost vyšetřování úřadu OLAF týkajícímu se agentury EUAA, které vedlo k tomu, že udělení absolutoria bylo nejprve odloženo;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konstatuje, že rovněž probíhají dvě šetření úřadu OLAF týkající se obvinění z obtěžování, pochybení a nuceného navracení migrantů v souvislosti s agenturou Frontex a jedno šetření Evropského parlamentu týkající se obvinění z porušování základních práv v agentuře Frontex;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15d.</w:t>
            </w:r>
            <w:r>
              <w:tab/>
            </w:r>
            <w:r>
              <w:rPr>
                <w:b/>
                <w:i/>
              </w:rPr>
              <w:t>konstatuje, že v letech 2006 až 2018 agentura Frontex koordinovala hlídky u pobřeží severozápadní Afriky s cílem zadržet lodě přepravující migranty a žadatele o azyl v mezinárodních vodách – a se souhlasem Mauritánie a Senegalu i ve vodách těchto zemí – za použití vlastního vybavení, plavidel a letadel a příležitostně prostřednictvím společných operací s mauritánskými a senegalskými jednotkami;</w:t>
            </w:r>
            <w:r>
              <w:t xml:space="preserve"> </w:t>
            </w:r>
            <w:r>
              <w:rPr>
                <w:b/>
                <w:i/>
              </w:rPr>
              <w:t>Evropské centrum pro ústavní a lidská práva (ECCHR), které si od agentury Frontex vyžádalo dokumentaci k této záležitosti, uvedlo, že není jasné, jaké „prověření“ bylo před návraty provedeno; ECCHR zdůraznilo „nedostatečnou odpovědnost a transparentnost“ a poznamenalo, že „Frontex významné části poskytnutých dokumentů, včetně informací o možném porušování lidských práv, upravil“</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https://www.hrw.org/report/2025/08/27/they-accused-me-of-trying-to-go-to-europe/migration-control-abuses-and-eu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15f.</w:t>
            </w:r>
            <w:r>
              <w:tab/>
            </w:r>
            <w:r>
              <w:rPr>
                <w:b/>
                <w:i/>
              </w:rPr>
              <w:t>připomíná, že mandát agentury Frontex byl výrazně rozšířen v roce 2019, kdy byl revidovaným nařízením zvýšen rozsah jejích úkolů a povolen stálý sbor 10 000 příslušníků pohraniční stráže;</w:t>
            </w:r>
            <w:r>
              <w:t xml:space="preserve"> </w:t>
            </w:r>
            <w:r>
              <w:rPr>
                <w:b/>
                <w:i/>
              </w:rPr>
              <w:t>roční rozpočet agentury Frontex prudce vzrostl ze 142 milionů EUR v roce 2015 na 922 milionů EUR v roce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15g.</w:t>
            </w:r>
            <w:r>
              <w:tab/>
            </w:r>
            <w:r>
              <w:rPr>
                <w:b/>
                <w:i/>
              </w:rPr>
              <w:t>konstatuje, že nedostatečná transparentnost je v rozporu s veřejným zájmem na tom, aby byl orgán EU pohnán k odpovědnosti, a omezuje dohled ze strany občanské společnosti;</w:t>
            </w:r>
            <w:r>
              <w:t xml:space="preserve"> </w:t>
            </w:r>
            <w:r>
              <w:rPr>
                <w:b/>
                <w:i/>
              </w:rPr>
              <w:t>konstatuje, že evropští daňoví poplatníci mají právo na informaci, jak agentura Frontex využívá letecké hlídkování, aby umožnila zadržení migrantů libyjskými silami – s plným vědomím jejich svévolného zadržování, násilí a vykořisťování po návratu do Libye – namísto záchrany a vylodění v bezpečném místě</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https://www.hrw.org/news/2024/04/24/eu-misses-opportunity-frontex-transparency-accountability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konstatuje, že neexistence ustanovení o výjimce (tzv. „opt-out“), která umožňují předčasné ukončení nájemních smluv, představuje pro agentury EU i nadále finanční riziko; připomíná, že na význam začlenění těchto ustanovení do nájemních smluv poukázala obtížná situace, v níž se po brexitu ocitla Evropská agentura pro léčivé přípravky (EMA), která nebyla schopna ukončit svůj dlouhodobý pronájem v Londýně a v důsledku toho musela platit nájemné jak v Londýně, tak v Amsterodamu; je si vědom toho, že od roku 2019 zavedlo ustanovení o výjimce několik agentur, </w:t>
            </w:r>
            <w:r>
              <w:rPr>
                <w:b/>
                <w:i/>
              </w:rPr>
              <w:t>konstatuje však</w:t>
            </w:r>
            <w:r>
              <w:t xml:space="preserve">, že ne všechny agentury tak učinily a že došlo i k tomu, že </w:t>
            </w:r>
            <w:r>
              <w:rPr>
                <w:b/>
                <w:i/>
              </w:rPr>
              <w:t>bez těchto ustanovení</w:t>
            </w:r>
            <w:r>
              <w:t xml:space="preserve"> byly podepsány nové nebo obnovené nájemní smlouvy; apeluje na agentury a Komisi, aby při sjednávání nebo obnovování nájemních smluv systematicky </w:t>
            </w:r>
            <w:r>
              <w:rPr>
                <w:b/>
                <w:i/>
              </w:rPr>
              <w:t>posuzovaly potřebu</w:t>
            </w:r>
            <w:r>
              <w:t xml:space="preserve"> ustanovení o výjimce</w:t>
            </w:r>
            <w:r>
              <w:rPr>
                <w:b/>
                <w:i/>
              </w:rPr>
              <w:t>, a to s přihlédnutím k získaným zkušenostem</w:t>
            </w:r>
            <w:r>
              <w:t>, s cílem omezit finanční expozici a zajistit větší rozpočtovou flexibilitu;</w:t>
            </w:r>
          </w:p>
        </w:tc>
        <w:tc>
          <w:tcPr>
            <w:tcW w:w="4876" w:type="dxa"/>
            <w:tcBorders>
              <w:top w:val="nil"/>
              <w:left w:val="nil"/>
              <w:bottom w:val="nil"/>
              <w:right w:val="nil"/>
            </w:tcBorders>
          </w:tcPr>
          <w:p>
            <w:pPr>
              <w:pStyle w:val="Normal6a"/>
            </w:pPr>
            <w:r>
              <w:t>16.</w:t>
            </w:r>
            <w:r>
              <w:tab/>
            </w:r>
            <w:r>
              <w:t xml:space="preserve">konstatuje, že neexistence ustanovení o výjimce (tzv. „opt-out“), která umožňují předčasné ukončení nájemních smluv, představuje pro agentury EU i nadále finanční riziko; připomíná, že na význam začlenění těchto ustanovení do nájemních smluv poukázala obtížná situace, v níž se po brexitu ocitla Evropská agentura pro léčivé přípravky (EMA), která nebyla schopna ukončit svůj dlouhodobý pronájem v Londýně a v důsledku toho musela platit nájemné jak v Londýně, tak v Amsterodamu; je si vědom toho, že od roku 2019 zavedlo ustanovení o výjimce několik agentur, </w:t>
            </w:r>
            <w:r>
              <w:rPr>
                <w:b/>
                <w:i/>
              </w:rPr>
              <w:t>avšak vyjadřuje politování nad tím</w:t>
            </w:r>
            <w:r>
              <w:t xml:space="preserve">, že ne všechny agentury tak učinily a že došlo i k tomu, že byly podepsány nové nebo obnovené nájemní smlouvy; apeluje na agentury a Komisi, aby při sjednávání nebo obnovování nájemních smluv systematicky </w:t>
            </w:r>
            <w:r>
              <w:rPr>
                <w:b/>
                <w:i/>
              </w:rPr>
              <w:t>zaváděly</w:t>
            </w:r>
            <w:r>
              <w:t xml:space="preserve"> ustanovení o výjimce, s cílem omezit finanční expozici a zajistit větší rozpočtovou flexibilitu;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konstatuje</w:t>
            </w:r>
            <w:r>
              <w:t xml:space="preserve">, že neexistence ustanovení o výjimce (tzv. „opt-out“), která umožňují předčasné ukončení nájemních smluv, představuje pro agentury EU i nadále finanční riziko; připomíná, že na význam začlenění těchto ustanovení do nájemních smluv poukázala obtížná situace, v níž se po brexitu ocitla Evropská agentura pro léčivé přípravky (EMA), která nebyla schopna ukončit svůj dlouhodobý pronájem v Londýně a v důsledku toho musela platit nájemné jak v Londýně, tak v Amsterodamu; je si vědom toho, že od roku 2019 zavedlo ustanovení o výjimce několik agentur, konstatuje však, že ne všechny agentury tak učinily a že došlo i k tomu, že bez těchto ustanovení byly podepsány nové nebo obnovené nájemní smlouvy; apeluje na agentury a Komisi, aby při sjednávání nebo obnovování nájemních smluv systematicky </w:t>
            </w:r>
            <w:r>
              <w:rPr>
                <w:b/>
                <w:i/>
              </w:rPr>
              <w:t>posuzovaly potřebu</w:t>
            </w:r>
            <w:r>
              <w:t xml:space="preserve"> ustanovení o výjimce, a to s přihlédnutím k získaným zkušenostem, s cílem omezit finanční expozici a </w:t>
            </w:r>
            <w:r>
              <w:rPr>
                <w:b/>
                <w:i/>
              </w:rPr>
              <w:t>zajistit větší rozpočtovou flexibilitu</w:t>
            </w:r>
            <w:r>
              <w:t>;</w:t>
            </w:r>
          </w:p>
        </w:tc>
        <w:tc>
          <w:tcPr>
            <w:tcW w:w="4876" w:type="dxa"/>
            <w:tcBorders>
              <w:top w:val="nil"/>
              <w:left w:val="nil"/>
              <w:bottom w:val="nil"/>
              <w:right w:val="nil"/>
            </w:tcBorders>
          </w:tcPr>
          <w:p>
            <w:pPr>
              <w:pStyle w:val="Normal6a"/>
            </w:pPr>
            <w:r>
              <w:t>16.</w:t>
            </w:r>
            <w:r>
              <w:tab/>
            </w:r>
            <w:r>
              <w:rPr>
                <w:b/>
                <w:i/>
              </w:rPr>
              <w:t>pokládá za alarmující</w:t>
            </w:r>
            <w:r>
              <w:t xml:space="preserve">, že neexistence ustanovení o výjimce (tzv. „opt-out“), která umožňují předčasné ukončení nájemních smluv, představuje pro agentury EU i nadále finanční riziko; připomíná, že na význam začlenění těchto ustanovení do nájemních smluv poukázala obtížná situace, v níž se po brexitu ocitla Evropská agentura pro léčivé přípravky (EMA), která </w:t>
            </w:r>
            <w:r>
              <w:rPr>
                <w:b/>
                <w:i/>
              </w:rPr>
              <w:t>možná bude nucena zaplatit 543 milionů eur za nájemní smlouvu na své bývalé prostory v Londýně, jež bude platná až do roku 2039, a to i přes to, že prostory pronajala společnosti, jež nedávno vyjednala snížení nájemného;</w:t>
            </w:r>
            <w:r>
              <w:t xml:space="preserve"> </w:t>
            </w:r>
            <w:r>
              <w:rPr>
                <w:b/>
                <w:i/>
              </w:rPr>
              <w:t>z tohoto důvodu vyjadřuje politování nad tím, že na konci roku 2024 agentura EMA vytvořila rezervu na nevýhodnou smlouvu ve výši 122,1 milionu EUR, kterou částečně uhradila Evropská komise, neboť EMA</w:t>
            </w:r>
            <w:r>
              <w:t xml:space="preserve"> nebyla schopna ukončit svůj dlouhodobý pronájem v Londýně a v důsledku toho musela platit nájemné jak v Londýně, tak v Amsterodamu; je si vědom toho, že od roku 2019 zavedlo ustanovení o výjimce několik agentur, konstatuje však, že ne všechny agentury tak učinily a že došlo i k tomu, že bez těchto ustanovení byly podepsány nové nebo obnovené nájemní smlouvy</w:t>
            </w:r>
            <w:r>
              <w:rPr>
                <w:b/>
                <w:i/>
              </w:rPr>
              <w:t>, což ukazuje znepokojivou úroveň amatérismu nebo dokonce lhostejnosti k nakládání s penězi daňových poplatníků členských států EU</w:t>
            </w:r>
            <w:r>
              <w:t xml:space="preserve">; apeluje na agentury a Komisi, aby při sjednávání nebo obnovování nájemních smluv systematicky ustanovení o výjimce </w:t>
            </w:r>
            <w:r>
              <w:rPr>
                <w:b/>
                <w:i/>
              </w:rPr>
              <w:t>vkládaly</w:t>
            </w:r>
            <w:r>
              <w:t xml:space="preserve">, a to s přihlédnutím k získaným zkušenostem, s cílem omezit finanční expozici a </w:t>
            </w:r>
            <w:r>
              <w:rPr>
                <w:b/>
                <w:i/>
              </w:rPr>
              <w:t>přestat plýtvat penězi občanů členských států EU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se znepokojením konstatuje, že celkový rozpočet 33 decentralizovaných agentur vzrostl z 3,6 miliardy EUR v roce 2023 na 4,1 miliardy EUR v roce 2024, což představuje nárůst přibližně o 14 %;</w:t>
            </w:r>
            <w:r>
              <w:t xml:space="preserve"> </w:t>
            </w:r>
            <w:r>
              <w:rPr>
                <w:b/>
                <w:i/>
              </w:rPr>
              <w:t>zdůrazňuje, že celkový trend musí být posuzován s ohledem na fiskální situaci EU;</w:t>
            </w:r>
            <w:r>
              <w:t xml:space="preserve"> </w:t>
            </w:r>
            <w:r>
              <w:rPr>
                <w:b/>
                <w:i/>
              </w:rPr>
              <w:t>vyzývá Komisi, aby předložila komplexní analýzu kumulativních nákladů na rozšíření agentur za posledních pět let, včetně rozdělení na růst založený na mandátu a organickou administrativní expanzi, a aby zajistila, že jakékoli další zvýšení bude důsledně odůvodněno prokazatelnou přidanou hodnotou;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je znepokojen tím, že souhrnný rozpočet agentur se za 10 let více než zdvojnásobil a v roce 2024 dosáhl 5,3 miliardy EUR (ve srovnání se 4,7 miliardy EUR v roce 2023), tj. 4 % souhrnného rozpočtu EU na rok 2024 (ve srovnání se 3 % v roce 2023)</w:t>
            </w:r>
            <w:r>
              <w:rPr>
                <w:b/>
                <w:i/>
                <w:vertAlign w:val="superscript"/>
              </w:rPr>
              <w:t>7 t</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 t</w:t>
            </w:r>
            <w:r>
              <w:t xml:space="preserve"> </w:t>
            </w:r>
            <w:r>
              <w:rPr>
                <w:b/>
                <w:i/>
              </w:rPr>
              <w:t>https://www.eca.europa.eu/ECAPublications/SAR-AGENCIES-2024/SAR-AGENCIES-2024_cs.pdf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zdůrazňuje, že navýšení rozpočtu agentur musí být doplněno odpovídajícím posílením správy, vnitřních kontrol, personální kapacity a plánování absorpce;</w:t>
            </w:r>
            <w:r>
              <w:t xml:space="preserve"> </w:t>
            </w:r>
            <w:r>
              <w:rPr>
                <w:b/>
                <w:i/>
              </w:rPr>
              <w:t>varuje, že trvalý růst rozpočtu bez odpovídající správní a kontrolní kapacity zvyšuje riziko nesrovnalostí, přenosů prostředků a neúčinných výdajů;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poukazuje na to, že rozpočet agentury Frontex se zvýšil ze 118 milionů EUR v roce 2011 na 922 milionů EUR v roce 2024, což představuje nejvýznamnější navýšení rozpočtu mezi agenturami v posledních letech;</w:t>
            </w:r>
            <w:r>
              <w:t xml:space="preserve"> </w:t>
            </w:r>
            <w:r>
              <w:rPr>
                <w:b/>
                <w:i/>
              </w:rPr>
              <w:t>domnívá se, že jakékoli další navýšení rozpočtu agentury Frontex musí být přísně podmíněno prokazatelným zlepšením v oblasti dodržování základních práv, transparentnosti, absorpční kapacity a účinných opatření v návaznosti na doporučení Parlamentu, veřejné ochránkyně práv, úřadu OLAF a úředníka pro otázky základních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konstatuje, že Agentura Evropské unie pro základní práva (FRA) i nadále pracuje s poměrně omezenými rozpočtovými a personálními zdroji, a to navzdory neustále rostoucím očekáváním, že bude podporovat orgány, instituce a jiné subjekty Unie při zajišťování provádění právních předpisů Unie v souladu se základními právy;</w:t>
            </w:r>
            <w:r>
              <w:t xml:space="preserve"> </w:t>
            </w:r>
            <w:r>
              <w:rPr>
                <w:b/>
                <w:i/>
              </w:rPr>
              <w:t>zdůrazňuje, že toto strukturální nedostatečné financování kontrastuje s rozšiřováním mandátů a rozpočtů agentur vykonávajících operační nebo donucovací pravomoci;</w:t>
            </w:r>
            <w:r>
              <w:t xml:space="preserve"> </w:t>
            </w:r>
            <w:r>
              <w:rPr>
                <w:b/>
                <w:i/>
              </w:rPr>
              <w:t>vyzývá Komisi a rozpočtový orgán, aby agentuře FRA poskytly odpovídající, stabilní a předvídatelné zdroje odpovídající její horizontální úloze strážkyně základních práv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bere na vědomí, že navýšený rozpočet agentury EEA na rok 2024 odráží </w:t>
            </w:r>
            <w:r>
              <w:rPr>
                <w:b/>
                <w:i/>
              </w:rPr>
              <w:t>nové zákonné povinnosti a že průběžné provozní potřeby, které vyplývají z nařízení o obnově</w:t>
            </w:r>
            <w:r>
              <w:t xml:space="preserve"> přírody </w:t>
            </w:r>
            <w:r>
              <w:rPr>
                <w:b/>
                <w:i/>
              </w:rPr>
              <w:t>(přijato ke konci roku 2024)</w:t>
            </w:r>
            <w:r>
              <w:t xml:space="preserve">, </w:t>
            </w:r>
            <w:r>
              <w:rPr>
                <w:b/>
                <w:i/>
              </w:rPr>
              <w:t>přepracovaného nařízení o evropském registru úniků a přenosů znečišťujících látek (E-PRTR), certifikace EU pohlcování uhlíku a uhlíkového zemědělství a z rozšířeného</w:t>
            </w:r>
            <w:r>
              <w:t xml:space="preserve"> monitorování emisí </w:t>
            </w:r>
            <w:r>
              <w:rPr>
                <w:b/>
                <w:i/>
              </w:rPr>
              <w:t>z těžkých nákladních vozidel, byly podpořeny náborem nových</w:t>
            </w:r>
            <w:r>
              <w:t xml:space="preserve"> zaměstnanců; dále konstatuje</w:t>
            </w:r>
            <w:r>
              <w:rPr>
                <w:b/>
                <w:i/>
              </w:rPr>
              <w:t>, že agentura plnila také úkoly podle revidovaného nařízení o využívání půdy, změnách ve využívání půdy a lesnictví (2023);</w:t>
            </w:r>
            <w:r>
              <w:t xml:space="preserve"> </w:t>
            </w:r>
            <w:r>
              <w:rPr>
                <w:b/>
                <w:i/>
              </w:rPr>
              <w:t>je si rovněž vědom toho</w:t>
            </w:r>
            <w:r>
              <w:t xml:space="preserve">, že nové dohody o úrovni služeb uzavřené s GŘ MARE, GŘ SANTE a GŘ RTD rozšířily </w:t>
            </w:r>
            <w:r>
              <w:rPr>
                <w:b/>
                <w:i/>
              </w:rPr>
              <w:t>úkoly</w:t>
            </w:r>
            <w:r>
              <w:t xml:space="preserve"> agentury při obnově oceánů a vodních zdrojů, řešení </w:t>
            </w:r>
            <w:r>
              <w:rPr>
                <w:b/>
                <w:i/>
              </w:rPr>
              <w:t>zdravotních</w:t>
            </w:r>
            <w:r>
              <w:t xml:space="preserve"> hrozeb a integraci údajů o životním prostředí, </w:t>
            </w:r>
            <w:r>
              <w:rPr>
                <w:b/>
                <w:i/>
              </w:rPr>
              <w:t>a tak</w:t>
            </w:r>
            <w:r>
              <w:t xml:space="preserve"> posílily </w:t>
            </w:r>
            <w:r>
              <w:rPr>
                <w:b/>
                <w:i/>
              </w:rPr>
              <w:t>podporu politik Unie v oblasti klimatu a biologické rozmanitosti</w:t>
            </w:r>
            <w:r>
              <w:t>;</w:t>
            </w:r>
          </w:p>
        </w:tc>
        <w:tc>
          <w:tcPr>
            <w:tcW w:w="4876" w:type="dxa"/>
            <w:tcBorders>
              <w:top w:val="nil"/>
              <w:left w:val="nil"/>
              <w:bottom w:val="nil"/>
              <w:right w:val="nil"/>
            </w:tcBorders>
          </w:tcPr>
          <w:p>
            <w:pPr>
              <w:pStyle w:val="Normal6a"/>
            </w:pPr>
            <w:r>
              <w:t>19.</w:t>
            </w:r>
            <w:r>
              <w:tab/>
            </w:r>
            <w:r>
              <w:t xml:space="preserve">bere na vědomí, že navýšený rozpočet agentury EEA na rok 2024 odráží </w:t>
            </w:r>
            <w:r>
              <w:rPr>
                <w:b/>
                <w:i/>
              </w:rPr>
              <w:t>rozšíření jejích zákonných a provozních povinností vyplývajících z provádění Zelené dohody pro Evropu, včetně práce týkající se obnovy</w:t>
            </w:r>
            <w:r>
              <w:t xml:space="preserve"> přírody, monitorování emisí</w:t>
            </w:r>
            <w:r>
              <w:rPr>
                <w:b/>
                <w:i/>
              </w:rPr>
              <w:t>, hospodaření s uhlíkem, podávání zpráv o znečišťujících látkách a politik využívání půdy;</w:t>
            </w:r>
            <w:r>
              <w:t xml:space="preserve"> </w:t>
            </w:r>
            <w:r>
              <w:rPr>
                <w:b/>
                <w:i/>
              </w:rPr>
              <w:t>zdůrazňuje, že cílené posílení</w:t>
            </w:r>
            <w:r>
              <w:t xml:space="preserve"> zaměstnanců </w:t>
            </w:r>
            <w:r>
              <w:rPr>
                <w:b/>
                <w:i/>
              </w:rPr>
              <w:t>umožnilo agentuře účinně reagovat na tyto nové úkoly a zvýšit kvalitu, včasnost a vědeckou spolehlivost jejích analýz</w:t>
            </w:r>
            <w:r>
              <w:t xml:space="preserve">; dále konstatuje, že nové dohody o úrovni služeb uzavřené s GŘ MARE, GŘ SANTE a GŘ RTD rozšířily </w:t>
            </w:r>
            <w:r>
              <w:rPr>
                <w:b/>
                <w:i/>
              </w:rPr>
              <w:t>úlohu</w:t>
            </w:r>
            <w:r>
              <w:t xml:space="preserve"> agentury při obnově oceánů a vodních zdrojů, řešení </w:t>
            </w:r>
            <w:r>
              <w:rPr>
                <w:b/>
                <w:i/>
              </w:rPr>
              <w:t>environmentálních</w:t>
            </w:r>
            <w:r>
              <w:t xml:space="preserve"> hrozeb </w:t>
            </w:r>
            <w:r>
              <w:rPr>
                <w:b/>
                <w:i/>
              </w:rPr>
              <w:t>souvisejících se zdravím</w:t>
            </w:r>
            <w:r>
              <w:t xml:space="preserve"> a integraci údajů o životním prostředí, </w:t>
            </w:r>
            <w:r>
              <w:rPr>
                <w:b/>
                <w:i/>
              </w:rPr>
              <w:t>čímž</w:t>
            </w:r>
            <w:r>
              <w:t xml:space="preserve"> posílily </w:t>
            </w:r>
            <w:r>
              <w:rPr>
                <w:b/>
                <w:i/>
              </w:rPr>
              <w:t>celkovou schopnost Unie plnit priority Zelené dohody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bere na vědomí, že </w:t>
            </w:r>
            <w:r>
              <w:rPr>
                <w:b/>
                <w:i/>
              </w:rPr>
              <w:t>navýšený rozpočet</w:t>
            </w:r>
            <w:r>
              <w:t xml:space="preserve"> agentury EEA na rok 2024 odráží nové zákonné povinnosti a že průběžné provozní potřeby, které vyplývají z nařízení o obnově přírody (přijato ke konci roku 2024), přepracovaného nařízení o evropském registru úniků a přenosů znečišťujících látek (E-PRTR), certifikace EU pohlcování uhlíku a uhlíkového zemědělství a z rozšířeného monitorování emisí z těžkých nákladních vozidel, byly podpořeny náborem nových zaměstnanců; dále konstatuje, že agentura plnila také úkoly podle revidovaného nařízení o využívání půdy, změnách ve využívání půdy a lesnictví (2023); je si rovněž vědom toho, že nové dohody o úrovni služeb uzavřené s GŘ MARE, GŘ SANTE a GŘ RTD rozšířily úkoly agentury při obnově oceánů a vodních zdrojů, řešení zdravotních hrozeb a integraci údajů o životním prostředí, </w:t>
            </w:r>
            <w:r>
              <w:rPr>
                <w:b/>
                <w:i/>
              </w:rPr>
              <w:t>a tak posílily podporu politik Unie</w:t>
            </w:r>
            <w:r>
              <w:t xml:space="preserve"> v oblasti </w:t>
            </w:r>
            <w:r>
              <w:rPr>
                <w:b/>
                <w:i/>
              </w:rPr>
              <w:t>klimatu a biologické rozmanitosti</w:t>
            </w:r>
            <w:r>
              <w:t>;</w:t>
            </w:r>
          </w:p>
        </w:tc>
        <w:tc>
          <w:tcPr>
            <w:tcW w:w="4876" w:type="dxa"/>
            <w:tcBorders>
              <w:top w:val="nil"/>
              <w:left w:val="nil"/>
              <w:bottom w:val="nil"/>
              <w:right w:val="nil"/>
            </w:tcBorders>
          </w:tcPr>
          <w:p>
            <w:pPr>
              <w:pStyle w:val="Normal6a"/>
            </w:pPr>
            <w:r>
              <w:t>19.</w:t>
            </w:r>
            <w:r>
              <w:tab/>
            </w:r>
            <w:r>
              <w:t xml:space="preserve">bere na vědomí, že </w:t>
            </w:r>
            <w:r>
              <w:rPr>
                <w:b/>
                <w:i/>
              </w:rPr>
              <w:t>navýšení rozpočtu</w:t>
            </w:r>
            <w:r>
              <w:t xml:space="preserve"> agentury EEA na rok 2024 </w:t>
            </w:r>
            <w:r>
              <w:rPr>
                <w:b/>
                <w:i/>
              </w:rPr>
              <w:t>o 33,56 %</w:t>
            </w:r>
            <w:r>
              <w:t xml:space="preserve"> odráží nové zákonné povinnosti a že průběžné provozní potřeby, které vyplývají z nařízení o obnově přírody (přijato ke konci roku 2024), přepracovaného nařízení o evropském registru úniků a přenosů znečišťujících látek (E-PRTR), certifikace EU pohlcování uhlíku a uhlíkového zemědělství a z rozšířeného monitorování emisí z těžkých nákladních vozidel, byly podpořeny náborem nových zaměstnanců; dále konstatuje, že agentura plnila také úkoly podle revidovaného nařízení o využívání půdy, změnách ve využívání půdy a lesnictví (2023); je si rovněž vědom toho, že nové dohody o úrovni služeb uzavřené s GŘ MARE, GŘ SANTE a GŘ RTD rozšířily úkoly agentury při obnově oceánů a vodních zdrojů, řešení zdravotních hrozeb a integraci údajů o životním prostředí, </w:t>
            </w:r>
            <w:r>
              <w:rPr>
                <w:b/>
                <w:i/>
              </w:rPr>
              <w:t>poskytování údajů a analýz za účelem utváření environmentálních Unie;</w:t>
            </w:r>
            <w:r>
              <w:t xml:space="preserve"> </w:t>
            </w:r>
            <w:r>
              <w:rPr>
                <w:b/>
                <w:i/>
              </w:rPr>
              <w:t>zdůrazňuje, že takto výrazné navýšení rozpočtu vyžaduje přísné odůvodnění nákladů a přínosů;</w:t>
            </w:r>
            <w:r>
              <w:t xml:space="preserve"> </w:t>
            </w:r>
            <w:r>
              <w:rPr>
                <w:b/>
                <w:i/>
              </w:rPr>
              <w:t>trvá na tom, aby rozšířené činnosti agentury EEA</w:t>
            </w:r>
            <w:r>
              <w:t xml:space="preserve"> v oblasti </w:t>
            </w:r>
            <w:r>
              <w:rPr>
                <w:b/>
                <w:i/>
              </w:rPr>
              <w:t>monitorování životního prostředí respektovaly zásadu technologické neutrality a byly založeny na objektivních vědeckých údajích, a nikoli na předem stanovených výsledcích politiky</w:t>
            </w:r>
            <w:r>
              <w:t xml:space="preserve">; </w:t>
            </w:r>
            <w:r>
              <w:rPr>
                <w:b/>
                <w:i/>
              </w:rPr>
              <w:t>zdůrazňuje, že monitorovací rámce by měly zachycovat celou škálu dostupných technologií a přístupů, včetně jejich příslušných nákladů pro podniky, členské státy a daňové poplatníky;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zastává názor, že agentura ENISA se nachází ve svízelném postavení</w:t>
            </w:r>
            <w:r>
              <w:rPr>
                <w:b/>
                <w:i/>
              </w:rPr>
              <w:t>, protože navzdory rostoucím komplexním potřebám</w:t>
            </w:r>
            <w:r>
              <w:t xml:space="preserve"> Unie v oblasti kybernetické bezpečnosti </w:t>
            </w:r>
            <w:r>
              <w:rPr>
                <w:b/>
                <w:i/>
              </w:rPr>
              <w:t>nemá k dispozici přiměřené financování a adekvátní počet</w:t>
            </w:r>
            <w:r>
              <w:t xml:space="preserve"> zaměstnanců; </w:t>
            </w:r>
            <w:r>
              <w:rPr>
                <w:b/>
                <w:i/>
              </w:rPr>
              <w:t>plně souhlasí se závěry</w:t>
            </w:r>
            <w:r>
              <w:t xml:space="preserve"> Rady o agentuře ENISA z prosince 2024, v nichž byla vyzdvižena její zásadní úloha v kybernetickém ekosystému Unie a potřeba přizpůsobit financování a zdroje jejímu rozšířenému mandátu;</w:t>
            </w:r>
          </w:p>
        </w:tc>
        <w:tc>
          <w:tcPr>
            <w:tcW w:w="4876" w:type="dxa"/>
            <w:tcBorders>
              <w:top w:val="nil"/>
              <w:left w:val="nil"/>
              <w:bottom w:val="nil"/>
              <w:right w:val="nil"/>
            </w:tcBorders>
          </w:tcPr>
          <w:p>
            <w:pPr>
              <w:pStyle w:val="Normal6a"/>
            </w:pPr>
            <w:r>
              <w:t>23.</w:t>
            </w:r>
            <w:r>
              <w:tab/>
            </w:r>
            <w:r>
              <w:t xml:space="preserve">zastává názor, že agentura ENISA se nachází ve svízelném postavení </w:t>
            </w:r>
            <w:r>
              <w:rPr>
                <w:b/>
                <w:i/>
              </w:rPr>
              <w:t>z důvodu rostoucích komplexních potřeb</w:t>
            </w:r>
            <w:r>
              <w:t xml:space="preserve"> Unie v oblasti kybernetické bezpečnosti </w:t>
            </w:r>
            <w:r>
              <w:rPr>
                <w:b/>
                <w:i/>
              </w:rPr>
              <w:t>a potřeby přiměřeného počtu</w:t>
            </w:r>
            <w:r>
              <w:t xml:space="preserve"> zaměstnanců; </w:t>
            </w:r>
            <w:r>
              <w:rPr>
                <w:b/>
                <w:i/>
              </w:rPr>
              <w:t>všímá si závěrů</w:t>
            </w:r>
            <w:r>
              <w:t xml:space="preserve"> Rady o agentuře ENISA z prosince 2024, v nichž byla vyzdvižena její zásadní úloha v kybernetickém ekosystému Unie a potřeba přizpůsobit financování a zdroje jejímu rozšířenému mandátu; </w:t>
            </w:r>
            <w:r>
              <w:rPr>
                <w:b/>
                <w:i/>
              </w:rPr>
              <w:t>zdůrazňuje však, že veškeré dodatečné zdroje musí být doprovázeny měřitelnými výkonnostními cíli a pravidelným podáváním zpráv o konkrétních dosažených výsledcích, aby orgán příslušný k udělení absolutoria mohl posoudit efektivnost vynaložených prostředků;</w:t>
            </w:r>
            <w:r>
              <w:t xml:space="preserve"> </w:t>
            </w:r>
            <w:r>
              <w:rPr>
                <w:b/>
                <w:i/>
              </w:rPr>
              <w:t>zdůrazňuje však, že veškeré dodatečné zdroje musí být doprovázeny měřitelnými výkonnostními cíli a pravidelným podáváním zpráv o konkrétních dosažených výsledcích, aby orgán příslušný k udělení absolutoria mohl posoudit efektivnost vynaložených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zastává názor</w:t>
            </w:r>
            <w:r>
              <w:t>, že agentura ENISA se nachází ve svízelném postavení</w:t>
            </w:r>
            <w:r>
              <w:rPr>
                <w:b/>
                <w:i/>
              </w:rPr>
              <w:t>, protože navzdory</w:t>
            </w:r>
            <w:r>
              <w:t xml:space="preserve"> rostoucím komplexním potřebám Unie v oblasti kybernetické bezpečnosti </w:t>
            </w:r>
            <w:r>
              <w:rPr>
                <w:b/>
                <w:i/>
              </w:rPr>
              <w:t>nemá k dispozici přiměřené</w:t>
            </w:r>
            <w:r>
              <w:t xml:space="preserve"> financování a </w:t>
            </w:r>
            <w:r>
              <w:rPr>
                <w:b/>
                <w:i/>
              </w:rPr>
              <w:t>adekvátní počet</w:t>
            </w:r>
            <w:r>
              <w:t xml:space="preserve"> zaměstnanců; plně souhlasí se závěry Rady o agentuře ENISA z prosince 2024, v nichž byla vyzdvižena její zásadní úloha v kybernetickém ekosystému Unie a potřeba přizpůsobit financování a zdroje jejímu rozšířenému mandátu;</w:t>
            </w:r>
          </w:p>
        </w:tc>
        <w:tc>
          <w:tcPr>
            <w:tcW w:w="4876" w:type="dxa"/>
            <w:tcBorders>
              <w:top w:val="nil"/>
              <w:left w:val="nil"/>
              <w:bottom w:val="nil"/>
              <w:right w:val="nil"/>
            </w:tcBorders>
          </w:tcPr>
          <w:p>
            <w:pPr>
              <w:pStyle w:val="Normal6a"/>
            </w:pPr>
            <w:r>
              <w:t>23.</w:t>
            </w:r>
            <w:r>
              <w:tab/>
            </w:r>
            <w:r>
              <w:rPr>
                <w:b/>
                <w:i/>
              </w:rPr>
              <w:t>vyjadřuje vážné znepokojení nad tím</w:t>
            </w:r>
            <w:r>
              <w:t xml:space="preserve">, že agentura ENISA se nachází ve svízelném postavení </w:t>
            </w:r>
            <w:r>
              <w:rPr>
                <w:b/>
                <w:i/>
              </w:rPr>
              <w:t>kvůli</w:t>
            </w:r>
            <w:r>
              <w:t xml:space="preserve"> rostoucím komplexním potřebám Unie v oblasti kybernetické bezpečnosti</w:t>
            </w:r>
            <w:r>
              <w:rPr>
                <w:b/>
                <w:i/>
              </w:rPr>
              <w:t>, neustálé eskalaci kybernetických hrozeb a nedostatku přiměřeného</w:t>
            </w:r>
            <w:r>
              <w:t xml:space="preserve"> financování a </w:t>
            </w:r>
            <w:r>
              <w:rPr>
                <w:b/>
                <w:i/>
              </w:rPr>
              <w:t>adekvátního počtu</w:t>
            </w:r>
            <w:r>
              <w:t xml:space="preserve"> zaměstnanců; plně souhlasí se závěry Rady o agentuře ENISA z prosince 2024, v nichž byla vyzdvižena její zásadní úloha v kybernetickém ekosystému Unie a potřeba přizpůsobit financování a zdroje jejímu rozšířenému mandátu;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všímá si postupného rozšiřování mandátu Europolu, mimo jiné nedávno přijatých a navržených opatření, která mu udělují větší pravomoci k potírání závažné a organizované trestné činnosti, jako je pašování migrantů, obchod s lidmi, počítačová trestná činnost a terorismus; připomíná, že to obnáší mimo jiné intenzivnější spolupráci se soukromými subjekty formou přímé výměny informací, posílení schopností pro rozsáhlé analýzy dat a modernizovanou operační pomoc členským státům poskytovanou specializovanými podpůrnými týmy; zdůrazňuje, že má-li Europol tyto dodatečné úkoly plnit účinně, je nutné odpovídajícím způsobem zvýšit jeho lidské zdroje; konstatuje </w:t>
            </w:r>
            <w:r>
              <w:rPr>
                <w:b/>
                <w:i/>
              </w:rPr>
              <w:t>však</w:t>
            </w:r>
            <w:r>
              <w:t>, že rozpočet Europolu byl v roce 20204 zvýšen pouze o 5,78 % v porovnání s rokem 2023</w:t>
            </w:r>
            <w:r>
              <w:rPr>
                <w:b/>
                <w:i/>
              </w:rPr>
              <w:t>;</w:t>
            </w:r>
            <w:r>
              <w:t xml:space="preserve"> </w:t>
            </w:r>
            <w:r>
              <w:rPr>
                <w:b/>
                <w:i/>
              </w:rPr>
              <w:t>důrazně</w:t>
            </w:r>
            <w:r>
              <w:t xml:space="preserve"> proto žádá, aby </w:t>
            </w:r>
            <w:r>
              <w:rPr>
                <w:b/>
                <w:i/>
              </w:rPr>
              <w:t>byl rozpočet</w:t>
            </w:r>
            <w:r>
              <w:t xml:space="preserve"> Europolu </w:t>
            </w:r>
            <w:r>
              <w:rPr>
                <w:b/>
                <w:i/>
              </w:rPr>
              <w:t>ještě více zvýšen, aby byl vyřešen dlouhodobý nedostatek zaměstnanců a aby jeho finanční zdroje odpovídaly jeho rostoucím úkolům</w:t>
            </w:r>
            <w:r>
              <w:t>;</w:t>
            </w:r>
          </w:p>
        </w:tc>
        <w:tc>
          <w:tcPr>
            <w:tcW w:w="4876" w:type="dxa"/>
            <w:tcBorders>
              <w:top w:val="nil"/>
              <w:left w:val="nil"/>
              <w:bottom w:val="nil"/>
              <w:right w:val="nil"/>
            </w:tcBorders>
          </w:tcPr>
          <w:p>
            <w:pPr>
              <w:pStyle w:val="Normal6a"/>
            </w:pPr>
            <w:r>
              <w:t>25.</w:t>
            </w:r>
            <w:r>
              <w:tab/>
            </w:r>
            <w:r>
              <w:t xml:space="preserve">všímá si postupného rozšiřování mandátu Europolu, mimo jiné nedávno přijatých a navržených opatření, která mu udělují větší pravomoci k potírání závažné a organizované trestné činnosti, jako je pašování migrantů, obchod s lidmi, počítačová trestná činnost a terorismus; připomíná, že to obnáší mimo jiné intenzivnější spolupráci se soukromými subjekty formou přímé výměny informací, posílení schopností pro rozsáhlé analýzy dat a modernizovanou operační pomoc členským státům poskytovanou specializovanými podpůrnými týmy; zdůrazňuje, že </w:t>
            </w:r>
            <w:r>
              <w:rPr>
                <w:b/>
                <w:i/>
              </w:rPr>
              <w:t>takové rozšíření operativních a analytických pravomocí s sebou nese značné výzvy, pokud jde o demokratickou odpovědnost, ochranu údajů, dodržování základních práv a účinný dohled;</w:t>
            </w:r>
            <w:r>
              <w:t xml:space="preserve"> </w:t>
            </w:r>
            <w:r>
              <w:rPr>
                <w:b/>
                <w:i/>
              </w:rPr>
              <w:t>zdůrazňuje, že</w:t>
            </w:r>
            <w:r>
              <w:t xml:space="preserve"> má-li Europol tyto dodatečné úkoly plnit účinně, je nutné odpovídajícím způsobem zvýšit jeho lidské zdroje </w:t>
            </w:r>
            <w:r>
              <w:rPr>
                <w:b/>
                <w:i/>
              </w:rPr>
              <w:t>a je nutné rovněž vytvořit spolehlivé vnitřní záruky, dostatečnou kapacitu pro dodržování předpisů a posílené mechanismy dohledu</w:t>
            </w:r>
            <w:r>
              <w:t xml:space="preserve">; </w:t>
            </w:r>
            <w:r>
              <w:rPr>
                <w:b/>
                <w:i/>
              </w:rPr>
              <w:t>v této souvislosti</w:t>
            </w:r>
            <w:r>
              <w:t xml:space="preserve"> konstatuje, že rozpočet Europolu byl v roce 20204 zvýšen pouze o 5,78 % v porovnání s rokem 2023</w:t>
            </w:r>
            <w:r>
              <w:rPr>
                <w:b/>
                <w:i/>
              </w:rPr>
              <w:t>, což nestačí k řešení dlouhodobého nedostatku zaměstnanců, zejména v oblastech souvisejících s dodržováním předpisů, ochranou údajů a dohledem;</w:t>
            </w:r>
            <w:r>
              <w:t xml:space="preserve"> </w:t>
            </w:r>
            <w:r>
              <w:rPr>
                <w:b/>
                <w:i/>
              </w:rPr>
              <w:t>naléhavě</w:t>
            </w:r>
            <w:r>
              <w:t xml:space="preserve"> proto žádá, aby </w:t>
            </w:r>
            <w:r>
              <w:rPr>
                <w:b/>
                <w:i/>
              </w:rPr>
              <w:t>jakékoli další posílení rozpočtu</w:t>
            </w:r>
            <w:r>
              <w:t xml:space="preserve"> Europolu </w:t>
            </w:r>
            <w:r>
              <w:rPr>
                <w:b/>
                <w:i/>
              </w:rPr>
              <w:t>bylo podmíněno prokazatelným zlepšením správy, odpovědnosti a dodržování základních práv v souladu s dlouhodobými obavami Parlamentu vyjádřenými v předchozích postupech udělování absolutoria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všímá si postupného rozšiřování mandátu Europolu, mimo jiné nedávno přijatých a navržených opatření, která mu udělují větší pravomoci k potírání závažné a organizované trestné činnosti, jako je pašování migrantů, obchod s lidmi, počítačová trestná činnost a terorismus; připomíná, že to obnáší mimo jiné intenzivnější spolupráci se soukromými subjekty formou přímé výměny informací, posílení schopností pro rozsáhlé analýzy dat a modernizovanou operační pomoc členským státům poskytovanou specializovanými podpůrnými týmy; zdůrazňuje, že má-li Europol tyto dodatečné úkoly plnit účinně, je nutné odpovídajícím způsobem zvýšit jeho lidské zdroje; konstatuje však, že rozpočet Europolu byl v roce 20204 zvýšen pouze o 5,78 % v porovnání s rokem 2023; důrazně proto žádá, aby byl rozpočet Europolu ještě více zvýšen, aby byl vyřešen dlouhodobý nedostatek zaměstnanců a aby jeho finanční zdroje odpovídaly jeho rostoucím úkolům;</w:t>
            </w:r>
          </w:p>
        </w:tc>
        <w:tc>
          <w:tcPr>
            <w:tcW w:w="4876" w:type="dxa"/>
            <w:tcBorders>
              <w:top w:val="nil"/>
              <w:left w:val="nil"/>
              <w:bottom w:val="nil"/>
              <w:right w:val="nil"/>
            </w:tcBorders>
          </w:tcPr>
          <w:p>
            <w:pPr>
              <w:pStyle w:val="Normal6a"/>
            </w:pPr>
            <w:r>
              <w:t>25.</w:t>
            </w:r>
            <w:r>
              <w:tab/>
            </w:r>
            <w:r>
              <w:t xml:space="preserve">všímá si postupného rozšiřování mandátu Europolu, mimo jiné nedávno přijatých a navržených opatření, která mu udělují větší pravomoci k potírání závažné a organizované trestné činnosti, jako je pašování migrantů, obchod s lidmi, počítačová trestná činnost a terorismus; připomíná, že to obnáší mimo jiné intenzivnější spolupráci se soukromými subjekty formou přímé výměny informací, posílení schopností pro rozsáhlé analýzy dat a modernizovanou operační pomoc členským státům poskytovanou specializovanými podpůrnými týmy; zdůrazňuje, že má-li Europol tyto dodatečné úkoly plnit účinně, je nutné odpovídajícím způsobem zvýšit jeho lidské zdroje; konstatuje však, že rozpočet Europolu byl v roce 20204 zvýšen pouze o 5,78 % v porovnání s rokem 2023; důrazně proto žádá, aby byl rozpočet Europolu ještě více zvýšen, aby byl vyřešen dlouhodobý nedostatek zaměstnanců a aby jeho finanční zdroje odpovídaly jeho rostoucím úkolům; </w:t>
            </w:r>
            <w:r>
              <w:rPr>
                <w:b/>
                <w:i/>
              </w:rPr>
              <w:t>zdůrazňuje, že úloha Europolu v boji proti převaděčství migrantů, přeshraniční organizované trestné činnosti a terorismu má nejvyšší prioritu a že odpovídající zdroje pro tyto hlavní úkoly by měly mít přednost před méně naléhavými výdaji v jiných oblastech činnosti agentur;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zdůrazňuje, že Evropská agentura pro pohraniční a pobřežní stráž (Frontex) musí soustředit své zdroje na své hlavní operativní úkoly, konkrétně na ostrahu hranic schengenského prostoru, boj proti přeshraniční trestné činnosti a podporu účinných návratových operací, které jsou nezbytné pro zachování důvěryhodného rámce Unie pro řízení migrace;</w:t>
            </w:r>
            <w:r>
              <w:t xml:space="preserve"> </w:t>
            </w:r>
            <w:r>
              <w:rPr>
                <w:b/>
                <w:i/>
              </w:rPr>
              <w:t>vyzývá k tomu, aby byl i nadále upřednostňován nábor pracovníků v první linii na vnějších hranicích Unie a aby byla odpovídajícím způsobem zefektivněna administrativní pracovní místa;</w:t>
            </w:r>
            <w:r>
              <w:t xml:space="preserve"> </w:t>
            </w:r>
            <w:r>
              <w:rPr>
                <w:b/>
                <w:i/>
              </w:rPr>
              <w:t>konstatuje, že celková míra navracení v Unii je vzhledem k rozsahu nelegálních migračních toků i nadále nedostatečná;</w:t>
            </w:r>
            <w:r>
              <w:t xml:space="preserve"> </w:t>
            </w:r>
            <w:r>
              <w:rPr>
                <w:b/>
                <w:i/>
              </w:rPr>
              <w:t>naléhavě vyzývá agenturu Frontex, aby dále posílila své návratové operace a zintenzivnila spolupráci s členskými státy a třetími zeměmi s cílem zlepšit účinnost návratových programů;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bere na vědomí pokračující úsilí agentury Frontex o posílení úlohy a kapacity svého úředníka pro otázky základních práv;</w:t>
            </w:r>
            <w:r>
              <w:t xml:space="preserve"> </w:t>
            </w:r>
            <w:r>
              <w:rPr>
                <w:b/>
                <w:i/>
              </w:rPr>
              <w:t>zdůrazňuje, že činnost úředníka pro otázky základních práv by měla doplňovat a podporovat účinné provádění operativního mandátu agentury Frontex, jak je definován v jejím zřizovacím nařízení, a nikoli mu bránit, přičemž konkrétně tento mandát spočívá v pomoci členským státům při ochraně vnějších hranic, podpoře navracení nelegálních migrantů a zabezpečení schengenského prostoru;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konstatuje, že je nutné posílit personál</w:t>
            </w:r>
            <w:r>
              <w:t xml:space="preserve"> Eurojustu vzhledem k plánovanému rozšíření jeho mandátu na třetí země, zejména po </w:t>
            </w:r>
            <w:r>
              <w:rPr>
                <w:b/>
                <w:i/>
              </w:rPr>
              <w:t>invazi na Ukrajinu</w:t>
            </w:r>
            <w:r>
              <w:t xml:space="preserve"> v roce 2022, tak aby mohl shromažďovat, uchovávat a analyzovat důkazy o nejzávažnějších mezinárodních zločinech (válečných zločinech, genocidě a zločinech proti lidskosti), sdílet je s vnitrostátními a mezinárodními orgány včetně Mezinárodního trestního soudu a pro tyto účely vytvořit speciální Databázi důkazů o nejzávažnějších mezinárodních zločinech, takže by vyšetřování pouze nepodporoval, ale aktivně by zajišťoval potřebné důkazy pro budoucí vyšetřování; </w:t>
            </w:r>
            <w:r>
              <w:rPr>
                <w:b/>
                <w:i/>
              </w:rPr>
              <w:t>současně konstatuje, že rozpočet na rok 2024 doznal pouze skromného navýšení oproti rozpočtu na rok 2023, a</w:t>
            </w:r>
            <w:r>
              <w:t xml:space="preserve"> apeluje </w:t>
            </w:r>
            <w:r>
              <w:rPr>
                <w:b/>
                <w:i/>
              </w:rPr>
              <w:t>na to</w:t>
            </w:r>
            <w:r>
              <w:t>, aby byly vzhledem k očekávanému budoucímu mandátu přiměřeně zvýšeny finanční prostředky na zaměstnance i celkový rozpočet;</w:t>
            </w:r>
          </w:p>
        </w:tc>
        <w:tc>
          <w:tcPr>
            <w:tcW w:w="4876" w:type="dxa"/>
            <w:tcBorders>
              <w:top w:val="nil"/>
              <w:left w:val="nil"/>
              <w:bottom w:val="nil"/>
              <w:right w:val="nil"/>
            </w:tcBorders>
          </w:tcPr>
          <w:p>
            <w:pPr>
              <w:pStyle w:val="Normal6a"/>
            </w:pPr>
            <w:r>
              <w:t>26.</w:t>
            </w:r>
            <w:r>
              <w:tab/>
            </w:r>
            <w:r>
              <w:rPr>
                <w:b/>
                <w:i/>
              </w:rPr>
              <w:t>vyzývá ke zvýšení počtu zaměstnanců</w:t>
            </w:r>
            <w:r>
              <w:t xml:space="preserve"> Eurojustu vzhledem k plánovanému rozšíření jeho mandátu na třetí země, zejména po </w:t>
            </w:r>
            <w:r>
              <w:rPr>
                <w:b/>
                <w:i/>
              </w:rPr>
              <w:t>ruské agresi vůči Ukrajině</w:t>
            </w:r>
            <w:r>
              <w:t xml:space="preserve"> v roce 2022, tak aby mohl shromažďovat, uchovávat a analyzovat důkazy o nejzávažnějších mezinárodních zločinech (válečných zločinech, genocidě a zločinech proti lidskosti), sdílet je s vnitrostátními a mezinárodními orgány včetně Mezinárodního trestního soudu a pro tyto účely vytvořit speciální Databázi důkazů o nejzávažnějších mezinárodních zločinech, takže by vyšetřování pouze nepodporoval, ale aktivně by zajišťoval potřebné důkazy pro budoucí vyšetřování; apeluje, aby byly vzhledem k očekávanému budoucímu mandátu přiměřeně zvýšeny finanční prostředky na zaměstnance i celkový rozpočet;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připomíná, že již v </w:t>
            </w:r>
            <w:r>
              <w:rPr>
                <w:b/>
                <w:i/>
              </w:rPr>
              <w:t>usneseních</w:t>
            </w:r>
            <w:r>
              <w:t xml:space="preserve"> o udělení absolutoria za rok 2023 </w:t>
            </w:r>
            <w:r>
              <w:rPr>
                <w:b/>
                <w:i/>
              </w:rPr>
              <w:t>konstatoval, že je důležité posílit schopnost</w:t>
            </w:r>
            <w:r>
              <w:t xml:space="preserve"> evropských orgánů dohledu (EBA, EIOPA a ESMA) </w:t>
            </w:r>
            <w:r>
              <w:rPr>
                <w:b/>
                <w:i/>
              </w:rPr>
              <w:t>určit a zvlášť účtovat náklady na aktivity, které jsou financované z různých zdrojů příjmů;</w:t>
            </w:r>
            <w:r>
              <w:t xml:space="preserve"> </w:t>
            </w:r>
            <w:r>
              <w:rPr>
                <w:b/>
                <w:i/>
              </w:rPr>
              <w:t>je si vědom toho, že příslušná zřizovací nařízení</w:t>
            </w:r>
            <w:r>
              <w:t xml:space="preserve"> jim neukládají, aby rozlišovaly činnosti financované z příspěvků Unie a činnosti financované z vnitrostátních příspěvků</w:t>
            </w:r>
            <w:r>
              <w:rPr>
                <w:b/>
                <w:i/>
              </w:rPr>
              <w:t>, a vzhledem k tomu, že když v těchto nařízení nejsou jasně vymezeny náklady pokryté z rozpočtu Unie a náklady financované členskými státy, orgány dohledu je nerozlišují, jak na to upozornil Účetní dvůr ve výroční zprávě v roce 2023</w:t>
            </w:r>
            <w:r>
              <w:t>;</w:t>
            </w:r>
          </w:p>
        </w:tc>
        <w:tc>
          <w:tcPr>
            <w:tcW w:w="4876" w:type="dxa"/>
            <w:tcBorders>
              <w:top w:val="nil"/>
              <w:left w:val="nil"/>
              <w:bottom w:val="nil"/>
              <w:right w:val="nil"/>
            </w:tcBorders>
          </w:tcPr>
          <w:p>
            <w:pPr>
              <w:pStyle w:val="Normal6a"/>
            </w:pPr>
            <w:r>
              <w:t>30.</w:t>
            </w:r>
            <w:r>
              <w:tab/>
            </w:r>
            <w:r>
              <w:t xml:space="preserve">připomíná, že již v </w:t>
            </w:r>
            <w:r>
              <w:rPr>
                <w:b/>
                <w:i/>
              </w:rPr>
              <w:t>usnesení</w:t>
            </w:r>
            <w:r>
              <w:t xml:space="preserve"> o udělení absolutoria za rok 2023 </w:t>
            </w:r>
            <w:r>
              <w:rPr>
                <w:b/>
                <w:i/>
              </w:rPr>
              <w:t>již bylo uvedeno, že zakládající nařízení</w:t>
            </w:r>
            <w:r>
              <w:t xml:space="preserve"> evropských orgánů dohledu (EBA, EIOPA a ESMA) jim neukládají, aby rozlišovaly činnosti financované z příspěvků Unie a činnosti financované z vnitrostátních příspěvků</w:t>
            </w:r>
            <w:r>
              <w:rPr>
                <w:b/>
                <w:i/>
              </w:rPr>
              <w:t>;</w:t>
            </w:r>
            <w:r>
              <w:t xml:space="preserve"> </w:t>
            </w:r>
            <w:r>
              <w:rPr>
                <w:b/>
                <w:i/>
              </w:rPr>
              <w:t>konstatuje, že v praxi celkový mechanismus sdílení nákladů nevyžaduje rozlišování mezi těmito dvěma zdroji financování na úrovni jednotlivých činností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domnívá se, že </w:t>
            </w:r>
            <w:r>
              <w:rPr>
                <w:b/>
                <w:i/>
              </w:rPr>
              <w:t>zavedení odděleného účetnictví nákladů na činnosti agentury ESA by posílilo transparentnost, odpovědnost a rozhodovací procesy a zúčastněným stranám, včetně členských států, finančních institucí a daňových poplatníků, by umožnilo lépe posuzovat účinnost a poctivost</w:t>
            </w:r>
            <w:r>
              <w:t xml:space="preserve">; zdůrazňuje, že </w:t>
            </w:r>
            <w:r>
              <w:rPr>
                <w:b/>
                <w:i/>
              </w:rPr>
              <w:t>absence odděleného účetnictví omezuje dohled, a trvá na tom, že náklady a příjmy agentury ESA musí být jasně identifikovány, zúčtovány a uvedeny v ročních účetních závěrkách a programových dokumentech</w:t>
            </w:r>
            <w:r>
              <w:t>;</w:t>
            </w:r>
          </w:p>
        </w:tc>
        <w:tc>
          <w:tcPr>
            <w:tcW w:w="4876" w:type="dxa"/>
            <w:tcBorders>
              <w:top w:val="nil"/>
              <w:left w:val="nil"/>
              <w:bottom w:val="nil"/>
              <w:right w:val="nil"/>
            </w:tcBorders>
          </w:tcPr>
          <w:p>
            <w:pPr>
              <w:pStyle w:val="Normal6a"/>
            </w:pPr>
            <w:r>
              <w:t>31.</w:t>
            </w:r>
            <w:r>
              <w:tab/>
            </w:r>
            <w:r>
              <w:t xml:space="preserve">domnívá se, že </w:t>
            </w:r>
            <w:r>
              <w:rPr>
                <w:b/>
                <w:i/>
              </w:rPr>
              <w:t>v této souvislosti by zvýšení transparentnosti při sestavování rozpočtu a podávání zpráv podle činností přispělo k lepšímu dohledu a odpovědnosti, zejména u agentur financovaných z více zdrojů příjmů</w:t>
            </w:r>
            <w:r>
              <w:t xml:space="preserve">; zdůrazňuje, že </w:t>
            </w:r>
            <w:r>
              <w:rPr>
                <w:b/>
                <w:i/>
              </w:rPr>
              <w:t>jasnost, pokud jde o vazbu mezi zdroji příjmů a činnostmi, posiluje důvěru v řádné využívání finančních prostředků Unie při současném dodržování právního rámce stanoveného v zakládajících nařízeních agentur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je znepokojen záporným hospodářským výsledkem CdT ve výši 5,7 milionu EUR a pokračujícím poklesem provozních příjmů, což bylo způsobeno hlavně snížením počtu fakturovaných stránek o 11,4 % v roce 2024 a o 17,6 % v roce 2023; konstatuje, že rezerva pro cenovou stabilitu, která byla vytvořena v roce 2011 s cílem vyrovnat výkyvy v objemu zakázek zadávaných klienty a pomoci středisku zajistit rozpočtovou a cenovou stabilitu, dosáhla vrcholu v roce 2024, kdy v ní bylo 15,6 milionu EUR, a že v roce 2024 v ní prostředky klesly na 8,9 milionu EUR (tj. od roku 2019 se snížily o 42,9 %); je si vědom toho, že jakmile bude rezerva zcela vyčerpána, veškeré další schodky budou muset být pokryty dotacemi z rozpočtu Unie, jak je stanoveno v zakládajícím nařízení CdT; bere na vědomí odpověď CdT na udělení absolutoria za rok 2023 a vyzývá správní radu, aby orgánu příslušnému k udělení absolutoria i nadále podávala zprávy o svých dalších plánech vzhledem k setrvalému poklesu příjmů; vybízí CdT, aby s ohledem na rozmach nových bezplatných technologií pro překlady, </w:t>
            </w:r>
            <w:r>
              <w:rPr>
                <w:b/>
                <w:i/>
              </w:rPr>
              <w:t>které by mohly mít vliv na počet žádostí o překlad, určilo nové služby</w:t>
            </w:r>
            <w:r>
              <w:t xml:space="preserve">, které </w:t>
            </w:r>
            <w:r>
              <w:rPr>
                <w:b/>
                <w:i/>
              </w:rPr>
              <w:t>by mohlo poskytovat, a nové zdroje příjmů</w:t>
            </w:r>
            <w:r>
              <w:t>;</w:t>
            </w:r>
          </w:p>
        </w:tc>
        <w:tc>
          <w:tcPr>
            <w:tcW w:w="4876" w:type="dxa"/>
            <w:tcBorders>
              <w:top w:val="nil"/>
              <w:left w:val="nil"/>
              <w:bottom w:val="nil"/>
              <w:right w:val="nil"/>
            </w:tcBorders>
          </w:tcPr>
          <w:p>
            <w:pPr>
              <w:pStyle w:val="Normal6a"/>
            </w:pPr>
            <w:r>
              <w:t>33.</w:t>
            </w:r>
            <w:r>
              <w:tab/>
            </w:r>
            <w:r>
              <w:t xml:space="preserve">je znepokojen záporným hospodářským výsledkem CdT ve výši 5,7 milionu EUR a pokračujícím poklesem provozních příjmů, což bylo způsobeno hlavně snížením počtu fakturovaných stránek o 11,4 % v roce 2024 a o 17,6 % v roce 2023; konstatuje, že rezerva pro cenovou stabilitu, která byla vytvořena v roce 2011 s cílem vyrovnat výkyvy v objemu zakázek zadávaných klienty a pomoci středisku zajistit rozpočtovou a cenovou stabilitu, dosáhla vrcholu v roce 2024, kdy v ní bylo 15,6 milionu EUR, a že v roce 2024 v ní prostředky klesly na 8,9 milionu EUR (tj. od roku 2019 se snížily o 42,9 %); je si vědom toho, že jakmile bude rezerva zcela vyčerpána, veškeré další schodky budou muset být pokryty dotacemi z rozpočtu Unie, jak je stanoveno v zakládajícím nařízení CdT; bere na vědomí odpověď CdT na udělení absolutoria za rok 2023 a vyzývá správní radu, aby orgánu příslušnému k udělení absolutoria i nadále podávala zprávy o svých dalších plánech vzhledem k setrvalému poklesu příjmů; vybízí CdT, aby </w:t>
            </w:r>
            <w:r>
              <w:rPr>
                <w:b/>
                <w:i/>
              </w:rPr>
              <w:t>přehodnotilo priority pro tento rok a zvážilo odpovídající přesun svých pracovní postů, a to</w:t>
            </w:r>
            <w:r>
              <w:t xml:space="preserve"> s ohledem na rozmach nových bezplatných technologií pro překlady, </w:t>
            </w:r>
            <w:r>
              <w:rPr>
                <w:b/>
                <w:i/>
              </w:rPr>
              <w:t>který vysvětluje stabilní a trvalý pokles jeho provozu, přičemž cílem je snížit rozpočtové prostředky přidělené orgány</w:t>
            </w:r>
            <w:r>
              <w:t xml:space="preserve">, které </w:t>
            </w:r>
            <w:r>
              <w:rPr>
                <w:b/>
                <w:i/>
              </w:rPr>
              <w:t xml:space="preserve">jeho služeb využívají; </w:t>
            </w:r>
            <w:r>
              <w:t xml:space="preserve"> </w:t>
            </w:r>
            <w:r>
              <w:rPr>
                <w:b/>
                <w:i/>
              </w:rPr>
              <w:t>vyzývá, aby byla zvážena možnost ukončení mandátu této agentury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je pevně přesvědčen o tom</w:t>
            </w:r>
            <w:r>
              <w:t xml:space="preserve">, že ačkoli finanční nařízení nestanoví stropy pro </w:t>
            </w:r>
            <w:r>
              <w:rPr>
                <w:b/>
                <w:i/>
              </w:rPr>
              <w:t>přenos prostředků, jeho časté používání</w:t>
            </w:r>
            <w:r>
              <w:t xml:space="preserve"> a nadměrný objem přenášených prostředků </w:t>
            </w:r>
            <w:r>
              <w:rPr>
                <w:b/>
                <w:i/>
              </w:rPr>
              <w:t>oslabují</w:t>
            </w:r>
            <w:r>
              <w:t xml:space="preserve"> zásadu ročního rozpočtu a </w:t>
            </w:r>
            <w:r>
              <w:rPr>
                <w:b/>
                <w:i/>
              </w:rPr>
              <w:t>mohou poukazovat na strukturální problémy</w:t>
            </w:r>
            <w:r>
              <w:t xml:space="preserve"> v rozpočtovém procesu a cyklu plnění rozpočtu;</w:t>
            </w:r>
          </w:p>
        </w:tc>
        <w:tc>
          <w:tcPr>
            <w:tcW w:w="4876" w:type="dxa"/>
            <w:tcBorders>
              <w:top w:val="nil"/>
              <w:left w:val="nil"/>
              <w:bottom w:val="nil"/>
              <w:right w:val="nil"/>
            </w:tcBorders>
          </w:tcPr>
          <w:p>
            <w:pPr>
              <w:pStyle w:val="Normal6a"/>
            </w:pPr>
            <w:r>
              <w:t>34.</w:t>
            </w:r>
            <w:r>
              <w:tab/>
            </w:r>
            <w:r>
              <w:rPr>
                <w:b/>
                <w:i/>
              </w:rPr>
              <w:t>zdůrazňuje</w:t>
            </w:r>
            <w:r>
              <w:t xml:space="preserve">, že ačkoli finanční nařízení nestanoví stropy pro </w:t>
            </w:r>
            <w:r>
              <w:rPr>
                <w:b/>
                <w:i/>
              </w:rPr>
              <w:t>přenesené prostředky, častý výskyt</w:t>
            </w:r>
            <w:r>
              <w:t xml:space="preserve"> a nadměrný objem přenášených prostředků </w:t>
            </w:r>
            <w:r>
              <w:rPr>
                <w:b/>
                <w:i/>
              </w:rPr>
              <w:t>oslabuje</w:t>
            </w:r>
            <w:r>
              <w:t xml:space="preserve"> zásadu ročního rozpočtu a </w:t>
            </w:r>
            <w:r>
              <w:rPr>
                <w:b/>
                <w:i/>
              </w:rPr>
              <w:t>svědčí o strukturálních problémech</w:t>
            </w:r>
            <w:r>
              <w:t xml:space="preserve"> v rozpočtovém procesu a cyklu plnění rozpočtu; </w:t>
            </w:r>
            <w:r>
              <w:rPr>
                <w:b/>
                <w:i/>
              </w:rPr>
              <w:t>vyzývá Komisi, aby od agentur s opakovanými přenosy prostředků přesahujícími 15 % vyžadovala, aby do šesti měsíců předložily plány nápravných opatření, včetně posouzení toho, zda jsou požadované rozpočtové prostředky v souladu se skutečnou prováděcí kapacitou;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konstatuje, že v roce 2024 vykázalo 11 agentur (ACER, ECDC, EFCA, EIGE, ELA, EMA, ENISA, ESA, eu-LISA, EU-OSHA, Eurofound, EUSPA, FRA a Frontex) vysoké úrovně přenosu prostředků, které ve všech rozpočtových hlavách dohromady překročily 15 %, a že v nich bylo možné vysledovat opakující se vzorec; konstatuje, že úroveň přenosu prostředků činila v případě agentury Frontex více než 40 % a v případě agentury ESA 30 %;</w:t>
            </w:r>
          </w:p>
        </w:tc>
        <w:tc>
          <w:tcPr>
            <w:tcW w:w="4876" w:type="dxa"/>
            <w:tcBorders>
              <w:top w:val="nil"/>
              <w:left w:val="nil"/>
              <w:bottom w:val="nil"/>
              <w:right w:val="nil"/>
            </w:tcBorders>
          </w:tcPr>
          <w:p>
            <w:pPr>
              <w:pStyle w:val="Normal6a"/>
            </w:pPr>
            <w:r>
              <w:t>35.</w:t>
            </w:r>
            <w:r>
              <w:tab/>
            </w:r>
            <w:r>
              <w:t xml:space="preserve">konstatuje, že v roce 2024 vykázalo 11 agentur (ACER, ECDC, EFCA, EIGE, ELA, EMA, ENISA, ESA, eu-LISA, EU-OSHA, Eurofound, EUSPA, FRA a Frontex) vysoké úrovně přenosu prostředků, které ve všech rozpočtových hlavách dohromady překročily 15 %, a že v nich bylo možné vysledovat opakující se vzorec; konstatuje, že úroveň přenosu prostředků činila v případě agentury Frontex více než 40 % a v případě agentury ESA 30 %; </w:t>
            </w:r>
            <w:r>
              <w:rPr>
                <w:b/>
                <w:i/>
              </w:rPr>
              <w:t>vyzývá agentury, aby zlepšily víceleté plánování, plánování veřejných zakázek a prognózování závazků s cílem zajistit, aby byly prostředky čerpány během rozpočtového roku, pro který byly schváleny;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proto odmítá žádost Agentury pro základní práva (FRA) o větší financování;</w:t>
            </w:r>
            <w:r>
              <w:t xml:space="preserve"> </w:t>
            </w:r>
            <w:r>
              <w:rPr>
                <w:b/>
                <w:i/>
              </w:rPr>
              <w:t xml:space="preserve">zdůrazňuje, že agentura FRA by měla vykonávat svůj mandát neutrálním a transparentním způsobem; </w:t>
            </w:r>
            <w:r>
              <w:t xml:space="preserve"> </w:t>
            </w:r>
            <w:r>
              <w:rPr>
                <w:b/>
                <w:i/>
              </w:rPr>
              <w:t>připomíná, že rozpočet agentury by měl být využíván výhradně k nestranné analýze založené na důkazech a k plnění jejích hlavních právních úkolů;</w:t>
            </w:r>
            <w:r>
              <w:t xml:space="preserve"> </w:t>
            </w:r>
            <w:r>
              <w:rPr>
                <w:b/>
                <w:i/>
              </w:rPr>
              <w:t>vyzývá v této souvislosti k ukončení její neúnavné snahy zasahovat do práce orgánů a agentur, zejména těch, které mají interní zaměstnance odpovědné za základní práva;</w:t>
            </w:r>
            <w:r>
              <w:t xml:space="preserve"> </w:t>
            </w:r>
            <w:r>
              <w:rPr>
                <w:b/>
                <w:i/>
              </w:rPr>
              <w:t>vyzývá k tomu, aby bylo zváženo ukončení mandátu agentury, neboť zdvojuje úsilí několika útvarů agentur, což omezuje její přidanou hodnotu;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konstatuje, že v roce 2024 agentura Frontex přenesla 43 % nerozlišených prostředků za daný rok do roku 2025 a že výroční zpráva Evropského účetního dvora o agenturách EU za rozpočtový rok 2024 zdůraznila, že opakující se vysoká míra přenosů oslabuje zásadu ročního rozpočtu a svědčí o strukturálních problémech v rozpočtovém procesu a cyklu plnění rozpočtu;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připomíná, že agentury by se měly zaměřit na svou hlavní činnost;</w:t>
            </w:r>
            <w:r>
              <w:t xml:space="preserve"> </w:t>
            </w:r>
            <w:r>
              <w:rPr>
                <w:b/>
                <w:i/>
              </w:rPr>
              <w:t>staví se proti pronikání ideologie, kterou v posledních letech vnucují výrazně levicové nevládní organizace podporované Evropskou komisí;</w:t>
            </w:r>
            <w:r>
              <w:t xml:space="preserve"> </w:t>
            </w:r>
            <w:r>
              <w:rPr>
                <w:b/>
                <w:i/>
              </w:rPr>
              <w:t>vyjadřuje v tomto ohledu politování nad nárůstem počtu zaměstnanců a rozpočtu určených k monitorování základních práv na úkor příslušníků stálého útvaru agentury Frontex, jak uvedl ředitel agentury Frontex v roce 2024</w:t>
            </w:r>
            <w:r>
              <w:rPr>
                <w:b/>
                <w:i/>
                <w:vertAlign w:val="superscript"/>
              </w:rPr>
              <w:t>35 t</w:t>
            </w:r>
            <w:r>
              <w:rPr>
                <w:b/>
                <w:i/>
              </w:rPr>
              <w:t>, což agenturu Frontex odvádí od jejího hlavního poslání, a někdy mu dokonce brání;</w:t>
            </w:r>
            <w:r>
              <w:t xml:space="preserve"> </w:t>
            </w:r>
            <w:r>
              <w:rPr>
                <w:b/>
                <w:i/>
              </w:rPr>
              <w:t>zdůrazňuje, že veškerá činnost a zdroje agentury Frontex by se měly i nadále zaměřovat na ochranu hranic, boj proti přeshraniční trestné činnosti, předcházení nelegální migraci a zajištění účinného navracení osob, které nemají zákonné právo pobytu;</w:t>
            </w:r>
            <w:r>
              <w:t xml:space="preserve"> </w:t>
            </w:r>
            <w:r>
              <w:rPr>
                <w:b/>
                <w:i/>
              </w:rPr>
              <w:t>vyzývá k přesunu zdrojů tak, aby byly i nadále směřovány na klíčové úkoly správy hranic, nábor nezbytného personálu v první linii na vnějších hranicích EU a zefektivnění počtu administrativních pracovních míst;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35 t</w:t>
            </w:r>
            <w:r>
              <w:t xml:space="preserve"> </w:t>
            </w:r>
            <w:r>
              <w:rPr>
                <w:b/>
                <w:i/>
              </w:rPr>
              <w:t>https://www.euronews.com/my-europe/2024/03/05/frontex-director-replies-to-ombudsman-were-not-the-european-rescue-agency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zastává názor, že přenosy prostředků by mohly být v některých případech opodstatněné víceletou povahou operací nebo faktory, nad nimiž nemá dotčená agentura žádnou kontrolu; bere na vědomí prohlášení Účetního dvora na slyšení konaném dne 1. prosince 2025, a sice že se v rámci nové koncepce auditu bude snažit ve svých zprávách poskytovat jasnější celkový přehled o povaze přenosů prostředků, avšak akceptuje jeho vysvětlení, že nemůže uvádět příčiny přenosů podle jednotlivých agentur kvůli metodickým omezením a nedostatečným zdrojům; oceňuje, že Účetní dvůr hodlá upozorňovat na opakující se vzorce a systémové faktory, které jsou jednou z příčin nadměrných přenosů prostředků</w:t>
            </w:r>
            <w:r>
              <w:rPr>
                <w:b/>
                <w:i/>
              </w:rPr>
              <w:t>, a</w:t>
            </w:r>
            <w:r>
              <w:t xml:space="preserve"> vyzývá agentury, aby zlepšily rozpočtové prognózy a plánování projektů s cílem snížit neplánované přenosy na minimum a zajistit účinné využívání prostředků v rámci finančního roku;</w:t>
            </w:r>
          </w:p>
        </w:tc>
        <w:tc>
          <w:tcPr>
            <w:tcW w:w="4876" w:type="dxa"/>
            <w:tcBorders>
              <w:top w:val="nil"/>
              <w:left w:val="nil"/>
              <w:bottom w:val="nil"/>
              <w:right w:val="nil"/>
            </w:tcBorders>
          </w:tcPr>
          <w:p>
            <w:pPr>
              <w:pStyle w:val="Normal6a"/>
            </w:pPr>
            <w:r>
              <w:t>36.</w:t>
            </w:r>
            <w:r>
              <w:tab/>
            </w:r>
            <w:r>
              <w:t>zastává názor, že přenosy prostředků by mohly být v některých případech opodstatněné víceletou povahou operací nebo faktory, nad nimiž nemá dotčená agentura žádnou kontrolu; bere na vědomí prohlášení Účetního dvora na slyšení konaném dne 1. prosince 2025, a sice že se v rámci nové koncepce auditu bude snažit ve svých zprávách poskytovat jasnější celkový přehled o povaze přenosů prostředků, avšak akceptuje jeho vysvětlení, že nemůže uvádět příčiny přenosů podle jednotlivých agentur kvůli metodickým omezením a nedostatečným zdrojům; oceňuje, že Účetní dvůr hodlá upozorňovat na opakující se vzorce a systémové faktory, které jsou jednou z příčin nadměrných přenosů prostředků</w:t>
            </w:r>
            <w:r>
              <w:rPr>
                <w:b/>
                <w:i/>
              </w:rPr>
              <w:t>;</w:t>
            </w:r>
            <w:r>
              <w:t xml:space="preserve"> </w:t>
            </w:r>
            <w:r>
              <w:rPr>
                <w:b/>
                <w:i/>
              </w:rPr>
              <w:t>zdůrazňuje však, že trvale vysoká a opakující se míra přenosů může poukazovat na základní strukturální problémy při plánování, provádění nebo přidělování zdrojů;</w:t>
            </w:r>
            <w:r>
              <w:t xml:space="preserve"> vyzývá agentury, aby zlepšily rozpočtové prognózy a plánování projektů s cílem snížit neplánované přenosy na minimum a zajistit účinné využívání prostředků v rámci finančního roku;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připomíná, že regulační rámec ukládá agenturám povinnost provádět platby v konkrétních lhůtách; konstatuje, že </w:t>
            </w:r>
            <w:r>
              <w:rPr>
                <w:b/>
                <w:i/>
              </w:rPr>
              <w:t>pokud nejsou tyto lhůty dodrženy, může věřitelům vzniknout nárok na</w:t>
            </w:r>
            <w:r>
              <w:t xml:space="preserve"> úroky z prodlení; konstatuje, že Účetní dvůr uvádí, že v roce 2024 provedlo 11 agentur (ACER, Cedefop, CEPOL, EEA, ELA, ENISA, ETF, EUDA, Eurojust, FRA a Frontex) více než 5 % plateb po stanovené lhůtě; </w:t>
            </w:r>
            <w:r>
              <w:rPr>
                <w:b/>
                <w:i/>
              </w:rPr>
              <w:t>je znepokojen</w:t>
            </w:r>
            <w:r>
              <w:t xml:space="preserve"> tím, že od roku 2022 počet opožděných plateb roste – v roce 2023 se jednalo o devět agentur a v roce 2022 o pět agentur;</w:t>
            </w:r>
          </w:p>
        </w:tc>
        <w:tc>
          <w:tcPr>
            <w:tcW w:w="4876" w:type="dxa"/>
            <w:tcBorders>
              <w:top w:val="nil"/>
              <w:left w:val="nil"/>
              <w:bottom w:val="nil"/>
              <w:right w:val="nil"/>
            </w:tcBorders>
          </w:tcPr>
          <w:p>
            <w:pPr>
              <w:pStyle w:val="Normal6a"/>
            </w:pPr>
            <w:r>
              <w:t>37.</w:t>
            </w:r>
            <w:r>
              <w:tab/>
            </w:r>
            <w:r>
              <w:t xml:space="preserve">připomíná, že regulační rámec ukládá agenturám povinnost provádět platby v konkrétních lhůtách; konstatuje, že </w:t>
            </w:r>
            <w:r>
              <w:rPr>
                <w:b/>
                <w:i/>
              </w:rPr>
              <w:t>jakékoli nedodržení těchto lhůt podkopává důvěryhodnost Unie jako smluvního partnera a může vést k dodatečným nákladům, jako jsou</w:t>
            </w:r>
            <w:r>
              <w:t xml:space="preserve"> úroky z prodlení; konstatuje, že Účetní dvůr uvádí, že v roce 2024 provedlo 11 agentur (ACER, Cedefop, CEPOL, EEA, ELA, ENISA, ETF, EUDA, Eurojust, FRA a Frontex) více než 5 % plateb po stanovené lhůtě; </w:t>
            </w:r>
            <w:r>
              <w:rPr>
                <w:b/>
                <w:i/>
              </w:rPr>
              <w:t>vyjadřuje znepokojení nad</w:t>
            </w:r>
            <w:r>
              <w:t xml:space="preserve"> tím, že od roku 2022 počet opožděných plateb roste – v roce 2023 se jednalo o devět agentur a v roce 2022 o pět agentur; </w:t>
            </w:r>
            <w:r>
              <w:rPr>
                <w:b/>
                <w:i/>
              </w:rPr>
              <w:t>vyzývá k vypracování plánů nápravných opatření v agenturách, v nichž opožděné platby přetrvávají několik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trvá na tom, že je nutné zajistit dodržování zákonných lhůt pro platby, a konstatuje, že velmi časté opožděné platby mohou poškodit dobré jméno agentur; vyzývá dotčené agentury, aby přijaly opatření, která zabrání dalším opožděným platbám a úrokům z prodlevy a zaručí včasné vypořádání závazků;</w:t>
            </w:r>
          </w:p>
        </w:tc>
        <w:tc>
          <w:tcPr>
            <w:tcW w:w="4876" w:type="dxa"/>
            <w:tcBorders>
              <w:top w:val="nil"/>
              <w:left w:val="nil"/>
              <w:bottom w:val="nil"/>
              <w:right w:val="nil"/>
            </w:tcBorders>
          </w:tcPr>
          <w:p>
            <w:pPr>
              <w:pStyle w:val="Normal6a"/>
            </w:pPr>
            <w:r>
              <w:t>38.</w:t>
            </w:r>
            <w:r>
              <w:tab/>
            </w:r>
            <w:r>
              <w:t xml:space="preserve">trvá na tom, že je nutné zajistit dodržování zákonných lhůt pro platby, a konstatuje, že velmi časté opožděné platby mohou poškodit dobré jméno agentur; vyzývá dotčené agentury, aby přijaly opatření, která zabrání dalším opožděným platbám a úrokům z prodlevy a zaručí včasné vypořádání závazků; </w:t>
            </w:r>
            <w:r>
              <w:rPr>
                <w:b/>
                <w:i/>
              </w:rPr>
              <w:t>připomíná, že dodržování platebních lhůt podle finančního nařízení představuje právní povinnost a klíčový prvek finančního řízení;</w:t>
            </w:r>
            <w:r>
              <w:t xml:space="preserve"> </w:t>
            </w:r>
            <w:r>
              <w:rPr>
                <w:b/>
                <w:i/>
              </w:rPr>
              <w:t>vyzývá agentury, aby zavedly nápravná opatření, která zajistí systematické dodržování zákonných lhůt;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rPr>
                <w:b/>
                <w:i/>
              </w:rPr>
              <w:t>naléhá na</w:t>
            </w:r>
            <w:r>
              <w:t xml:space="preserve"> evropské orgány dohledu (EBA, EIOPA a ESMA), aby </w:t>
            </w:r>
            <w:r>
              <w:rPr>
                <w:b/>
                <w:i/>
              </w:rPr>
              <w:t>zlepšily svou schopnost identifikovat a odděleně účtovat náklady na činnosti, které jsou financovány z různých zdrojů příjmů, a tak i dohled nad účetnictvím a</w:t>
            </w:r>
            <w:r>
              <w:t xml:space="preserve"> transparentnost </w:t>
            </w:r>
            <w:r>
              <w:rPr>
                <w:b/>
                <w:i/>
              </w:rPr>
              <w:t>v souladu s doporučením Účetního dvora, protože bez takového vykazování</w:t>
            </w:r>
            <w:r>
              <w:t xml:space="preserve"> nákladů </w:t>
            </w:r>
            <w:r>
              <w:rPr>
                <w:b/>
                <w:i/>
              </w:rPr>
              <w:t>bude ohroženo transparentní používání prostředků Unie</w:t>
            </w:r>
            <w:r>
              <w:t>;</w:t>
            </w:r>
          </w:p>
        </w:tc>
        <w:tc>
          <w:tcPr>
            <w:tcW w:w="4876" w:type="dxa"/>
            <w:tcBorders>
              <w:top w:val="nil"/>
              <w:left w:val="nil"/>
              <w:bottom w:val="nil"/>
              <w:right w:val="nil"/>
            </w:tcBorders>
          </w:tcPr>
          <w:p>
            <w:pPr>
              <w:pStyle w:val="Normal6a"/>
            </w:pPr>
            <w:r>
              <w:t>39.</w:t>
            </w:r>
            <w:r>
              <w:tab/>
            </w:r>
            <w:r>
              <w:rPr>
                <w:b/>
                <w:i/>
              </w:rPr>
              <w:t>vyzývá</w:t>
            </w:r>
            <w:r>
              <w:t xml:space="preserve"> evropské orgány dohledu (EBA, EIOPA a ESMA), aby </w:t>
            </w:r>
            <w:r>
              <w:rPr>
                <w:b/>
                <w:i/>
              </w:rPr>
              <w:t>i nadále posilovaly</w:t>
            </w:r>
            <w:r>
              <w:t xml:space="preserve"> transparentnost </w:t>
            </w:r>
            <w:r>
              <w:rPr>
                <w:b/>
                <w:i/>
              </w:rPr>
              <w:t>svých systémů sestavování rozpočtu a výpočtu</w:t>
            </w:r>
            <w:r>
              <w:t xml:space="preserve"> nákladů </w:t>
            </w:r>
            <w:r>
              <w:rPr>
                <w:b/>
                <w:i/>
              </w:rPr>
              <w:t>podle činností, zejména pokud jde o činnosti financované z poplatků za dohled nebo jiných zvláštních zdrojů příjmů, s cílem zmírnit rizika pro transparentnost, která Účetní dvůr zjistil v souvislosti se správou příjmů a strukturami financování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bere na vědomí závěr Účetního dvora obsažený v jeho výroční zprávě o agenturách EU za rozpočtový rok 2024 (dále jen „zpráva Účetního dvora“), že audit Účetního dvora přinesl podobné výsledky jako v předchozích letech, přičemž hlavním důvodem neoprávněných plateb zůstávají nedostatky v zadávacích řízeních;</w:t>
            </w:r>
          </w:p>
        </w:tc>
        <w:tc>
          <w:tcPr>
            <w:tcW w:w="4876" w:type="dxa"/>
            <w:tcBorders>
              <w:top w:val="nil"/>
              <w:left w:val="nil"/>
              <w:bottom w:val="nil"/>
              <w:right w:val="nil"/>
            </w:tcBorders>
          </w:tcPr>
          <w:p>
            <w:pPr>
              <w:pStyle w:val="Normal6a"/>
            </w:pPr>
            <w:r>
              <w:t>40.</w:t>
            </w:r>
            <w:r>
              <w:tab/>
            </w:r>
            <w:r>
              <w:t xml:space="preserve">bere na vědomí závěr Účetního dvora obsažený v jeho výroční zprávě o agenturách EU za rozpočtový rok 2024 (dále jen „zpráva Účetního dvora“), že audit Účetního dvora přinesl podobné výsledky jako v předchozích letech, přičemž hlavním důvodem neoprávněných plateb zůstávají nedostatky v zadávacích řízeních; </w:t>
            </w:r>
            <w:r>
              <w:rPr>
                <w:b/>
                <w:i/>
              </w:rPr>
              <w:t>vzhledem k příslušným částkám v celkové výši dosahující milionů EUR a opakovaným varováním EÚD v jeho výročních zprávách v průběhu let je znepokojen počtem agentur, které příliš málo zohledňují dodržování postupů zadávání veřejných zakázek, které jsou hlavním zdrojem nesprávných plateb;</w:t>
            </w:r>
            <w:r>
              <w:t xml:space="preserve"> </w:t>
            </w:r>
            <w:r>
              <w:rPr>
                <w:b/>
                <w:i/>
              </w:rPr>
              <w:t>je znepokojen opakující se povahou těchto nedostatků, zejména v některých agenturách, které podle všeho nepřijaly nezbytná opatření nebo nejsou ochotny tento stav ukončit;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bere na vědomí závěr Účetního dvora obsažený v jeho výroční zprávě o agenturách EU za rozpočtový rok 2024 (dále jen „zpráva Účetního dvora“), že audit Účetního dvora přinesl podobné výsledky jako v předchozích letech, přičemž hlavním důvodem neoprávněných plateb zůstávají nedostatky v zadávacích řízeních;</w:t>
            </w:r>
          </w:p>
        </w:tc>
        <w:tc>
          <w:tcPr>
            <w:tcW w:w="4876" w:type="dxa"/>
            <w:tcBorders>
              <w:top w:val="nil"/>
              <w:left w:val="nil"/>
              <w:bottom w:val="nil"/>
              <w:right w:val="nil"/>
            </w:tcBorders>
          </w:tcPr>
          <w:p>
            <w:pPr>
              <w:pStyle w:val="Normal6a"/>
            </w:pPr>
            <w:r>
              <w:t>40.</w:t>
            </w:r>
            <w:r>
              <w:tab/>
            </w:r>
            <w:r>
              <w:t xml:space="preserve">bere na vědomí závěr Účetního dvora obsažený v jeho výroční zprávě o agenturách EU za rozpočtový rok 2024 (dále jen „zpráva Účetního dvora“), že audit Účetního dvora přinesl podobné výsledky jako v předchozích letech, přičemž hlavním důvodem neoprávněných plateb zůstávají nedostatky v zadávacích řízeních; </w:t>
            </w:r>
            <w:r>
              <w:rPr>
                <w:b/>
                <w:i/>
              </w:rPr>
              <w:t>vyzývá dotčené agentury, aby posílily své kontroly ex ante, zlepšily dokumentaci kritérií pro udělení grantu a zajistily, aby vyjednávací řízení bez předchozího zveřejnění byla přísně odůvodněna;</w:t>
            </w:r>
            <w:r>
              <w:t xml:space="preserve"> </w:t>
            </w:r>
            <w:r>
              <w:rPr>
                <w:b/>
                <w:i/>
              </w:rPr>
              <w:t>vyzývá Komisi, aby poskytla cílené pokyny a školení agenturám s opakujícími se nedostatky v zadávání veřejných zakázek;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bere na vědomí závěr Účetního dvora obsažený v jeho výroční zprávě o agenturách EU za rozpočtový rok 2024 (dále jen „zpráva Účetního dvora“), že audit Účetního dvora přinesl podobné výsledky jako v předchozích letech, přičemž hlavním důvodem neoprávněných plateb zůstávají nedostatky v zadávacích řízeních;</w:t>
            </w:r>
          </w:p>
        </w:tc>
        <w:tc>
          <w:tcPr>
            <w:tcW w:w="4876" w:type="dxa"/>
            <w:tcBorders>
              <w:top w:val="nil"/>
              <w:left w:val="nil"/>
              <w:bottom w:val="nil"/>
              <w:right w:val="nil"/>
            </w:tcBorders>
          </w:tcPr>
          <w:p>
            <w:pPr>
              <w:pStyle w:val="Normal6a"/>
            </w:pPr>
            <w:r>
              <w:t>40.</w:t>
            </w:r>
            <w:r>
              <w:tab/>
            </w:r>
            <w:r>
              <w:t xml:space="preserve">bere na vědomí závěr Účetního dvora obsažený v jeho výroční zprávě o agenturách EU za rozpočtový rok 2024 (dále jen „zpráva Účetního dvora“), že audit Účetního dvora přinesl podobné výsledky jako v předchozích letech, přičemž hlavním důvodem neoprávněných plateb zůstávají nedostatky v zadávacích řízeních; </w:t>
            </w:r>
            <w:r>
              <w:rPr>
                <w:b/>
                <w:i/>
              </w:rPr>
              <w:t>vyzývá agentury, aby zajistily plnou sledovatelnost, soutěžní řízení a řádné vedení záznamů o všech operacích zadávání veřejných zakázek (včetně zakázek nízké hodnoty), a vyzývá útvary interního auditu agentur, aby upřednostňovaly přezkumy zadávání veřejných zakázek;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vyzývá Účetní dvůr, aby každoročně informoval Parlament o počtu stížností, které zaměstnanci agentur podali úřadu OLAF a které se rozhodl nevyšetřovat a jež se týkají střetu zájmů a zadávání veřejných zakázek, a to na základě seznamu sestaveného podle jednotlivých agentur, neboť tyto stížnosti jsou slabými užitečnými signály;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40b.</w:t>
            </w:r>
            <w:r>
              <w:tab/>
            </w:r>
            <w:r>
              <w:rPr>
                <w:b/>
                <w:i/>
              </w:rPr>
              <w:t>připomíná, že v souvislosti s jakýmkoli zadáváním veřejných zakázek je důležité dodržovat všechny zásady: </w:t>
            </w:r>
            <w:r>
              <w:t xml:space="preserve"> </w:t>
            </w:r>
            <w:r>
              <w:rPr>
                <w:b/>
                <w:i/>
              </w:rPr>
              <w:t>transparentnost, proporcionalitu, rovné zacházení, nediskriminaci, spravedlivou hospodářskou soutěž mezi uchazeči, dodávky atd., přičemž je třeba upřednostnit evropské společnosti a produkty evropského původu nebo s otevřeným zdrojovým kódem před neevropskými společnostmi (technologická suverenita, potravinová soběstačnost atd.);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konstatuje, že Účetní dvůr hodnotí riziko pro řádné finanční řízení, stejně jako v předchozích letech, jako střední a že shledává, že je primárně spojeno se zadávacími řízeními;</w:t>
            </w:r>
          </w:p>
        </w:tc>
        <w:tc>
          <w:tcPr>
            <w:tcW w:w="4876" w:type="dxa"/>
            <w:tcBorders>
              <w:top w:val="nil"/>
              <w:left w:val="nil"/>
              <w:bottom w:val="nil"/>
              <w:right w:val="nil"/>
            </w:tcBorders>
          </w:tcPr>
          <w:p>
            <w:pPr>
              <w:pStyle w:val="Normal6a"/>
            </w:pPr>
            <w:r>
              <w:t>43.</w:t>
            </w:r>
            <w:r>
              <w:tab/>
            </w:r>
            <w:r>
              <w:t xml:space="preserve">konstatuje, že Účetní dvůr hodnotí riziko pro řádné finanční řízení, stejně jako v předchozích letech, jako střední a že shledává, že je primárně spojeno se zadávacími řízeními; </w:t>
            </w:r>
            <w:r>
              <w:rPr>
                <w:b/>
                <w:i/>
              </w:rPr>
              <w:t>zdůrazňuje, že v zadávacích řízeních se složitými pravidly a postupy agentury ne vždy dosáhnou uspokojivé úrovně transparentnosti a optimálního zhodnocení prostředků</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https://www.eca.europa.eu/ECAPublications/SAR-AGENCIES-2024/SAR-AGENCIES-2024_CS.pdf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konstatuje, že Účetní dvůr považuje riziko pro rozpočtové řízení za nízké, neboť nedostatky, které odhalil při auditu, se týkaly především automatických přenosů nerozlišených prostředků a pozdních plateb; upozorňuje na to, že nedostatky v řídících a kontrolních systémech se týkají například absence odpovídajících kontrol ex post a ex ante, zadávacích řízení na provozní služby zahájených bez řádného rozhodnutí o financování, výdajů prováděných bez řádného přenesení pravomoci schvalující osobou, nedostatků v řízení grantů a zpožděných hodnocení agentury Komisí;</w:t>
            </w:r>
          </w:p>
        </w:tc>
        <w:tc>
          <w:tcPr>
            <w:tcW w:w="4876" w:type="dxa"/>
            <w:tcBorders>
              <w:top w:val="nil"/>
              <w:left w:val="nil"/>
              <w:bottom w:val="nil"/>
              <w:right w:val="nil"/>
            </w:tcBorders>
          </w:tcPr>
          <w:p>
            <w:pPr>
              <w:pStyle w:val="Normal6a"/>
            </w:pPr>
            <w:r>
              <w:t>44.</w:t>
            </w:r>
            <w:r>
              <w:tab/>
            </w:r>
            <w:r>
              <w:t xml:space="preserve">konstatuje, že Účetní dvůr považuje riziko pro rozpočtové řízení za nízké, neboť nedostatky, které odhalil při auditu, se týkaly především automatických přenosů nerozlišených prostředků a pozdních plateb; upozorňuje na to, že nedostatky v řídících a kontrolních systémech se týkají například absence odpovídajících kontrol ex post a ex ante, zadávacích řízení na provozní služby zahájených bez řádného rozhodnutí o financování, výdajů prováděných bez řádného přenesení pravomoci schvalující osobou, nedostatků v řízení grantů a zpožděných hodnocení agentury Komisí; </w:t>
            </w:r>
            <w:r>
              <w:rPr>
                <w:b/>
                <w:i/>
              </w:rPr>
              <w:t>zdůrazňuje, že tyto nedostatky uvedené Účetním dvorem narušují řádné finanční řízení a vystavují agentury finančním rizikům a riziku poškození dobré pověsti;</w:t>
            </w:r>
            <w:r>
              <w:t xml:space="preserve"> </w:t>
            </w:r>
            <w:r>
              <w:rPr>
                <w:b/>
                <w:i/>
              </w:rPr>
              <w:t>vyzývá dotčené agentury, aby zajistily plný soulad s finančním nařízením a přijaly nezbytná nápravná opatření, a vyzývá Komisi, aby pečlivě sledovala jejich provádění;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konstatuje, že v případě orgánu ELA se výhrada týká plateb ve výši 2,6 milionu EUR provedených v roce 2024, což představuje 5,7 % celkových dostupných prostředků na platby; konstatuje, že tato částka zahrnuje 2,2 milionu EUR v souvislosti se zakázkou, která je ve zprávě o auditu za rok 2022 považována za neregulérní, neboť její hodnota přesáhla stanovený maximální limit pro zakázku, a je tak v rozporu s bodem 12.3 písm. a) přílohy I finančního nařízení, a dále 0,4 milionu EUR ve spojitosti s nedostatky v kontrolách ex ante při provádění zakázek; bere na vědomí odpověď orgánu ELA poskytnutou během slyšení dne 1. prosince 2025, že i když byla zakázka udělena nesprávně, vlastní platby provedené v rámci smlouvy nepřesáhly strop 6 milionů EUR stanovený ve specifikacích pro nabídky, a že smlouva měla zásadní význam pro zajištění nepřetržitého chodu orgánu v počáteční zřizovací fázi; dále konstatuje, že nestandardní smlouva skončila v únoru 2024 a nebyla obnovena; oceňuje ujištění orgánu ELA, že zavedl opravná opatření, mimo jiné že zrevidoval dokumentaci nabídkových řízení, posílil zadávací řízení a aktualizoval interní pokyny, aby zabránil podobným nesrovnalostem;</w:t>
            </w:r>
          </w:p>
        </w:tc>
        <w:tc>
          <w:tcPr>
            <w:tcW w:w="4876" w:type="dxa"/>
            <w:tcBorders>
              <w:top w:val="nil"/>
              <w:left w:val="nil"/>
              <w:bottom w:val="nil"/>
              <w:right w:val="nil"/>
            </w:tcBorders>
          </w:tcPr>
          <w:p>
            <w:pPr>
              <w:pStyle w:val="Normal6a"/>
            </w:pPr>
            <w:r>
              <w:t>48.</w:t>
            </w:r>
            <w:r>
              <w:tab/>
            </w:r>
            <w:r>
              <w:t xml:space="preserve">konstatuje, že v případě orgánu ELA se výhrada týká plateb ve výši 2,6 milionu EUR provedených v roce 2024, což představuje 5,7 % celkových dostupných prostředků na platby; konstatuje, že tato částka zahrnuje 2,2 milionu EUR v souvislosti se zakázkou, která je ve zprávě o auditu za rok 2022 považována za neregulérní, neboť její hodnota přesáhla stanovený maximální limit pro zakázku, a je tak v rozporu s bodem 12.3 písm. a) přílohy I finančního nařízení, a dále 0,4 milionu EUR ve spojitosti s nedostatky v kontrolách ex ante při provádění zakázek; bere na vědomí odpověď orgánu ELA poskytnutou během slyšení dne 1. prosince 2025, že i když byla zakázka udělena nesprávně, vlastní platby provedené v rámci smlouvy nepřesáhly strop 6 milionů EUR stanovený ve specifikacích pro nabídky, a že smlouva měla zásadní význam pro zajištění nepřetržitého chodu orgánu v počáteční zřizovací fázi; dále konstatuje, že nestandardní smlouva skončila v únoru 2024 a nebyla obnovena; oceňuje ujištění orgánu ELA, že zavedl opravná opatření, mimo jiné že zrevidoval dokumentaci nabídkových řízení, posílil zadávací řízení a aktualizoval interní pokyny, aby zabránil podobným nesrovnalostem; </w:t>
            </w:r>
            <w:r>
              <w:rPr>
                <w:b/>
                <w:i/>
              </w:rPr>
              <w:t>vybízí Evropský orgán pro pracovní záležitosti, aby posílil mechanismy plánování a stanovování priorit s cílem zajistit účinné využívání prostředků a včasné provádění operativních činností v budoucnu;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konstatuje, že „připomínky“ v jednotlivých výročních zprávách o agenturách jsou ve skutečnosti doporučeními Účetního dvora bez časových lhůt; poznamenává, že Účetní dvůr tyto připomínky každoročně kontroluje a hodnotí jejich status, tzn., zda jsou „otevřené“ nebo „uzavřené“;</w:t>
            </w:r>
          </w:p>
        </w:tc>
        <w:tc>
          <w:tcPr>
            <w:tcW w:w="4876" w:type="dxa"/>
            <w:tcBorders>
              <w:top w:val="nil"/>
              <w:left w:val="nil"/>
              <w:bottom w:val="nil"/>
              <w:right w:val="nil"/>
            </w:tcBorders>
          </w:tcPr>
          <w:p>
            <w:pPr>
              <w:pStyle w:val="Normal6a"/>
            </w:pPr>
            <w:r>
              <w:t>50.</w:t>
            </w:r>
            <w:r>
              <w:tab/>
            </w:r>
            <w:r>
              <w:t xml:space="preserve">konstatuje, že „připomínky“ v jednotlivých výročních zprávách o agenturách jsou ve skutečnosti doporučeními Účetního dvora bez časových lhůt; poznamenává, že Účetní dvůr tyto připomínky každoročně kontroluje a hodnotí jejich status, tzn., zda jsou „otevřené“ nebo „uzavřené“; </w:t>
            </w:r>
            <w:r>
              <w:rPr>
                <w:b/>
                <w:i/>
              </w:rPr>
              <w:t>domnívá se však, že dlouhodobě otevřené připomínky by měly vyžadovat včasná a konkrétní nápravná opatření doprovázená posíleným dohledem ze strany příslušných správních rad, aby se zabránilo opakujícím se nedostatkům;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upozorňuje na významný dopad nařízení o digitální provozní odolnosti (DORA) a nařízení o trzích kryptoaktiv (MiCA) na provozní mandáty a úkoly Evropského orgánu pro bankovnictví (EBA); </w:t>
            </w:r>
            <w:r>
              <w:rPr>
                <w:b/>
                <w:i/>
              </w:rPr>
              <w:t>se znepokojením konstatuje, že původní ustanovení neřešila adekvátní</w:t>
            </w:r>
            <w:r>
              <w:t xml:space="preserve"> financování </w:t>
            </w:r>
            <w:r>
              <w:rPr>
                <w:b/>
                <w:i/>
              </w:rPr>
              <w:t>potřebné pro to, aby se úřad mohl ujmout těchto úloh, nebo pro přípravné fáze a fáze provádění souvisejících politik;</w:t>
            </w:r>
            <w:r>
              <w:t xml:space="preserve"> </w:t>
            </w:r>
            <w:r>
              <w:rPr>
                <w:b/>
                <w:i/>
              </w:rPr>
              <w:t>plně podporuje názor orgánu, že budoucí legislativní finanční výkazy musí předjímat a poskytovat adekvátní zdroje na rychlou a účinnou přípravu takto složitých mandátů;</w:t>
            </w:r>
            <w:r>
              <w:t xml:space="preserve"> </w:t>
            </w:r>
            <w:r>
              <w:rPr>
                <w:b/>
                <w:i/>
              </w:rPr>
              <w:t>důrazně vyzývá, aby byly orgánu poskytnuty dostatečné finanční prostředky, aby mohl reagovat na rozšíření svého mandátu</w:t>
            </w:r>
            <w:r>
              <w:t>;</w:t>
            </w:r>
          </w:p>
        </w:tc>
        <w:tc>
          <w:tcPr>
            <w:tcW w:w="4876" w:type="dxa"/>
            <w:tcBorders>
              <w:top w:val="nil"/>
              <w:left w:val="nil"/>
              <w:bottom w:val="nil"/>
              <w:right w:val="nil"/>
            </w:tcBorders>
          </w:tcPr>
          <w:p>
            <w:pPr>
              <w:pStyle w:val="Normal6a"/>
            </w:pPr>
            <w:r>
              <w:t>54.</w:t>
            </w:r>
            <w:r>
              <w:tab/>
            </w:r>
            <w:r>
              <w:t xml:space="preserve">upozorňuje na významný dopad nařízení o digitální provozní odolnosti (DORA) a nařízení o trzích kryptoaktiv (MiCA) na provozní mandáty a úkoly Evropského orgánu pro bankovnictví (EBA); </w:t>
            </w:r>
            <w:r>
              <w:rPr>
                <w:b/>
                <w:i/>
              </w:rPr>
              <w:t>zdůrazňuje, že jakémukoli dodatečnému</w:t>
            </w:r>
            <w:r>
              <w:t xml:space="preserve"> financování </w:t>
            </w:r>
            <w:r>
              <w:rPr>
                <w:b/>
                <w:i/>
              </w:rPr>
              <w:t>musí předcházet podrobné posouzení stávajícího přidělování zdrojů orgánem EBA a určení možných vnitřních úspor z důvodu vyšší efektivity před tím, než budou požadovány dodatečné příspěvky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upozorňuje na významný dopad nařízení o digitální provozní odolnosti (DORA) a nařízení o trzích kryptoaktiv (MiCA) na provozní mandáty a úkoly Evropského orgánu pro bankovnictví (EBA); se znepokojením konstatuje, že původní ustanovení neřešila adekvátní financování potřebné pro to, aby se úřad mohl ujmout těchto úloh, nebo pro přípravné fáze a fáze provádění souvisejících politik; plně podporuje názor orgánu, že budoucí legislativní finanční výkazy musí předjímat a poskytovat adekvátní zdroje na rychlou a účinnou přípravu takto složitých mandátů; </w:t>
            </w:r>
            <w:r>
              <w:rPr>
                <w:b/>
                <w:i/>
              </w:rPr>
              <w:t>důrazně vyzývá, aby byly orgánu poskytnuty dostatečné finanční prostředky, aby mohl reagovat na rozšíření svého mandátu;</w:t>
            </w:r>
          </w:p>
        </w:tc>
        <w:tc>
          <w:tcPr>
            <w:tcW w:w="4876" w:type="dxa"/>
            <w:tcBorders>
              <w:top w:val="nil"/>
              <w:left w:val="nil"/>
              <w:bottom w:val="nil"/>
              <w:right w:val="nil"/>
            </w:tcBorders>
          </w:tcPr>
          <w:p>
            <w:pPr>
              <w:pStyle w:val="Normal6a"/>
            </w:pPr>
            <w:r>
              <w:t>54.</w:t>
            </w:r>
            <w:r>
              <w:tab/>
            </w:r>
            <w:r>
              <w:t>upozorňuje na významný dopad nařízení o digitální provozní odolnosti (DORA) a nařízení o trzích kryptoaktiv (MiCA) na provozní mandáty a úkoly Evropského orgánu pro bankovnictví (EBA); se znepokojením konstatuje, že původní ustanovení neřešila adekvátní financování potřebné pro to, aby se úřad mohl ujmout těchto úloh, nebo pro přípravné fáze a fáze provádění souvisejících politik; plně podporuje názor orgánu, že budoucí legislativní finanční výkazy musí předjímat a poskytovat adekvátní zdroje na rychlou a účinnou přípravu takto složitých mandátů;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konstatuje, že v červnu 2024 byl na agenturu CEPOL proveden rozsáhlý kybernetický útok, který měl dopad na všechny provozní oblasti a v jehož důsledku bylo zrušeno 10 školení, která se měla konat v jejích prostorách, a všechna online školení naplánovaná do konce roku byla odložena; dále konstatuje, že tato událost nejen narušila provozní činnosti agentury CEPOL, ale vedla i k neplánovaným výdajům na reakci na tento incident, obnovu systému a posílení opatření v oblasti kybernetické bezpečnosti; </w:t>
            </w:r>
            <w:r>
              <w:rPr>
                <w:b/>
                <w:i/>
              </w:rPr>
              <w:t>bere na vědomí, že</w:t>
            </w:r>
            <w:r>
              <w:t xml:space="preserve"> po útoku bylo s podporou Služby kybernetické bezpečnosti pro orgány, instituce a jiné subjekty Unie (CERT-EU) a Europolu zahájeno trestní vyšetřování; upozorňuje na skutečnost, že na doporučení služby CERT-EU, aby byla infrastruktura vybudována znovu, GŘ DIGIT během tří týdnů zavedlo </w:t>
            </w:r>
            <w:r>
              <w:rPr>
                <w:b/>
                <w:i/>
              </w:rPr>
              <w:t>infrastrukturu založenou</w:t>
            </w:r>
            <w:r>
              <w:t xml:space="preserve"> na přístupu nulové důvěry;</w:t>
            </w:r>
          </w:p>
        </w:tc>
        <w:tc>
          <w:tcPr>
            <w:tcW w:w="4876" w:type="dxa"/>
            <w:tcBorders>
              <w:top w:val="nil"/>
              <w:left w:val="nil"/>
              <w:bottom w:val="nil"/>
              <w:right w:val="nil"/>
            </w:tcBorders>
          </w:tcPr>
          <w:p>
            <w:pPr>
              <w:pStyle w:val="Normal6a"/>
            </w:pPr>
            <w:r>
              <w:t>57.</w:t>
            </w:r>
            <w:r>
              <w:tab/>
            </w:r>
            <w:r>
              <w:t xml:space="preserve">konstatuje, že v červnu 2024 byl na agenturu CEPOL proveden rozsáhlý kybernetický útok, který měl dopad na všechny provozní oblasti a v jehož důsledku bylo zrušeno 10 školení, která se měla konat v jejích prostorách, a všechna online školení naplánovaná do konce roku byla odložena; dále konstatuje, že tato událost nejen narušila provozní činnosti agentury CEPOL, ale vedla i k neplánovaným výdajům na reakci na tento incident, obnovu systému a posílení opatření v oblasti kybernetické bezpečnosti; </w:t>
            </w:r>
            <w:r>
              <w:rPr>
                <w:b/>
                <w:i/>
              </w:rPr>
              <w:t>konstatuje, že narušení bezpečnosti bylo přímým důsledkem sofistikovaného kybernetického útoku zaměřeného na digitální infrastrukturu agentury CEPOL a že neoprávněné subjekty získaly přístup ke značnému objemu osobních údajů, což ohrozilo jejich důvěrnost, integritu a dostupnost;</w:t>
            </w:r>
            <w:r>
              <w:t xml:space="preserve"> </w:t>
            </w:r>
            <w:r>
              <w:rPr>
                <w:b/>
                <w:i/>
              </w:rPr>
              <w:t>zdůrazňuje, že v důsledku kybernetického incidentu muselo být přibližně 99 000 osob přímo informováno o tom, že došlo k porušení zabezpečení jejich osobních údajů;</w:t>
            </w:r>
            <w:r>
              <w:t xml:space="preserve"> po útoku bylo s podporou Služby kybernetické bezpečnosti pro orgány, instituce a jiné subjekty Unie (CERT-EU) a Europolu zahájeno trestní vyšetřování; </w:t>
            </w:r>
            <w:r>
              <w:rPr>
                <w:b/>
                <w:i/>
              </w:rPr>
              <w:t>je znepokojen tím, že navzdory některým nepřímým důkazům nebyl aktér hrozby s konečnou platností určen;</w:t>
            </w:r>
            <w:r>
              <w:t xml:space="preserve"> upozorňuje na skutečnost, že na doporučení služby CERT-EU, aby byla infrastruktura vybudována znovu, GŘ DIGIT během tří týdnů zavedlo </w:t>
            </w:r>
            <w:r>
              <w:rPr>
                <w:b/>
                <w:i/>
              </w:rPr>
              <w:t>kompletní prostředí cloud computingu založené</w:t>
            </w:r>
            <w:r>
              <w:t xml:space="preserve"> na přístupu nulové důvěry </w:t>
            </w:r>
            <w:r>
              <w:rPr>
                <w:b/>
                <w:i/>
              </w:rPr>
              <w:t>a vybavené novým hardwarem</w:t>
            </w:r>
            <w:r>
              <w:t xml:space="preserve">; </w:t>
            </w:r>
            <w:r>
              <w:rPr>
                <w:b/>
                <w:i/>
              </w:rPr>
              <w:t>konstatuje, že agentura CEPOL v současné době provádí 42 úkolů a projektů v oblasti kybernetické bezpečnosti v rámci svého plánu kybernetické bezpečnosti;</w:t>
            </w:r>
            <w:r>
              <w:t xml:space="preserve"> </w:t>
            </w:r>
            <w:r>
              <w:rPr>
                <w:b/>
                <w:i/>
              </w:rPr>
              <w:t>zdůrazňuje, že v rámci standardní praxe byla pro všechny zaměstnance zavedena školení o zvyšování povědomí o bezpečnosti v oblasti IKT, která jsou doplňována pravidelnými oznámeními a aktualizacemi na intranetu;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konstatuje, že v červnu 2024 byl na agenturu CEPOL proveden rozsáhlý kybernetický útok, který měl dopad na všechny provozní oblasti a v jehož důsledku bylo zrušeno 10 školení, která se měla konat v jejích prostorách, a všechna online školení naplánovaná do konce roku byla odložena; dále konstatuje, že tato událost nejen narušila provozní činnosti agentury CEPOL, ale vedla i k neplánovaným výdajům na reakci na tento incident, obnovu systému a posílení opatření v oblasti kybernetické bezpečnosti; bere na vědomí, že po útoku bylo s podporou Služby kybernetické bezpečnosti pro orgány, instituce a jiné subjekty Unie (CERT-EU) a Europolu zahájeno trestní vyšetřování; upozorňuje na skutečnost, že na doporučení služby CERT-EU, aby byla infrastruktura vybudována znovu, GŘ DIGIT během tří týdnů zavedlo infrastrukturu založenou na přístupu nulové důvěry;</w:t>
            </w:r>
          </w:p>
        </w:tc>
        <w:tc>
          <w:tcPr>
            <w:tcW w:w="4876" w:type="dxa"/>
            <w:tcBorders>
              <w:top w:val="nil"/>
              <w:left w:val="nil"/>
              <w:bottom w:val="nil"/>
              <w:right w:val="nil"/>
            </w:tcBorders>
          </w:tcPr>
          <w:p>
            <w:pPr>
              <w:pStyle w:val="Normal6a"/>
            </w:pPr>
            <w:r>
              <w:t>57.</w:t>
            </w:r>
            <w:r>
              <w:tab/>
            </w:r>
            <w:r>
              <w:t xml:space="preserve">konstatuje, že v červnu 2024 byl na agenturu CEPOL proveden rozsáhlý kybernetický útok, který měl dopad na všechny provozní oblasti a v jehož důsledku bylo zrušeno 10 školení, která se měla konat v jejích prostorách, a všechna online školení naplánovaná do konce roku byla odložena; dále konstatuje, že tato událost nejen narušila provozní činnosti agentury CEPOL, ale vedla i k neplánovaným výdajům na reakci na tento incident, obnovu systému a posílení opatření v oblasti kybernetické bezpečnosti; bere na vědomí, že po útoku bylo s podporou Služby kybernetické bezpečnosti pro orgány, instituce a jiné subjekty Unie (CERT-EU) a Europolu zahájeno trestní vyšetřování; upozorňuje na skutečnost, že na doporučení služby CERT-EU, aby byla infrastruktura vybudována znovu, GŘ DIGIT během tří týdnů zavedlo infrastrukturu založenou na přístupu nulové důvěry; </w:t>
            </w:r>
            <w:r>
              <w:rPr>
                <w:b/>
                <w:i/>
              </w:rPr>
              <w:t>zdůrazňuje, že selhání kybernetické bezpečnosti představuje pro agentury nejen provozní, ale také reputační a právní riziko;</w:t>
            </w:r>
            <w:r>
              <w:t xml:space="preserve"> </w:t>
            </w:r>
            <w:r>
              <w:rPr>
                <w:b/>
                <w:i/>
              </w:rPr>
              <w:t>vyzývá k přijetí závazných minimálních norem kybernetické bezpečnosti a k odpovídajícímu a stabilnímu financování s cílem zajistit jejich účinné provádění;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57a.</w:t>
            </w:r>
            <w:r>
              <w:tab/>
            </w:r>
            <w:r>
              <w:rPr>
                <w:b/>
                <w:i/>
              </w:rPr>
              <w:t>bere na vědomí odpovídající celkové snížení činností v oblasti odborné přípravy v roce 2024 a zdůrazňuje, že je třeba zajistit, aby byly zdroje agentury CEPOL využívány především na operativní a technickou odbornou přípravu, která je přímo relevantní pro příslušníky donucovacích orgánů;</w:t>
            </w:r>
            <w:r>
              <w:t xml:space="preserve"> </w:t>
            </w:r>
            <w:r>
              <w:rPr>
                <w:b/>
                <w:i/>
              </w:rPr>
              <w:t>připomíná, že mandátem agentury CEPOL je posílit policejní spolupráci, posílit vyšetřovací kapacity a předcházet přeshraniční trestné činnosti, a nikoli poskytovat tematickou nebo ideologickou odbornou přípravu;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57a.</w:t>
            </w:r>
            <w:r>
              <w:tab/>
            </w:r>
            <w:r>
              <w:rPr>
                <w:b/>
                <w:i/>
              </w:rPr>
              <w:t>zdůrazňuje, že pokud agentury působí mimo území Unie nebo spolupracují s orgány třetích zemí, jsou i nadále plně vázány právem Unie, včetně povinností v oblasti základních práv, požadavků na transparentnost a norem odpovědnosti;</w:t>
            </w:r>
            <w:r>
              <w:t xml:space="preserve"> </w:t>
            </w:r>
            <w:r>
              <w:rPr>
                <w:b/>
                <w:i/>
              </w:rPr>
              <w:t>vyzývá Komisi, aby zajistila, že dohody o spolupráci, provozní ujednání a rámce pro sdílení údajů budou zahrnovat vymahatelné záruky, monitorovací mechanismy a jasné povinnosti podávat zprávy orgánu příslušnému k udělení absolutoria;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připomíná, že nařízení (EU, Euratom) 2023/284</w:t>
            </w:r>
            <w:r>
              <w:rPr>
                <w:vertAlign w:val="superscript"/>
              </w:rPr>
              <w:t>16</w:t>
            </w:r>
            <w:r>
              <w:t xml:space="preserve">stanoví pro všechny decentralizované agentury závazný a ambiciózní rámec pro kybernetickou bezpečnost a povinnost zavést komplexní systém pro řízení kybernetických bezpečnostních rizik, ve všech prostředích IKT používat robustní technická a organizační opatření, postupně přejít na architekturu nulové důvěry, posílit spolupráci se službou CERT-EU a povinně ohlašovat naprosto všechny incidenty; konstatuje, že je stále náročné některé uvedené požadavky splnit vzhledem k různé úrovni připravenosti jednotlivých agentur; zdůrazňuje, že </w:t>
            </w:r>
            <w:r>
              <w:rPr>
                <w:b/>
                <w:i/>
              </w:rPr>
              <w:t>všechny agentury si musí z kybernetického útoku na</w:t>
            </w:r>
            <w:r>
              <w:t xml:space="preserve"> agenturu CEPOL </w:t>
            </w:r>
            <w:r>
              <w:rPr>
                <w:b/>
                <w:i/>
              </w:rPr>
              <w:t>odnést jasné ponaučení a urychlit provádění</w:t>
            </w:r>
            <w:r>
              <w:t xml:space="preserve"> ustanovení </w:t>
            </w:r>
            <w:r>
              <w:rPr>
                <w:b/>
                <w:i/>
              </w:rPr>
              <w:t>o</w:t>
            </w:r>
            <w:r>
              <w:t xml:space="preserve"> kybernetické bezpečnosti </w:t>
            </w:r>
            <w:r>
              <w:rPr>
                <w:b/>
                <w:i/>
              </w:rPr>
              <w:t>podle uvedeného nařízení</w:t>
            </w:r>
            <w:r>
              <w:t>;</w:t>
            </w:r>
          </w:p>
        </w:tc>
        <w:tc>
          <w:tcPr>
            <w:tcW w:w="4876" w:type="dxa"/>
            <w:tcBorders>
              <w:top w:val="nil"/>
              <w:left w:val="nil"/>
              <w:bottom w:val="nil"/>
              <w:right w:val="nil"/>
            </w:tcBorders>
          </w:tcPr>
          <w:p>
            <w:pPr>
              <w:pStyle w:val="Normal6a"/>
            </w:pPr>
            <w:r>
              <w:t>58.</w:t>
            </w:r>
            <w:r>
              <w:tab/>
            </w:r>
            <w:r>
              <w:t>připomíná, že nařízení (EU, Euratom) 2023/284</w:t>
            </w:r>
            <w:r>
              <w:rPr>
                <w:vertAlign w:val="superscript"/>
              </w:rPr>
              <w:t>16</w:t>
            </w:r>
            <w:r>
              <w:t xml:space="preserve"> stanoví pro všechny decentralizované agentury závazný a ambiciózní rámec pro kybernetickou bezpečnost a povinnost zavést komplexní systém pro řízení kybernetických bezpečnostních rizik, ve všech prostředích IKT používat robustní technická a organizační opatření, postupně přejít na architekturu nulové důvěry, posílit spolupráci se službou CERT-EU a povinně ohlašovat naprosto všechny incidenty; konstatuje, že je stále náročné některé uvedené požadavky splnit vzhledem k různé úrovni připravenosti jednotlivých agentur; zdůrazňuje, že </w:t>
            </w:r>
            <w:r>
              <w:rPr>
                <w:b/>
                <w:i/>
              </w:rPr>
              <w:t>kybernetický bezpečnostní incident, který postihl</w:t>
            </w:r>
            <w:r>
              <w:t xml:space="preserve"> agenturu CEPOL</w:t>
            </w:r>
            <w:r>
              <w:rPr>
                <w:b/>
                <w:i/>
              </w:rPr>
              <w:t>, ukazuje systémovou zranitelnost agentur, které nakládají s citlivými údaji;</w:t>
            </w:r>
            <w:r>
              <w:t xml:space="preserve"> </w:t>
            </w:r>
            <w:r>
              <w:rPr>
                <w:b/>
                <w:i/>
              </w:rPr>
              <w:t>vyzývá k tomu, aby ve všech agenturách byla urychleně uplatňována</w:t>
            </w:r>
            <w:r>
              <w:t xml:space="preserve"> ustanovení </w:t>
            </w:r>
            <w:r>
              <w:rPr>
                <w:b/>
                <w:i/>
              </w:rPr>
              <w:t>nařízení (EU, Euratom) 2023/284 týkající se</w:t>
            </w:r>
            <w:r>
              <w:t xml:space="preserve"> kybernetické bezpečnosti </w:t>
            </w:r>
            <w:r>
              <w:rPr>
                <w:b/>
                <w:i/>
              </w:rPr>
              <w:t>a aby IT systémy a systémy pro kontinuitu činností agentur byly pravidelně podrobovány zátěžovým testům</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Nařízení Evropského parlamentu a Rady (EU, Euratom) 2023/2841 ze dne 13. prosince 2023, kterým se stanoví opatření k zajištění vysoké společné úrovně kybernetické bezpečnosti v orgánech, institucích a jiných subjektech Unie (</w:t>
            </w:r>
            <w:r>
              <w:rPr>
                <w:b/>
                <w:i/>
              </w:rPr>
              <w:t>OJ</w:t>
            </w:r>
            <w:r>
              <w:t xml:space="preserve"> L, 2023/2841, 18.12.2023, ELI: http://data.europa.</w:t>
            </w:r>
            <w:r>
              <w:rPr>
                <w:b/>
                <w:i/>
              </w:rPr>
              <w:t>eu/eli/reg/2023/2841/oj</w:t>
            </w:r>
            <w:r>
              <w:t>.</w:t>
            </w:r>
            <w:r>
              <w:rPr>
                <w:b/>
                <w:i/>
              </w:rPr>
              <w:t>).</w:t>
            </w:r>
          </w:p>
        </w:tc>
        <w:tc>
          <w:tcPr>
            <w:tcW w:w="4876" w:type="dxa"/>
            <w:tcBorders>
              <w:top w:val="nil"/>
              <w:left w:val="nil"/>
              <w:bottom w:val="nil"/>
              <w:right w:val="nil"/>
            </w:tcBorders>
          </w:tcPr>
          <w:p>
            <w:pPr>
              <w:pStyle w:val="Normal6a"/>
            </w:pPr>
            <w:r>
              <w:rPr>
                <w:vertAlign w:val="superscript"/>
              </w:rPr>
              <w:t>16</w:t>
            </w:r>
            <w:r>
              <w:t xml:space="preserve"> </w:t>
            </w:r>
            <w:r>
              <w:t>Nařízení Evropského parlamentu a Rady (EU, Euratom) 2023/2841 ze dne 13. prosince 2023, kterým se stanoví opatření k zajištění vysoké společné úrovně kybernetické bezpečnosti v orgánech, institucích a jiných subjektech Unie (</w:t>
            </w:r>
            <w:r>
              <w:rPr>
                <w:b/>
                <w:i/>
              </w:rPr>
              <w:t>Úř. věst.</w:t>
            </w:r>
            <w:r>
              <w:t xml:space="preserve"> L, 2023/2841, 18.12.2023, ELI: http://data.europa.</w:t>
            </w:r>
            <w:r>
              <w:rPr>
                <w:b/>
                <w:i/>
              </w:rPr>
              <w:t>eu/eli/reg/2023/2841/oj)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připomíná, že nařízení (EU, Euratom) 2023/284</w:t>
            </w:r>
            <w:r>
              <w:rPr>
                <w:vertAlign w:val="superscript"/>
              </w:rPr>
              <w:t>16</w:t>
            </w:r>
            <w:r>
              <w:t>stanoví pro všechny decentralizované agentury závazný a ambiciózní rámec pro kybernetickou bezpečnost a povinnost zavést komplexní systém pro řízení kybernetických bezpečnostních rizik, ve všech prostředích IKT používat robustní technická a organizační opatření, postupně přejít na architekturu nulové důvěry, posílit spolupráci se službou CERT-EU a povinně ohlašovat naprosto všechny incidenty; konstatuje, že je stále náročné některé uvedené požadavky splnit vzhledem k různé úrovni připravenosti jednotlivých agentur; zdůrazňuje, že všechny agentury si musí z kybernetického útoku na agenturu CEPOL odnést jasné ponaučení a urychlit provádění ustanovení o kybernetické bezpečnosti podle uvedeného nařízení;</w:t>
            </w:r>
          </w:p>
        </w:tc>
        <w:tc>
          <w:tcPr>
            <w:tcW w:w="4876" w:type="dxa"/>
            <w:tcBorders>
              <w:top w:val="nil"/>
              <w:left w:val="nil"/>
              <w:bottom w:val="nil"/>
              <w:right w:val="nil"/>
            </w:tcBorders>
          </w:tcPr>
          <w:p>
            <w:pPr>
              <w:pStyle w:val="Normal6a"/>
            </w:pPr>
            <w:r>
              <w:t>58.</w:t>
            </w:r>
            <w:r>
              <w:tab/>
            </w:r>
            <w:r>
              <w:t>připomíná, že nařízení (EU, Euratom) 2023/284</w:t>
            </w:r>
            <w:r>
              <w:rPr>
                <w:vertAlign w:val="superscript"/>
              </w:rPr>
              <w:t>16</w:t>
            </w:r>
            <w:r>
              <w:t xml:space="preserve"> stanoví pro všechny decentralizované agentury závazný a ambiciózní rámec pro kybernetickou bezpečnost a povinnost zavést komplexní systém pro řízení kybernetických bezpečnostních rizik </w:t>
            </w:r>
            <w:r>
              <w:rPr>
                <w:b/>
                <w:i/>
              </w:rPr>
              <w:t>pokrývající finanční mechanismy, operační platformy a citlivé údaje</w:t>
            </w:r>
            <w:r>
              <w:t>, ve všech prostředích IKT používat robustní technická a organizační opatření, postupně přejít na architekturu nulové důvěry, posílit spolupráci se službou CERT-EU</w:t>
            </w:r>
            <w:r>
              <w:rPr>
                <w:b/>
                <w:i/>
              </w:rPr>
              <w:t>, s GŘ DIGIT a dalšími relevantními interinstitucionálními orgány</w:t>
            </w:r>
            <w:r>
              <w:t xml:space="preserve"> a povinně ohlašovat naprosto všechny incidenty; konstatuje, že je stále náročné některé uvedené požadavky splnit vzhledem k různé úrovni připravenosti jednotlivých agentur</w:t>
            </w:r>
            <w:r>
              <w:rPr>
                <w:b/>
                <w:i/>
              </w:rPr>
              <w:t>;</w:t>
            </w:r>
            <w:r>
              <w:t xml:space="preserve"> </w:t>
            </w:r>
            <w:r>
              <w:rPr>
                <w:b/>
                <w:i/>
              </w:rPr>
              <w:t>vyzývá agentury, aby pořádaly pravidelná simulační cvičení zaměřená na kybernetické incidenty a aby potvrdily připravenost a koordinační postupy</w:t>
            </w:r>
            <w:r>
              <w:t>; zdůrazňuje, že všechny agentury si musí z kybernetického útoku na agenturu CEPOL odnést jasné ponaučení a urychlit provádění ustanovení o kybernetické bezpečnosti podle uvedeného nařízení;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Nařízení Evropského parlamentu a Rady (EU, Euratom) 2023/2841 ze dne 13. prosince 2023, kterým se stanoví opatření k zajištění vysoké společné úrovně kybernetické bezpečnosti v orgánech, institucích a jiných subjektech Unie (</w:t>
            </w:r>
            <w:r>
              <w:rPr>
                <w:b/>
                <w:i/>
              </w:rPr>
              <w:t>OJ</w:t>
            </w:r>
            <w:r>
              <w:t xml:space="preserve"> L, 2023/2841, 18.12.2023, ELI: http://data.europa.</w:t>
            </w:r>
            <w:r>
              <w:rPr>
                <w:b/>
                <w:i/>
              </w:rPr>
              <w:t>eu/eli/reg/2023/2841/oj</w:t>
            </w:r>
            <w:r>
              <w:t>.</w:t>
            </w:r>
            <w:r>
              <w:rPr>
                <w:b/>
                <w:i/>
              </w:rPr>
              <w:t>).</w:t>
            </w:r>
          </w:p>
        </w:tc>
        <w:tc>
          <w:tcPr>
            <w:tcW w:w="4876" w:type="dxa"/>
            <w:tcBorders>
              <w:top w:val="nil"/>
              <w:left w:val="nil"/>
              <w:bottom w:val="nil"/>
              <w:right w:val="nil"/>
            </w:tcBorders>
          </w:tcPr>
          <w:p>
            <w:pPr>
              <w:pStyle w:val="Normal6a"/>
            </w:pPr>
            <w:r>
              <w:rPr>
                <w:vertAlign w:val="superscript"/>
              </w:rPr>
              <w:t>16</w:t>
            </w:r>
            <w:r>
              <w:t xml:space="preserve"> </w:t>
            </w:r>
            <w:r>
              <w:t>Nařízení Evropského parlamentu a Rady (EU, Euratom) 2023/2841 ze dne 13. prosince 2023, kterým se stanoví opatření k zajištění vysoké společné úrovně kybernetické bezpečnosti v orgánech, institucích a jiných subjektech Unie (</w:t>
            </w:r>
            <w:r>
              <w:rPr>
                <w:b/>
                <w:i/>
              </w:rPr>
              <w:t>Úř. věst.</w:t>
            </w:r>
            <w:r>
              <w:t xml:space="preserve"> L, 2023/2841, 18.12.2023, ELI: http://data.europa.</w:t>
            </w:r>
            <w:r>
              <w:rPr>
                <w:b/>
                <w:i/>
              </w:rPr>
              <w:t>eu/eli/reg/2023/2841/oj)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58a.</w:t>
            </w:r>
            <w:r>
              <w:tab/>
            </w:r>
            <w:r>
              <w:rPr>
                <w:b/>
                <w:i/>
              </w:rPr>
              <w:t>vyzývá agentury, aby posílily kapacity pro monitorování a odhalování hrozeb v reálném čase s cílem minimalizovat expozici a dobu reakce v případě kybernetických útoků;</w:t>
            </w:r>
            <w:r>
              <w:t xml:space="preserve"> </w:t>
            </w:r>
            <w:r>
              <w:rPr>
                <w:b/>
                <w:i/>
              </w:rPr>
              <w:t>vybízí agentury, aby pro zaměstnance zavedly programy pro průběžné zvyšování informovanosti a školení v oblasti kybernetické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bere na vědomí nedostatečné zastoupení mužů mezi zaměstnanci institutu EIGE, které činí pouze 29 %, a ve správní radě je toto zastoupení na úrovni 21 % (8 mužů), a vybízí institut EIGE, aby při budoucím náboru zaměstnanců zajistil vyváženější zastoupení žen a mužů;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bere na vědomí připomínky Účetního dvora k řídicím a kontrolním systémům institutu EIGE, které se týkaly mj.</w:t>
            </w:r>
            <w:r>
              <w:rPr>
                <w:b/>
                <w:i/>
              </w:rPr>
              <w:t>:</w:t>
            </w:r>
          </w:p>
        </w:tc>
        <w:tc>
          <w:tcPr>
            <w:tcW w:w="4876" w:type="dxa"/>
            <w:tcBorders>
              <w:top w:val="nil"/>
              <w:left w:val="nil"/>
              <w:bottom w:val="nil"/>
              <w:right w:val="nil"/>
            </w:tcBorders>
          </w:tcPr>
          <w:p>
            <w:pPr>
              <w:pStyle w:val="Normal6a"/>
            </w:pPr>
            <w:r>
              <w:t>59.</w:t>
            </w:r>
            <w:r>
              <w:tab/>
            </w:r>
            <w:r>
              <w:t xml:space="preserve">bere na vědomí připomínky Účetního dvora k řídicím a kontrolním systémům institutu EIGE, které se týkaly mj. </w:t>
            </w:r>
            <w:r>
              <w:rPr>
                <w:b/>
                <w:i/>
              </w:rPr>
              <w:t>nepřiměřených a omezujících kritérií v zadávacím řízení z roku 2024 na úklidové služby, nedostatků ve dvou posouzeních zadávacích řízení způsobených nedostatečnými požadavky na doklady a chabého dohledu nad třemi smlouvami založenými na „využití času a prostředků“, v jejichž případě nebyly ověřeny odpracované dny a hrozilo riziko přeplatku;</w:t>
            </w:r>
            <w:r>
              <w:t xml:space="preserve"> </w:t>
            </w:r>
            <w:r>
              <w:rPr>
                <w:b/>
                <w:i/>
              </w:rPr>
              <w:t>bere na vědomí závazek institutu EIGE posílit předběžné kontroly;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 – odrážka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nesrovnalostí v zadávání veřejných zakázek:</w:t>
            </w:r>
            <w:r>
              <w:t xml:space="preserve"> </w:t>
            </w:r>
            <w:r>
              <w:rPr>
                <w:b/>
                <w:i/>
              </w:rPr>
              <w:t>poukazuje na to, že institut EIGE v roce 2024 uplatňoval v zadávacím řízení na úklidové služby nadměrné požadavky na finanční způsobilost a restriktivní kritéria výběru, což podle Účetního dvora mohlo potenciální uchazeče od účasti v nabídkovém řízení odradit nebo jim v účasti i zcela zabránit;</w:t>
            </w:r>
            <w:r>
              <w:t xml:space="preserve"> </w:t>
            </w:r>
            <w:r>
              <w:rPr>
                <w:b/>
                <w:i/>
              </w:rPr>
              <w:t>bere na vědomí, že institut EIGE zdůrazňuje, že restriktivní kritéria požadovaly smluvní orgány (Komise a Parlament) a že si na výběrová kritéria nestěžovali žádní potenciální uchazeči;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 – odrážka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nedostatečného hodnocení nabídek:</w:t>
            </w:r>
            <w:r>
              <w:t xml:space="preserve"> </w:t>
            </w:r>
            <w:r>
              <w:rPr>
                <w:b/>
                <w:i/>
              </w:rPr>
              <w:t>konstatuje, že u dvou zadávacích řízení (s hodnotou 220 000 EUR a 193 175 EUR) hodnotící komise institutu EIGE řádně neposoudily schopnost uchazečů řídit týmy odborníků, protože institut EIGE ve specifikacích pro nabídky nepožadoval, aby uchazeči předložili příslušné důkazní informace, a hrozilo tedy, že služby nebudou řádně poskytovány;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nedostatečného dohledu nad smlouvami:</w:t>
            </w:r>
            <w:r>
              <w:t xml:space="preserve"> </w:t>
            </w:r>
            <w:r>
              <w:rPr>
                <w:b/>
                <w:i/>
              </w:rPr>
              <w:t>bere na vědomí, že institut EIGE uhradil faktury vystavené na základě smluv založených na „využitém čase a prostředcích“, aniž by ověřil skutečně odpracované dny, čímž porušil čl. 45 odst. 5 svého finančního nařízení, a vystavil se tak riziku přeplacení;</w:t>
            </w:r>
            <w:r>
              <w:t xml:space="preserve"> </w:t>
            </w:r>
            <w:r>
              <w:rPr>
                <w:b/>
                <w:i/>
              </w:rPr>
              <w:t>konstatuje, že institut EIGE odpovídajícím způsobem posílí kontroly ex ante;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60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bere na vědomí zjištění Účetního dvora týkající se agentury eu-LISA, z nichž většina se týká nesrovnalostí při zadávání veřejných zakázek </w:t>
            </w:r>
            <w:r>
              <w:rPr>
                <w:b/>
                <w:i/>
              </w:rPr>
              <w:t>zahájených v</w:t>
            </w:r>
            <w:r>
              <w:t xml:space="preserve"> předchozích </w:t>
            </w:r>
            <w:r>
              <w:rPr>
                <w:b/>
                <w:i/>
              </w:rPr>
              <w:t>letech</w:t>
            </w:r>
            <w:r>
              <w:t>, které vedly k neoprávněným platbám v roce 2024</w:t>
            </w:r>
            <w:r>
              <w:rPr>
                <w:b/>
                <w:i/>
              </w:rPr>
              <w:t>, mezi něž patří:</w:t>
            </w:r>
          </w:p>
        </w:tc>
        <w:tc>
          <w:tcPr>
            <w:tcW w:w="4876" w:type="dxa"/>
            <w:tcBorders>
              <w:top w:val="nil"/>
              <w:left w:val="nil"/>
              <w:bottom w:val="nil"/>
              <w:right w:val="nil"/>
            </w:tcBorders>
          </w:tcPr>
          <w:p>
            <w:pPr>
              <w:pStyle w:val="Normal6a"/>
            </w:pPr>
            <w:r>
              <w:t>60.</w:t>
            </w:r>
            <w:r>
              <w:tab/>
            </w:r>
            <w:r>
              <w:t xml:space="preserve">bere na vědomí zjištění Účetního dvora týkající se agentury eu-LISA, z nichž většina se týká nesrovnalostí při zadávání veřejných zakázek </w:t>
            </w:r>
            <w:r>
              <w:rPr>
                <w:b/>
                <w:i/>
              </w:rPr>
              <w:t>při použití</w:t>
            </w:r>
            <w:r>
              <w:t xml:space="preserve"> předchozích </w:t>
            </w:r>
            <w:r>
              <w:rPr>
                <w:b/>
                <w:i/>
              </w:rPr>
              <w:t>postupů</w:t>
            </w:r>
            <w:r>
              <w:t xml:space="preserve">, které vedly k neoprávněným platbám v roce 2024 </w:t>
            </w:r>
            <w:r>
              <w:rPr>
                <w:b/>
                <w:i/>
              </w:rPr>
              <w:t>poukazuje zejména na nesprávné jednací řízení týkající se pronájmu prostor ve Štrasburku, kdy byla kritéria pro zadání zakázky sjednána znovu a prostory neodpovídaly specifikacím (850 000 EUR);</w:t>
            </w:r>
            <w:r>
              <w:t xml:space="preserve"> </w:t>
            </w:r>
            <w:r>
              <w:rPr>
                <w:b/>
                <w:i/>
              </w:rPr>
              <w:t>na změny ve finančních nabídkách uchazečů v řízení týkajícím se elektroinstalaci a stavebních pracích, které vedly k nesprávné smlouvě (150 000 EUR);</w:t>
            </w:r>
            <w:r>
              <w:t xml:space="preserve"> </w:t>
            </w:r>
            <w:r>
              <w:rPr>
                <w:b/>
                <w:i/>
              </w:rPr>
              <w:t>na změny cenových aspektů nad rámec toho, co umožňuje článek 151 finančního nařízení, s dopadem na zadávání zakázek (1,4 milionu EUR);</w:t>
            </w:r>
            <w:r>
              <w:t xml:space="preserve"> </w:t>
            </w:r>
            <w:r>
              <w:rPr>
                <w:b/>
                <w:i/>
              </w:rPr>
              <w:t>na obavy týkající se znovu zahájeného výběrového řízení týkajícího se monitorování a údržby systému VIS, kdy vítězná nabídka (47,8 milionu EUR) byla nepřiměřeně nižší než nabídka konkurentů a zahrnovala značná provozní a smluvní rizika;</w:t>
            </w:r>
            <w:r>
              <w:t xml:space="preserve"> </w:t>
            </w:r>
            <w:r>
              <w:rPr>
                <w:b/>
                <w:i/>
              </w:rPr>
              <w:t>na nevyřešený spor o náklady na údržbu systému vstupu/výstupu (EES), který údržba nebyla pokryta a vedl k tomu, že agentura eu-LISA zaplatila 5,3 milionu EUR v roce 2023 a 1,3 milionu EUR v roce 2024 na poplatcích za obnovení, které měl podle jeho názoru nést dodavatel;</w:t>
            </w:r>
            <w:r>
              <w:t xml:space="preserve"> </w:t>
            </w:r>
            <w:r>
              <w:rPr>
                <w:b/>
                <w:i/>
              </w:rPr>
              <w:t>vyjadřuje politování nad tím, že do konce roku 2024 nebyl zahájen soudní spor;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60 – odrážka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nesrovnalosti v jednacím řízení zahájeném v roce 2019 a ukončeném v roce 2020 v souvislosti s pronájmem prostor ve Štrasburku, kde podlahová plocha a počet pracovišť byly nižší než potřeby stanovené ve specifikaci pro nabídky, a přestože kvalita nabídky byla vyhodnocena jako velmi nízká, nebyla zamítnuta;</w:t>
            </w:r>
            <w:r>
              <w:t xml:space="preserve"> </w:t>
            </w:r>
            <w:r>
              <w:rPr>
                <w:b/>
                <w:i/>
              </w:rPr>
              <w:t>dále konstatuje, že kromě toho byla kritéria pro udělení zakázky následně dohodnuta s uchazečem, což je v rozporu s čl. 167 odst. 3 a bodem 6.5 přílohy I finančního nařízení;</w:t>
            </w:r>
            <w:r>
              <w:t xml:space="preserve"> </w:t>
            </w:r>
            <w:r>
              <w:rPr>
                <w:b/>
                <w:i/>
              </w:rPr>
              <w:t>upozorňuje na to, že jednací řízení a výsledná nájemní smlouva jsou proto nesprávné, stejně jako související platby, které v roce 2024 činily 850 000 EUR;</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60 – odrážka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úpravy finanční nabídky uchazečů během zadávacího řízení na dodávky elektrických a stavebních prací ve Štrasburku, které měly dopad na výsledek řízení a vedly k tomu, že smlouva je nesprávná, stejně jako související platby, které v roce 2024 činily 150 000 EUR;</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60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změny v cenových aspektech finančních nabídek nad rámec oprav povolených podle článku 151 finančního nařízení, které rozhodujícím způsobem ovlivnily výsledek nabídkového řízení a vedly k tomu, že smlouvy jsou nesprávné, stejně jako související platby, které v roce 2024 činily 1,4 milionu EUR;</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60 – odrážka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obnovení soutěže na služby monitorování a údržby v souvislosti s Vízovým informačním systémem;</w:t>
            </w:r>
            <w:r>
              <w:t xml:space="preserve"> </w:t>
            </w:r>
            <w:r>
              <w:rPr>
                <w:b/>
                <w:i/>
              </w:rPr>
              <w:t>je znepokojen skutečností, že nabídka vítězného uchazeče (47,8 milionu EUR) byla pětkrát nižší než druhá nejlevnější nabídka (243,4 milionu EUR) a padesátkrát nižší než nejdražší nabídka (2,4 miliardy EUR), což vyvolává pochybnosti ohledně její platnosti;</w:t>
            </w:r>
            <w:r>
              <w:t xml:space="preserve"> </w:t>
            </w:r>
            <w:r>
              <w:rPr>
                <w:b/>
                <w:i/>
              </w:rPr>
              <w:t>upozorňuje na skutečnost, že agentura eu‑LISA zřídila pracovní skupinu, která měla toto obnovení soutěže přezkoumat a která potvrdila hodnocení finančních úředníků, ale informovala o provozních a smluvních rizicích spojených se skutečností, že agentura by musela zaplatit většinu smluvní ceny předem;</w:t>
            </w:r>
            <w:r>
              <w:t xml:space="preserve"> </w:t>
            </w:r>
            <w:r>
              <w:rPr>
                <w:b/>
                <w:i/>
              </w:rPr>
              <w:t>zdůrazňuje, že Účetní dvůr považuje toto riziko za významné;</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60 – odrážka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připomíná, že v důsledku zpoždění při zavádění Systému vstupu/výstupu (EES) vznikl spor s dodavatelem, který odmítl pokrýt dodatečné náklady na údržbu některých produktů IT, což vedlo k tomu, že v období od listopadu 2022 do dubna 2023 nebyla údržba pokryta a agentura eu-LISA byla vystavena provozním rizikům;</w:t>
            </w:r>
            <w:r>
              <w:t xml:space="preserve"> </w:t>
            </w:r>
            <w:r>
              <w:rPr>
                <w:b/>
                <w:i/>
              </w:rPr>
              <w:t>připomíná, že v zájmu řešení bezprostředního rizika pro kontinuitu činnosti agentura eu-LISA v roce 2023 změnila rámcovou smlouvu o průřezových operacích tak, aby zahrnovala náklady na poplatky za obnovu údržby, což jsou sankce uplatňované v případě, že údržba není provedena včas, a následně zaplatila náklady na obnovu údržby softwaru a související poplatky za obnovu, které podle výkladu agentury měl nést dodavatel systému EES, a to 5,3 milionu EUR v roce 2023 a 1,3 milionu EUR v roce 2024;</w:t>
            </w:r>
            <w:r>
              <w:t xml:space="preserve"> </w:t>
            </w:r>
            <w:r>
              <w:rPr>
                <w:b/>
                <w:i/>
              </w:rPr>
              <w:t>dále připomíná, že navzdory výši sporných částek a přetrvávajícímu otevřenému stavu připomínky Účetního dvora nezahájila agentura eu-LISA do konce roku 2024 soudní řízení proti dodavateli systému EES;</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t>uznává, že agentura eu-LISA čelí značným výzvám</w:t>
            </w:r>
            <w:r>
              <w:rPr>
                <w:b/>
                <w:i/>
              </w:rPr>
              <w:t>, a</w:t>
            </w:r>
            <w:r>
              <w:t xml:space="preserve"> zdůrazňuje, že </w:t>
            </w:r>
            <w:r>
              <w:rPr>
                <w:b/>
                <w:i/>
              </w:rPr>
              <w:t>je nezbytné zvýšit počet jejích</w:t>
            </w:r>
            <w:r>
              <w:t xml:space="preserve"> zaměstnanců</w:t>
            </w:r>
            <w:r>
              <w:rPr>
                <w:b/>
                <w:i/>
              </w:rPr>
              <w:t>, aby bylo možné tyto výzvy</w:t>
            </w:r>
            <w:r>
              <w:t xml:space="preserve"> účinně </w:t>
            </w:r>
            <w:r>
              <w:rPr>
                <w:b/>
                <w:i/>
              </w:rPr>
              <w:t>řešit a zajistit kontinuitu jejího provozu, a že je na takové opatření třeba zajistit odpovídající finanční prostředky</w:t>
            </w:r>
            <w:r>
              <w:t>;</w:t>
            </w:r>
          </w:p>
        </w:tc>
        <w:tc>
          <w:tcPr>
            <w:tcW w:w="4876" w:type="dxa"/>
            <w:tcBorders>
              <w:top w:val="nil"/>
              <w:left w:val="nil"/>
              <w:bottom w:val="nil"/>
              <w:right w:val="nil"/>
            </w:tcBorders>
          </w:tcPr>
          <w:p>
            <w:pPr>
              <w:pStyle w:val="Normal6a"/>
            </w:pPr>
            <w:r>
              <w:t>62.</w:t>
            </w:r>
            <w:r>
              <w:tab/>
            </w:r>
            <w:r>
              <w:t>uznává, že agentura eu-LISA čelí značným výzvám</w:t>
            </w:r>
            <w:r>
              <w:rPr>
                <w:b/>
                <w:i/>
              </w:rPr>
              <w:t>;</w:t>
            </w:r>
            <w:r>
              <w:t xml:space="preserve"> </w:t>
            </w:r>
            <w:r>
              <w:rPr>
                <w:b/>
                <w:i/>
              </w:rPr>
              <w:t>konstatuje však, že Účetní dvůr zjistil přetrvávající a systémové nesrovnalosti při zadávání veřejných zakázek v operacích agentury eu-LISA;</w:t>
            </w:r>
            <w:r>
              <w:t xml:space="preserve"> zdůrazňuje, že </w:t>
            </w:r>
            <w:r>
              <w:rPr>
                <w:b/>
                <w:i/>
              </w:rPr>
              <w:t>před schválením a financováním dalších</w:t>
            </w:r>
            <w:r>
              <w:t xml:space="preserve"> zaměstnanců </w:t>
            </w:r>
            <w:r>
              <w:rPr>
                <w:b/>
                <w:i/>
              </w:rPr>
              <w:t>musí agentura nejprve prokázat, že vyřešila strukturální nedostatky zjištěné Účetním dvorem a že stávající zdroje jsou využívány</w:t>
            </w:r>
            <w:r>
              <w:t xml:space="preserve"> účinně;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vítá skutečnost, že mechanismy operativních pracovních skupin a společných vyšetřovacích týmů Europolu přispěly k prolomení zašifrované komunikační platformy Matrix, což dokazuje jejich doplňující se, avšak odlišnou úlohu v boji proti nadnárodní organizované trestné činnosti; konstatuje, že operace byla zahájena v červnu 2024 v rámci operativní pracovní skupiny zahrnující Nizozemsko, Francii, Litvu, Itálii a Španělsko, což usnadnilo sdílení zpravodajských informací a monitorování trestné činnosti; zdůrazňuje, že přechod na společné vyšetřovací týmy v rámci Eurojustu umožnil formální koordinaci vyšetřování a vedl k zatýkání, zajištění věcí a dešifrování 2,3 milionu zpráv ve 33 jazycích; konstatuje, že německé orgány zajišťovaly technickou podporu a na vyšetřování spolupracovaly španělská, francouzská a nizozemská policie; je toho názoru, že tento případ dokládá účinnost přeshraniční spolupráce při rozbíjení nezákonných sítí a potřebu trvalých investic do kapacit v oblasti vymáhání práva, díky nimž bude možné reagovat na vyvíjející se taktiku používanou při trestné činnosti;</w:t>
            </w:r>
          </w:p>
        </w:tc>
        <w:tc>
          <w:tcPr>
            <w:tcW w:w="4876" w:type="dxa"/>
            <w:tcBorders>
              <w:top w:val="nil"/>
              <w:left w:val="nil"/>
              <w:bottom w:val="nil"/>
              <w:right w:val="nil"/>
            </w:tcBorders>
          </w:tcPr>
          <w:p>
            <w:pPr>
              <w:pStyle w:val="Normal6a"/>
            </w:pPr>
            <w:r>
              <w:t>70.</w:t>
            </w:r>
            <w:r>
              <w:tab/>
            </w:r>
            <w:r>
              <w:t xml:space="preserve">vítá skutečnost, že mechanismy operativních pracovních skupin a společných vyšetřovacích týmů Europolu přispěly k prolomení zašifrované komunikační platformy Matrix, což dokazuje jejich doplňující se, avšak odlišnou úlohu v boji proti nadnárodní organizované trestné činnosti; konstatuje, že operace byla zahájena v červnu 2024 v rámci operativní pracovní skupiny zahrnující Nizozemsko, Francii, Litvu, Itálii a Španělsko, což usnadnilo sdílení zpravodajských informací a monitorování trestné činnosti; zdůrazňuje, že přechod na společné vyšetřovací týmy v rámci Eurojustu umožnil formální koordinaci vyšetřování a vedl k zatýkání, zajištění věcí a dešifrování 2,3 milionu zpráv ve 33 jazycích; konstatuje, že německé orgány zajišťovaly technickou podporu a na vyšetřování spolupracovaly španělská, francouzská a nizozemská policie; je toho názoru, že tento případ dokládá účinnost přeshraniční spolupráce při rozbíjení nezákonných sítí a potřebu trvalých investic do kapacit v oblasti vymáhání práva, díky nimž bude možné reagovat na vyvíjející se taktiku používanou při trestné činnosti; </w:t>
            </w:r>
            <w:r>
              <w:rPr>
                <w:b/>
                <w:i/>
              </w:rPr>
              <w:t>zdůrazňuje a vítá pozitivní výsledky agentur, které organizují spolupráci mezi členskými státy;</w:t>
            </w:r>
            <w:r>
              <w:t xml:space="preserve"> </w:t>
            </w:r>
            <w:r>
              <w:rPr>
                <w:b/>
                <w:i/>
              </w:rPr>
              <w:t> na druhé straně vyjadřuje politování nad tím, že většina agentur zaujímá vůči členským státům preskriptivní, technokratický a centralizující přístup shora dolů;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71.</w:t>
            </w:r>
            <w:r>
              <w:tab/>
            </w:r>
            <w:r>
              <w:t>bere na vědomí zprávu Agentury Evropské unie pro otázky azylu (EUAA) ze dne 31. října 2025 o stavu provádění nápravných opatření, která byla dohodnuta mezi výkonnou ředitelkou a správní radou v návaznosti na usnesení Parlamentu; konstatuje, že správní rada se připomínkami Parlamentu zabývá v souladu se svými postupy a na své schůzi v listopadu 2025 přezkoumá pokrok, pokud jde o zbývající opatření;</w:t>
            </w:r>
          </w:p>
        </w:tc>
        <w:tc>
          <w:tcPr>
            <w:tcW w:w="4876" w:type="dxa"/>
            <w:tcBorders>
              <w:top w:val="nil"/>
              <w:left w:val="nil"/>
              <w:bottom w:val="nil"/>
              <w:right w:val="nil"/>
            </w:tcBorders>
          </w:tcPr>
          <w:p>
            <w:pPr>
              <w:pStyle w:val="Normal6a"/>
            </w:pPr>
            <w:r>
              <w:t>71.</w:t>
            </w:r>
            <w:r>
              <w:tab/>
            </w:r>
            <w:r>
              <w:t xml:space="preserve">bere na vědomí zprávu Agentury Evropské unie pro otázky azylu (EUAA) ze dne 31. října 2025 o stavu provádění nápravných opatření, která byla dohodnuta mezi výkonnou ředitelkou a správní radou v návaznosti na usnesení Parlamentu; konstatuje, že správní rada se připomínkami Parlamentu zabývá v souladu se svými postupy a na své schůzi v listopadu 2025 přezkoumá pokrok, pokud jde o zbývající opatření; </w:t>
            </w:r>
            <w:r>
              <w:rPr>
                <w:b/>
                <w:i/>
              </w:rPr>
              <w:t>naléhavě vyzývá agenturu, aby plně objasnila všechny otevřené otázky, prováděla doporučení úřadu OLAF důvěryhodným a transparentním způsobem a aby zavedla spolehlivé mechanismy vnitřní kontroly, etického dohledu a odpovědnosti;</w:t>
            </w:r>
            <w:r>
              <w:t xml:space="preserve"> </w:t>
            </w:r>
            <w:r>
              <w:rPr>
                <w:b/>
                <w:i/>
              </w:rPr>
              <w:t>vyzývá agenturu, aby bez zbytečného odkladu informovala orgán příslušný k udělení absolutoria o krocích, které k řešení uvedených záležitostí učinila;</w:t>
            </w:r>
            <w:r>
              <w:t xml:space="preserve"> </w:t>
            </w:r>
            <w:r>
              <w:rPr>
                <w:b/>
                <w:i/>
              </w:rPr>
              <w:t>zdůrazňuje, že je naléhavě nutné, aby agentura EUAA podporovala členské státy v opatřeních k předcházení nelegální migraci a účinnému zpracování rozhodnutí o navrácení;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71.</w:t>
            </w:r>
            <w:r>
              <w:tab/>
            </w:r>
            <w:r>
              <w:t>bere na vědomí zprávu Agentury Evropské unie pro otázky azylu (EUAA) ze dne 31. října 2025 o stavu provádění nápravných opatření, která byla dohodnuta mezi výkonnou ředitelkou a správní radou v návaznosti na usnesení Parlamentu; konstatuje, že správní rada se připomínkami Parlamentu zabývá v souladu se svými postupy a na své schůzi v listopadu 2025 přezkoumá pokrok, pokud jde o zbývající opatření;</w:t>
            </w:r>
          </w:p>
        </w:tc>
        <w:tc>
          <w:tcPr>
            <w:tcW w:w="4876" w:type="dxa"/>
            <w:tcBorders>
              <w:top w:val="nil"/>
              <w:left w:val="nil"/>
              <w:bottom w:val="nil"/>
              <w:right w:val="nil"/>
            </w:tcBorders>
          </w:tcPr>
          <w:p>
            <w:pPr>
              <w:pStyle w:val="Normal6a"/>
            </w:pPr>
            <w:r>
              <w:t>71.</w:t>
            </w:r>
            <w:r>
              <w:tab/>
            </w:r>
            <w:r>
              <w:t xml:space="preserve">bere na vědomí zprávu Agentury Evropské unie pro otázky azylu (EUAA) ze dne 31. října 2025 o stavu provádění nápravných opatření, která byla dohodnuta mezi výkonnou ředitelkou a správní radou v návaznosti na usnesení Parlamentu; </w:t>
            </w:r>
            <w:r>
              <w:rPr>
                <w:b/>
                <w:i/>
              </w:rPr>
              <w:t>vítá skutečnost, že agentura EUAA po několika letech konečně ukončila své nájemní smlouvy na prostory na ostrově Lesbos a v Římě, které Evropský účetní dvůr již od roku 2014 považoval za nesprávné a které jen v roce 2023 stále stály 123 800 EUR a poté, v roce 2024, již nevedly k dalším nákladům;</w:t>
            </w:r>
            <w:r>
              <w:t xml:space="preserve"> </w:t>
            </w:r>
            <w:r>
              <w:rPr>
                <w:b/>
                <w:i/>
              </w:rPr>
              <w:t>opakuje své znepokojení nad anomálií a finančními ztrátami způsobenými tak dlouhým zpožděním při řešení tohoto dlouhodobého problému, neboť tyto finanční prostředky mohly být přiděleny odlišně, zejména v souvislosti s činností agentury v rámci boje proti nedovolenému přistěhovalectví;</w:t>
            </w:r>
            <w:r>
              <w:t xml:space="preserve"> konstatuje, že správní rada se připomínkami Parlamentu zabývá v souladu se svými postupy a na své schůzi v listopadu 2025 přezkoumá pokrok, pokud jde o zbývající opatření;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72a.</w:t>
            </w:r>
            <w:r>
              <w:tab/>
            </w:r>
            <w:r>
              <w:rPr>
                <w:b/>
                <w:i/>
              </w:rPr>
              <w:t>zdůrazňuje, že uzavření vyšetřování úřadu OLAF samo o sobě nepředstavuje vyřešení správních nedostatků;</w:t>
            </w:r>
            <w:r>
              <w:t xml:space="preserve"> </w:t>
            </w:r>
            <w:r>
              <w:rPr>
                <w:b/>
                <w:i/>
              </w:rPr>
              <w:t>opakuje, že orgán příslušný k udělení absolutoria si ponechává plné právo dohledu, dokud nebudou plně odstraněny a ověřeny strukturální nedostatky v řízení, transparentnosti a řešení střetů zájmů;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73a.</w:t>
            </w:r>
            <w:r>
              <w:tab/>
            </w:r>
            <w:r>
              <w:rPr>
                <w:b/>
                <w:i/>
              </w:rPr>
              <w:t>zdůrazňuje, že výběr nevládních organizací nebo odborníků z řad občanské společnosti zapojených do diskusí v agenturách musí odrážet rovnováhu politických sil v Evropském parlamentu (EUAA);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73a.</w:t>
            </w:r>
            <w:r>
              <w:tab/>
            </w:r>
            <w:r>
              <w:rPr>
                <w:b/>
                <w:i/>
              </w:rPr>
              <w:t>vyhrazuje si právo podmínit nebo odložit budoucí rozhodnutí o udělení absolutoria, pokud agentury v návaznosti na závažná zjištění neprovedou úplné a ověřitelné strukturální reformy;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73a.</w:t>
            </w:r>
            <w:r>
              <w:tab/>
            </w:r>
            <w:r>
              <w:rPr>
                <w:b/>
                <w:i/>
              </w:rPr>
              <w:t>konstatuje, že v květnu 2025 bylo udělení absolutoria agentuře EUAA odloženo z důvodu „velmi znepokojivých“ zjištění Evropského úřadu pro boj proti podvodům (OLAF) týkajících se správy a stability;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73b.</w:t>
            </w:r>
            <w:r>
              <w:tab/>
            </w:r>
            <w:r>
              <w:rPr>
                <w:b/>
                <w:i/>
              </w:rPr>
              <w:t>konstatuje, že vrcholné vedení agentury EUAA obcházelo služební řád s cílem povýšit na vedoucí pozice osoby z „okruhu přátel“, jak bylo zjištěno při důvěrném šetření úřadu OLAF;</w:t>
            </w:r>
            <w:r>
              <w:t xml:space="preserve"> </w:t>
            </w:r>
            <w:r>
              <w:rPr>
                <w:b/>
                <w:i/>
              </w:rPr>
              <w:t>poukazuje na to, že vyšetřovatelé úřadu OLAF konstatovali, že tyto náborové postupy jsou v rozporu se služebním řádem EU a že vedení je obviňováno z obcházení zavedených postupů a ignorování interních doporučení</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https://www.politico.eu/article/eu-asylum-agency-bosses-promotions-watchdog-probe/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75 – podbod v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trvá na tom, že agentura Frontex má povinnosti v oblasti lidských práv podle Listiny základních práv EU, nařízení o agentuře Frontex z roku 2019 a akčního plánu samotné agentury týkajícího se základních práv;</w:t>
            </w:r>
            <w:r>
              <w:t xml:space="preserve"> </w:t>
            </w:r>
            <w:r>
              <w:rPr>
                <w:b/>
                <w:i/>
              </w:rPr>
              <w:t>zdůrazňuje, že mezinárodní právo v oblasti lidských práv ukládá agentuře Frontex povinnost zdržet se přímého porušování lidských práv jakékoli osoby a ani nepřímo, jinde nevystavovat žádnou osobu závažnému porušování těchto práv, např. mučení;</w:t>
            </w:r>
            <w:r>
              <w:t xml:space="preserve"> </w:t>
            </w:r>
            <w:r>
              <w:rPr>
                <w:b/>
                <w:i/>
              </w:rPr>
              <w:t>naléhavě proto vyzývá agenturu, aby přijala opatření ke zmírnění rizik v oblasti lidských práv spojených se shromažďováním zpravodajských informací a správou hranic;</w:t>
            </w:r>
            <w:r>
              <w:t xml:space="preserve"> </w:t>
            </w:r>
            <w:r>
              <w:rPr>
                <w:b/>
                <w:i/>
              </w:rPr>
              <w:t>dále připomíná, že agentura Frontex je rovněž povinna chránit právo na život, mimo jiné pozitivními opatřeními, jejichž cílem je předcházení ztrátám na životech v případě předvídatelných hrozeb a život ohrožujících situací</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https://www.hrw.org/news/2025/04/14/eu-border-agency-use-aerial-surveillance-save-lives-sea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75 – podbod v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vyzývá agenturu FRONTEX, aby posílila plánování a plnění rozpočtu s cílem zajistit dodržování zásady ročního rozpočtu;</w:t>
            </w:r>
            <w:r>
              <w:t xml:space="preserve"> </w:t>
            </w:r>
            <w:r>
              <w:rPr>
                <w:b/>
                <w:i/>
              </w:rPr>
              <w:t>zdůrazňuje, že rozsah a složitost mandátu agentury vyžadují spolehlivé vnitřní mechanismy, a vyzývá agenturu, aby posílila dohled nad postupy zadávání veřejných zakázek a správy smluv;</w:t>
            </w:r>
            <w:r>
              <w:t xml:space="preserve"> </w:t>
            </w:r>
            <w:r>
              <w:rPr>
                <w:b/>
                <w:i/>
              </w:rPr>
              <w:t>vybízí agenturu FRONTEX, aby posílila postupy navazující na zjištění auditu a aby orgánu příslušnému k udělení absolutoria podávala zprávy o měřitelném pokroku;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75 – podbod v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vb)</w:t>
            </w:r>
            <w:r>
              <w:tab/>
            </w:r>
            <w:r>
              <w:rPr>
                <w:b/>
                <w:i/>
              </w:rPr>
              <w:t>trvá na tom, aby změny v mandátu a rozpočtu agentury Frontex vedly k posílení, nikoli k oslabení jejích lidskoprávních norem a její transparentnosti a odpovědnosti;</w:t>
            </w:r>
            <w:r>
              <w:t xml:space="preserve"> </w:t>
            </w:r>
            <w:r>
              <w:rPr>
                <w:b/>
                <w:i/>
              </w:rPr>
              <w:t>současně trvá na tom, aby současně bylo zajištěno i to, aby poskytování prostředků a služeb agentury Frontex členským státům bylo podmíněno širokou definicí tísně, spoluprací s humanitárními organizacemi a monitorováním situací osob v tísni a záchranných operací;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75 – podbod v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vyzývá Eurojust, aby budoucí rozpočtové potřeby sdílel s Komisí, pokud jde o budoucí rozšíření jeho mandátu, a naléhavě vyzývá k poskytnutí odpovídajících finančních prostředků a odpovídajícího personálu s cílem řešit toto rozšíření mandátu;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se znepokojením konstatuje, že Evropský orgán pro pracovní záležitosti se při plnění hlavních provozních a finančních funkcí nadále nadměrně spoléhá na dočasné pracovníky, vyslané národní odborníky a dočasné zaměstnance; konstatuje, že na konci roku 2022 představovali dočasní pracovníci 58 % pracovní síly tohoto orgánu a navzdory mírnému snížení zůstal tento podíl velmi vysoký a na konci roku 2023 i 2024 činil 47 %; dále konstatuje, že v rozporu s čl. 41 odst. 1 finančních pravidel se Evropský orgán pro pracovní záležitosti při provádění hlavních finančních činností souvisejících s plněním rozpočtu v období od listopadu 2022 do března 2023 spoléhal na dočasného pracovníka a stážistu, což je praxe, která pokračovala i v roce 2023 a v roce 2024 přetrvávala, neboť plněním základních finančních úkolů byl i nadále pověřen dočasný pracovník;</w:t>
            </w:r>
          </w:p>
        </w:tc>
        <w:tc>
          <w:tcPr>
            <w:tcW w:w="4876" w:type="dxa"/>
            <w:tcBorders>
              <w:top w:val="nil"/>
              <w:left w:val="nil"/>
              <w:bottom w:val="nil"/>
              <w:right w:val="nil"/>
            </w:tcBorders>
          </w:tcPr>
          <w:p>
            <w:pPr>
              <w:pStyle w:val="Normal6a"/>
            </w:pPr>
            <w:r>
              <w:t>78.</w:t>
            </w:r>
            <w:r>
              <w:tab/>
            </w:r>
            <w:r>
              <w:t xml:space="preserve">se znepokojením konstatuje, že Evropský orgán pro pracovní záležitosti se při plnění hlavních provozních a finančních funkcí nadále nadměrně spoléhá na dočasné pracovníky, vyslané národní odborníky a dočasné zaměstnance; konstatuje, že na konci roku 2022 představovali dočasní pracovníci 58 % pracovní síly tohoto orgánu a navzdory mírnému snížení zůstal tento podíl velmi vysoký a na konci roku 2023 i 2024 činil 47 %; dále konstatuje, že v rozporu s čl. 41 odst. 1 finančních pravidel se Evropský orgán pro pracovní záležitosti při provádění hlavních finančních činností souvisejících s plněním rozpočtu v období od listopadu 2022 do března 2023 spoléhal na dočasného pracovníka a stážistu, což je praxe, která pokračovala i v roce 2023 a v roce 2024 přetrvávala, neboť plněním základních finančních úkolů byl i nadále pověřen dočasný pracovník; </w:t>
            </w:r>
            <w:r>
              <w:rPr>
                <w:b/>
                <w:i/>
              </w:rPr>
              <w:t>konstatuje, že ředitel Evropského orgánu pro pracovní záležitosti pravidelně žádá Parlament během slyšení a písemně o přeměnu svých míst vyslaných národních odborníků na místa stálých dočasných zaměstnanců;</w:t>
            </w:r>
            <w:r>
              <w:t xml:space="preserve"> </w:t>
            </w:r>
            <w:r>
              <w:rPr>
                <w:b/>
                <w:i/>
              </w:rPr>
              <w:t>připomíná, že Účetní dvůr došel k závěru, že všechna výběrová řízení musí být otevřená a nesmí být vyhrazena pro interní uchazeče;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 xml:space="preserve">bere na vědomí vysvětlení, které poskytl výkonný ředitel Evropského orgánu pro pracovní záležitosti během slyšení konaného dne 1. prosince 2025 ohledně strukturálně vysokého podílu dočasných pracovníků, zejména vyslaných národních odborníků, kteří v současné době představují přibližně 42–50 % provozních zaměstnanců tohoto orgánu a z právního hlediska </w:t>
            </w:r>
            <w:r>
              <w:rPr>
                <w:b/>
                <w:i/>
              </w:rPr>
              <w:t>by neměli</w:t>
            </w:r>
            <w:r>
              <w:t xml:space="preserve"> vykonávat základní funkce, </w:t>
            </w:r>
            <w:r>
              <w:rPr>
                <w:b/>
                <w:i/>
              </w:rPr>
              <w:t>jako je zastupování orgánu nebo správa finančních spisů a spisů týkajících se zadávání veřejných zakázek,</w:t>
            </w:r>
            <w:r>
              <w:t xml:space="preserve"> což vede </w:t>
            </w:r>
            <w:r>
              <w:rPr>
                <w:b/>
                <w:i/>
              </w:rPr>
              <w:t>k větší</w:t>
            </w:r>
            <w:r>
              <w:t xml:space="preserve"> koncentraci pracovních povinností u některých zaměstnanců a vyššímu riziku chyb; podporuje </w:t>
            </w:r>
            <w:r>
              <w:rPr>
                <w:b/>
                <w:i/>
              </w:rPr>
              <w:t>žádost výkonného ředitele o</w:t>
            </w:r>
            <w:r>
              <w:t xml:space="preserve"> úpravu plánu pracovních míst, </w:t>
            </w:r>
            <w:r>
              <w:rPr>
                <w:b/>
                <w:i/>
              </w:rPr>
              <w:t>tak aby do něj bylo možné zahrnout místo</w:t>
            </w:r>
            <w:r>
              <w:t xml:space="preserve"> vyslaných národních odborníků </w:t>
            </w:r>
            <w:r>
              <w:rPr>
                <w:b/>
                <w:i/>
              </w:rPr>
              <w:t>další místa</w:t>
            </w:r>
            <w:r>
              <w:t xml:space="preserve"> pro dočasné pracovníky, která </w:t>
            </w:r>
            <w:r>
              <w:rPr>
                <w:b/>
                <w:i/>
              </w:rPr>
              <w:t>by byla obsazována</w:t>
            </w:r>
            <w:r>
              <w:t xml:space="preserve"> prostřednictvím otevřených výběrových řízení v rámci stávajícího rozpočtového stropu; je toho názoru, že </w:t>
            </w:r>
            <w:r>
              <w:rPr>
                <w:b/>
                <w:i/>
              </w:rPr>
              <w:t>Evropský</w:t>
            </w:r>
            <w:r>
              <w:t xml:space="preserve"> orgán pro pracovní záležitosti by měl </w:t>
            </w:r>
            <w:r>
              <w:rPr>
                <w:b/>
                <w:i/>
              </w:rPr>
              <w:t>být vzorem</w:t>
            </w:r>
            <w:r>
              <w:t xml:space="preserve"> v oblasti pracovních norem a měl by usilovat o nabízení delších smluv, </w:t>
            </w:r>
            <w:r>
              <w:rPr>
                <w:b/>
                <w:i/>
              </w:rPr>
              <w:t>což by bylo v zájmu zaměstnanců, kontinuity</w:t>
            </w:r>
            <w:r>
              <w:t xml:space="preserve"> činnosti</w:t>
            </w:r>
            <w:r>
              <w:rPr>
                <w:b/>
                <w:i/>
              </w:rPr>
              <w:t>,</w:t>
            </w:r>
            <w:r>
              <w:t xml:space="preserve"> zachování znalostí </w:t>
            </w:r>
            <w:r>
              <w:rPr>
                <w:b/>
                <w:i/>
              </w:rPr>
              <w:t>a zamezení neefektivnímu a pomalému procesu přijímání zaměstnanců</w:t>
            </w:r>
            <w:r>
              <w:t>;</w:t>
            </w:r>
          </w:p>
        </w:tc>
        <w:tc>
          <w:tcPr>
            <w:tcW w:w="4876" w:type="dxa"/>
            <w:tcBorders>
              <w:top w:val="nil"/>
              <w:left w:val="nil"/>
              <w:bottom w:val="nil"/>
              <w:right w:val="nil"/>
            </w:tcBorders>
          </w:tcPr>
          <w:p>
            <w:pPr>
              <w:pStyle w:val="Normal6a"/>
            </w:pPr>
            <w:r>
              <w:t>79.</w:t>
            </w:r>
            <w:r>
              <w:tab/>
            </w:r>
            <w:r>
              <w:t xml:space="preserve">bere na vědomí vysvětlení, které poskytl výkonný ředitel Evropského orgánu pro pracovní záležitosti během slyšení konaného dne 1. prosince 2025 ohledně strukturálně vysokého podílu dočasných pracovníků, zejména vyslaných národních odborníků, kteří v současné době představují přibližně 42–50 % provozních zaměstnanců tohoto orgánu a </w:t>
            </w:r>
            <w:r>
              <w:rPr>
                <w:b/>
                <w:i/>
              </w:rPr>
              <w:t>kteří</w:t>
            </w:r>
            <w:r>
              <w:t xml:space="preserve"> z právního hlediska </w:t>
            </w:r>
            <w:r>
              <w:rPr>
                <w:b/>
                <w:i/>
              </w:rPr>
              <w:t>nesmí</w:t>
            </w:r>
            <w:r>
              <w:t xml:space="preserve"> vykonávat základní funkce, což vede </w:t>
            </w:r>
            <w:r>
              <w:rPr>
                <w:b/>
                <w:i/>
              </w:rPr>
              <w:t>ke</w:t>
            </w:r>
            <w:r>
              <w:t xml:space="preserve"> koncentraci pracovních povinností u některých zaměstnanců a vyššímu riziku chyb; podporuje </w:t>
            </w:r>
            <w:r>
              <w:rPr>
                <w:b/>
                <w:i/>
              </w:rPr>
              <w:t>takovou</w:t>
            </w:r>
            <w:r>
              <w:t xml:space="preserve"> úpravu plánu pracovních míst, </w:t>
            </w:r>
            <w:r>
              <w:rPr>
                <w:b/>
                <w:i/>
              </w:rPr>
              <w:t>aby místa</w:t>
            </w:r>
            <w:r>
              <w:t xml:space="preserve"> vyslaných národních odborníků </w:t>
            </w:r>
            <w:r>
              <w:rPr>
                <w:b/>
                <w:i/>
              </w:rPr>
              <w:t>byla nahrazena místy</w:t>
            </w:r>
            <w:r>
              <w:t xml:space="preserve"> pro dočasné pracovníky, která </w:t>
            </w:r>
            <w:r>
              <w:rPr>
                <w:b/>
                <w:i/>
              </w:rPr>
              <w:t>budou obsazena</w:t>
            </w:r>
            <w:r>
              <w:t xml:space="preserve"> prostřednictvím otevřených výběrových řízení v rámci stávajícího rozpočtového stropu; je toho názoru, že orgán pro pracovní záležitosti by měl </w:t>
            </w:r>
            <w:r>
              <w:rPr>
                <w:b/>
                <w:i/>
              </w:rPr>
              <w:t>jít příkladem</w:t>
            </w:r>
            <w:r>
              <w:t xml:space="preserve"> v oblasti pracovních norem a měl by usilovat o nabízení delších smluv, </w:t>
            </w:r>
            <w:r>
              <w:rPr>
                <w:b/>
                <w:i/>
              </w:rPr>
              <w:t>které by byly prospěšné pro zaměstnance, kontinuitu</w:t>
            </w:r>
            <w:r>
              <w:t xml:space="preserve"> činnosti </w:t>
            </w:r>
            <w:r>
              <w:rPr>
                <w:b/>
                <w:i/>
              </w:rPr>
              <w:t>a</w:t>
            </w:r>
            <w:r>
              <w:t xml:space="preserve"> zachování znalostí;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bere na vědomí vysvětlení, které poskytl výkonný ředitel Evropského orgánu pro pracovní záležitosti během slyšení konaného dne 1. prosince 2025 ohledně strukturálně vysokého podílu dočasných pracovníků, zejména vyslaných národních odborníků, kteří v současné době představují přibližně 42–50 % provozních zaměstnanců tohoto orgánu a z právního hlediska by neměli vykonávat základní funkce, jako je zastupování orgánu nebo správa finančních spisů a spisů týkajících se zadávání veřejných zakázek, což vede k větší koncentraci pracovních povinností u některých zaměstnanců a vyššímu riziku chyb; podporuje žádost výkonného ředitele o úpravu plánu pracovních míst, tak aby do něj bylo možné zahrnout místo vyslaných národních odborníků další místa pro dočasné pracovníky, která by byla obsazována prostřednictvím otevřených výběrových řízení v rámci stávajícího rozpočtového stropu; je toho názoru, že Evropský orgán pro pracovní záležitosti by měl být vzorem v oblasti pracovních norem a měl by usilovat o nabízení delších smluv, což by bylo v zájmu zaměstnanců, kontinuity činnosti, zachování znalostí a zamezení neefektivnímu a pomalému procesu přijímání zaměstnanců;</w:t>
            </w:r>
          </w:p>
        </w:tc>
        <w:tc>
          <w:tcPr>
            <w:tcW w:w="4876" w:type="dxa"/>
            <w:tcBorders>
              <w:top w:val="nil"/>
              <w:left w:val="nil"/>
              <w:bottom w:val="nil"/>
              <w:right w:val="nil"/>
            </w:tcBorders>
          </w:tcPr>
          <w:p>
            <w:pPr>
              <w:pStyle w:val="Normal6a"/>
            </w:pPr>
            <w:r>
              <w:t>79.</w:t>
            </w:r>
            <w:r>
              <w:tab/>
            </w:r>
            <w:r>
              <w:t xml:space="preserve">bere na vědomí vysvětlení, které poskytl výkonný ředitel Evropského orgánu pro pracovní záležitosti během slyšení konaného dne 1. prosince 2025 ohledně strukturálně vysokého podílu dočasných pracovníků, zejména vyslaných národních odborníků, kteří v současné době představují přibližně 42–50 % provozních zaměstnanců tohoto orgánu a z právního hlediska by neměli vykonávat základní funkce, jako je zastupování orgánu nebo správa finančních spisů a spisů týkajících se zadávání veřejných zakázek, což vede k větší koncentraci pracovních povinností u některých zaměstnanců a vyššímu riziku chyb; podporuje žádost výkonného ředitele o úpravu plánu pracovních míst, tak aby do něj bylo možné zahrnout místo vyslaných národních odborníků další místa pro dočasné pracovníky, která by byla obsazována prostřednictvím otevřených výběrových řízení v rámci stávajícího rozpočtového stropu; je toho názoru, že Evropský orgán pro pracovní záležitosti by měl být vzorem v oblasti pracovních norem a měl by usilovat o nabízení delších smluv, což by bylo v zájmu zaměstnanců, kontinuity činnosti, zachování znalostí a zamezení neefektivnímu a pomalému procesu přijímání zaměstnanců; </w:t>
            </w:r>
            <w:r>
              <w:rPr>
                <w:b/>
                <w:i/>
              </w:rPr>
              <w:t>vyzývá orgán, aby dále posílil spolupráci s vnitrostátními orgány pro pracovní záležitosti, aby se zabránilo zdvojování činností a zlepšila se výměna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konstatuje, že monitorovací systémy ve všech agenturách, včetně cílů SMART a klíčových ukazatelů výkonnosti, by měly být posíleny, aby se zlepšilo posuzování výkonnosti a zapojení zúčastněných stran; zdůrazňuje, že nedostatky v údajích (zejména v ETF), chybějící výkonnostní cíle a chybějící ukazatele na vnitrostátní úrovni oslabují účinnost; konstatuje, že je proto nutné lépe zajistit úplnost údajů, jasněji stanovit cíle a posílit monitorovací rámce s cílem zajistit komplexní posouzení výkonnosti a soulad s potřebami zúčastněných stran;</w:t>
            </w:r>
          </w:p>
        </w:tc>
        <w:tc>
          <w:tcPr>
            <w:tcW w:w="4876" w:type="dxa"/>
            <w:tcBorders>
              <w:top w:val="nil"/>
              <w:left w:val="nil"/>
              <w:bottom w:val="nil"/>
              <w:right w:val="nil"/>
            </w:tcBorders>
          </w:tcPr>
          <w:p>
            <w:pPr>
              <w:pStyle w:val="Normal6a"/>
            </w:pPr>
            <w:r>
              <w:t>81.</w:t>
            </w:r>
            <w:r>
              <w:tab/>
            </w:r>
            <w:r>
              <w:t xml:space="preserve">konstatuje, že monitorovací systémy ve všech agenturách, včetně cílů SMART a klíčových ukazatelů výkonnosti, by měly být posíleny, aby se zlepšilo posuzování výkonnosti a zapojení zúčastněných stran; zdůrazňuje, že nedostatky v údajích (zejména v ETF), chybějící výkonnostní cíle a chybějící ukazatele na vnitrostátní úrovni oslabují účinnost; konstatuje, že je proto nutné lépe zajistit úplnost údajů, jasněji stanovit cíle a posílit monitorovací rámce s cílem zajistit komplexní posouzení výkonnosti a soulad s potřebami zúčastněných stran; </w:t>
            </w:r>
            <w:r>
              <w:rPr>
                <w:b/>
                <w:i/>
              </w:rPr>
              <w:t>zdůrazňuje, že transparentnost správních struktur a záruky proti střetu zájmů jsou důležité pro budování důvěry zúčastněných stran v činnost, kterou agentury vykonávají;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 xml:space="preserve">bere na vědomí, že tyto čtyři agentury (Cedefop, </w:t>
            </w:r>
            <w:r>
              <w:rPr>
                <w:b/>
                <w:i/>
              </w:rPr>
              <w:t>EU‑OSHA</w:t>
            </w:r>
            <w:r>
              <w:t>, Eurofound a ETF) mají potenciál snížit administrativní zátěž a zlepšit účinnost prostřednictvím sdílených služeb</w:t>
            </w:r>
            <w:r>
              <w:rPr>
                <w:vertAlign w:val="superscript"/>
              </w:rPr>
              <w:t>20</w:t>
            </w:r>
            <w:r>
              <w:t>; zdůrazňuje, že agentury by v zájmu udržitelné pracovní zátěže měly snížit administrativní zátěž zaměstnanců využíváním společných služeb v oblasti lidských zdrojů a právních, IT a technických záležitostí; poukazuje na to, že by to agenturám umožnilo snížit počet zaměstnanců zapojených do administrativních činností a více se zaměřit na hlavní činnost;</w:t>
            </w:r>
          </w:p>
        </w:tc>
        <w:tc>
          <w:tcPr>
            <w:tcW w:w="4876" w:type="dxa"/>
            <w:tcBorders>
              <w:top w:val="nil"/>
              <w:left w:val="nil"/>
              <w:bottom w:val="nil"/>
              <w:right w:val="nil"/>
            </w:tcBorders>
          </w:tcPr>
          <w:p>
            <w:pPr>
              <w:pStyle w:val="Normal6a"/>
            </w:pPr>
            <w:r>
              <w:t>82.</w:t>
            </w:r>
            <w:r>
              <w:tab/>
            </w:r>
            <w:r>
              <w:t xml:space="preserve">bere na vědomí, že tyto čtyři agentury (Cedefop, </w:t>
            </w:r>
            <w:r>
              <w:rPr>
                <w:b/>
                <w:i/>
              </w:rPr>
              <w:t>EU-OSHA</w:t>
            </w:r>
            <w:r>
              <w:t>, Eurofound a ETF) mají potenciál snížit administrativní zátěž a zlepšit účinnost prostřednictvím sdílených služeb</w:t>
            </w:r>
            <w:r>
              <w:rPr>
                <w:vertAlign w:val="superscript"/>
              </w:rPr>
              <w:t>20</w:t>
            </w:r>
            <w:r>
              <w:t xml:space="preserve">; zdůrazňuje, že </w:t>
            </w:r>
            <w:r>
              <w:rPr>
                <w:b/>
                <w:i/>
              </w:rPr>
              <w:t>všechny</w:t>
            </w:r>
            <w:r>
              <w:t xml:space="preserve"> agentury by v zájmu udržitelné pracovní zátěže měly snížit administrativní zátěž zaměstnanců využíváním společných služeb v oblasti lidských zdrojů a právních, </w:t>
            </w:r>
            <w:r>
              <w:rPr>
                <w:b/>
                <w:i/>
              </w:rPr>
              <w:t>finančních,</w:t>
            </w:r>
            <w:r>
              <w:t xml:space="preserve"> IT a technických záležitostí; poukazuje na to, že by to agenturám umožnilo snížit počet zaměstnanců zapojených do administrativních činností a </w:t>
            </w:r>
            <w:r>
              <w:rPr>
                <w:b/>
                <w:i/>
              </w:rPr>
              <w:t>posílit jejich odbornost;</w:t>
            </w:r>
            <w:r>
              <w:t xml:space="preserve"> </w:t>
            </w:r>
            <w:r>
              <w:rPr>
                <w:b/>
                <w:i/>
              </w:rPr>
              <w:t>vyzývá agentury k tomu, aby sdílely rovněž své zdroje a kapacity v oblasti nemovitostí, a to tak, že budou používat jednu platformu pro centralizaci podpůrných rolí, kdekoli je to možné, což jim umožní šetřit finanční prostředky a</w:t>
            </w:r>
            <w:r>
              <w:t xml:space="preserve"> více se zaměřit na hlavní činnost;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SWD(2024) 222.</w:t>
            </w:r>
          </w:p>
        </w:tc>
        <w:tc>
          <w:tcPr>
            <w:tcW w:w="4876" w:type="dxa"/>
            <w:tcBorders>
              <w:top w:val="nil"/>
              <w:left w:val="nil"/>
              <w:bottom w:val="nil"/>
              <w:right w:val="nil"/>
            </w:tcBorders>
          </w:tcPr>
          <w:p>
            <w:pPr>
              <w:pStyle w:val="Normal6a"/>
            </w:pPr>
            <w:r>
              <w:rPr>
                <w:vertAlign w:val="superscript"/>
              </w:rPr>
              <w:t>20</w:t>
            </w:r>
            <w:r>
              <w:t xml:space="preserve"> </w:t>
            </w:r>
            <w:r>
              <w:t>SWD(2024) 222.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bere na vědomí, že tyto čtyři agentury (Cedefop, EU‑OSHA, Eurofound a ETF) mají potenciál snížit administrativní zátěž a zlepšit účinnost prostřednictvím sdílených služeb</w:t>
            </w:r>
            <w:r>
              <w:rPr>
                <w:vertAlign w:val="superscript"/>
              </w:rPr>
              <w:t>20</w:t>
            </w:r>
            <w:r>
              <w:t>; zdůrazňuje, že agentury by v zájmu udržitelné pracovní zátěže měly snížit administrativní zátěž zaměstnanců využíváním společných služeb v oblasti lidských zdrojů a právních, IT a technických záležitostí; poukazuje na to, že by to agenturám umožnilo snížit počet zaměstnanců zapojených do administrativních činností a více se zaměřit na hlavní činnost;</w:t>
            </w:r>
          </w:p>
        </w:tc>
        <w:tc>
          <w:tcPr>
            <w:tcW w:w="4876" w:type="dxa"/>
            <w:tcBorders>
              <w:top w:val="nil"/>
              <w:left w:val="nil"/>
              <w:bottom w:val="nil"/>
              <w:right w:val="nil"/>
            </w:tcBorders>
          </w:tcPr>
          <w:p>
            <w:pPr>
              <w:pStyle w:val="Normal6a"/>
            </w:pPr>
            <w:r>
              <w:t>82.</w:t>
            </w:r>
            <w:r>
              <w:tab/>
            </w:r>
            <w:r>
              <w:t>bere na vědomí, že tyto čtyři agentury (Cedefop, EU‑OSHA, Eurofound a ETF) mají potenciál snížit administrativní zátěž a zlepšit účinnost prostřednictvím sdílených služeb</w:t>
            </w:r>
            <w:r>
              <w:rPr>
                <w:vertAlign w:val="superscript"/>
              </w:rPr>
              <w:t>20</w:t>
            </w:r>
            <w:r>
              <w:t xml:space="preserve">; zdůrazňuje, že agentury by v zájmu udržitelné pracovní zátěže měly snížit administrativní zátěž zaměstnanců využíváním společných služeb v oblasti lidských zdrojů a právních, IT a technických záležitostí; poukazuje na to, že by to agenturám umožnilo snížit počet zaměstnanců zapojených do administrativních činností a více se zaměřit na hlavní činnost; </w:t>
            </w:r>
            <w:r>
              <w:rPr>
                <w:b/>
                <w:i/>
              </w:rPr>
              <w:t>vyzývá tyto agentury, aby v úzké spolupráci s Účetním dvorem vypracovaly strukturovaný plán provádění sdílených služeb s konkrétními milníky, včetně měřitelných cílů pro zvýšení efektivity a předpokládaných úspor v eurech;</w:t>
            </w:r>
            <w:r>
              <w:t xml:space="preserve"> </w:t>
            </w:r>
            <w:r>
              <w:rPr>
                <w:b/>
                <w:i/>
              </w:rPr>
              <w:t>je přesvědčen o tom, že tento plán by měl usnadnit vzájemnou výměnu osvědčených postupů a doporučení mezi dotčenými agenturami i v rámci širší sítě EUAN, přičemž by měl vycházet ze zjištění auditu Účetního dvora a průřezových hodnocení;</w:t>
            </w:r>
            <w:r>
              <w:t xml:space="preserve"> </w:t>
            </w:r>
            <w:r>
              <w:rPr>
                <w:b/>
                <w:i/>
              </w:rPr>
              <w:t>vyzývá Komisi, aby orgán příslušný k udělení absolutoria každoročně informovala o pokroku dosaženém v rámci tohoto plánu a upřesnila, jak se zlepšila výkonnost jednotlivých agentur a jakých úspor bylo ve skutečnosti dosaženo;</w:t>
            </w:r>
            <w:r>
              <w:t xml:space="preserve"> </w:t>
            </w:r>
            <w:r>
              <w:rPr>
                <w:b/>
                <w:i/>
              </w:rPr>
              <w:t>zdůrazňuje, že první zpráva o pokroku by měla být předložena do konce roku 2026;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SWD(2024) 222.</w:t>
            </w:r>
          </w:p>
        </w:tc>
        <w:tc>
          <w:tcPr>
            <w:tcW w:w="4876" w:type="dxa"/>
            <w:tcBorders>
              <w:top w:val="nil"/>
              <w:left w:val="nil"/>
              <w:bottom w:val="nil"/>
              <w:right w:val="nil"/>
            </w:tcBorders>
          </w:tcPr>
          <w:p>
            <w:pPr>
              <w:pStyle w:val="Normal6a"/>
            </w:pPr>
            <w:r>
              <w:rPr>
                <w:vertAlign w:val="superscript"/>
              </w:rPr>
              <w:t>20</w:t>
            </w:r>
            <w:r>
              <w:t xml:space="preserve"> </w:t>
            </w:r>
            <w:r>
              <w:t>SWD(2024) 222.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 xml:space="preserve">konstatuje, že středisko Cedefop vedlo právní spor s bývalým zaměstnancem, jehož smlouva nebyla v roce 2017 obnovena; připomíná, že v roce 2020 Tribunál zrušil rozhodnutí střediska Cedefop a nařídil vyplacení finanční náhrady, což středisko Cedefop provedlo; konstatuje, že následnou žalobu bývalého zaměstnance, která se týkala provedení tohoto rozsudku, Tribunál v únoru 2024 zamítl; konstatuje, že bývalý zaměstnanec se proti tomuto rozsudku odvolal k Soudnímu dvoru Evropské unie (věc C-209/24 P) a že dosud nebyl vynesen konečný rozsudek; připomíná, že Tribunál zjistil porušení základních procesních záruk, včetně práva být vyslechnut, práva na obhajobu, povinnosti řádné péče a zásady řádné správy; </w:t>
            </w:r>
            <w:r>
              <w:rPr>
                <w:b/>
                <w:i/>
              </w:rPr>
              <w:t>se znepokojením konstatuje, že na základě těchto zjištění zřejmě nebylo zahájeno žádné disciplinární řízení:</w:t>
            </w:r>
            <w:r>
              <w:t xml:space="preserve"> kritizuje nadměrnou délku rozhodovacího procesu a skutečnost, že případ dosud nebyl uzavřen</w:t>
            </w:r>
            <w:r>
              <w:rPr>
                <w:b/>
                <w:i/>
              </w:rPr>
              <w:t>;</w:t>
            </w:r>
            <w:r>
              <w:t xml:space="preserve"> </w:t>
            </w:r>
            <w:r>
              <w:rPr>
                <w:b/>
                <w:i/>
              </w:rPr>
              <w:t>naléhavě žádá, aby dotyčný zaměstnanec obdržel náhradu za ušlý příjem</w:t>
            </w:r>
            <w:r>
              <w:t>; naléhavě vyzývá k tomu, aby rozhodnutí týkající se zaměstnanců byla přijímána transparentním a sledovatelným způsobem;</w:t>
            </w:r>
          </w:p>
        </w:tc>
        <w:tc>
          <w:tcPr>
            <w:tcW w:w="4876" w:type="dxa"/>
            <w:tcBorders>
              <w:top w:val="nil"/>
              <w:left w:val="nil"/>
              <w:bottom w:val="nil"/>
              <w:right w:val="nil"/>
            </w:tcBorders>
          </w:tcPr>
          <w:p>
            <w:pPr>
              <w:pStyle w:val="Normal6a"/>
            </w:pPr>
            <w:r>
              <w:t>83.</w:t>
            </w:r>
            <w:r>
              <w:tab/>
            </w:r>
            <w:r>
              <w:t xml:space="preserve">konstatuje, že středisko Cedefop vedlo právní spor s bývalým zaměstnancem, jehož smlouva nebyla v roce 2017 obnovena; připomíná, že v roce 2020 Tribunál zrušil rozhodnutí střediska Cedefop a nařídil vyplacení finanční náhrady, což středisko Cedefop provedlo; konstatuje, že následnou žalobu bývalého zaměstnance, která se týkala provedení tohoto rozsudku, Tribunál v únoru 2024 zamítl; konstatuje, že bývalý zaměstnanec se proti tomuto rozsudku odvolal k Soudnímu dvoru Evropské unie (věc C-209/24 P) a že dosud nebyl vynesen konečný rozsudek; připomíná, že Tribunál zjistil porušení základních procesních záruk, včetně práva být vyslechnut, práva na obhajobu, povinnosti řádné péče a zásady řádné správy; </w:t>
            </w:r>
            <w:r>
              <w:rPr>
                <w:b/>
                <w:i/>
              </w:rPr>
              <w:t>zdůrazňuje, že vzhledem k tomu, že ředitel nedodržel kodex chování a správní a procesní ustanovení, správní rada s ním odmítla obnovit smlouvu;</w:t>
            </w:r>
            <w:r>
              <w:t xml:space="preserve"> kritizuje nadměrnou délku rozhodovacího procesu</w:t>
            </w:r>
            <w:r>
              <w:rPr>
                <w:b/>
                <w:i/>
              </w:rPr>
              <w:t>, nadměrné náklady na soudní řízení a právní poradce</w:t>
            </w:r>
            <w:r>
              <w:t xml:space="preserve"> a skutečnost, že případ dosud nebyl uzavřen; naléhavě vyzývá k tomu, aby rozhodnutí týkající se zaměstnanců byla přijímána transparentním a sledovatelným způsobem; </w:t>
            </w:r>
            <w:r>
              <w:rPr>
                <w:b/>
                <w:i/>
              </w:rPr>
              <w:t>vyzývá Komisi a agentury, aby zavedly mechanismy, které agenturám poskytnou větší flexibilitu při řešení sporů týkajících se zaměstnanců v rané fázi, a to případně i prostřednictvím smírného řešení, aby se zabránilo zdlouhavým a nákladným soudním sporům;</w:t>
            </w:r>
            <w:r>
              <w:t xml:space="preserve"> </w:t>
            </w:r>
            <w:r>
              <w:rPr>
                <w:b/>
                <w:i/>
              </w:rPr>
              <w:t>dále vyzývá Komisi a síť agentur EU, aby vytvořily sdílenou právní službu pro agentury, která by se zabývala právními záležitostmi agentur a poskytovala včasné právní poradenství;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 xml:space="preserve">konstatuje, že středisko Cedefop vedlo právní spor s bývalým zaměstnancem, jehož smlouva nebyla v roce 2017 obnovena; připomíná, že v roce 2020 Tribunál zrušil rozhodnutí střediska Cedefop a nařídil vyplacení finanční náhrady, což středisko Cedefop provedlo; konstatuje, že následnou žalobu bývalého zaměstnance, která se týkala provedení tohoto rozsudku, Tribunál v únoru 2024 zamítl; konstatuje, že bývalý zaměstnanec se proti tomuto rozsudku odvolal k Soudnímu dvoru Evropské unie (věc C-209/24 P) a že dosud nebyl vynesen konečný rozsudek; připomíná, že Tribunál zjistil porušení základních procesních záruk, </w:t>
            </w:r>
            <w:r>
              <w:rPr>
                <w:b/>
                <w:i/>
              </w:rPr>
              <w:t>včetně práva být vyslechnut, práva na obhajobu, povinnosti řádné péče a zásady řádné správy;</w:t>
            </w:r>
            <w:r>
              <w:t xml:space="preserve"> </w:t>
            </w:r>
            <w:r>
              <w:rPr>
                <w:b/>
                <w:i/>
              </w:rPr>
              <w:t>se znepokojením konstatuje, že na základě těchto zjištění zřejmě nebylo zahájeno žádné</w:t>
            </w:r>
            <w:r>
              <w:t xml:space="preserve"> disciplinární </w:t>
            </w:r>
            <w:r>
              <w:rPr>
                <w:b/>
                <w:i/>
              </w:rPr>
              <w:t>řízení:</w:t>
            </w:r>
            <w:r>
              <w:t xml:space="preserve"> kritizuje nadměrnou délku rozhodovacího procesu a skutečnost, že případ dosud nebyl uzavřen; naléhavě žádá, aby </w:t>
            </w:r>
            <w:r>
              <w:rPr>
                <w:b/>
                <w:i/>
              </w:rPr>
              <w:t>dotyčný</w:t>
            </w:r>
            <w:r>
              <w:t xml:space="preserve"> zaměstnanec obdržel náhradu za ušlý příjem; naléhavě vyzývá k tomu, aby rozhodnutí týkající se zaměstnanců byla přijímána transparentním a sledovatelným způsobem;</w:t>
            </w:r>
          </w:p>
        </w:tc>
        <w:tc>
          <w:tcPr>
            <w:tcW w:w="4876" w:type="dxa"/>
            <w:tcBorders>
              <w:top w:val="nil"/>
              <w:left w:val="nil"/>
              <w:bottom w:val="nil"/>
              <w:right w:val="nil"/>
            </w:tcBorders>
          </w:tcPr>
          <w:p>
            <w:pPr>
              <w:pStyle w:val="Normal6a"/>
            </w:pPr>
            <w:r>
              <w:t>83.</w:t>
            </w:r>
            <w:r>
              <w:tab/>
            </w:r>
            <w:r>
              <w:t xml:space="preserve">konstatuje, že středisko Cedefop vedlo právní spor s bývalým zaměstnancem, jehož smlouva nebyla v roce 2017 obnovena; připomíná, že v roce 2020 Tribunál zrušil rozhodnutí střediska Cedefop a nařídil vyplacení finanční náhrady, což středisko Cedefop provedlo; konstatuje, že následnou žalobu bývalého zaměstnance, která se týkala provedení tohoto rozsudku, Tribunál v únoru 2024 zamítl; konstatuje, že bývalý zaměstnanec se proti tomuto rozsudku odvolal k Soudnímu dvoru Evropské unie (věc C-209/24 P) a že dosud nebyl vynesen konečný rozsudek; připomíná, že Tribunál zjistil porušení základních procesních záruk, </w:t>
            </w:r>
            <w:r>
              <w:rPr>
                <w:b/>
                <w:i/>
              </w:rPr>
              <w:t>přesto se zdá, že nebyla přijata žádná</w:t>
            </w:r>
            <w:r>
              <w:t xml:space="preserve"> disciplinární </w:t>
            </w:r>
            <w:r>
              <w:rPr>
                <w:b/>
                <w:i/>
              </w:rPr>
              <w:t>opatření;</w:t>
            </w:r>
            <w:r>
              <w:t xml:space="preserve"> kritizuje nadměrnou délku rozhodovacího procesu a skutečnost, že případ dosud nebyl uzavřen; naléhavě žádá, aby </w:t>
            </w:r>
            <w:r>
              <w:rPr>
                <w:b/>
                <w:i/>
              </w:rPr>
              <w:t>dotčený</w:t>
            </w:r>
            <w:r>
              <w:t xml:space="preserve"> zaměstnanec obdržel náhradu za ušlý příjem; naléhavě vyzývá k tomu, aby rozhodnutí týkající se zaměstnanců byla přijímána transparentním a sledovatelným způsobem;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84a.</w:t>
            </w:r>
            <w:r>
              <w:tab/>
            </w:r>
            <w:r>
              <w:rPr>
                <w:b/>
                <w:i/>
              </w:rPr>
              <w:t>konstatuje, že 75 % nádorových onemocnění souvisejících s prací souvisí s expozicí azbestu, bere na vědomí příspěvek agentury EU-OSHA v roce 2024 k novým pokynům Komise týkajícím se azbestu a vybízí agenturu EU-OSHA, aby i nadále přidělovala personální a rozpočtové zdroje na opatření, která přispívají k většímu povědomí o azbestu a k metodám řešení rozšířeného problému azbestu v celé Evropě;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94.</w:t>
            </w:r>
            <w:r>
              <w:tab/>
            </w:r>
            <w:r>
              <w:t>upozorňuje na prováděcí rozhodnutí Komise ze dne 28. června 2024 o zrušení rozhodnutí Komise C(2018) 4831 (final), kterým byla podle nařízení (ES) č. 726/2004 zamítnuta registrace humánního léčivého přípravku „Aplidin (plitidepsin)“; zdůrazňuje, že zrušení bylo založeno na zjištění, že došlo ke střetu zájmů, který hrál významnou roli při vývoji konkurenčního léčivého přípravku a týkal se jednoho z vědeckých poradců zapojených do činnosti poradní skupiny, což je okolnost, která měla podle zásady objektivní nestrannosti vyloučit účast takových poradců; zdůrazňuje, že agentura EMA výrazně posílila svou politiku přístupu ke konkurenčním zájmům členů vědeckého výboru a odborníků, kterou přijala správní rada této agentury v prosinci 2024 a jež vstoupila v platnost dne 1. května 2025;</w:t>
            </w:r>
          </w:p>
        </w:tc>
        <w:tc>
          <w:tcPr>
            <w:tcW w:w="4876" w:type="dxa"/>
            <w:tcBorders>
              <w:top w:val="nil"/>
              <w:left w:val="nil"/>
              <w:bottom w:val="nil"/>
              <w:right w:val="nil"/>
            </w:tcBorders>
          </w:tcPr>
          <w:p>
            <w:pPr>
              <w:pStyle w:val="Normal6a"/>
            </w:pPr>
            <w:r>
              <w:t>94.</w:t>
            </w:r>
            <w:r>
              <w:tab/>
            </w:r>
            <w:r>
              <w:t xml:space="preserve">upozorňuje na prováděcí rozhodnutí Komise ze dne 28. června 2024 o zrušení rozhodnutí Komise C(2018) 4831 (final), kterým byla podle nařízení (ES) č. 726/2004 zamítnuta registrace humánního léčivého přípravku „Aplidin (plitidepsin)“; zdůrazňuje, že zrušení bylo založeno na zjištění, že došlo ke střetu zájmů, který hrál významnou roli při vývoji konkurenčního léčivého přípravku a týkal se jednoho z vědeckých poradců zapojených do činnosti poradní skupiny, což je okolnost, která měla podle zásady objektivní nestrannosti vyloučit účast takových poradců; </w:t>
            </w:r>
            <w:r>
              <w:rPr>
                <w:b/>
                <w:i/>
              </w:rPr>
              <w:t>připomíná rovněž, že v roce 2024 Soudní dvůr zrušil</w:t>
            </w:r>
            <w:r>
              <w:rPr>
                <w:b/>
                <w:i/>
                <w:vertAlign w:val="superscript"/>
              </w:rPr>
              <w:t>1 a</w:t>
            </w:r>
            <w:r>
              <w:t xml:space="preserve"> </w:t>
            </w:r>
            <w:r>
              <w:rPr>
                <w:b/>
                <w:i/>
              </w:rPr>
              <w:t>rozhodnutí, kterým se zamítá žádost společnosti Debrégeas et associés Pharma (známé také jako D &amp; A Pharma) o registraci léčivého přípravku Hopveus, což je produkt francouzské společnosti Debrégeas, a to na základě střetu zájmů jednoho z odborníků, který byl "hlavním zkoušejícím", v souvislosti s klinickým hodnocení konkurenčního produktu (věc C-291/22 P);</w:t>
            </w:r>
            <w:r>
              <w:t xml:space="preserve"> </w:t>
            </w:r>
            <w:r>
              <w:rPr>
                <w:b/>
                <w:i/>
              </w:rPr>
              <w:t>připomíná, že agentura EMA byla již několikrát kritizována za své posuzování a neobjektivní či příliš nedbalou analýzu závažných vedlejších účinků;</w:t>
            </w:r>
            <w:r>
              <w:t xml:space="preserve"> </w:t>
            </w:r>
            <w:r>
              <w:rPr>
                <w:b/>
                <w:i/>
              </w:rPr>
              <w:t>konstatuje, že agentura EMA je často obviňována z lehkovážného přístupu ke zprávám týkajícím se závažných vedlejších účinků, kdy dostatečně nezkoumá prvotní zprávy o klinickém hodnocení a reaguje příliš pomalu na zjištěná rizika, což má za následek kontroverze a nedůvěru v její posuzování (očkovací látky proti onemocnění COVID, očkovací látka proti HPV atd.);</w:t>
            </w:r>
            <w:r>
              <w:t xml:space="preserve"> </w:t>
            </w:r>
            <w:r>
              <w:rPr>
                <w:b/>
                <w:i/>
              </w:rPr>
              <w:t>připomíná, že agentura EMA vychází z údajů poskytovaných výrobním odvětvím:</w:t>
            </w:r>
            <w:r>
              <w:t xml:space="preserve"> </w:t>
            </w:r>
            <w:r>
              <w:rPr>
                <w:b/>
                <w:i/>
              </w:rPr>
              <w:t xml:space="preserve">je kritizována za to, že se příliš spoléhá na sponzorovaná klinická hodnocení, což má významný dopad na důvěru veřejnosti; </w:t>
            </w:r>
            <w:r>
              <w:t xml:space="preserve"> </w:t>
            </w:r>
            <w:r>
              <w:rPr>
                <w:b/>
                <w:i/>
              </w:rPr>
              <w:t xml:space="preserve">konstatuje, že tyto kontroverze vedly v některých zemích ke snížené proočkovanosti, neboť se poukazovalo na to, že agentura EMA není nezávislá a má blízko k velkým farmaceutickým společnostem; </w:t>
            </w:r>
            <w:r>
              <w:t xml:space="preserve"> zdůrazňuje, že agentura EMA výrazně posílila svou politiku přístupu ke konkurenčním zájmům členů vědeckého výboru a odborníků, kterou přijala správní rada této agentury v prosinci 2024 a jež vstoupila v platnost dne 1. května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https://eur-lex.europa.eu/legal-content/CS/TXT/PDF/?uri=CELEX:62022CJ0291.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94a.</w:t>
            </w:r>
            <w:r>
              <w:tab/>
            </w:r>
            <w:r>
              <w:rPr>
                <w:b/>
                <w:i/>
              </w:rPr>
              <w:t>oceňuje práci Evropské agentury pro léčivé přípravky při řešení nedostatku léčivých přípravků obsahujících antibiotikum amoxicilin v Evropě a spolupráci s vnitrostátní agenturou pro léčivé přípravky na řešení tohoto nedostatku, což vedlo k tomu, že amoxicilin byl v roce 2024 ze seznamu nedostupných léčivých přípravků odstraněn;</w:t>
            </w:r>
            <w:r>
              <w:t xml:space="preserve"> </w:t>
            </w:r>
            <w:r>
              <w:rPr>
                <w:b/>
                <w:i/>
              </w:rPr>
              <w:t>vybízí agenturu EMA, aby i nadále používala své personální a rozpočtové zdroje na řešení podobných problémů;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94a.</w:t>
            </w:r>
            <w:r>
              <w:tab/>
            </w:r>
            <w:r>
              <w:rPr>
                <w:b/>
                <w:i/>
              </w:rPr>
              <w:t>odsuzuje rovněž to, že v roce 2024 byla na vánoční dekorace od společnosti Santa's Office vynaložena částka 72 000 EUR</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https://www.ema.europa.eu/en/documents/other/annual-list-contracts-2024_en.pdf.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94b.</w:t>
            </w:r>
            <w:r>
              <w:tab/>
            </w:r>
            <w:r>
              <w:rPr>
                <w:b/>
                <w:i/>
              </w:rPr>
              <w:t>konstatuje, že EÚD ve své zvláštní zprávě č. 12/2024 doporučil, aby Evropská agentura pro léčivé přípravky i nadále usilovala o to, aby byla její sdělení snadno přístupná veřejnosti, a veřejnost tak měla lepší přehled o využívání finančních prostředků EU touto agenturou;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94c.</w:t>
            </w:r>
            <w:r>
              <w:tab/>
            </w:r>
            <w:r>
              <w:rPr>
                <w:b/>
                <w:i/>
              </w:rPr>
              <w:t>konstatuje, že EÚD ve své zvláštní zprávě č. 12/2024 doporučil, aby Evropská agentura pro léčivé přípravky pokračovala ve spolupráci a koordinaci se střediskem ECDC a úřadem Hera s cílem zajistit lepší připravenost na budoucí pandemie, včetně jasnějšího rozdělení práce a povinností a účinnějšího využívání finančních prostředků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94d.</w:t>
            </w:r>
            <w:r>
              <w:tab/>
            </w:r>
            <w:r>
              <w:rPr>
                <w:b/>
                <w:i/>
              </w:rPr>
              <w:t>konstatuje, že EÚD ve své zvláštní zprávě č. 12/24 doporučil, aby agentura EMA přezkoumala nástroje, postupy a pokyny, které zavedla během pandemie, určila, které z nich by měly být zachovány pro budoucí pandemie nebo jiné krizové situace, a přizpůsobila je probíhajícímu vědeckému a technologickému pokroku;</w:t>
            </w:r>
            <w:r>
              <w:t xml:space="preserve"> </w:t>
            </w:r>
            <w:r>
              <w:rPr>
                <w:b/>
                <w:i/>
              </w:rPr>
              <w:t>vybízí k tomu, aby byly na tento cíl vynakládány odpovídající zdroje;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94e.</w:t>
            </w:r>
            <w:r>
              <w:tab/>
            </w:r>
            <w:r>
              <w:rPr>
                <w:b/>
                <w:i/>
              </w:rPr>
              <w:t>zdůrazňuje, že agentura EMA upozornila na přetrvávající nedostatek kriticky důležitých protinádorových léčivých přípravků, včetně fludarabinu, vindesinu, fluoruracilu, cisplatiny, topotekanu a methotrexátu, které mají zásadní význam pro léčbu pacientů s leukemií, lymfomem, rakovinou vaječníků a malobuněčným karcinomem plic;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94f.</w:t>
            </w:r>
            <w:r>
              <w:tab/>
            </w:r>
            <w:r>
              <w:rPr>
                <w:b/>
                <w:i/>
              </w:rPr>
              <w:t>zdůrazňuje, že agentura EMA upozornila na přetrvávající nedostatek kriticky důležitých léků proti diabetu, včetně inzulinu aspartu (Fiasp, NovoRapid PumpCart), inzulinu lispro (Sanofi), lidského inzulinu ve všech krátkodobě, rychle, střednědobě a dlouhodobě působících a smíšených formách, inzulínu Insuman Rapid, Basal, Comb 25, liraglutidu (Victoza), dulaglutidu (rulicita) a liraglutidu (Saxenda), které jsou nezbytné pro léčbu diabetu 1. a 2. typu a pro pacienty, kteří potřebují ke kontrole hladiny cukru v krvi a snížení metabolického rizika agonisty receptoru GLP-1;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95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95.</w:t>
            </w:r>
            <w:r>
              <w:tab/>
            </w:r>
            <w:r>
              <w:t xml:space="preserve">vyjadřuje vážné znepokojení nad </w:t>
            </w:r>
            <w:r>
              <w:rPr>
                <w:b/>
                <w:i/>
              </w:rPr>
              <w:t>opakovanými porušeními</w:t>
            </w:r>
            <w:r>
              <w:t xml:space="preserve"> finančního nařízení</w:t>
            </w:r>
            <w:r>
              <w:rPr>
                <w:b/>
                <w:i/>
              </w:rPr>
              <w:t>, která se objevila v zadávacích řízeních</w:t>
            </w:r>
            <w:r>
              <w:t xml:space="preserve"> agentury EUDA</w:t>
            </w:r>
            <w:r>
              <w:rPr>
                <w:b/>
                <w:i/>
              </w:rPr>
              <w:t>, a poukazuje na</w:t>
            </w:r>
            <w:r>
              <w:t xml:space="preserve"> pět nesrovnalostí</w:t>
            </w:r>
            <w:r>
              <w:rPr>
                <w:b/>
                <w:i/>
              </w:rPr>
              <w:t>, na které Účetní dvůr upozornil</w:t>
            </w:r>
            <w:r>
              <w:t xml:space="preserve"> v roce 2024</w:t>
            </w:r>
            <w:r>
              <w:rPr>
                <w:b/>
                <w:i/>
              </w:rPr>
              <w:t>;</w:t>
            </w:r>
            <w:r>
              <w:t xml:space="preserve"> </w:t>
            </w:r>
            <w:r>
              <w:rPr>
                <w:b/>
                <w:i/>
              </w:rPr>
              <w:t>podtrhuje, že se jedná o tyto nesrovnalosti:</w:t>
            </w:r>
          </w:p>
        </w:tc>
        <w:tc>
          <w:tcPr>
            <w:tcW w:w="4876" w:type="dxa"/>
            <w:tcBorders>
              <w:top w:val="nil"/>
              <w:left w:val="nil"/>
              <w:bottom w:val="nil"/>
              <w:right w:val="nil"/>
            </w:tcBorders>
          </w:tcPr>
          <w:p>
            <w:pPr>
              <w:pStyle w:val="Normal6a"/>
            </w:pPr>
            <w:r>
              <w:t>95.</w:t>
            </w:r>
            <w:r>
              <w:tab/>
            </w:r>
            <w:r>
              <w:t xml:space="preserve">vyjadřuje vážné znepokojení nad </w:t>
            </w:r>
            <w:r>
              <w:rPr>
                <w:b/>
                <w:i/>
              </w:rPr>
              <w:t>opakovaným porušováním</w:t>
            </w:r>
            <w:r>
              <w:t xml:space="preserve"> finančního nařízení </w:t>
            </w:r>
            <w:r>
              <w:rPr>
                <w:b/>
                <w:i/>
              </w:rPr>
              <w:t>při zadávání veřejných zakázek</w:t>
            </w:r>
            <w:r>
              <w:t xml:space="preserve"> agentury EUDA </w:t>
            </w:r>
            <w:r>
              <w:rPr>
                <w:b/>
                <w:i/>
              </w:rPr>
              <w:t>a konstatuje</w:t>
            </w:r>
            <w:r>
              <w:t xml:space="preserve"> pět nesrovnalostí </w:t>
            </w:r>
            <w:r>
              <w:rPr>
                <w:b/>
                <w:i/>
              </w:rPr>
              <w:t>zjištěných Účetním dvorem</w:t>
            </w:r>
            <w:r>
              <w:t xml:space="preserve"> v roce 2024</w:t>
            </w:r>
            <w:r>
              <w:rPr>
                <w:b/>
                <w:i/>
              </w:rPr>
              <w:t>:</w:t>
            </w:r>
            <w:r>
              <w:t xml:space="preserve"> </w:t>
            </w:r>
            <w:r>
              <w:rPr>
                <w:b/>
                <w:i/>
              </w:rPr>
              <w:t>neoprávněné rozdělení smluv a nesprávné použití jednacích řízení bez odůvodnění v případě smluv na akce v Lisabonu (210 668 EUR);</w:t>
            </w:r>
            <w:r>
              <w:t xml:space="preserve"> </w:t>
            </w:r>
            <w:r>
              <w:rPr>
                <w:b/>
                <w:i/>
              </w:rPr>
              <w:t>závažné nedostatky ve smlouvě na systém hlášení obchodu s drogami v hodnotě 410 000 EUR, v jejichž důsledku jsou smlouva a platba ve výši 60 000 EUR neoprávněné;</w:t>
            </w:r>
            <w:r>
              <w:t xml:space="preserve"> </w:t>
            </w:r>
            <w:r>
              <w:rPr>
                <w:b/>
                <w:i/>
              </w:rPr>
              <w:t>nadměrné platby ve výši 14 007 EUR za inaugurační ceremoniály;</w:t>
            </w:r>
            <w:r>
              <w:t xml:space="preserve"> </w:t>
            </w:r>
            <w:r>
              <w:rPr>
                <w:b/>
                <w:i/>
              </w:rPr>
              <w:t>chybná veřejná zakázka na shromažďování údajů na Ukrajině v hodnotě 10 000 EUR</w:t>
            </w:r>
            <w:r>
              <w:t xml:space="preserve"> </w:t>
            </w:r>
            <w:r>
              <w:rPr>
                <w:b/>
                <w:i/>
              </w:rPr>
              <w:t>a nedodržení požadavků na publicitu a střet zájmů v prozatímní smlouvě o službách ve výši 100 000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95 – odrážka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neoprávněné rozdělení smluv a nesprávné použití jednacích řízení bez odůvodnění v případě tří smluv na akce v Lisabonu (místo konání a stravování, celkem v objemu 210 668 EUR), dále chybějící klíčová dokumentace a nedodržení požadavků na zveřejnění oznámení o zadávacích řízeních;</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95 – odrážka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závažné nedostatky ve smlouvě na systém pro podávání zpráv o obchodu s drogami v hodnotě 410 000 EUR, včetně skutečnosti, že chyběly řádné specifikace pro nabídky, kritéria pro zadání zakázky a hodnotící komise, v důsledku čehož je smlouva nesprávná a platba ve výši 60 000 EUR neoprávněná;</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95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platby ve výši 14 007 EUR, které převyšovaly dohodnutou hodnotu zakázky na inaugurační ceremoniály, což je v rozporu s článkem 73 finančního nařízení agentury EUDA;</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95 – odrážka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chybná veřejná zakázka na shromažďování údajů na Ukrajině v hodnotě 10 000 EUR, u níž chyběla kritéria pro zadání zakázky a řádná dokumentace;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95 – odrážka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nedodržení požadavků na uveřejnění a prohlášení o střetu zájmů při zadávání zakázek na prozatímní služby v hodnotě 100 000 EUR;</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97a.</w:t>
            </w:r>
            <w:r>
              <w:tab/>
            </w:r>
            <w:r>
              <w:rPr>
                <w:b/>
                <w:i/>
              </w:rPr>
              <w:t>bere na vědomí činnost agentury EUDA zaměřenou na analýzu a koordinaci, kterými agentura podporovala vnitrostátní orgány;</w:t>
            </w:r>
            <w:r>
              <w:t xml:space="preserve"> </w:t>
            </w:r>
            <w:r>
              <w:rPr>
                <w:b/>
                <w:i/>
              </w:rPr>
              <w:t>konstatuje, že v roce 2024 agentura EUDA pořádala školení týkající se politiky v oblasti kontroly drog, jichž se zúčastnilo více než 11 700 osob včetně pracovníků donucovacích orgánů, zdravotnických pracovníků a činitelů s rozhodovací pravomocí;</w:t>
            </w:r>
            <w:r>
              <w:t xml:space="preserve"> </w:t>
            </w:r>
            <w:r>
              <w:rPr>
                <w:b/>
                <w:i/>
              </w:rPr>
              <w:t>připomíná, že zdroje Unie v této oblasti by měly přispívat především k předcházení obchodu s drogami a boji proti němu, k posílení spolupráce v oblasti prosazování práva a ochraně veřejného zdraví a bezpečnosti, a konstatuje, že vzdělávací činnost by se měla i nadále zaměřovat na operační spolupráci, sdílení zpravodajských informací a předcházení organizované trestné činnosti ;</w:t>
            </w:r>
            <w:r>
              <w:t xml:space="preserve"> </w:t>
            </w:r>
            <w:r>
              <w:rPr>
                <w:b/>
                <w:i/>
              </w:rPr>
              <w:t>zdůrazňuje, že spolupráce s ostatními agenturami Unie se musí zaměřit na zvýšení bezpečnosti a zefektivnění hraničních kontrol a že je přitom třeba zajistit dosažení měřitelných výsledků a účinného vynakládání finančních prostředků Unie;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98a.</w:t>
            </w:r>
            <w:r>
              <w:tab/>
            </w:r>
            <w:r>
              <w:rPr>
                <w:b/>
                <w:i/>
              </w:rPr>
              <w:t>zdůrazňuje, že EÚD doporučuje, aby středisko ECDC spolupracovalo s členskými státy na posílení harmonizovaného celounijního systému dozoru nad infekčními nemocemi, zlepšilo interní postupy s cílem poskytovat včasnější a praktičtější pokyny a jasněji komunikovalo s veřejností za použití srozumitelného jazyka, aby tak účinněji demonstrovalo využívání finančních prostředků EU, jak uvedl EÚD ve své zvláštní zprávě č. 12/2024;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98a.</w:t>
            </w:r>
            <w:r>
              <w:tab/>
            </w:r>
            <w:r>
              <w:rPr>
                <w:b/>
                <w:i/>
              </w:rPr>
              <w:t>s potěšením bere na vědomí, že se úřad EFSA začal řídit novou politikou pro předcházení střetu zájmů po sérii skandálů,</w:t>
            </w:r>
            <w:r>
              <w:t xml:space="preserve"> </w:t>
            </w:r>
            <w:r>
              <w:rPr>
                <w:b/>
                <w:i/>
              </w:rPr>
              <w:t>přičemž se jednalo například o Diánu Bánátiovou, bývalou předsedkyni správní rady, která musela z funkce odejít v roce 2012 poté, co přijala pozici v ILSI (lobbistické skupině jednající ve prospěch průmyslu), přičemž své vazby na skupinu neoznámila, a o Suzy Renckensovou, bývalou vedoucí oddělení GMO, která se v roce 2008 přidala ke společnosti Syngenta;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100 – podbod ii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středisko ECDC a agenturu EMA, aby uplatnily část svého rozpočtu na provádění doporučení uvedených ve zvláštní zprávě Evropského účetního dvora č. 12/2024 a uvedených výše;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100 – podbod ii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iib)</w:t>
            </w:r>
            <w:r>
              <w:tab/>
            </w:r>
            <w:r>
              <w:rPr>
                <w:b/>
                <w:i/>
              </w:rPr>
              <w:t>agenturu EMA, Komisi a členské státy, aby přijaly okamžitá opatření k řešení přetrvávajícího nedostatku kriticky důležitých léčivých přípravků uvedených výše, a v této souvislosti agenturu EMA naléhavě vyzývá, aby úzce spolupracovala s vnitrostátními orgány a Evropskou komisí s cílem:</w:t>
            </w:r>
            <w:r>
              <w:t xml:space="preserve"> </w:t>
            </w:r>
            <w:r>
              <w:rPr>
                <w:b/>
                <w:i/>
              </w:rPr>
              <w:t>i) přidělit dostatečné zdroje na řešení tohoto problému, ii) analyzovat a řešit příčiny tohoto nedostatku, včetně výroby, dodavatelského řetězce, problémů s distribucí a překážek na vnitřním trhu nebo vnitrostátního protekcionismu, včetně nutnosti výroby evropských léčivých přípravků, iii) vypracovat pohotovostní plány k zajištění nepřetržitého přístupu pacientů, včetně upřednostnění vysoce potřebných případů;</w:t>
            </w:r>
            <w:r>
              <w:t xml:space="preserve"> </w:t>
            </w:r>
            <w:r>
              <w:rPr>
                <w:b/>
                <w:i/>
              </w:rPr>
              <w:t>zdůrazňuje, že je nezbytné přijmout okamžitá a koordinovaná opatření s cílem zabránit zpožděním v léčbě, zabránit zhoršování stavu pacientů a chránit důvěru veřejnosti v evropský systém zdravotní péče;</w:t>
            </w:r>
            <w:r>
              <w:t xml:space="preserve"> </w:t>
            </w:r>
            <w:r>
              <w:rPr>
                <w:b/>
                <w:i/>
              </w:rPr>
              <w:t>vybízí agenturu EMA, aby na tento cíl vyčlenila dodatečné interní zdroje ze svého rozpočtu;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104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104.</w:t>
            </w:r>
            <w:r>
              <w:tab/>
            </w:r>
            <w:r>
              <w:t xml:space="preserve">bere na vědomí tři připomínky Účetního dvora </w:t>
            </w:r>
            <w:r>
              <w:rPr>
                <w:b/>
                <w:i/>
              </w:rPr>
              <w:t>týkající se nesrovnalostí</w:t>
            </w:r>
            <w:r>
              <w:t xml:space="preserve"> při zadávání veřejných zakázek v agentuře EEA, včetně:</w:t>
            </w:r>
          </w:p>
        </w:tc>
        <w:tc>
          <w:tcPr>
            <w:tcW w:w="4876" w:type="dxa"/>
            <w:tcBorders>
              <w:top w:val="nil"/>
              <w:left w:val="nil"/>
              <w:bottom w:val="nil"/>
              <w:right w:val="nil"/>
            </w:tcBorders>
          </w:tcPr>
          <w:p>
            <w:pPr>
              <w:pStyle w:val="Normal6a"/>
            </w:pPr>
            <w:r>
              <w:t>104.</w:t>
            </w:r>
            <w:r>
              <w:tab/>
            </w:r>
            <w:r>
              <w:t xml:space="preserve">bere na vědomí tři připomínky Účetního dvora </w:t>
            </w:r>
            <w:r>
              <w:rPr>
                <w:b/>
                <w:i/>
              </w:rPr>
              <w:t>k nesrovnalostem</w:t>
            </w:r>
            <w:r>
              <w:t xml:space="preserve"> při zadávání veřejných zakázek v agentuře EEA, včetně: </w:t>
            </w:r>
            <w:r>
              <w:rPr>
                <w:b/>
                <w:i/>
              </w:rPr>
              <w:t>neoprávněné platby podle rámcové smlouvy o stravovacích a cateringových službách (6 514 EUR vráceno bez faktury a 34% zvýšení ceny nad rámec mechanismu indexace);</w:t>
            </w:r>
            <w:r>
              <w:t xml:space="preserve"> </w:t>
            </w:r>
            <w:r>
              <w:rPr>
                <w:b/>
                <w:i/>
              </w:rPr>
              <w:t>používání interního systému pro setkávání odborníků namísto požadovaných objednávkových formulářů, což brání řádnému sledování kumulativních výdajů a hrozí překročením maximálního počtu smluv,</w:t>
            </w:r>
            <w:r>
              <w:t xml:space="preserve"> </w:t>
            </w:r>
            <w:r>
              <w:rPr>
                <w:b/>
                <w:i/>
              </w:rPr>
              <w:t>a neupřesnění typu smlouvy na poradenské služby v oblasti IT v hodnotě 731 000 EUR, což je v rozporu s přílohou I finančního nařízení;</w:t>
            </w:r>
            <w:r>
              <w:t xml:space="preserve"> </w:t>
            </w:r>
            <w:r>
              <w:rPr>
                <w:b/>
                <w:i/>
              </w:rPr>
              <w:t>bere na vědomí vysvětlení a závazky agentury týkající se zpřísnění postupů a zajištění jejich dodržování v budoucnu;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104 – odrážka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neoprávněných plateb na základě rámcové smlouvy na služby závodní jídelny a stravovací služby, vrácení 6 514 EUR bez faktury adresované agentuře v rozporu s čl. 111 odst. 2 finančního nařízení a zvýšení cen obědů o 34 % nad dohodnutý mechanismus indexace;</w:t>
            </w:r>
            <w:r>
              <w:t xml:space="preserve"> </w:t>
            </w:r>
            <w:r>
              <w:rPr>
                <w:b/>
                <w:i/>
              </w:rPr>
              <w:t>bere na vědomí odpověď agentury, podle níž se jednalo o ojedinělé případy s tím, že tyto postupy byly od té doby vyjasněny a zlepšeny, a že úprava cen byla způsobena výjimečnými inflačními podmínkami;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104 – odrážka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používání interního systému pro schůzky s odborníky k objednávání stravovacích služeb namísto formulářů pro objednávky, které požaduje rámcová smlouva, což brání spolehlivému sledování kumulativních výdajů a vede k riziku, že dojde k překročení stropu smlouvy v rozporu s čl. 111 odst. 1 a 3 finančního nařízení;</w:t>
            </w:r>
            <w:r>
              <w:t xml:space="preserve"> </w:t>
            </w:r>
            <w:r>
              <w:rPr>
                <w:b/>
                <w:i/>
              </w:rPr>
              <w:t>bere na vědomí odpověď agentury EEA, že systém pro schůzky s odborníky poskytuje zjednodušený kontrolní proces a že odpovídajícím způsobem změní rámcovou smlouvu;</w:t>
            </w:r>
            <w:r>
              <w:t xml:space="preserve"> </w:t>
            </w:r>
            <w:r>
              <w:rPr>
                <w:b/>
                <w:i/>
              </w:rPr>
              <w:t>zdůrazňuje, že mají-li být připomínky Účetního dvora zcela vyřešeny, měl by být systém pro schůzky s odborníky začleněn do účetního systému, aby se zajistilo, že na základě všech objednávek stravovacích služeb automaticky vznikají právní závazky;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104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druhu smlouvy:</w:t>
            </w:r>
            <w:r>
              <w:t xml:space="preserve"> </w:t>
            </w:r>
            <w:r>
              <w:rPr>
                <w:b/>
                <w:i/>
              </w:rPr>
              <w:t>konstatuje, že agentura EEA v rozporu s oddílem 1.1 přílohy I finančního nařízení neupřesnila druh zvláštní smlouvy (pevná cena nebo čas a prostředky) na poradenství v oblasti IT na částku 731 000 EUR, což znemožňuje sladění celkové smluvní částky s cenou na jednoho konzultanta;</w:t>
            </w:r>
            <w:r>
              <w:t xml:space="preserve"> </w:t>
            </w:r>
            <w:r>
              <w:rPr>
                <w:b/>
                <w:i/>
              </w:rPr>
              <w:t>bere na vědomí vysvětlení agentury EEA, že toto opomenutí nemá žádný finanční dopad, a její závazek, že zajistí uvedení těchto informací ve všech dalších smlouvách;</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104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druhu smlouvy: </w:t>
            </w:r>
            <w:r>
              <w:rPr>
                <w:b/>
                <w:i/>
              </w:rPr>
              <w:t>konstatuje</w:t>
            </w:r>
            <w:r>
              <w:t xml:space="preserve">, že agentura EEA </w:t>
            </w:r>
            <w:r>
              <w:rPr>
                <w:b/>
                <w:i/>
              </w:rPr>
              <w:t>v rozporu s oddílem 1.1 přílohy I finančního nařízení</w:t>
            </w:r>
            <w:r>
              <w:t xml:space="preserve"> neupřesnila </w:t>
            </w:r>
            <w:r>
              <w:rPr>
                <w:b/>
                <w:i/>
              </w:rPr>
              <w:t>druh</w:t>
            </w:r>
            <w:r>
              <w:t xml:space="preserve"> zvláštní smlouvy (pevná cena nebo čas a prostředky) na poradenství v oblasti IT </w:t>
            </w:r>
            <w:r>
              <w:rPr>
                <w:b/>
                <w:i/>
              </w:rPr>
              <w:t>na částku 731 000 EUR, což</w:t>
            </w:r>
            <w:r>
              <w:t xml:space="preserve"> znemožňuje </w:t>
            </w:r>
            <w:r>
              <w:rPr>
                <w:b/>
                <w:i/>
              </w:rPr>
              <w:t>sladění celkové smluvní částky</w:t>
            </w:r>
            <w:r>
              <w:t xml:space="preserve"> s cenou </w:t>
            </w:r>
            <w:r>
              <w:rPr>
                <w:b/>
                <w:i/>
              </w:rPr>
              <w:t>na jednoho</w:t>
            </w:r>
            <w:r>
              <w:t xml:space="preserve"> konzultanta; bere na vědomí vysvětlení agentury EEA, že </w:t>
            </w:r>
            <w:r>
              <w:rPr>
                <w:b/>
                <w:i/>
              </w:rPr>
              <w:t>toto</w:t>
            </w:r>
            <w:r>
              <w:t xml:space="preserve"> opomenutí </w:t>
            </w:r>
            <w:r>
              <w:rPr>
                <w:b/>
                <w:i/>
              </w:rPr>
              <w:t>nemá</w:t>
            </w:r>
            <w:r>
              <w:t xml:space="preserve"> žádný finanční dopad, a </w:t>
            </w:r>
            <w:r>
              <w:rPr>
                <w:b/>
                <w:i/>
              </w:rPr>
              <w:t>její</w:t>
            </w:r>
            <w:r>
              <w:t xml:space="preserve"> závazek</w:t>
            </w:r>
            <w:r>
              <w:rPr>
                <w:b/>
                <w:i/>
              </w:rPr>
              <w:t>, že zajistí uvedení</w:t>
            </w:r>
            <w:r>
              <w:t xml:space="preserve"> těchto </w:t>
            </w:r>
            <w:r>
              <w:rPr>
                <w:b/>
                <w:i/>
              </w:rPr>
              <w:t>informací ve všech dalších smlouvách</w:t>
            </w:r>
            <w:r>
              <w:t>;</w:t>
            </w:r>
          </w:p>
        </w:tc>
        <w:tc>
          <w:tcPr>
            <w:tcW w:w="4876" w:type="dxa"/>
            <w:tcBorders>
              <w:top w:val="nil"/>
              <w:left w:val="nil"/>
              <w:bottom w:val="nil"/>
              <w:right w:val="nil"/>
            </w:tcBorders>
          </w:tcPr>
          <w:p>
            <w:pPr>
              <w:pStyle w:val="Normal6a"/>
            </w:pPr>
            <w:r>
              <w:t>-</w:t>
            </w:r>
            <w:r>
              <w:tab/>
            </w:r>
            <w:r>
              <w:t xml:space="preserve">druhu smlouvy: </w:t>
            </w:r>
            <w:r>
              <w:rPr>
                <w:b/>
                <w:i/>
              </w:rPr>
              <w:t>lituje</w:t>
            </w:r>
            <w:r>
              <w:t xml:space="preserve">, že agentura EEA neupřesnila </w:t>
            </w:r>
            <w:r>
              <w:rPr>
                <w:b/>
                <w:i/>
              </w:rPr>
              <w:t>typ</w:t>
            </w:r>
            <w:r>
              <w:t xml:space="preserve"> zvláštní smlouvy (pevná cena nebo čas a prostředky) na </w:t>
            </w:r>
            <w:r>
              <w:rPr>
                <w:b/>
                <w:i/>
              </w:rPr>
              <w:t>smlouvu na</w:t>
            </w:r>
            <w:r>
              <w:t xml:space="preserve"> poradenství v oblasti IT </w:t>
            </w:r>
            <w:r>
              <w:rPr>
                <w:b/>
                <w:i/>
              </w:rPr>
              <w:t>ve výši 731 000 EUR, což je v rozporu s oddílem 1.1 přílohy I finančního nařízení a</w:t>
            </w:r>
            <w:r>
              <w:t xml:space="preserve"> znemožňuje </w:t>
            </w:r>
            <w:r>
              <w:rPr>
                <w:b/>
                <w:i/>
              </w:rPr>
              <w:t>sladit celkovou částku smlouvy</w:t>
            </w:r>
            <w:r>
              <w:t xml:space="preserve"> s cenou </w:t>
            </w:r>
            <w:r>
              <w:rPr>
                <w:b/>
                <w:i/>
              </w:rPr>
              <w:t>za</w:t>
            </w:r>
            <w:r>
              <w:t xml:space="preserve"> konzultanta; bere na vědomí vysvětlení agentury EEA, že opomenutí </w:t>
            </w:r>
            <w:r>
              <w:rPr>
                <w:b/>
                <w:i/>
              </w:rPr>
              <w:t>nemělo</w:t>
            </w:r>
            <w:r>
              <w:t xml:space="preserve"> žádný finanční dopad, a závazek </w:t>
            </w:r>
            <w:r>
              <w:rPr>
                <w:b/>
                <w:i/>
              </w:rPr>
              <w:t>zajistit, aby všechny budoucí smlouvy tyto informace obsahovaly;</w:t>
            </w:r>
            <w:r>
              <w:t xml:space="preserve"> </w:t>
            </w:r>
            <w:r>
              <w:rPr>
                <w:b/>
                <w:i/>
              </w:rPr>
              <w:t>naléhavě žádá posílení profesionality právních a nákupčích útvarů, aby se předešlo opakování</w:t>
            </w:r>
            <w:r>
              <w:t xml:space="preserve"> těchto </w:t>
            </w:r>
            <w:r>
              <w:rPr>
                <w:b/>
                <w:i/>
              </w:rPr>
              <w:t>nedostatků a následnému ohrožení veřejných prostředků</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104a.</w:t>
            </w:r>
            <w:r>
              <w:tab/>
            </w:r>
            <w:r>
              <w:rPr>
                <w:b/>
                <w:i/>
              </w:rPr>
              <w:t>zdůrazňuje, že řada publikací agentury EEA odráží ideologický přístup k Zelené dohodě, který bude mít pravděpodobně nepřiměřený dopad na evropská zemědělská a průmyslová odvětví, a vyzývá agenturu, aby se zaměřila na přísně vědecký přístup, který postrádá politický aktivismus;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105.</w:t>
            </w:r>
            <w:r>
              <w:tab/>
            </w:r>
            <w:r>
              <w:t>bere na vědomí připomínku Účetního dvora, že agentura ECHA podepsala zvláštní smlouvu na IT infrastrukturu v hodnotě 8,1 milionu EUR, čímž o 1,3 milionu EUR překročila delegovaný limit schvalující osoby</w:t>
            </w:r>
            <w:r>
              <w:rPr>
                <w:b/>
                <w:i/>
              </w:rPr>
              <w:t>;</w:t>
            </w:r>
            <w:r>
              <w:t xml:space="preserve"> bere na vědomí vysvětlení agentury, že smlouva byla založena na nezávazných odhadech objemu služeb v mezích ročních rozpočtových prostředků a že skutečné rozpočtové závazky nepřekročily delegovanou pravomoc; vybízí agenturu ECHA, aby zajistila jasný soulad mezi pověřeními finančního charakteru a smluvními závazky;</w:t>
            </w:r>
          </w:p>
        </w:tc>
        <w:tc>
          <w:tcPr>
            <w:tcW w:w="4876" w:type="dxa"/>
            <w:tcBorders>
              <w:top w:val="nil"/>
              <w:left w:val="nil"/>
              <w:bottom w:val="nil"/>
              <w:right w:val="nil"/>
            </w:tcBorders>
          </w:tcPr>
          <w:p>
            <w:pPr>
              <w:pStyle w:val="Normal6a"/>
            </w:pPr>
            <w:r>
              <w:t>105.</w:t>
            </w:r>
            <w:r>
              <w:tab/>
            </w:r>
            <w:r>
              <w:t xml:space="preserve">bere na vědomí připomínku Účetního dvora, že agentura ECHA podepsala zvláštní smlouvu na IT infrastrukturu v hodnotě 8,1 milionu EUR, čímž o 1,3 milionu EUR překročila delegovaný limit schvalující osoby bere na vědomí vysvětlení agentury, že smlouva byla založena na nezávazných odhadech objemu služeb v mezích ročních rozpočtových prostředků a že skutečné rozpočtové závazky nepřekročily delegovanou pravomoc; vybízí agenturu ECHA, aby zajistila jasný soulad mezi pověřeními finančního charakteru a smluvními závazky; </w:t>
            </w:r>
            <w:r>
              <w:rPr>
                <w:b/>
                <w:i/>
              </w:rPr>
              <w:t>vyzývá agenturu, aby zavedla posílené prověřovací mechanismy zaměřené na budoucnost pro externí dodavatele zapojené do práce související s regulačním rozhodováním agentury;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106.</w:t>
            </w:r>
            <w:r>
              <w:tab/>
            </w:r>
            <w:r>
              <w:t>upozorňuje na obavy, které vyjádřilo několik organizací občanské společnosti ohledně možného protichůdného profesního zájmu v případě společnosti Ramboll Deutschland GmbH, což je poradenská společnost, která v minulosti vypracovávala pro agenturu ECHA technické studie a zároveň poskytovala služby zúčastněným stranám z dotčeného odvětví, které se snaží ovlivnit chystaná omezení látek PFAS; uznává tvrzení zmíněných organizací, že paralelní činnost společnosti Ramboll mohla být porušením nestrannosti, kterou vyžaduje čl. 2 odst. 56 a čl. 143 písm. d) finančního nařízení;</w:t>
            </w:r>
          </w:p>
        </w:tc>
        <w:tc>
          <w:tcPr>
            <w:tcW w:w="4876" w:type="dxa"/>
            <w:tcBorders>
              <w:top w:val="nil"/>
              <w:left w:val="nil"/>
              <w:bottom w:val="nil"/>
              <w:right w:val="nil"/>
            </w:tcBorders>
          </w:tcPr>
          <w:p>
            <w:pPr>
              <w:pStyle w:val="Normal6a"/>
            </w:pPr>
            <w:r>
              <w:t>106.</w:t>
            </w:r>
            <w:r>
              <w:tab/>
            </w:r>
            <w:r>
              <w:t xml:space="preserve">upozorňuje na obavy, které vyjádřilo několik organizací občanské společnosti ohledně možného protichůdného profesního zájmu v případě společnosti Ramboll Deutschland GmbH, což je poradenská společnost, která v minulosti vypracovávala pro agenturu ECHA technické studie a zároveň poskytovala služby zúčastněným stranám z dotčeného odvětví, které se snaží ovlivnit chystaná omezení látek PFAS; </w:t>
            </w:r>
            <w:r>
              <w:rPr>
                <w:b/>
                <w:i/>
              </w:rPr>
              <w:t>zdůrazňuje, že odborné poradní struktury by měly odrážet vyvážené zastoupení odborných znalostí z oblasti vědy, průmyslu a občanské společnosti s cílem posílit legitimitu a rozhodování založené na důkazech;</w:t>
            </w:r>
            <w:r>
              <w:t xml:space="preserve"> uznává tvrzení zmíněných organizací, že paralelní činnost společnosti Ramboll mohla být porušením nestrannosti, kterou vyžaduje čl. 2 odst. 56 a čl. 143 písm. d) finančního nařízení; </w:t>
            </w:r>
            <w:r>
              <w:rPr>
                <w:b/>
                <w:i/>
              </w:rPr>
              <w:t>zdůrazňuje, že zásada řádného finančního řízení vyžaduje, aby agentura zajistila, že zadávání veřejných zakázek a plnění smluv bude probíhat způsobem, který zachová institucionální nestrannost a důvěru veřejnosti;</w:t>
            </w:r>
            <w:r>
              <w:t xml:space="preserve"> </w:t>
            </w:r>
            <w:r>
              <w:rPr>
                <w:b/>
                <w:i/>
              </w:rPr>
              <w:t>konstatuje, že vnímaný střet zájmů může ovlivnit důvěryhodnost činností financovaných Unií i bez procesních nesrovnalostí;</w:t>
            </w:r>
            <w:r>
              <w:t xml:space="preserve"> </w:t>
            </w:r>
            <w:r>
              <w:rPr>
                <w:b/>
                <w:i/>
              </w:rPr>
              <w:t>vyzývá k posílení záruk, které by řešily skutečná i zjevná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 xml:space="preserve">bere však na vědomí vysvětlení agentury ECHA, že práce týkající se látek PFAS, kterou společnost Ramboll Deutschland odvedla pro agenturu, byla provedena v letech 2020 a 2021, tedy před tím, než tato poradenská společnost začala působit v daném odvětví, což bylo v roce 2022, a že střet zájmů byl v době zadání zakázky posouzen v souladu s postupy agentury ECHA; dále konstatuje, že podle stávající rámcové smlouvy z roku 2024 společnost Ramboll nepředložila nabídky na konkrétní zakázky; vítá prohlášení agentury ECHA, že v reakci na žádosti o přístup k dokumentům provedla podrobný interní přezkum a nezjistila žádný neřešený střet zájmů; zdůrazňuje </w:t>
            </w:r>
            <w:r>
              <w:rPr>
                <w:b/>
                <w:i/>
              </w:rPr>
              <w:t>však</w:t>
            </w:r>
            <w:r>
              <w:t xml:space="preserve">, že je </w:t>
            </w:r>
            <w:r>
              <w:rPr>
                <w:b/>
                <w:i/>
              </w:rPr>
              <w:t>důležité</w:t>
            </w:r>
            <w:r>
              <w:t xml:space="preserve"> zajistit </w:t>
            </w:r>
            <w:r>
              <w:rPr>
                <w:b/>
                <w:i/>
              </w:rPr>
              <w:t>důkladné,</w:t>
            </w:r>
            <w:r>
              <w:t xml:space="preserve"> proaktivní </w:t>
            </w:r>
            <w:r>
              <w:rPr>
                <w:b/>
                <w:i/>
              </w:rPr>
              <w:t>a prozíravé kontroly střetů</w:t>
            </w:r>
            <w:r>
              <w:t xml:space="preserve"> zájmů </w:t>
            </w:r>
            <w:r>
              <w:rPr>
                <w:b/>
                <w:i/>
              </w:rPr>
              <w:t>u všech externích dodavatelů, zejména u těch, kteří se podílejí na technické práci, z níž vycházejí citlivá regulační rozhodnutí</w:t>
            </w:r>
            <w:r>
              <w:t xml:space="preserve">; </w:t>
            </w:r>
            <w:r>
              <w:rPr>
                <w:b/>
                <w:i/>
              </w:rPr>
              <w:t>vyjadřuje znepokojení nad tím, že některé smlouvy mezi nevládními organizacemi a Komisí obsahují určité body pracovního programu s cílem oslabit práci agentury ECHA a rozhodovací proces příslušných výborů v Evropském parlamentu;</w:t>
            </w:r>
            <w:r>
              <w:t xml:space="preserve"> </w:t>
            </w:r>
            <w:r>
              <w:rPr>
                <w:b/>
                <w:i/>
              </w:rPr>
              <w:t>zdůrazňuje, že v externích skupinách by měly být rovnoměrně zastoupeni členové z různých odvětví, včetně soukromého sektoru, vědy a občanské společnosti, aby byly zastoupeny různé kompetence a názory;</w:t>
            </w:r>
          </w:p>
        </w:tc>
        <w:tc>
          <w:tcPr>
            <w:tcW w:w="4876" w:type="dxa"/>
            <w:tcBorders>
              <w:top w:val="nil"/>
              <w:left w:val="nil"/>
              <w:bottom w:val="nil"/>
              <w:right w:val="nil"/>
            </w:tcBorders>
          </w:tcPr>
          <w:p>
            <w:pPr>
              <w:pStyle w:val="Normal6a"/>
            </w:pPr>
            <w:r>
              <w:t>107.</w:t>
            </w:r>
            <w:r>
              <w:tab/>
            </w:r>
            <w:r>
              <w:t xml:space="preserve">bere však na vědomí vysvětlení agentury ECHA, že práce týkající se látek PFAS, kterou společnost Ramboll Deutschland odvedla pro agenturu, byla provedena v letech 2020 a 2021, tedy před tím, než tato poradenská společnost začala působit v daném odvětví, což bylo v roce 2022, a že střet zájmů byl v době zadání zakázky posouzen v souladu s postupy agentury ECHA; dále konstatuje, že podle stávající rámcové smlouvy z roku 2024 společnost Ramboll nepředložila nabídky na konkrétní zakázky; vítá prohlášení agentury ECHA, že v reakci na žádosti o přístup k dokumentům provedla podrobný interní přezkum a nezjistila žádný neřešený střet zájmů; zdůrazňuje, že je </w:t>
            </w:r>
            <w:r>
              <w:rPr>
                <w:b/>
                <w:i/>
              </w:rPr>
              <w:t>třeba</w:t>
            </w:r>
            <w:r>
              <w:t xml:space="preserve"> zajistit </w:t>
            </w:r>
            <w:r>
              <w:rPr>
                <w:b/>
                <w:i/>
              </w:rPr>
              <w:t>obzvláště spolehlivé a</w:t>
            </w:r>
            <w:r>
              <w:t xml:space="preserve"> proaktivní </w:t>
            </w:r>
            <w:r>
              <w:rPr>
                <w:b/>
                <w:i/>
              </w:rPr>
              <w:t>postupy, které zabrání jakémukoli riziku střetu</w:t>
            </w:r>
            <w:r>
              <w:t xml:space="preserve"> zájmů;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bere však na vědomí vysvětlení agentury ECHA, že práce týkající se látek PFAS, kterou společnost Ramboll Deutschland odvedla pro agenturu, byla provedena v letech 2020 a 2021, tedy před tím, než tato poradenská společnost začala působit v daném odvětví, což bylo v roce 2022, a že střet zájmů byl v době zadání zakázky posouzen v souladu s postupy agentury ECHA; dále konstatuje, že podle stávající rámcové smlouvy z roku 2024 společnost Ramboll nepředložila nabídky na konkrétní zakázky; vítá prohlášení agentury ECHA, že v reakci na žádosti o přístup k dokumentům provedla podrobný interní přezkum a nezjistila žádný neřešený střet zájmů; zdůrazňuje však, že je důležité zajistit důkladné, proaktivní a prozíravé kontroly střetů zájmů u všech externích dodavatelů, zejména u těch, kteří se podílejí na technické práci, z níž vycházejí citlivá regulační rozhodnutí</w:t>
            </w:r>
            <w:r>
              <w:rPr>
                <w:b/>
                <w:i/>
              </w:rPr>
              <w:t>;</w:t>
            </w:r>
            <w:r>
              <w:t xml:space="preserve"> </w:t>
            </w:r>
            <w:r>
              <w:rPr>
                <w:b/>
                <w:i/>
              </w:rPr>
              <w:t>vyjadřuje znepokojení nad tím, že některé smlouvy mezi nevládními organizacemi a Komisí obsahují určité body pracovního programu s cílem oslabit práci agentury ECHA a rozhodovací proces příslušných výborů v Evropském parlamentu;</w:t>
            </w:r>
            <w:r>
              <w:t xml:space="preserve"> zdůrazňuje, že v externích skupinách by měly být rovnoměrně zastoupeni členové z různých odvětví, včetně soukromého sektoru, vědy a občanské společnosti, aby byly zastoupeny různé kompetence a názory;</w:t>
            </w:r>
          </w:p>
        </w:tc>
        <w:tc>
          <w:tcPr>
            <w:tcW w:w="4876" w:type="dxa"/>
            <w:tcBorders>
              <w:top w:val="nil"/>
              <w:left w:val="nil"/>
              <w:bottom w:val="nil"/>
              <w:right w:val="nil"/>
            </w:tcBorders>
          </w:tcPr>
          <w:p>
            <w:pPr>
              <w:pStyle w:val="Normal6a"/>
            </w:pPr>
            <w:r>
              <w:t>107.</w:t>
            </w:r>
            <w:r>
              <w:tab/>
            </w:r>
            <w:r>
              <w:t>bere však na vědomí vysvětlení agentury ECHA, že práce týkající se látek PFAS, kterou společnost Ramboll Deutschland odvedla pro agenturu, byla provedena v letech 2020 a 2021, tedy před tím, než tato poradenská společnost začala působit v daném odvětví, což bylo v roce 2022, a že střet zájmů byl v době zadání zakázky posouzen v souladu s postupy agentury ECHA; dále konstatuje, že podle stávající rámcové smlouvy z roku 2024 společnost Ramboll nepředložila nabídky na konkrétní zakázky; vítá prohlášení agentury ECHA, že v reakci na žádosti o přístup k dokumentům provedla podrobný interní přezkum a nezjistila žádný neřešený střet zájmů; zdůrazňuje však, že je důležité zajistit důkladné, proaktivní a prozíravé kontroly střetů zájmů u všech externích dodavatelů, zejména u těch, kteří se podílejí na technické práci, z níž vycházejí citlivá regulační rozhodnutí</w:t>
            </w:r>
            <w:r>
              <w:rPr>
                <w:b/>
                <w:i/>
              </w:rPr>
              <w:t>, a</w:t>
            </w:r>
            <w:r>
              <w:t xml:space="preserve"> zdůrazňuje, že v externích skupinách by měly být rovnoměrně zastoupeni členové z různých odvětví, včetně soukromého sektoru, vědy a občanské společnosti, aby byly zastoupeny různé kompetence a názory; </w:t>
            </w:r>
            <w:r>
              <w:rPr>
                <w:b/>
                <w:i/>
              </w:rPr>
              <w:t>vyzývá agenturu, aby do svého širšího rámce vnitřní kontroly a řízení rizik začlenila kontroly nezávislosti dodavatelů;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 xml:space="preserve">bere však na vědomí vysvětlení agentury ECHA, že práce týkající se látek PFAS, kterou společnost Ramboll Deutschland odvedla pro agenturu, byla provedena v letech 2020 a 2021, tedy před tím, než tato poradenská společnost začala působit v daném odvětví, což bylo v roce 2022, a že střet zájmů byl v době zadání zakázky posouzen v souladu s postupy agentury ECHA; dále konstatuje, že podle stávající rámcové smlouvy z roku 2024 společnost Ramboll nepředložila nabídky na konkrétní zakázky; vítá prohlášení agentury ECHA, že v reakci na žádosti o přístup k dokumentům provedla podrobný interní přezkum a nezjistila žádný neřešený střet zájmů; zdůrazňuje však, že je důležité zajistit důkladné, proaktivní a prozíravé kontroly střetů zájmů u všech externích dodavatelů, zejména u těch, kteří se podílejí na technické práci, z níž vycházejí citlivá regulační rozhodnutí; vyjadřuje </w:t>
            </w:r>
            <w:r>
              <w:rPr>
                <w:b/>
                <w:i/>
              </w:rPr>
              <w:t>znepokojení</w:t>
            </w:r>
            <w:r>
              <w:t xml:space="preserve"> nad tím, že některé smlouvy mezi nevládními organizacemi a Komisí </w:t>
            </w:r>
            <w:r>
              <w:rPr>
                <w:b/>
                <w:i/>
              </w:rPr>
              <w:t>obsahují určité body</w:t>
            </w:r>
            <w:r>
              <w:t xml:space="preserve"> pracovního programu </w:t>
            </w:r>
            <w:r>
              <w:rPr>
                <w:b/>
                <w:i/>
              </w:rPr>
              <w:t>s</w:t>
            </w:r>
            <w:r>
              <w:t xml:space="preserve"> cílem oslabit práci agentury ECHA a rozhodovací proces příslušných výborů </w:t>
            </w:r>
            <w:r>
              <w:rPr>
                <w:b/>
                <w:i/>
              </w:rPr>
              <w:t>v Evropském</w:t>
            </w:r>
            <w:r>
              <w:t xml:space="preserve"> parlamentu; zdůrazňuje, že v externích skupinách by měly být rovnoměrně zastoupeni členové z různých odvětví, včetně soukromého sektoru, vědy a občanské společnosti, aby byly zastoupeny různé kompetence a názory;</w:t>
            </w:r>
          </w:p>
        </w:tc>
        <w:tc>
          <w:tcPr>
            <w:tcW w:w="4876" w:type="dxa"/>
            <w:tcBorders>
              <w:top w:val="nil"/>
              <w:left w:val="nil"/>
              <w:bottom w:val="nil"/>
              <w:right w:val="nil"/>
            </w:tcBorders>
          </w:tcPr>
          <w:p>
            <w:pPr>
              <w:pStyle w:val="Normal6a"/>
            </w:pPr>
            <w:r>
              <w:t>107.</w:t>
            </w:r>
            <w:r>
              <w:tab/>
            </w:r>
            <w:r>
              <w:t xml:space="preserve">bere však na vědomí vysvětlení agentury ECHA, že práce týkající se látek PFAS, kterou společnost Ramboll Deutschland odvedla pro agenturu, byla provedena v letech 2020 a 2021, tedy před tím, než tato poradenská společnost začala působit v daném odvětví, což bylo v roce 2022, a že střet zájmů byl v době zadání zakázky posouzen v souladu s postupy agentury ECHA; dále konstatuje, že podle stávající rámcové smlouvy z roku 2024 společnost Ramboll nepředložila nabídky na konkrétní zakázky; vítá prohlášení agentury ECHA, že v reakci na žádosti o přístup k dokumentům provedla podrobný interní přezkum a nezjistila žádný neřešený střet zájmů; zdůrazňuje však, že je důležité zajistit důkladné, proaktivní a prozíravé kontroly střetů zájmů u všech externích dodavatelů, zejména u těch, kteří se podílejí na technické práci, z níž vycházejí citlivá regulační rozhodnutí; vyjadřuje </w:t>
            </w:r>
            <w:r>
              <w:rPr>
                <w:b/>
                <w:i/>
              </w:rPr>
              <w:t>své rozhořčení</w:t>
            </w:r>
            <w:r>
              <w:t xml:space="preserve"> nad tím, že některé smlouvy mezi nevládními organizacemi a Komisí </w:t>
            </w:r>
            <w:r>
              <w:rPr>
                <w:b/>
                <w:i/>
              </w:rPr>
              <w:t>obsahovaly prvky</w:t>
            </w:r>
            <w:r>
              <w:t xml:space="preserve"> pracovního programu</w:t>
            </w:r>
            <w:r>
              <w:rPr>
                <w:b/>
                <w:i/>
              </w:rPr>
              <w:t>, jehož</w:t>
            </w:r>
            <w:r>
              <w:t xml:space="preserve"> cílem </w:t>
            </w:r>
            <w:r>
              <w:rPr>
                <w:b/>
                <w:i/>
              </w:rPr>
              <w:t>bylo</w:t>
            </w:r>
            <w:r>
              <w:t xml:space="preserve"> oslabit práci agentury ECHA a rozhodovací proces příslušných výborů </w:t>
            </w:r>
            <w:r>
              <w:rPr>
                <w:b/>
                <w:i/>
              </w:rPr>
              <w:t>Evropského</w:t>
            </w:r>
            <w:r>
              <w:t xml:space="preserve"> parlamentu</w:t>
            </w:r>
            <w:r>
              <w:rPr>
                <w:b/>
                <w:i/>
              </w:rPr>
              <w:t>, což opět představuje zásah Komise, který platí daňoví poplatníci členských států, s cílem řídit rozhodnutí v souladu s jejím ideologickým přístupem na úkor demokratického legislativního procesu</w:t>
            </w:r>
            <w:r>
              <w:t>; zdůrazňuje, že v externích skupinách by měly být rovnoměrně zastoupeni členové z různých odvětví, včetně soukromého sektoru, vědy a občanské společnosti, aby byly zastoupeny různé kompetence a názory;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 xml:space="preserve">bere však na vědomí vysvětlení agentury ECHA, že práce </w:t>
            </w:r>
            <w:r>
              <w:rPr>
                <w:b/>
                <w:i/>
              </w:rPr>
              <w:t>týkající se látek PFAS</w:t>
            </w:r>
            <w:r>
              <w:t xml:space="preserve">, kterou společnost Ramboll Deutschland </w:t>
            </w:r>
            <w:r>
              <w:rPr>
                <w:b/>
                <w:i/>
              </w:rPr>
              <w:t>odvedla pro agenturu</w:t>
            </w:r>
            <w:r>
              <w:t xml:space="preserve">, byla provedena v letech 2020 </w:t>
            </w:r>
            <w:r>
              <w:rPr>
                <w:b/>
                <w:i/>
              </w:rPr>
              <w:t>a</w:t>
            </w:r>
            <w:r>
              <w:t xml:space="preserve"> 2021, tedy před </w:t>
            </w:r>
            <w:r>
              <w:rPr>
                <w:b/>
                <w:i/>
              </w:rPr>
              <w:t>tím, než tato poradenská společnost začala působit v daném odvětví, což bylo</w:t>
            </w:r>
            <w:r>
              <w:t xml:space="preserve"> v roce 2022, a že </w:t>
            </w:r>
            <w:r>
              <w:rPr>
                <w:b/>
                <w:i/>
              </w:rPr>
              <w:t>střet</w:t>
            </w:r>
            <w:r>
              <w:t xml:space="preserve"> zájmů </w:t>
            </w:r>
            <w:r>
              <w:rPr>
                <w:b/>
                <w:i/>
              </w:rPr>
              <w:t>byl v době zadání zakázky posouzen</w:t>
            </w:r>
            <w:r>
              <w:t xml:space="preserve"> v souladu s postupy agentury ECHA; dále konstatuje, že podle stávající rámcové smlouvy z roku 2024 společnost Ramboll nepředložila nabídky na konkrétní zakázky; vítá prohlášení agentury ECHA, že v reakci na žádosti o přístup k dokumentům provedla podrobný interní přezkum a nezjistila žádný </w:t>
            </w:r>
            <w:r>
              <w:rPr>
                <w:b/>
                <w:i/>
              </w:rPr>
              <w:t>neřešený</w:t>
            </w:r>
            <w:r>
              <w:t xml:space="preserve"> střet zájmů; zdůrazňuje však, že je důležité zajistit důkladné, proaktivní a </w:t>
            </w:r>
            <w:r>
              <w:rPr>
                <w:b/>
                <w:i/>
              </w:rPr>
              <w:t>prozíravé</w:t>
            </w:r>
            <w:r>
              <w:t xml:space="preserve"> kontroly </w:t>
            </w:r>
            <w:r>
              <w:rPr>
                <w:b/>
                <w:i/>
              </w:rPr>
              <w:t>střetů</w:t>
            </w:r>
            <w:r>
              <w:t xml:space="preserve"> zájmů u všech externích dodavatelů, zejména </w:t>
            </w:r>
            <w:r>
              <w:rPr>
                <w:b/>
                <w:i/>
              </w:rPr>
              <w:t>u</w:t>
            </w:r>
            <w:r>
              <w:t xml:space="preserve"> těch, kteří se podílejí na technické práci</w:t>
            </w:r>
            <w:r>
              <w:rPr>
                <w:b/>
                <w:i/>
              </w:rPr>
              <w:t>, z níž vycházejí citlivá regulační rozhodnutí;</w:t>
            </w:r>
            <w:r>
              <w:t xml:space="preserve"> vyjadřuje znepokojení nad tím, že některé smlouvy mezi nevládními organizacemi a Komisí </w:t>
            </w:r>
            <w:r>
              <w:rPr>
                <w:b/>
                <w:i/>
              </w:rPr>
              <w:t>obsahují určité body pracovního programu</w:t>
            </w:r>
            <w:r>
              <w:t xml:space="preserve"> s cílem oslabit práci agentury ECHA a rozhodovací proces příslušných výborů v Evropském parlamentu; zdůrazňuje, že v </w:t>
            </w:r>
            <w:r>
              <w:rPr>
                <w:b/>
                <w:i/>
              </w:rPr>
              <w:t>externích</w:t>
            </w:r>
            <w:r>
              <w:t xml:space="preserve"> skupinách by </w:t>
            </w:r>
            <w:r>
              <w:rPr>
                <w:b/>
                <w:i/>
              </w:rPr>
              <w:t>měly</w:t>
            </w:r>
            <w:r>
              <w:t xml:space="preserve"> být rovnoměrně zastoupeni členové z různých odvětví, včetně soukromého sektoru, </w:t>
            </w:r>
            <w:r>
              <w:rPr>
                <w:b/>
                <w:i/>
              </w:rPr>
              <w:t>vědy</w:t>
            </w:r>
            <w:r>
              <w:t xml:space="preserve"> a občanské společnosti, aby byly zastoupeny různé kompetence a názory;</w:t>
            </w:r>
          </w:p>
        </w:tc>
        <w:tc>
          <w:tcPr>
            <w:tcW w:w="4876" w:type="dxa"/>
            <w:tcBorders>
              <w:top w:val="nil"/>
              <w:left w:val="nil"/>
              <w:bottom w:val="nil"/>
              <w:right w:val="nil"/>
            </w:tcBorders>
          </w:tcPr>
          <w:p>
            <w:pPr>
              <w:pStyle w:val="Normal6a"/>
            </w:pPr>
            <w:r>
              <w:t>107.</w:t>
            </w:r>
            <w:r>
              <w:tab/>
            </w:r>
            <w:r>
              <w:t xml:space="preserve">bere však na vědomí vysvětlení agentury ECHA, že práce, kterou </w:t>
            </w:r>
            <w:r>
              <w:rPr>
                <w:b/>
                <w:i/>
              </w:rPr>
              <w:t>pro agenturu vykonala</w:t>
            </w:r>
            <w:r>
              <w:t xml:space="preserve"> společnost Ramboll Deutschland </w:t>
            </w:r>
            <w:r>
              <w:rPr>
                <w:b/>
                <w:i/>
              </w:rPr>
              <w:t>v souvislosti s PFAS</w:t>
            </w:r>
            <w:r>
              <w:t xml:space="preserve">, byla provedena v letech 2020 </w:t>
            </w:r>
            <w:r>
              <w:rPr>
                <w:b/>
                <w:i/>
              </w:rPr>
              <w:t>až</w:t>
            </w:r>
            <w:r>
              <w:t xml:space="preserve"> 2021, tedy před </w:t>
            </w:r>
            <w:r>
              <w:rPr>
                <w:b/>
                <w:i/>
              </w:rPr>
              <w:t>spoluprací poradenské společnosti s průmyslem</w:t>
            </w:r>
            <w:r>
              <w:t xml:space="preserve"> v roce 2022, a že </w:t>
            </w:r>
            <w:r>
              <w:rPr>
                <w:b/>
                <w:i/>
              </w:rPr>
              <w:t>posouzení střetu</w:t>
            </w:r>
            <w:r>
              <w:t xml:space="preserve"> zájmů </w:t>
            </w:r>
            <w:r>
              <w:rPr>
                <w:b/>
                <w:i/>
              </w:rPr>
              <w:t>bylo provedeno</w:t>
            </w:r>
            <w:r>
              <w:t xml:space="preserve"> v souladu s postupy agentury ECHA </w:t>
            </w:r>
            <w:r>
              <w:rPr>
                <w:b/>
                <w:i/>
              </w:rPr>
              <w:t>v době zadání zakázky</w:t>
            </w:r>
            <w:r>
              <w:t xml:space="preserve">; dále konstatuje, že podle stávající rámcové smlouvy z roku 2024 společnost Ramboll nepředložila nabídky na konkrétní zakázky; vítá prohlášení agentury ECHA, že v reakci na žádosti o přístup k dokumentům provedla podrobný interní přezkum a nezjistila žádný </w:t>
            </w:r>
            <w:r>
              <w:rPr>
                <w:b/>
                <w:i/>
              </w:rPr>
              <w:t>neřízený</w:t>
            </w:r>
            <w:r>
              <w:t xml:space="preserve"> střet zájmů; zdůrazňuje však, že je důležité zajistit důkladné, proaktivní a </w:t>
            </w:r>
            <w:r>
              <w:rPr>
                <w:b/>
                <w:i/>
              </w:rPr>
              <w:t>na budoucnost orientované</w:t>
            </w:r>
            <w:r>
              <w:t xml:space="preserve"> kontroly </w:t>
            </w:r>
            <w:r>
              <w:rPr>
                <w:b/>
                <w:i/>
              </w:rPr>
              <w:t>střetu</w:t>
            </w:r>
            <w:r>
              <w:t xml:space="preserve"> zájmů u všech externích dodavatelů, zejména těch, kteří se podílejí na technické práci </w:t>
            </w:r>
            <w:r>
              <w:rPr>
                <w:b/>
                <w:i/>
              </w:rPr>
              <w:t>přispívající k citlivým regulačním rozhodnutím, a</w:t>
            </w:r>
            <w:r>
              <w:t xml:space="preserve"> vyjadřuje znepokojení nad tím, že některé smlouvy mezi nevládními organizacemi a Komisí </w:t>
            </w:r>
            <w:r>
              <w:rPr>
                <w:b/>
                <w:i/>
              </w:rPr>
              <w:t>obsahovaly pracovní programy</w:t>
            </w:r>
            <w:r>
              <w:t xml:space="preserve"> s cílem oslabit práci agentury ECHA a rozhodovací proces příslušných výborů v Evropském parlamentu; </w:t>
            </w:r>
            <w:r>
              <w:rPr>
                <w:b/>
                <w:i/>
              </w:rPr>
              <w:t>vyzývá Komisi, aby zajistila plnou transparentnost těchto smluv a aby činnosti financované nevládními organizacemi, které se snaží ovlivnit regulační nebo legislativní výsledky, podrobila stejné úrovni kontroly a požadavků na zveřejňování jako všechny ostatní zúčastněné strany;</w:t>
            </w:r>
            <w:r>
              <w:t xml:space="preserve"> zdůrazňuje, že v </w:t>
            </w:r>
            <w:r>
              <w:rPr>
                <w:b/>
                <w:i/>
              </w:rPr>
              <w:t>odborných</w:t>
            </w:r>
            <w:r>
              <w:t xml:space="preserve"> skupinách by </w:t>
            </w:r>
            <w:r>
              <w:rPr>
                <w:b/>
                <w:i/>
              </w:rPr>
              <w:t>měli</w:t>
            </w:r>
            <w:r>
              <w:t xml:space="preserve"> být rovnoměrně zastoupeni členové z různých odvětví, včetně soukromého sektoru, </w:t>
            </w:r>
            <w:r>
              <w:rPr>
                <w:b/>
                <w:i/>
              </w:rPr>
              <w:t>vědeckých odvětví</w:t>
            </w:r>
            <w:r>
              <w:t xml:space="preserve"> a občanské společnosti, aby byly zastoupeny různé kompetence a názory;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107a.</w:t>
            </w:r>
            <w:r>
              <w:tab/>
            </w:r>
            <w:r>
              <w:rPr>
                <w:b/>
                <w:i/>
              </w:rPr>
              <w:t>zdůrazňuje, že stanoviska agentury ECHA mají přímý dopad na konkurenceschopnost strategických odvětví, jako je zemědělství, zemědělsko-potravinářské odvětví, plasty a evropský chemický průmysl;</w:t>
            </w:r>
            <w:r>
              <w:t xml:space="preserve"> </w:t>
            </w:r>
            <w:r>
              <w:rPr>
                <w:b/>
                <w:i/>
              </w:rPr>
              <w:t>vzhledem k tomu, že její stanoviska nesmí vést k regulační inflaci, která destabilizuje evropské podniky, zejména malé a střední podniky, ani k systematickým zákazům, které nemají žádnou souvislost s průmyslovou realitou nebo mezinárodní konkurenceschopností;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rPr>
                <w:b/>
                <w:i/>
              </w:rPr>
              <w:t>opakuje, že připomínka Účetního dvora ohledně strukturální závislosti agentury ACER na dočasných pracovnících je nedořešena již od roku 2019, přičemž dočasní zaměstnanci nadále plní dlouhodobé úkoly, které by měly obvykle náležet přímým zaměstnancům;</w:t>
            </w:r>
            <w:r>
              <w:t xml:space="preserve"> konstatuje, že </w:t>
            </w:r>
            <w:r>
              <w:rPr>
                <w:b/>
                <w:i/>
              </w:rPr>
              <w:t>ačkoli se počet dočasných pracovníků snížil z 18 v roce 2023 na 16 v roce 2024, tato situace stále trvá a agentura ACER má v úmyslu část dotčených činností zadat subdodavatelům;</w:t>
            </w:r>
            <w:r>
              <w:t xml:space="preserve"> </w:t>
            </w:r>
            <w:r>
              <w:rPr>
                <w:b/>
                <w:i/>
              </w:rPr>
              <w:t>bere na vědomí odpovědi agentury v dotazníku, podle nichž je vzhledem k nedostatečným interním zdrojům a specializovaným odborným znalostem nezbytné zajišťovat řadu činností externími pracovníky;</w:t>
            </w:r>
            <w:r>
              <w:t xml:space="preserve"> </w:t>
            </w:r>
            <w:r>
              <w:rPr>
                <w:b/>
                <w:i/>
              </w:rPr>
              <w:t>konstatuje, že agentura ACER zajišťuje externě širokou škálu funkcí, včetně vysoce specializovaných poradenských služeb a studií týkajících se regulace v energetice, právních služeb, organizace akcí a různých obecných služeb, ale že nejvíce je na externích dodavatelích závislá v oblasti IT, neboť navrhování, vývoj, zavádění, podporu, údržbu a bezpečnost jejích systémů zajišťují z velké části externí poskytovatelé služeb;</w:t>
            </w:r>
            <w:r>
              <w:t xml:space="preserve"> </w:t>
            </w:r>
            <w:r>
              <w:rPr>
                <w:b/>
                <w:i/>
              </w:rPr>
              <w:t>v této souvislosti zdůrazňuje, že do poskytování IT služeb agentuře ACER je zapojeno více než 100 externích odborníků na IT (nikoli nutně na plný úvazek), zatímco interních zaměstnanců z oblasti IT je pouze 17, což vytváří značnou strukturální nerovnováhu;</w:t>
            </w:r>
            <w:r>
              <w:t xml:space="preserve"> </w:t>
            </w:r>
            <w:r>
              <w:rPr>
                <w:b/>
                <w:i/>
              </w:rPr>
              <w:t>dále konstatuje, že agentura ACER uvádí, že tento</w:t>
            </w:r>
            <w:r>
              <w:t xml:space="preserve"> model externího zajišťování činností </w:t>
            </w:r>
            <w:r>
              <w:rPr>
                <w:b/>
                <w:i/>
              </w:rPr>
              <w:t>jí výslovně</w:t>
            </w:r>
            <w:r>
              <w:t xml:space="preserve"> doporučila Komise </w:t>
            </w:r>
            <w:r>
              <w:rPr>
                <w:b/>
                <w:i/>
              </w:rPr>
              <w:t>vzhledem k omezenému plánu pracovních míst agentury a omezeným zdrojům</w:t>
            </w:r>
            <w:r>
              <w:t xml:space="preserve">; zdůrazňuje </w:t>
            </w:r>
            <w:r>
              <w:rPr>
                <w:b/>
                <w:i/>
              </w:rPr>
              <w:t>však, že tato přetrvávající</w:t>
            </w:r>
            <w:r>
              <w:t xml:space="preserve"> závislost na </w:t>
            </w:r>
            <w:r>
              <w:rPr>
                <w:b/>
                <w:i/>
              </w:rPr>
              <w:t>externích dodavatelích základních IT kapacit v kombinaci s pokračujícím nasazením dočasných pracovníků na trvalé úkoly vzbuzuje obavy, pokud jde o uchovávání</w:t>
            </w:r>
            <w:r>
              <w:t xml:space="preserve"> znalostí</w:t>
            </w:r>
            <w:r>
              <w:rPr>
                <w:b/>
                <w:i/>
              </w:rPr>
              <w:t>, kontinuitu provozu a dlouhodobou institucionální kapacitu</w:t>
            </w:r>
            <w:r>
              <w:t>;</w:t>
            </w:r>
          </w:p>
        </w:tc>
        <w:tc>
          <w:tcPr>
            <w:tcW w:w="4876" w:type="dxa"/>
            <w:tcBorders>
              <w:top w:val="nil"/>
              <w:left w:val="nil"/>
              <w:bottom w:val="nil"/>
              <w:right w:val="nil"/>
            </w:tcBorders>
          </w:tcPr>
          <w:p>
            <w:pPr>
              <w:pStyle w:val="Normal6a"/>
            </w:pPr>
            <w:r>
              <w:t>111.</w:t>
            </w:r>
            <w:r>
              <w:tab/>
            </w:r>
            <w:r>
              <w:t xml:space="preserve">konstatuje, že model externího zajišťování činností </w:t>
            </w:r>
            <w:r>
              <w:rPr>
                <w:b/>
                <w:i/>
              </w:rPr>
              <w:t>agentury ACER se stal příliš rozsáhlým, zejména v oblasti IT, kde se agentura v naprosté většině spoléhá na externí poskytovatele;</w:t>
            </w:r>
            <w:r>
              <w:t xml:space="preserve"> </w:t>
            </w:r>
            <w:r>
              <w:rPr>
                <w:b/>
                <w:i/>
              </w:rPr>
              <w:t>domnívá se, že tento model, který původně</w:t>
            </w:r>
            <w:r>
              <w:t xml:space="preserve"> doporučila Komise</w:t>
            </w:r>
            <w:r>
              <w:rPr>
                <w:b/>
                <w:i/>
              </w:rPr>
              <w:t>, by nyní měl být přehodnocen s ohledem na strukturální rizika, která vytváří</w:t>
            </w:r>
            <w:r>
              <w:t>; zdůrazňuje</w:t>
            </w:r>
            <w:r>
              <w:rPr>
                <w:b/>
                <w:i/>
              </w:rPr>
              <w:t>, že je třeba naléhavě řešit velkou</w:t>
            </w:r>
            <w:r>
              <w:t xml:space="preserve"> závislost na </w:t>
            </w:r>
            <w:r>
              <w:rPr>
                <w:b/>
                <w:i/>
              </w:rPr>
              <w:t>IT, aby bylo zajištěno zachování</w:t>
            </w:r>
            <w:r>
              <w:t xml:space="preserve"> znalostí </w:t>
            </w:r>
            <w:r>
              <w:rPr>
                <w:b/>
                <w:i/>
              </w:rPr>
              <w:t>a provozní kontinuita;</w:t>
            </w:r>
            <w:r>
              <w:t xml:space="preserve"> </w:t>
            </w:r>
            <w:r>
              <w:rPr>
                <w:b/>
                <w:i/>
              </w:rPr>
              <w:t>žádá Komisi a agenturu ACER, aby orgán příslušný k udělení absolutoria informovaly o přijatých nápravných opatřeních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111a.</w:t>
            </w:r>
            <w:r>
              <w:tab/>
            </w:r>
            <w:r>
              <w:rPr>
                <w:b/>
                <w:i/>
              </w:rPr>
              <w:t>vyjadřuje politování nad 17,26% zvýšením rozpočtu agentury ACER od roku 2023 do roku 2024 vzhledem k tomu, že v posledních letech bylo neúčinné, a dokonce kontraproduktivní, zejména s opětovným otevřením uhelných elektráren, které jsou ze své podstaty znečišťující, s cílem zajistit minimální úroveň stability dodávek energie v Evropě;</w:t>
            </w:r>
            <w:r>
              <w:t xml:space="preserve"> </w:t>
            </w:r>
            <w:r>
              <w:rPr>
                <w:b/>
                <w:i/>
              </w:rPr>
              <w:t>vyjadřuje politování nad tím, že neomezila nárůst nákladů na energii vytvořením jiného systému stanovování cen, který by chránil zájmy evropských spotřebitelů;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konstatuje, že institut EIT přešel v roce 2023 z roční struktury svých grantových dohod na víceletou strukturu; upozorňuje na skutečnost, že tato změna má dopad na posouzení legality a správnosti, které vykonává Účetní dvůr a lze jej provést pouze během průběžných a konečných plateb; konstatuje, že v rámci předběžného financování vyplatil institut EIT v roce 2024 na víceleté dohody 412 milionů EUR, což představuje 92,9 % celkových plateb za daný rok; bere na vědomí, že legalita a správnost těchto plateb bude posuzována v příštích letech;</w:t>
            </w:r>
          </w:p>
        </w:tc>
        <w:tc>
          <w:tcPr>
            <w:tcW w:w="4876" w:type="dxa"/>
            <w:tcBorders>
              <w:top w:val="nil"/>
              <w:left w:val="nil"/>
              <w:bottom w:val="nil"/>
              <w:right w:val="nil"/>
            </w:tcBorders>
          </w:tcPr>
          <w:p>
            <w:pPr>
              <w:pStyle w:val="Normal6a"/>
            </w:pPr>
            <w:r>
              <w:t>120.</w:t>
            </w:r>
            <w:r>
              <w:tab/>
            </w:r>
            <w:r>
              <w:t xml:space="preserve">konstatuje, že institut EIT přešel v roce 2023 z roční struktury svých grantových dohod na víceletou strukturu; upozorňuje na skutečnost, že tato změna má dopad na posouzení legality a správnosti, které vykonává Účetní dvůr a lze jej provést pouze během průběžných a konečných plateb; konstatuje, že v rámci předběžného financování vyplatil institut EIT v roce 2024 na víceleté dohody 412 milionů EUR, což představuje 92,9 % celkových plateb za daný rok; bere na vědomí, že legalita a správnost těchto plateb bude posuzována v příštích letech; </w:t>
            </w:r>
            <w:r>
              <w:rPr>
                <w:b/>
                <w:i/>
              </w:rPr>
              <w:t>zdůrazňuje, že tak vysoký podíl plateb předběžného financování vyžaduje posílené monitorovací a kontrolní mechanismy, aby se zmírnilo riziko budoucích finančních oprav nebo zpětného získávání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124 – odrážka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nedostatek lidských zdrojů: konstatuje, že Účetní dvůr a útvar interního auditu Komise toto riziko uznávají a upozorňují na nesrovnalosti způsobené nedostatkem zaměstnanců; </w:t>
            </w:r>
            <w:r>
              <w:rPr>
                <w:b/>
                <w:i/>
              </w:rPr>
              <w:t>naléhavě</w:t>
            </w:r>
            <w:r>
              <w:t xml:space="preserve"> vyzývá </w:t>
            </w:r>
            <w:r>
              <w:rPr>
                <w:b/>
                <w:i/>
              </w:rPr>
              <w:t>ke zvýšení počtu zaměstnanců a k odpovídajícímu</w:t>
            </w:r>
            <w:r>
              <w:t xml:space="preserve"> navýšení </w:t>
            </w:r>
            <w:r>
              <w:rPr>
                <w:b/>
                <w:i/>
              </w:rPr>
              <w:t>finančních prostředků</w:t>
            </w:r>
            <w:r>
              <w:t>;</w:t>
            </w:r>
          </w:p>
        </w:tc>
        <w:tc>
          <w:tcPr>
            <w:tcW w:w="4876" w:type="dxa"/>
            <w:tcBorders>
              <w:top w:val="nil"/>
              <w:left w:val="nil"/>
              <w:bottom w:val="nil"/>
              <w:right w:val="nil"/>
            </w:tcBorders>
          </w:tcPr>
          <w:p>
            <w:pPr>
              <w:pStyle w:val="Normal6a"/>
            </w:pPr>
            <w:r>
              <w:t>-</w:t>
            </w:r>
            <w:r>
              <w:tab/>
            </w:r>
            <w:r>
              <w:t xml:space="preserve">nedostatek lidských zdrojů: konstatuje, že Účetní dvůr a útvar interního auditu Komise toto riziko uznávají a upozorňují na nesrovnalosti způsobené nedostatkem zaměstnanců; vyzývá </w:t>
            </w:r>
            <w:r>
              <w:rPr>
                <w:b/>
                <w:i/>
              </w:rPr>
              <w:t>EIT, aby před schválením jakéhokoli</w:t>
            </w:r>
            <w:r>
              <w:t xml:space="preserve"> navýšení </w:t>
            </w:r>
            <w:r>
              <w:rPr>
                <w:b/>
                <w:i/>
              </w:rPr>
              <w:t>personálního financování předložil podrobné posouzení personálních potřeb, které propojí požadovaná dodatečná pracovní místa s konkrétními operačními cíli a očekávanými výsledky</w:t>
            </w:r>
            <w:r>
              <w:t xml:space="preserve">; </w:t>
            </w:r>
            <w:r>
              <w:rPr>
                <w:b/>
                <w:i/>
              </w:rPr>
              <w:t>konstatuje, že orgán příslušný k udělení absolutoria nemůže schválit žádosti o zdroje na dobu neurčitou, aniž by jasně prokázal, jak další zaměstnanci přispějí ke zlepšení výkonnosti a snížení míry nesrovnalostí;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127a.</w:t>
            </w:r>
            <w:r>
              <w:tab/>
            </w:r>
            <w:r>
              <w:rPr>
                <w:b/>
                <w:i/>
              </w:rPr>
              <w:t>bere na vědomí strategickou úlohu agentury EUSPA jako klíčového pilíře Kosmického programu EU při posilování průmyslové základny, konkurenceschopnosti a inovací Unie;</w:t>
            </w:r>
            <w:r>
              <w:t xml:space="preserve"> </w:t>
            </w:r>
            <w:r>
              <w:rPr>
                <w:b/>
                <w:i/>
              </w:rPr>
              <w:t>vyzývá Komisi, aby při přípravě příštího víceletého finančního rámce (VFR) zajistila, aby agentura EUSPA měla odpovídající pravomoci a zdroje k posílení své výkonnosti a prováděcí kapacity na podporu strategické autonomie a svrchovanosti Unie, a to i prostřednictvím provádění nových úkolů podle aktu EU o kosmu;</w:t>
            </w:r>
            <w:r>
              <w:t xml:space="preserve"> </w:t>
            </w:r>
            <w:r>
              <w:rPr>
                <w:b/>
                <w:i/>
              </w:rPr>
              <w:t>zdůrazňuje, že je důležité upřednostňovat evropské zadávání veřejných zakázek v oblastech, které mají zásadní význam pro odolnost, bezpečnost a technologickou nezávislost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120</w:t>
    </w:r>
    <w:r>
      <w:fldChar w:fldCharType="end"/>
    </w:r>
    <w:r>
      <w:t>/</w:t>
    </w:r>
    <w:r>
      <w:fldChar w:fldCharType="begin"/>
    </w:r>
    <w:r>
      <w:instrText xml:space="preserve"> NUMPAGES </w:instrText>
    </w:r>
    <w:r>
      <w:fldChar w:fldCharType="separate"/>
    </w:r>
    <w:r>
      <w:t>120</w:t>
    </w:r>
    <w:r>
      <w:fldChar w:fldCharType="end"/>
    </w:r>
    <w:r>
      <w:tab/>
    </w:r>
    <w:r>
      <w:rPr>
        <w:rStyle w:val="HideTWBExt"/>
      </w:rPr>
      <w:t>&lt;PathFdR&gt;</w:t>
    </w:r>
    <w:r>
      <w:t>AM\1336258CS.docx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AM\1336258CS.docx</w:t>
    </w:r>
    <w:r>
      <w:rPr>
        <w:rStyle w:val="HideTWBExt"/>
      </w:rPr>
      <w:t>&lt;/PathFdR&gt;</w:t>
    </w:r>
    <w:r>
      <w:tab/>
    </w:r>
    <w:r>
      <w:fldChar w:fldCharType="begin"/>
    </w:r>
    <w:r>
      <w:instrText xml:space="preserve"> PAGE </w:instrText>
    </w:r>
    <w:r>
      <w:fldChar w:fldCharType="separate"/>
    </w:r>
    <w:r>
      <w:t>119</w:t>
    </w:r>
    <w:r>
      <w:fldChar w:fldCharType="end"/>
    </w:r>
    <w:r>
      <w:t>/</w:t>
    </w:r>
    <w:r>
      <w:fldChar w:fldCharType="begin"/>
    </w:r>
    <w:r>
      <w:instrText xml:space="preserve"> NUMPAGES </w:instrText>
    </w:r>
    <w:r>
      <w:fldChar w:fldCharType="separate"/>
    </w:r>
    <w:r>
      <w:t>120</w:t>
    </w:r>
    <w:r>
      <w:fldChar w:fldCharType="end"/>
    </w:r>
    <w:r>
      <w:tab/>
    </w:r>
    <w:r>
      <w:t>PE</w:t>
    </w:r>
    <w:r>
      <w:rPr>
        <w:rStyle w:val="HideTWBExt"/>
      </w:rPr>
      <w:t>&lt;NoPE&gt;</w:t>
    </w:r>
    <w:r>
      <w:t>784.141</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AM\1336258CS.docx</w:t>
    </w:r>
    <w:r>
      <w:rPr>
        <w:rStyle w:val="HideTWBExt"/>
      </w:rPr>
      <w:t>&lt;/PathFdR&gt;</w:t>
    </w:r>
    <w:r>
      <w:tab/>
    </w:r>
    <w:r>
      <w:tab/>
    </w:r>
    <w:r>
      <w:t>PE</w:t>
    </w:r>
    <w:r>
      <w:rPr>
        <w:rStyle w:val="HideTWBExt"/>
      </w:rPr>
      <w:t>&lt;NoPE&gt;</w:t>
    </w:r>
    <w:r>
      <w:t>784.141</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120</Pages>
  <Words>30442</Words>
  <Characters>186310</Characters>
  <Application>Microsoft Office Word</Application>
  <DocSecurity>0</DocSecurity>
  <Lines>1</Lines>
  <Paragraphs>1592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1336258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398968</vt:lpwstr>
  </property>
  <property fmtid="{D5CDD505-2E9C-101B-9397-08002B2CF9AE}" pid="7" name="dmxml.render.traceId">
    <vt:lpwstr>69a826098fd5f8277ac7bfd945f92a91</vt:lpwstr>
  </property>
  <property fmtid="{D5CDD505-2E9C-101B-9397-08002B2CF9AE}" pid="8" name="FooterPath">
    <vt:lpwstr>AM\1336258CS.docx</vt:lpwstr>
  </property>
  <property fmtid="{D5CDD505-2E9C-101B-9397-08002B2CF9AE}" pid="9" name="PE Number">
    <vt:lpwstr>784.141</vt:lpwstr>
  </property>
  <property fmtid="{D5CDD505-2E9C-101B-9397-08002B2CF9AE}" pid="10" name="UID">
    <vt:lpwstr>eu.europa.europarl-DIN1-2026-0000040745_01.01-cs-01.00_text-xml</vt:lpwstr>
  </property>
</Properties>
</file>