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Talousarvion valvontavaliokunta</w:t>
      </w:r>
      <w:r>
        <w:rPr>
          <w:rStyle w:val="HideTWBExt"/>
        </w:rPr>
        <w:t>&lt;/Commission&gt;</w:t>
      </w:r>
    </w:p>
    <w:p>
      <w:pPr>
        <w:pStyle w:val="LineBottom"/>
      </w:pPr>
      <w:r>
        <w:t xml:space="preserve"> </w:t>
      </w:r>
    </w:p>
    <w:p>
      <w:pPr>
        <w:pStyle w:val="CoverReference"/>
      </w:pPr>
      <w:r>
        <w:rPr>
          <w:rStyle w:val="HideTWBExt"/>
        </w:rPr>
        <w:t>&lt;RefProc&gt;</w:t>
      </w:r>
      <w:r>
        <w:t>2025/2156</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{19/02/2026}</w:t>
      </w:r>
      <w:r>
        <w:t>19.2.2026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174</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Monika Hohlmeier</w:t>
      </w:r>
      <w:r>
        <w:rPr>
          <w:rStyle w:val="HideTWBExt"/>
        </w:rPr>
        <w:t>&lt;/Rapporteur&gt;</w:t>
      </w:r>
    </w:p>
    <w:p>
      <w:pPr>
        <w:pStyle w:val="CoverNormal24a"/>
      </w:pPr>
      <w:r>
        <w:rPr>
          <w:rStyle w:val="HideTWBExt"/>
        </w:rPr>
        <w:t>&lt;DocRefPE&gt;</w:t>
      </w:r>
      <w:r>
        <w:t>(PE776.806v01-00)</w:t>
      </w:r>
      <w:r>
        <w:rPr>
          <w:rStyle w:val="HideTWBExt"/>
        </w:rPr>
        <w:t>&lt;/DocRefPE&gt;</w:t>
      </w:r>
    </w:p>
    <w:p>
      <w:pPr>
        <w:pStyle w:val="CoverNormal"/>
      </w:pPr>
      <w:r>
        <w:rPr>
          <w:rStyle w:val="HideTWBExt"/>
        </w:rPr>
        <w:t>&lt;Titre&gt;</w:t>
      </w:r>
      <w:r>
        <w:t>Vastuuvapaus 2024: EU:n yleinen talousarvio ‒ Virastot</w:t>
      </w:r>
      <w:r>
        <w:rPr>
          <w:rStyle w:val="HideTWBExt"/>
        </w:rPr>
        <w:t>&lt;/Titre&gt;</w:t>
      </w:r>
    </w:p>
    <w:p>
      <w:pPr>
        <w:pStyle w:val="CoverNormal24a"/>
      </w:pPr>
      <w:r>
        <w:rPr>
          <w:rStyle w:val="HideTWBExt"/>
        </w:rPr>
        <w:t>&lt;DocRef&gt;</w:t>
      </w:r>
      <w:r>
        <w:t>(2025/2156(DEC))</w:t>
      </w:r>
      <w:r>
        <w:rPr>
          <w:rStyle w:val="HideTWBExt"/>
        </w:rPr>
        <w:t>&lt;/DocRef&gt;</w:t>
      </w:r>
    </w:p>
    <w:p>
      <w:r>
        <w:br w:type="page"/>
      </w:r>
      <w:r>
        <w:t>AM_Com_NonLegReportAM_Com_LegReport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unionin erillisvirastot, toimeenpanovirastot ja muut elimet ovat erillisiä oikeushenkilöitä, jotka on perustettu suorittamaan erityisiä teknisiä, tieteellisiä tai hallinnollisia tehtäviä ja auttamaan näin unionin toimielimiä näiden suunnitellessa ja toteuttaessa toimintapolitiikkoja; ottaa huomioon, että virastot sijaitsevat eri jäsenvaltioissa ja vaikuttavat merkittävästi aloihin, jotka ovat äärimmäisen tärkeitä unionin kansalaisten päivittäisessä elämässä ja joita ovat esimerkiksi terveys, turvallisuus, vapaus ja oikeus;</w:t>
            </w:r>
          </w:p>
        </w:tc>
        <w:tc>
          <w:tcPr>
            <w:tcW w:w="4876" w:type="dxa"/>
            <w:tcBorders>
              <w:top w:val="nil"/>
              <w:left w:val="nil"/>
              <w:bottom w:val="nil"/>
              <w:right w:val="nil"/>
            </w:tcBorders>
          </w:tcPr>
          <w:p>
            <w:pPr>
              <w:pStyle w:val="Normal6a"/>
            </w:pPr>
            <w:r>
              <w:t>A.</w:t>
            </w:r>
            <w:r>
              <w:tab/>
            </w:r>
            <w:r>
              <w:t xml:space="preserve">ottaa huomioon, että unionin erillisvirastot, toimeenpanovirastot ja muut elimet ovat erillisiä oikeushenkilöitä, jotka on perustettu suorittamaan erityisiä teknisiä, tieteellisiä tai hallinnollisia tehtäviä ja auttamaan näin unionin toimielimiä näiden suunnitellessa ja toteuttaessa toimintapolitiikkoja; ottaa huomioon, että virastot sijaitsevat eri jäsenvaltioissa ja vaikuttavat merkittävästi aloihin, jotka ovat äärimmäisen tärkeitä unionin kansalaisten päivittäisessä elämässä ja joita ovat esimerkiksi terveys, turvallisuus, vapaus ja oikeus; </w:t>
            </w:r>
            <w:r>
              <w:rPr>
                <w:b/>
                <w:i/>
              </w:rPr>
              <w:t>muistuttaa, että vastuuvapausmenettely ei ole pelkästään tekninen kirjanpitomenettely vaan demokraattisen vastuuvelvollisuuden keskeinen väline, jonka avulla parlamentti arvioi, toimivatko unionin elimet unionin arvojen, perusoikeuksien ja moitteettoman varainhoidon periaatteiden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jotkin virastot eivät mittaa riittävästi lausuntojensa vaikutusta Euroopan talouteen tai työllisyyteen, koska niiden vaikutus on toisinaan kielteinen;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toteaa</w:t>
            </w:r>
            <w:r>
              <w:t>, että tämä päätöslauselma sisältää asetuksen (EU, Euratom) 2024/2509 268 artiklan sekä Euroopan parlamentin työjärjestyksen liitteessä V olevan 3 artiklan mukaisesti kaikkia asetuksen (EU, Euratom) 2024/2509 70 artiklassa tarkoitettuja elimiä ja Euratomin hankintakeskusta koskeviin vastuuvapauspäätöksiin liittyvät luonteeltaan yleiset huomautukset;</w:t>
            </w:r>
          </w:p>
        </w:tc>
        <w:tc>
          <w:tcPr>
            <w:tcW w:w="4876" w:type="dxa"/>
            <w:tcBorders>
              <w:top w:val="nil"/>
              <w:left w:val="nil"/>
              <w:bottom w:val="nil"/>
              <w:right w:val="nil"/>
            </w:tcBorders>
          </w:tcPr>
          <w:p>
            <w:pPr>
              <w:pStyle w:val="Normal6a"/>
            </w:pPr>
            <w:r>
              <w:t>B.</w:t>
            </w:r>
            <w:r>
              <w:tab/>
            </w:r>
            <w:r>
              <w:rPr>
                <w:b/>
                <w:i/>
              </w:rPr>
              <w:t>pitää valitettavana sitä</w:t>
            </w:r>
            <w:r>
              <w:t>, että tämä päätöslauselma sisältää asetuksen (EU, Euratom) 2024/2509 268 artiklan sekä Euroopan parlamentin työjärjestyksen liitteessä V olevan 3 artiklan mukaisesti kaikkia asetuksen (EU, Euratom) 2024/2509 70 artiklassa tarkoitettuja elimiä ja Euratomin hankintakeskusta koskeviin vastuuvapauspäätöksiin liittyvät luonteeltaan yleiset huomautukset</w:t>
            </w:r>
            <w:r>
              <w:rPr>
                <w:b/>
                <w:i/>
              </w:rPr>
              <w:t>, minkä vuoksi kunkin elimen vastuuvapautta on mahdotonta tarkastella erikseen ja tunnistaa niille erityiset asiat ja käsitellä niitä saati tehdä päätöstä niistä kaikista, mikä vääristää tätä päätöslauselmaa koskevaa lopullista äänestystä</w:t>
            </w:r>
            <w:r>
              <w:t xml:space="preserve">; </w:t>
            </w:r>
            <w:r>
              <w:rPr>
                <w:b/>
                <w:i/>
              </w:rPr>
              <w:t>kehottaa palauttamaan käyttöön käytännön vastuuvapausmenettelyjen yksilöllisestä käsittelystä sekä talousarvion valvontavaliokunnassa että lausunnon antavissa valiokunnissa;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katsoo, että unionin erillisvirastojen ja Euratomin hankintakeskuksen olisi keskityttävä tehtäviin, jotka tuottavat selvää eurooppalaista lisäarvoa, ja että näiden tehtävien organisointi olisi optimoitava, jotta vältetään päällekkäisyydet unionin veronmaksajien edun mukaisesti;</w:t>
            </w:r>
          </w:p>
        </w:tc>
        <w:tc>
          <w:tcPr>
            <w:tcW w:w="4876" w:type="dxa"/>
            <w:tcBorders>
              <w:top w:val="nil"/>
              <w:left w:val="nil"/>
              <w:bottom w:val="nil"/>
              <w:right w:val="nil"/>
            </w:tcBorders>
          </w:tcPr>
          <w:p>
            <w:pPr>
              <w:pStyle w:val="Normal6a"/>
            </w:pPr>
            <w:r>
              <w:t>C.</w:t>
            </w:r>
            <w:r>
              <w:tab/>
            </w:r>
            <w:r>
              <w:t>katsoo, että unionin erillisvirastojen ja Euratomin hankintakeskuksen olisi keskityttävä tehtäviin, jotka tuottavat selvää eurooppalaista lisäarvoa, ja että näiden tehtävien organisointi olisi optimoitava, jotta vältetään päällekkäisyydet unionin veronmaksajien edun mukaisesti</w:t>
            </w:r>
            <w:r>
              <w:rPr>
                <w:b/>
                <w:i/>
              </w:rPr>
              <w:t> erityisesti terveyden alalla (Euroopan tautienehkäisy- ja -valvontakeskuksen toimeksianto, jonka toimivalta on päällekkäinen Euroopan komission terveyshätätilanteiden valmiusviranomaisen kanssa) tai koulutuksen ja työolojen alalla (Cedefop, ETF, EU-OSHA, Eurofound)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ottaa huomioon, että tilintarkastustuomioistuin antoi varainhoitovuodelta 2024 vakiomuotoisen lausunnon lähes kaikista virastoista;</w:t>
            </w:r>
            <w:r>
              <w:t xml:space="preserve"> </w:t>
            </w:r>
            <w:r>
              <w:rPr>
                <w:b/>
                <w:i/>
              </w:rPr>
              <w:t>katsoo, että moitteettoman varainhoidon, tehokkaiden sisäisen valvonnan järjestelmien ja talousarviota koskevan kurinalaisuuden korkean tason ylläpitäminen on edelleen olennaisen tärkeää, jotta voidaan varmistaa unionin varojen asianmukainen ja avoin käyttö ja vahvistaa kansalaisten luottamusta unionin toimielimiin;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ottaa huomioon, että unionin virastojen vastuualueet ovat kasvaneet viime vuosina;</w:t>
            </w:r>
            <w:r>
              <w:t xml:space="preserve"> </w:t>
            </w:r>
            <w:r>
              <w:rPr>
                <w:b/>
                <w:i/>
              </w:rPr>
              <w:t>katsoo, että tarvitaan riittävät ja ennakoitavat resurssit yhdistettynä vankkoihin hallintorakenteisiin ja selkeisiin vastuuvelvollisuusmekanismeihin, jotta virastot voivat täyttää tehtävänsä tehokkaasti ja turvata unionin uskottavuuden;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c.</w:t>
            </w:r>
            <w:r>
              <w:tab/>
            </w:r>
            <w:r>
              <w:rPr>
                <w:b/>
                <w:i/>
              </w:rPr>
              <w:t>ottaa huomioon, että yhteen virastoon vuonna 2024 vaikuttanut kyberturvallisuuspoikkeama osoittaa arkaluonteisia tietoja käsittelevien unionin elinten haavoittuvuuden;</w:t>
            </w:r>
            <w:r>
              <w:t xml:space="preserve"> </w:t>
            </w:r>
            <w:r>
              <w:rPr>
                <w:b/>
                <w:i/>
              </w:rPr>
              <w:t>katsoo, että kyberturvallisuuden, toiminnan jatkuvuuden suunnittelun ja sisäisen valvonnan järjestelmien vahvistamista olisi pidettävä horisontaalisena painopisteenä kaikissa virastoissa;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ilmaisee syvän huolensa EU:n kasvavasta velkataakasta ja lisääntyvistä lainakustannuksista;</w:t>
            </w:r>
            <w:r>
              <w:t xml:space="preserve"> </w:t>
            </w:r>
            <w:r>
              <w:rPr>
                <w:b/>
                <w:i/>
              </w:rPr>
              <w:t>toteaa, että Euroopan tilintarkastustuomioistuimen vuosikertomuksen mukaan EU:n ottamat lainat voivat ylittää 900 miljardia euroa vuoteen 2027 mennessä, mikä on lähes kymmenen kertaa niin paljon kuin vuonna 2020 ennen Euroopan unionin elpymisvälineen käyttöönottoa;</w:t>
            </w:r>
            <w:r>
              <w:t xml:space="preserve"> </w:t>
            </w:r>
            <w:r>
              <w:rPr>
                <w:b/>
                <w:i/>
              </w:rPr>
              <w:t>varoittaa, että lainakustannusten nousu vaarantaa tulevat talousarviot ja vähentää uusien painopisteiden finanssipoliittista liikkumavaraa;</w:t>
            </w:r>
            <w:r>
              <w:t xml:space="preserve"> </w:t>
            </w:r>
            <w:r>
              <w:rPr>
                <w:b/>
                <w:i/>
              </w:rPr>
              <w:t>painottaa siksi, että tämä ennennäkemätön finanssipoliittinen paine edellyttää tiukkoja säästötoimia kaikissa EU:n virastoissa;</w:t>
            </w:r>
            <w:r>
              <w:t xml:space="preserve"> </w:t>
            </w:r>
            <w:r>
              <w:rPr>
                <w:b/>
                <w:i/>
              </w:rPr>
              <w:t>kehottaa komissiota ja EU:n virastojen verkostoa esittämään suunnitelman rakenteellisten kustannusten vähentämiseksi, jotta voidaan osoittaa institutionaalinen vastuunkanto aikana, jona julkinen velka on suuri;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huomauttaa, että EU:n virastojen perustamisen tai laajentamisen tarkoituksena on parantaa unionin valmiuksia mutta on </w:t>
            </w:r>
            <w:r>
              <w:rPr>
                <w:b/>
                <w:i/>
              </w:rPr>
              <w:t>ratkaisevan</w:t>
            </w:r>
            <w:r>
              <w:t xml:space="preserve"> tärkeää varmistaa, että tämän prosessin perustana ovat perusteelliset arvioinnit</w:t>
            </w:r>
            <w:r>
              <w:rPr>
                <w:b/>
                <w:i/>
              </w:rPr>
              <w:t>,</w:t>
            </w:r>
            <w:r>
              <w:t xml:space="preserve"> vaikutustenarvioinnit </w:t>
            </w:r>
            <w:r>
              <w:rPr>
                <w:b/>
                <w:i/>
              </w:rPr>
              <w:t>ja selkeä osoitus lisäarvosta</w:t>
            </w:r>
            <w:r>
              <w:t xml:space="preserve">, jotta voidaan </w:t>
            </w:r>
            <w:r>
              <w:rPr>
                <w:b/>
                <w:i/>
              </w:rPr>
              <w:t>oppia kokemuksista ja harkita virastojen toimeksiantojen lakkauttamista, jos se on tarpeen;</w:t>
            </w:r>
            <w:r>
              <w:t xml:space="preserve"> </w:t>
            </w:r>
            <w:r>
              <w:rPr>
                <w:b/>
                <w:i/>
              </w:rPr>
              <w:t>korostaa, että tällä lähestymistavalla varmistettaisiin parempi sääntely ja lisäksi parannettaisiin</w:t>
            </w:r>
            <w:r>
              <w:t xml:space="preserve"> unionin toimielinrakenteen tehokkuutta, vastuuvelvollisuutta, avoimuutta ja johdonmukaisuutta;</w:t>
            </w:r>
          </w:p>
        </w:tc>
        <w:tc>
          <w:tcPr>
            <w:tcW w:w="4876" w:type="dxa"/>
            <w:tcBorders>
              <w:top w:val="nil"/>
              <w:left w:val="nil"/>
              <w:bottom w:val="nil"/>
              <w:right w:val="nil"/>
            </w:tcBorders>
          </w:tcPr>
          <w:p>
            <w:pPr>
              <w:pStyle w:val="Normal6a"/>
            </w:pPr>
            <w:r>
              <w:t>2.</w:t>
            </w:r>
            <w:r>
              <w:tab/>
            </w:r>
            <w:r>
              <w:t xml:space="preserve">huomauttaa, että EU:n virastojen perustamisen tai laajentamisen tarkoituksena on parantaa unionin valmiuksia mutta on tärkeää varmistaa, että tämän prosessin perustana ovat perusteelliset arvioinnit </w:t>
            </w:r>
            <w:r>
              <w:rPr>
                <w:b/>
                <w:i/>
              </w:rPr>
              <w:t>ja</w:t>
            </w:r>
            <w:r>
              <w:t xml:space="preserve"> vaikutustenarvioinnit, jotta voidaan </w:t>
            </w:r>
            <w:r>
              <w:rPr>
                <w:b/>
                <w:i/>
              </w:rPr>
              <w:t>parantaa</w:t>
            </w:r>
            <w:r>
              <w:t xml:space="preserve"> unionin toimielinrakenteen tehokkuutta, vastuuvelvollisuutta, avoimuutta ja johdonmukaisuutta;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huomauttaa, että EU:n virastojen perustamisen tai laajentamisen tarkoituksena on parantaa unionin valmiuksia mutta on ratkaisevan tärkeää varmistaa, että tämän prosessin perustana ovat perusteelliset arvioinnit, vaikutustenarvioinnit ja selkeä osoitus lisäarvosta, jotta voidaan oppia kokemuksista ja </w:t>
            </w:r>
            <w:r>
              <w:rPr>
                <w:b/>
                <w:i/>
              </w:rPr>
              <w:t>harkita</w:t>
            </w:r>
            <w:r>
              <w:t xml:space="preserve"> virastojen </w:t>
            </w:r>
            <w:r>
              <w:rPr>
                <w:b/>
                <w:i/>
              </w:rPr>
              <w:t>toimeksiantojen lakkauttamista</w:t>
            </w:r>
            <w:r>
              <w:t>, jos se on tarpeen; korostaa, että tällä lähestymistavalla varmistettaisiin parempi sääntely ja lisäksi parannettaisiin unionin toimielinrakenteen tehokkuutta, vastuuvelvollisuutta, avoimuutta ja johdonmukaisuutta;</w:t>
            </w:r>
          </w:p>
        </w:tc>
        <w:tc>
          <w:tcPr>
            <w:tcW w:w="4876" w:type="dxa"/>
            <w:tcBorders>
              <w:top w:val="nil"/>
              <w:left w:val="nil"/>
              <w:bottom w:val="nil"/>
              <w:right w:val="nil"/>
            </w:tcBorders>
          </w:tcPr>
          <w:p>
            <w:pPr>
              <w:pStyle w:val="Normal6a"/>
            </w:pPr>
            <w:r>
              <w:t>2.</w:t>
            </w:r>
            <w:r>
              <w:tab/>
            </w:r>
            <w:r>
              <w:t xml:space="preserve">huomauttaa, että EU:n virastojen perustamisen tai laajentamisen tarkoituksena on parantaa unionin valmiuksia mutta on ratkaisevan tärkeää varmistaa, että tämän prosessin perustana ovat perusteelliset arvioinnit, vaikutustenarvioinnit ja selkeä osoitus lisäarvosta, jotta voidaan oppia kokemuksista ja virastojen </w:t>
            </w:r>
            <w:r>
              <w:rPr>
                <w:b/>
                <w:i/>
              </w:rPr>
              <w:t>toimeksiantoja lakkauttaa</w:t>
            </w:r>
            <w:r>
              <w:t>, jos se on tarpeen</w:t>
            </w:r>
            <w:r>
              <w:rPr>
                <w:b/>
                <w:i/>
              </w:rPr>
              <w:t>, erityisesti kun on kyse toisteisista tai päällekkäisistä toimivaltuuksista</w:t>
            </w:r>
            <w:r>
              <w:t>; korostaa, että tällä lähestymistavalla varmistettaisiin parempi sääntely ja lisäksi parannettaisiin unionin toimielinrakenteen tehokkuutta, vastuuvelvollisuutta, avoimuutta ja johdonmukaisuutta;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huomauttaa, että EU:n virastojen perustamisen tai laajentamisen tarkoituksena on parantaa unionin valmiuksia mutta on ratkaisevan tärkeää varmistaa, että tämän prosessin perustana ovat perusteelliset arvioinnit, vaikutustenarvioinnit ja selkeä osoitus lisäarvosta, jotta voidaan oppia kokemuksista ja harkita virastojen toimeksiantojen lakkauttamista, jos se on tarpeen; korostaa, että tällä lähestymistavalla varmistettaisiin parempi sääntely ja lisäksi parannettaisiin unionin toimielinrakenteen tehokkuutta, vastuuvelvollisuutta, avoimuutta ja johdonmukaisuutta;</w:t>
            </w:r>
          </w:p>
        </w:tc>
        <w:tc>
          <w:tcPr>
            <w:tcW w:w="4876" w:type="dxa"/>
            <w:tcBorders>
              <w:top w:val="nil"/>
              <w:left w:val="nil"/>
              <w:bottom w:val="nil"/>
              <w:right w:val="nil"/>
            </w:tcBorders>
          </w:tcPr>
          <w:p>
            <w:pPr>
              <w:pStyle w:val="Normal6a"/>
            </w:pPr>
            <w:r>
              <w:t>2.</w:t>
            </w:r>
            <w:r>
              <w:tab/>
            </w:r>
            <w:r>
              <w:t xml:space="preserve">huomauttaa, että EU:n virastojen perustamisen tai laajentamisen tarkoituksena on parantaa unionin valmiuksia mutta on ratkaisevan tärkeää varmistaa, että tämän prosessin perustana ovat perusteelliset arvioinnit, vaikutustenarvioinnit ja selkeä osoitus lisäarvosta, jotta voidaan oppia kokemuksista ja harkita virastojen toimeksiantojen lakkauttamista, jos se on tarpeen; korostaa, että tällä lähestymistavalla varmistettaisiin parempi sääntely ja lisäksi parannettaisiin unionin toimielinrakenteen tehokkuutta, vastuuvelvollisuutta, avoimuutta ja johdonmukaisuutta; </w:t>
            </w:r>
            <w:r>
              <w:rPr>
                <w:b/>
                <w:i/>
              </w:rPr>
              <w:t>korostaa, että virastojen toimeksiantojen yhdistämistä, konsolidoimista tai lakkauttamista koskevien pohdintojen on perustuttava kattavaan poliittiseen arviointiin, jossa otetaan huomioon demokraattinen vastuuvelvollisuus, riippumattomuus, perusoikeuksiin kohdistuvat vaikutukset ja lisäarvo, eikä pelkästään talousarvioon tai tehokkuuteen liittyviin näkökohtiin;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huomauttaa, että EU:n virastojen perustamisen tai laajentamisen tarkoituksena on parantaa unionin valmiuksia mutta on ratkaisevan tärkeää varmistaa, että tämän prosessin perustana ovat perusteelliset arvioinnit, vaikutustenarvioinnit ja selkeä osoitus lisäarvosta, jotta voidaan oppia kokemuksista ja harkita virastojen toimeksiantojen lakkauttamista, jos se on tarpeen; korostaa, että tällä lähestymistavalla varmistettaisiin parempi sääntely ja lisäksi parannettaisiin unionin toimielinrakenteen tehokkuutta, vastuuvelvollisuutta, avoimuutta ja johdonmukaisuutta;</w:t>
            </w:r>
          </w:p>
        </w:tc>
        <w:tc>
          <w:tcPr>
            <w:tcW w:w="4876" w:type="dxa"/>
            <w:tcBorders>
              <w:top w:val="nil"/>
              <w:left w:val="nil"/>
              <w:bottom w:val="nil"/>
              <w:right w:val="nil"/>
            </w:tcBorders>
          </w:tcPr>
          <w:p>
            <w:pPr>
              <w:pStyle w:val="Normal6a"/>
            </w:pPr>
            <w:r>
              <w:t>2.</w:t>
            </w:r>
            <w:r>
              <w:tab/>
            </w:r>
            <w:r>
              <w:t xml:space="preserve">huomauttaa, että EU:n virastojen perustamisen tai laajentamisen tarkoituksena on parantaa unionin valmiuksia mutta on ratkaisevan tärkeää varmistaa, että tämän prosessin perustana ovat perusteelliset arvioinnit, </w:t>
            </w:r>
            <w:r>
              <w:rPr>
                <w:b/>
                <w:i/>
              </w:rPr>
              <w:t>perinpohjaiset kustannus-hyötyanalyysit,</w:t>
            </w:r>
            <w:r>
              <w:t xml:space="preserve"> vaikutustenarvioinnit ja selkeä osoitus lisäarvosta,</w:t>
            </w:r>
            <w:r>
              <w:rPr>
                <w:b/>
                <w:i/>
              </w:rPr>
              <w:t> </w:t>
            </w:r>
            <w:r>
              <w:t xml:space="preserve"> </w:t>
            </w:r>
            <w:r>
              <w:rPr>
                <w:b/>
                <w:i/>
              </w:rPr>
              <w:t> </w:t>
            </w:r>
            <w:r>
              <w:t xml:space="preserve">jotta voidaan oppia kokemuksista ja harkita virastojen toimeksiantojen lakkauttamista, jos se on tarpeen; korostaa, että tällä lähestymistavalla varmistettaisiin parempi sääntely ja lisäksi parannettaisiin unionin toimielinrakenteen tehokkuutta, vastuuvelvollisuutta, avoimuutta ja johdonmukaisuutta; </w:t>
            </w:r>
            <w:r>
              <w:rPr>
                <w:b/>
                <w:i/>
              </w:rPr>
              <w:t>korostaa, että EU:n rahoittamia toimia on arvioitava tiukasti odotetun tuoton ja mitattavissa olevien vaikutusten perusteella taloudellisuuden, tehokkuuden ja vaikuttavuuden periaatteiden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korostaa, että avoimuus ei ole ainoastaan vaatimustenmukaisuusvelvoite vaan myös edellytys sille, että kansalaiset voivat luottaa virastoihin, jotka käyttävät merkittäviä sääntely- tai toimintavaltuuksia;</w:t>
            </w:r>
            <w:r>
              <w:t xml:space="preserve"> </w:t>
            </w:r>
            <w:r>
              <w:rPr>
                <w:b/>
                <w:i/>
              </w:rPr>
              <w:t>kehottaa virastoja julkaisemaan ennakoivasti, oikea-aikaisesti ja käyttäjäystävällisesti keskeiset asiakirjat, mukaan lukien hallintoneuvostojen päätökset, ei-luottamukselliset sopimukset ja arviointien tulokset;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palauttaa mieliin, että yhteisen lähestymistavan 60 kohdassa todetaan, että jokaista virastoa olisi arvioitava viiden vuoden välein; kehottaa komissiota selvittämään edelleen synergioita ja toimien lujittamista sekä sellaisten virastojen mahdollista yhdistämistä, joilla on toisiaan täydentäviä toimintoja, kuten koulutuksen alalla toimivilla virastoilla, jotta varmistetaan kustannustehokkuus ja virtaviivaistetaan virastojen toimintoja, mukaan lukien mahdolliset toimeksiantojen uudelleentarkastelut, jos ilmenee tehottomuutta tai päällekkäisyyttä; kannustaa soveltamaan tarvittaessa raukeamis- tai uudelleentarkastelulauseketta, jotta voidaan pitää yllä tehokkuutta ja varmistaa resurssien optimaalinen käyttö; pitää taloudellisuutta virastojen toiminnan kannalta keskeisenä; palauttaa tältä osin mieliin tilintarkastustuomioistuimen erityiskertomuksessa 22/2020</w:t>
            </w:r>
            <w:r>
              <w:rPr>
                <w:vertAlign w:val="superscript"/>
              </w:rPr>
              <w:t>2</w:t>
            </w:r>
            <w:r>
              <w:t>esittämän suosituksen, jossa komissiota kehotetaan käyttämään enemmän virastojen monialaisia arviointeja sen suorittaessa eri politiikanalojen toimivuustarkastuksia;</w:t>
            </w:r>
          </w:p>
        </w:tc>
        <w:tc>
          <w:tcPr>
            <w:tcW w:w="4876" w:type="dxa"/>
            <w:tcBorders>
              <w:top w:val="nil"/>
              <w:left w:val="nil"/>
              <w:bottom w:val="nil"/>
              <w:right w:val="nil"/>
            </w:tcBorders>
          </w:tcPr>
          <w:p>
            <w:pPr>
              <w:pStyle w:val="Normal6a"/>
            </w:pPr>
            <w:r>
              <w:t>3.</w:t>
            </w:r>
            <w:r>
              <w:tab/>
            </w:r>
            <w:r>
              <w:t xml:space="preserve">palauttaa mieliin, että yhteisen lähestymistavan 60 kohdassa todetaan, että jokaista virastoa olisi arvioitava viiden vuoden välein; kehottaa komissiota selvittämään edelleen synergioita ja toimien lujittamista sekä sellaisten virastojen mahdollista yhdistämistä, joilla on toisiaan täydentäviä toimintoja, kuten koulutuksen alalla toimivilla virastoilla, jotta varmistetaan kustannustehokkuus ja virtaviivaistetaan virastojen toimintoja, mukaan lukien mahdolliset toimeksiantojen uudelleentarkastelut, jos ilmenee tehottomuutta tai päällekkäisyyttä; </w:t>
            </w:r>
            <w:r>
              <w:rPr>
                <w:b/>
                <w:i/>
              </w:rPr>
              <w:t>vaatii, että suhteellisuutta, tehokkuutta ja finanssipoliittista vastuuta koskevien periaatteiden mukaisesti kaikkien unionin virastojen toimeksiantojen olisi oltava määräaikaisia ja virastojen tuloksellisuutta olisi tarkasteltava säännöllisesti;</w:t>
            </w:r>
            <w:r>
              <w:t xml:space="preserve"> </w:t>
            </w:r>
            <w:r>
              <w:rPr>
                <w:b/>
                <w:i/>
              </w:rPr>
              <w:t>korostaa, että virastoihin, joiden perustavoitteet on saavutettu tai jotka eivät enää hoida ainutlaatuista ja olennaista tehtävää unionin toimintakehyksessä, olisi sovellettava lakkauttamismenettelyjä ilman aiheetonta viivytystä;</w:t>
            </w:r>
            <w:r>
              <w:t xml:space="preserve"> </w:t>
            </w:r>
            <w:r>
              <w:rPr>
                <w:b/>
                <w:i/>
              </w:rPr>
              <w:t>kehottaa komissiota esittämään vuosittain yksityiskohtaisen arvion siitä, onko kukin virasto edelleen merkityksellinen, ja antamaan suosituksen viraston lakkauttamisesta tai toimeksiannon rajoittamisesta, jos alkuperäiset tavoitteet on jo saavutettu tai jos havaitaan institutionaalista tarpeettomuutta;</w:t>
            </w:r>
            <w:r>
              <w:t xml:space="preserve"> kannustaa soveltamaan tarvittaessa raukeamis- tai uudelleentarkastelulauseketta, jotta voidaan pitää yllä tehokkuutta ja varmistaa resurssien optimaalinen käyttö; pitää taloudellisuutta virastojen toiminnan kannalta keskeisenä; palauttaa tältä osin mieliin tilintarkastustuomioistuimen erityiskertomuksessa 22/2020</w:t>
            </w:r>
            <w:r>
              <w:rPr>
                <w:vertAlign w:val="superscript"/>
              </w:rPr>
              <w:t>2</w:t>
            </w:r>
            <w:r>
              <w:t xml:space="preserve"> esittämän suosituksen, jossa komissiota kehotetaan käyttämään enemmän virastojen monialaisia arviointeja sen suorittaessa eri politiikanalojen toimivuustarkastuksia; </w:t>
            </w:r>
            <w:r>
              <w:rPr>
                <w:b/>
                <w:i/>
              </w:rPr>
              <w:t>korostaa, että tilintarkastustuomioistuimen erityiskertomuksessa 22/2020 todettiin, että virastot raportoivat toiminnastaan, mutta niiden todellista panosta EU:n toimintapolitiikkaan ei mitata selkeästi eikä siitä tiedoteta selkeästi yleisölle;</w:t>
            </w:r>
            <w:r>
              <w:t xml:space="preserve"> </w:t>
            </w:r>
            <w:r>
              <w:rPr>
                <w:b/>
                <w:i/>
              </w:rPr>
              <w:t>kehottaa komissiota toteuttamaan viipymättä toimia tämän asian korjaamiseksi;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”EU:n virastojen tulevaisuus – Joustavuutta ja yhteistyötä voidaan vielä lisätä”, https://op.europa.eu/webpub/eca/special-reports/agencies-performance-audit-22-2020/fi/.</w:t>
            </w:r>
          </w:p>
        </w:tc>
        <w:tc>
          <w:tcPr>
            <w:tcW w:w="4876" w:type="dxa"/>
            <w:tcBorders>
              <w:top w:val="nil"/>
              <w:left w:val="nil"/>
              <w:bottom w:val="nil"/>
              <w:right w:val="nil"/>
            </w:tcBorders>
          </w:tcPr>
          <w:p>
            <w:pPr>
              <w:pStyle w:val="Normal6a"/>
            </w:pPr>
            <w:r>
              <w:rPr>
                <w:vertAlign w:val="superscript"/>
              </w:rPr>
              <w:t>2</w:t>
            </w:r>
            <w:r>
              <w:t xml:space="preserve"> </w:t>
            </w:r>
            <w:r>
              <w:t>”EU:n virastojen tulevaisuus – joustavuutta ja yhteistyötä voidaan vielä lisätä”, https://op.europa.eu/webpub/eca/special-reports/agencies-performance-audit-22-2020/fi/.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palauttaa mieliin, että yhteisen lähestymistavan 60 kohdassa todetaan, että jokaista virastoa olisi arvioitava viiden vuoden välein; kehottaa komissiota selvittämään edelleen synergioita ja toimien lujittamista sekä sellaisten virastojen mahdollista yhdistämistä, joilla on toisiaan täydentäviä toimintoja, kuten koulutuksen alalla toimivilla virastoilla, jotta varmistetaan kustannustehokkuus ja virtaviivaistetaan virastojen toimintoja, mukaan lukien mahdolliset toimeksiantojen uudelleentarkastelut, jos ilmenee tehottomuutta tai päällekkäisyyttä; kannustaa soveltamaan tarvittaessa raukeamis- tai uudelleentarkastelulauseketta, jotta voidaan pitää yllä tehokkuutta ja varmistaa resurssien optimaalinen käyttö; pitää taloudellisuutta virastojen toiminnan kannalta keskeisenä; palauttaa tältä osin mieliin tilintarkastustuomioistuimen erityiskertomuksessa 22/2020</w:t>
            </w:r>
            <w:r>
              <w:rPr>
                <w:vertAlign w:val="superscript"/>
              </w:rPr>
              <w:t>2</w:t>
            </w:r>
            <w:r>
              <w:t>esittämän suosituksen, jossa komissiota kehotetaan käyttämään enemmän virastojen monialaisia arviointeja sen suorittaessa eri politiikanalojen toimivuustarkastuksia;</w:t>
            </w:r>
          </w:p>
        </w:tc>
        <w:tc>
          <w:tcPr>
            <w:tcW w:w="4876" w:type="dxa"/>
            <w:tcBorders>
              <w:top w:val="nil"/>
              <w:left w:val="nil"/>
              <w:bottom w:val="nil"/>
              <w:right w:val="nil"/>
            </w:tcBorders>
          </w:tcPr>
          <w:p>
            <w:pPr>
              <w:pStyle w:val="Normal6a"/>
            </w:pPr>
            <w:r>
              <w:t>3.</w:t>
            </w:r>
            <w:r>
              <w:tab/>
            </w:r>
            <w:r>
              <w:t xml:space="preserve">palauttaa mieliin, että yhteisen lähestymistavan 60 kohdassa todetaan, että jokaista virastoa olisi arvioitava viiden vuoden välein; kehottaa komissiota selvittämään edelleen </w:t>
            </w:r>
            <w:r>
              <w:rPr>
                <w:b/>
                <w:i/>
              </w:rPr>
              <w:t>erityisesti tilintarkastustuomioistuimen kertomusten perusteella</w:t>
            </w:r>
            <w:r>
              <w:t xml:space="preserve"> synergioita ja toimien lujittamista sekä sellaisten virastojen mahdollista yhdistämistä, joilla on toisiaan täydentäviä toimintoja, kuten koulutuksen alalla toimivilla virastoilla, jotta varmistetaan kustannustehokkuus ja virtaviivaistetaan virastojen toimintoja, mukaan lukien mahdolliset toimeksiantojen uudelleentarkastelut, jos ilmenee tehottomuutta tai päällekkäisyyttä; kannustaa soveltamaan tarvittaessa raukeamis- tai uudelleentarkastelulauseketta, jotta voidaan pitää yllä tehokkuutta ja varmistaa resurssien optimaalinen käyttö; pitää taloudellisuutta virastojen toiminnan kannalta keskeisenä; palauttaa tältä osin mieliin tilintarkastustuomioistuimen erityiskertomuksessa 22/2020</w:t>
            </w:r>
            <w:r>
              <w:rPr>
                <w:vertAlign w:val="superscript"/>
              </w:rPr>
              <w:t>2</w:t>
            </w:r>
            <w:r>
              <w:t xml:space="preserve"> esittämän suosituksen, jossa komissiota kehotetaan käyttämään enemmän virastojen monialaisia arviointeja sen suorittaessa eri politiikanalojen toimivuustarkastuksia;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”EU:n virastojen tulevaisuus – Joustavuutta ja yhteistyötä voidaan vielä lisätä”, https://op.europa.eu/webpub/eca/special-reports/agencies-performance-audit-22-2020/fi/.</w:t>
            </w:r>
          </w:p>
        </w:tc>
        <w:tc>
          <w:tcPr>
            <w:tcW w:w="4876" w:type="dxa"/>
            <w:tcBorders>
              <w:top w:val="nil"/>
              <w:left w:val="nil"/>
              <w:bottom w:val="nil"/>
              <w:right w:val="nil"/>
            </w:tcBorders>
          </w:tcPr>
          <w:p>
            <w:pPr>
              <w:pStyle w:val="Normal6a"/>
            </w:pPr>
            <w:r>
              <w:rPr>
                <w:vertAlign w:val="superscript"/>
              </w:rPr>
              <w:t>2</w:t>
            </w:r>
            <w:r>
              <w:t xml:space="preserve"> </w:t>
            </w:r>
            <w:r>
              <w:t>”EU:n virastojen tulevaisuus – joustavuutta ja yhteistyötä voidaan vielä lisätä”, https://op.europa.eu/webpub/eca/special-reports/agencies-performance-audit-22-2020/fi/.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korostaa, että tämän päätöslauselman kattamat 33 erillisvirastoa hallinnoivat yhteensä yli 4,1 miljardin euron edestä julkisia varoja;</w:t>
            </w:r>
            <w:r>
              <w:t xml:space="preserve"> </w:t>
            </w:r>
            <w:r>
              <w:rPr>
                <w:b/>
                <w:i/>
              </w:rPr>
              <w:t>korostaa, että vaikka vastuuvapausmenettelyssä asianmukaisesti todennetaan sovellettavien sääntöjen noudattaminen, parlamentin on myös arvioitava järjestelmällisesti näiden virastojen todellisia vaikutuksia kansalaisten ja veronmaksajien kannalta;</w:t>
            </w:r>
            <w:r>
              <w:t xml:space="preserve"> </w:t>
            </w:r>
            <w:r>
              <w:rPr>
                <w:b/>
                <w:i/>
              </w:rPr>
              <w:t>panee merkille, että kuten tilintarkastustuomioistuin korosti erityiskertomuksessaan 22/2020, virastot raportoivat laajasti toiminnastaan, mutta niiden mitattavissa olevaa panosta unionin toimintapoliittisten tavoitteiden saavuttamiseen ei ole edelleenkään osoiteta riittävällä tavalla;</w:t>
            </w:r>
            <w:r>
              <w:t xml:space="preserve"> </w:t>
            </w:r>
            <w:r>
              <w:rPr>
                <w:b/>
                <w:i/>
              </w:rPr>
              <w:t>katsoo, että kutakin virastoa olisi vaadittava raportoimaan vuosittain rajallisesta määrästä mitattavissa olevia tulos- ja vaikutusindikaattoreita, jotka liittyvät suoraan sen perustehtävään ja jotka kattavat tapauksen mukaan esimerkiksi kansanterveyteen, rajaturvallisuuden tehokkuuteen, innovointiin tai sääntelyn täytäntöönpanon valvontaan liittyvät tulokset;</w:t>
            </w:r>
            <w:r>
              <w:t xml:space="preserve"> </w:t>
            </w:r>
            <w:r>
              <w:rPr>
                <w:b/>
                <w:i/>
              </w:rPr>
              <w:t>kehottaa EU:n virastojen verkostoa (EUAN) kehittämään yhteistyössä Euroopan tilintarkastustuomioistuimen kanssa yhteisen tuloksellisuuden ja vaikutusten mittauskehyksen, joka perustuu "tuloksellisuuskompassiin" ja jossa erotetaan toisistaan panokset, tuotokset, tulokset ja vaikutukset, ja esittämään sen vastuuvapauden myöntävälle viranomaiselle vuoden 2026 loppuun mennessä, jotta parlamentti ja veronmaksajat voivat arvioida käytettyjen resurssien konkreettisia tuloksia;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muistuttaa, että unionin virastot on perustettu täyttämään selkeästi määritellyt tehtävät ja toimintapoliittiset tavoitteet;</w:t>
            </w:r>
            <w:r>
              <w:t xml:space="preserve"> </w:t>
            </w:r>
            <w:r>
              <w:rPr>
                <w:b/>
                <w:i/>
              </w:rPr>
              <w:t>korostaa, että moitteettoman varainhoidon ja suhteellisuuden periaatteiden mukaisesti kunkin viraston toiminnan jatkumista olisi arvioitava säännöllisesti uudelleen sen perustamisen yhteydessä asetettuihin tavoitteisiin nähden;</w:t>
            </w:r>
            <w:r>
              <w:t xml:space="preserve"> </w:t>
            </w:r>
            <w:r>
              <w:rPr>
                <w:b/>
                <w:i/>
              </w:rPr>
              <w:t>kehottaa komissiota tehostamaan lakkauttamislausekkeiden käyttöä ja toimeksiantojen järjestelmällistä arviointia ja ehdottamaan sellaisten virastojen lakkauttamista, yhdistämistä tai uudelleenjärjestelyä, joiden perustamisen yhteydessä asetetut tavoitteet on todistettavasti saavutettu tai joiden lisäarvo ei ole enää perusteltavissa;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kehottaa tilintarkastustuomioistuinta yksilöimään sellaiset virastot, joiden tehtävissä on päällekkäisyyttä, jotta toimintaa voidaan järkeistää ja virastojen määrää vähentää ja siten viime kädessä vähentää kustannuksia ja suojata unionin taloudellisia etuja;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korostaa, että perusoikeuksien ja oikeusvaltioperiaatteen kunnioittaminen on hyvän suoriutumisen ja moitteettoman varainhoidon edellytys;</w:t>
            </w:r>
            <w:r>
              <w:t xml:space="preserve"> </w:t>
            </w:r>
            <w:r>
              <w:rPr>
                <w:b/>
                <w:i/>
              </w:rPr>
              <w:t>katsoo, että virastojen, jotka eivät noudata perusoikeuksia koskevia velvoitteita, ei voida katsoa suoriutuvan tyydyttävästi riippumatta siitä, mikä niiden talousarvion toteuttamisaste 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vastuuvapausmenettelyn merkitystä ja toteaa, ettei se ole vain perussopimuksiin pohjautuva velvoite vaan sillä myös edistetään unionin varoja koskevaa avoimuutta, vastuuvelvollisuutta ja avointa vuoropuhelua; katsoo, että käytäntö, jossa </w:t>
            </w:r>
            <w:r>
              <w:rPr>
                <w:b/>
                <w:i/>
              </w:rPr>
              <w:t>vain sisäinen viranomainen myöntää vastuuvapauden ja jota soveltavat virastoista esimerkiksi</w:t>
            </w:r>
            <w:r>
              <w:t xml:space="preserve"> Euroopan unionin teollisoikeuksien </w:t>
            </w:r>
            <w:r>
              <w:rPr>
                <w:b/>
                <w:i/>
              </w:rPr>
              <w:t>virasto</w:t>
            </w:r>
            <w:r>
              <w:t xml:space="preserve"> (EUIPO), yhteisön </w:t>
            </w:r>
            <w:r>
              <w:rPr>
                <w:b/>
                <w:i/>
              </w:rPr>
              <w:t>kasvilajikevirasto</w:t>
            </w:r>
            <w:r>
              <w:t xml:space="preserve"> (CPVO) ja </w:t>
            </w:r>
            <w:r>
              <w:rPr>
                <w:b/>
                <w:i/>
              </w:rPr>
              <w:t>yhteinen kriisinratkaisuneuvosto (SRB), voi johtaa eturistiriitoihin tai riittämättömään arviointiin ja valvontaan, kun taas parlamentin myöntämällä vastuuvapaudella parannetaan</w:t>
            </w:r>
            <w:r>
              <w:t xml:space="preserve"> avoimuutta ja julkista vastuuvelvollisuutta; </w:t>
            </w:r>
            <w:r>
              <w:rPr>
                <w:b/>
                <w:i/>
              </w:rPr>
              <w:t>katsoo, että tätä korkeampaa vaatimustasoa olisi sovellettava yhdenmukaisesti kaikkiin unioniin liittyviin elimiin niiden rahoitusmallista riippumatta, ja</w:t>
            </w:r>
            <w:r>
              <w:t xml:space="preserve"> muistuttaa täysin omarahoitteisia virastoja koskevan yhteisen lähestymistavan 58 kohdasta, jossa kehotetaan tutkimaan demokraattisen vastuuvelvollisuuden mekanismeja, </w:t>
            </w:r>
            <w:r>
              <w:rPr>
                <w:b/>
                <w:i/>
              </w:rPr>
              <w:t>joihin kuuluu vuotuinen raportointi</w:t>
            </w:r>
            <w:r>
              <w:t xml:space="preserve"> parlamentille, neuvostolle ja komissiolle, ja ottamaan huomioon niiden suositukset, jotta voidaan varmistaa julkinen valvonta EU:n </w:t>
            </w:r>
            <w:r>
              <w:rPr>
                <w:b/>
                <w:i/>
              </w:rPr>
              <w:t>politiikkatoimia ilman perinteisiä vastuuvapausmenettelyjä toteuttavien</w:t>
            </w:r>
            <w:r>
              <w:t xml:space="preserve"> virastojen kohdalla;</w:t>
            </w:r>
          </w:p>
        </w:tc>
        <w:tc>
          <w:tcPr>
            <w:tcW w:w="4876" w:type="dxa"/>
            <w:tcBorders>
              <w:top w:val="nil"/>
              <w:left w:val="nil"/>
              <w:bottom w:val="nil"/>
              <w:right w:val="nil"/>
            </w:tcBorders>
          </w:tcPr>
          <w:p>
            <w:pPr>
              <w:pStyle w:val="Normal6a"/>
            </w:pPr>
            <w:r>
              <w:t>4.</w:t>
            </w:r>
            <w:r>
              <w:tab/>
            </w:r>
            <w:r>
              <w:t xml:space="preserve">korostaa vastuuvapausmenettelyn merkitystä ja toteaa, ettei se ole vain perussopimuksiin pohjautuva velvoite vaan sillä myös edistetään unionin varoja koskevaa avoimuutta, vastuuvelvollisuutta ja avointa vuoropuhelua; katsoo, että käytäntö, jossa </w:t>
            </w:r>
            <w:r>
              <w:rPr>
                <w:b/>
                <w:i/>
              </w:rPr>
              <w:t>vastuuvapaus myönnetään virastojen, kuten</w:t>
            </w:r>
            <w:r>
              <w:t xml:space="preserve"> Euroopan unionin teollisoikeuksien </w:t>
            </w:r>
            <w:r>
              <w:rPr>
                <w:b/>
                <w:i/>
              </w:rPr>
              <w:t>viraston</w:t>
            </w:r>
            <w:r>
              <w:t xml:space="preserve"> (EUIPO), yhteisön </w:t>
            </w:r>
            <w:r>
              <w:rPr>
                <w:b/>
                <w:i/>
              </w:rPr>
              <w:t>kasvilajikeviraston</w:t>
            </w:r>
            <w:r>
              <w:t xml:space="preserve"> (CPVO) ja </w:t>
            </w:r>
            <w:r>
              <w:rPr>
                <w:b/>
                <w:i/>
              </w:rPr>
              <w:t>yhteisen kriisinratkaisuneuvoston (SRB), perustamissäädöksissä vahvistettujen hallintojärjestelyjen avulla, kuvastaa niiden erityisiä oikeudellisia ja rahoituskehyksiä ja varmistaa asianmukaisen arvioinnin ja valvonnan vahvistaen samalla</w:t>
            </w:r>
            <w:r>
              <w:t xml:space="preserve"> avoimuutta ja julkista vastuuvelvollisuutta; muistuttaa täysin omarahoitteisia virastoja koskevan yhteisen lähestymistavan 58 kohdasta, jossa kehotetaan tutkimaan demokraattisen vastuuvelvollisuuden mekanismeja, </w:t>
            </w:r>
            <w:r>
              <w:rPr>
                <w:b/>
                <w:i/>
              </w:rPr>
              <w:t>myös vuotuista raportointia</w:t>
            </w:r>
            <w:r>
              <w:t xml:space="preserve"> parlamentille, neuvostolle ja komissiolle, ja ottamaan huomioon niiden suositukset, jotta voidaan varmistaa julkinen valvonta </w:t>
            </w:r>
            <w:r>
              <w:rPr>
                <w:b/>
                <w:i/>
              </w:rPr>
              <w:t>niiden</w:t>
            </w:r>
            <w:r>
              <w:t xml:space="preserve"> EU:n virastojen kohdalla</w:t>
            </w:r>
            <w:r>
              <w:rPr>
                <w:b/>
                <w:i/>
              </w:rPr>
              <w:t>, jotka toteuttavat politiikkatoimia turvautumatta EU:n yleiseen talousarvioon</w:t>
            </w:r>
            <w:r>
              <w:t xml:space="preserve">; </w:t>
            </w:r>
            <w:r>
              <w:rPr>
                <w:b/>
                <w:i/>
              </w:rPr>
              <w:t>pitää kuitenkin toivottavana, että EUIPOn kaltaiset täysin omarahoitteiset virastot sisällytettäisiin talousarvion valvontavaliokunnan vastuualueeseen kuuluvia virastoja koskevaan vastuuvapausmenettelyyn tai että niihin ainakin sovellettaisiin tehostettuja raportointivelvoitteita talousarvion valvontavaliokunnassa;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Maravillas Abadía Jover, Adrián Vázquez Lázara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vastuuvapausmenettelyn merkitystä ja toteaa, ettei se ole vain perussopimuksiin pohjautuva velvoite vaan sillä myös edistetään unionin varoja koskevaa avoimuutta, vastuuvelvollisuutta ja avointa vuoropuhelua; katsoo, että käytäntö, jossa </w:t>
            </w:r>
            <w:r>
              <w:rPr>
                <w:b/>
                <w:i/>
              </w:rPr>
              <w:t>vain sisäinen viranomainen myöntää vastuuvapauden ja jota soveltavat virastoista esimerkiksi</w:t>
            </w:r>
            <w:r>
              <w:t xml:space="preserve"> Euroopan unionin teollisoikeuksien </w:t>
            </w:r>
            <w:r>
              <w:rPr>
                <w:b/>
                <w:i/>
              </w:rPr>
              <w:t>virasto</w:t>
            </w:r>
            <w:r>
              <w:t xml:space="preserve"> (EUIPO), yhteisön </w:t>
            </w:r>
            <w:r>
              <w:rPr>
                <w:b/>
                <w:i/>
              </w:rPr>
              <w:t>kasvilajikevirasto</w:t>
            </w:r>
            <w:r>
              <w:t xml:space="preserve"> (CPVO) ja </w:t>
            </w:r>
            <w:r>
              <w:rPr>
                <w:b/>
                <w:i/>
              </w:rPr>
              <w:t>yhteinen kriisinratkaisuneuvosto (SRB), voi johtaa eturistiriitoihin tai riittämättömään arviointiin ja valvontaan, kun taas parlamentin myöntämällä vastuuvapaudella parannetaan</w:t>
            </w:r>
            <w:r>
              <w:t xml:space="preserve"> avoimuutta ja julkista vastuuvelvollisuutta; </w:t>
            </w:r>
            <w:r>
              <w:rPr>
                <w:b/>
                <w:i/>
              </w:rPr>
              <w:t>katsoo, että tätä korkeampaa vaatimustasoa olisi sovellettava yhdenmukaisesti kaikkiin unioniin liittyviin elimiin niiden rahoitusmallista riippumatta, ja</w:t>
            </w:r>
            <w:r>
              <w:t xml:space="preserve"> muistuttaa täysin omarahoitteisia virastoja koskevan yhteisen lähestymistavan 58 kohdasta, jossa kehotetaan tutkimaan demokraattisen vastuuvelvollisuuden mekanismeja, joihin kuuluu vuotuinen raportointi parlamentille, neuvostolle ja komissiolle, ja ottamaan huomioon niiden suositukset, jotta voidaan varmistaa julkinen valvonta EU:n politiikkatoimia </w:t>
            </w:r>
            <w:r>
              <w:rPr>
                <w:b/>
                <w:i/>
              </w:rPr>
              <w:t>ilman perinteisiä vastuuvapausmenettelyjä</w:t>
            </w:r>
            <w:r>
              <w:t xml:space="preserve"> toteuttavien virastojen kohdalla;</w:t>
            </w:r>
          </w:p>
        </w:tc>
        <w:tc>
          <w:tcPr>
            <w:tcW w:w="4876" w:type="dxa"/>
            <w:tcBorders>
              <w:top w:val="nil"/>
              <w:left w:val="nil"/>
              <w:bottom w:val="nil"/>
              <w:right w:val="nil"/>
            </w:tcBorders>
          </w:tcPr>
          <w:p>
            <w:pPr>
              <w:pStyle w:val="Normal6a"/>
            </w:pPr>
            <w:r>
              <w:t>4.</w:t>
            </w:r>
            <w:r>
              <w:tab/>
            </w:r>
            <w:r>
              <w:t xml:space="preserve">korostaa vastuuvapausmenettelyn merkitystä ja toteaa, ettei se ole vain perussopimuksiin pohjautuva velvoite vaan sillä myös edistetään unionin varoja koskevaa avoimuutta, vastuuvelvollisuutta ja avointa vuoropuhelua; katsoo, että </w:t>
            </w:r>
            <w:r>
              <w:rPr>
                <w:b/>
                <w:i/>
              </w:rPr>
              <w:t>virastojen soveltama</w:t>
            </w:r>
            <w:r>
              <w:t xml:space="preserve"> käytäntö, jossa </w:t>
            </w:r>
            <w:r>
              <w:rPr>
                <w:b/>
                <w:i/>
              </w:rPr>
              <w:t>vastuuvapaus myönnetään virastojen, kuten</w:t>
            </w:r>
            <w:r>
              <w:t xml:space="preserve"> Euroopan unionin teollisoikeuksien </w:t>
            </w:r>
            <w:r>
              <w:rPr>
                <w:b/>
                <w:i/>
              </w:rPr>
              <w:t>viraston</w:t>
            </w:r>
            <w:r>
              <w:t xml:space="preserve"> (EUIPO), yhteisön </w:t>
            </w:r>
            <w:r>
              <w:rPr>
                <w:b/>
                <w:i/>
              </w:rPr>
              <w:t>kasvilajikeviraston</w:t>
            </w:r>
            <w:r>
              <w:t xml:space="preserve"> (CPVO) ja </w:t>
            </w:r>
            <w:r>
              <w:rPr>
                <w:b/>
                <w:i/>
              </w:rPr>
              <w:t>yhteisen kriisinratkaisuneuvoston (SRB), perustamissäädöksissä vahvistettujen hallintojärjestelyjen avulla, kuvastaa niiden erityisiä oikeudellisia ja rahoituskehyksiä ja varmistaa asianmukaisen arvioinnin ja valvonnan vahvistaen samalla</w:t>
            </w:r>
            <w:r>
              <w:t xml:space="preserve"> avoimuutta ja julkista vastuuvelvollisuutta; muistuttaa täysin omarahoitteisia virastoja koskevan yhteisen lähestymistavan 58 kohdasta, jossa kehotetaan tutkimaan demokraattisen vastuuvelvollisuuden mekanismeja, joihin kuuluu vuotuinen raportointi parlamentille, neuvostolle ja komissiolle, ja ottamaan huomioon niiden suositukset, jotta voidaan varmistaa julkinen valvonta EU:n politiikkatoimia toteuttavien virastojen kohdalla;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palauttaa mieliin, että oikeusvaltioperiaatetta sovelletaan yhtä lailla unionin toimielimiin, elimiin, toimistoihin ja virastoihin, jotta voidaan varmistaa, että niitä itseään sitovat samat avoimuuden, vastuuvelvollisuuden ja laillisuuden periaatteet, joita jäsenvaltioilta vaaditaan;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panee huolestuneena merkille, että unionin erillisvirastoille on vuosien mittaan annettu tarkistetuilla asetuksilla, uudella lainsäädännöllä tai komission kanssa tehdyillä palvelutaso- ja rahoitusosuussopimuksilla yhä enemmän tehtäviä usein ilman vastaavia rakenteellisia resursseja tai pysyviä virkoja; korostaa, että tämä toistuva toimintatapa synnyttää operatiivista painetta, joka puolestaan saattaa johtaa talousarviohallinnon heikkouksiin ja kasvavaan rakenteelliseen riippuvuuteen ulkopuolisista toimeksisaajista, erityisesti tieto- ja viestintäteknologian, kyberturvallisuuden ja muiden operatiivisten ja tukitehtävien alalla; </w:t>
            </w:r>
            <w:r>
              <w:rPr>
                <w:b/>
                <w:i/>
              </w:rPr>
              <w:t>varoittaa, että tällainen pitkäaikainen riippuvuus saattaa heikentää institutionaalisia valmiuksia, jatkuvuutta ja tietämyksen säilyttämistä ja se saattaa aiheuttaa riskejä, jotka liittyvät rakenteelliseen riippuvuuteen ulkopuolisista</w:t>
            </w:r>
            <w:r>
              <w:t xml:space="preserve"> palveluntarjoajista ja toiminnallisen riippumattomuuden </w:t>
            </w:r>
            <w:r>
              <w:rPr>
                <w:b/>
                <w:i/>
              </w:rPr>
              <w:t>kaventumiseen</w:t>
            </w:r>
            <w:r>
              <w:t>;</w:t>
            </w:r>
          </w:p>
        </w:tc>
        <w:tc>
          <w:tcPr>
            <w:tcW w:w="4876" w:type="dxa"/>
            <w:tcBorders>
              <w:top w:val="nil"/>
              <w:left w:val="nil"/>
              <w:bottom w:val="nil"/>
              <w:right w:val="nil"/>
            </w:tcBorders>
          </w:tcPr>
          <w:p>
            <w:pPr>
              <w:pStyle w:val="Normal6a"/>
            </w:pPr>
            <w:r>
              <w:t>5.</w:t>
            </w:r>
            <w:r>
              <w:tab/>
            </w:r>
            <w:r>
              <w:t xml:space="preserve">panee huolestuneena merkille, että unionin erillisvirastoille on vuosien mittaan annettu tarkistetuilla asetuksilla, uudella lainsäädännöllä tai komission kanssa tehdyillä palvelutaso- ja rahoitusosuussopimuksilla yhä enemmän tehtäviä usein ilman vastaavia rakenteellisia resursseja tai pysyviä virkoja; korostaa, että tämä toistuva toimintatapa synnyttää operatiivista painetta, joka puolestaan saattaa johtaa talousarviohallinnon heikkouksiin ja kasvavaan rakenteelliseen riippuvuuteen ulkopuolisista toimeksisaajista, erityisesti tieto- ja viestintäteknologian, kyberturvallisuuden ja muiden operatiivisten ja tukitehtävien alalla; </w:t>
            </w:r>
            <w:r>
              <w:rPr>
                <w:b/>
                <w:i/>
              </w:rPr>
              <w:t>toteaa, että pitkäaikaista riippuvuutta ulkoisista</w:t>
            </w:r>
            <w:r>
              <w:t xml:space="preserve"> palveluntarjoajista </w:t>
            </w:r>
            <w:r>
              <w:rPr>
                <w:b/>
                <w:i/>
              </w:rPr>
              <w:t>olisi arvioitava säännöllisesti, jotta voidaan varmistaa institutionaalisten valmiuksien, jatkuvuuden</w:t>
            </w:r>
            <w:r>
              <w:t xml:space="preserve"> ja toiminnallisen riippumattomuuden </w:t>
            </w:r>
            <w:r>
              <w:rPr>
                <w:b/>
                <w:i/>
              </w:rPr>
              <w:t>säilyminen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kehottaa virastoja vähentämään rakenteellista riippuvuutta ulkopuolisista konsulteista erityisesti niiden ydintoiminnoissa;</w:t>
            </w:r>
            <w:r>
              <w:t xml:space="preserve"> </w:t>
            </w:r>
            <w:r>
              <w:rPr>
                <w:b/>
                <w:i/>
              </w:rPr>
              <w:t>korostaa, että liiallinen ulkoistaminen heikentää institutionaalista muistia, vastuuvelvollisuutta ja vastineen saamista rahalle;</w:t>
            </w:r>
            <w:r>
              <w:t xml:space="preserve"> </w:t>
            </w:r>
            <w:r>
              <w:rPr>
                <w:b/>
                <w:i/>
              </w:rPr>
              <w:t>kehottaa komissiota varmistamaan, että virastoilla on riittävästi henkilöstöä, jotta ne voivat hoitaa tehtävänsä talon sisäisin resurssein;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toteaa, että ulkopuolisten toimeksisaajien ja yksityisten toimijoiden käyttö tieto- ja viestintätekniikan ja kyberturvallisuuden alalla voi vaarantaa EU:n virastojen riippumattomuuden ja heikentää samalla EU:n digitaalista suvereniteettia ja kansalaisten henkilökohtaista koskemattomuutta;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toteaa, että oikeusvaltioperiaatteen toteutumisen puutteet tietyissä jäsenvaltioissa, mukaan lukien oikeuslaitoksen riippumattomuuden ja syyttämisvalmiuksien heikkeneminen, voivat heikentää virastojen yhteistyökehyksiä, tietojen luotettavuutta ja toiminnallista eheyttä;</w:t>
            </w:r>
            <w:r>
              <w:t xml:space="preserve"> </w:t>
            </w:r>
            <w:r>
              <w:rPr>
                <w:b/>
                <w:i/>
              </w:rPr>
              <w:t>kehottaa komissiota arvioimaan näitä riskejä ja puuttumaan niihin, kun se osoittaa tehtäviä ja resursseja virastoille;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korostaa, että avoimuus, eturistiriitoihin liittyvät luotettavat tarkastukset ja vuorovaikutusta sidosryhmien kanssa koskevat selkeät säännöt ovat unionin erillisvirastojen riippumattomuuden, uskottavuuden ja vastuuvelvollisuuden kannalta olennaisia suojatoimia; </w:t>
            </w:r>
            <w:r>
              <w:rPr>
                <w:b/>
                <w:i/>
              </w:rPr>
              <w:t>painottaa, että monet virastot toimivat sellaisilla aloilla, joilla tiivis yhteistyö elinkeinoelämän, konsulttitoimistojen, teknisten asiantuntijoiden, valtiosta riippumattomien järjestöjen tai ulkoisten kumppanien kanssa on välttämätöntä mutta joilla edelleen esiintyy sopimattomaan vaikuttamiseen, epätasapuolisiin kuulemisiin tai läpinäkymättömyyteen liittyviä riskejä;</w:t>
            </w:r>
            <w:r>
              <w:t xml:space="preserve"> korostaa, että avoimet menettelyt, kokousten julkistaminen, tasapainoinen ja avoin asiantuntijoiden valinta ja eturistiriitojen jatkuva seuranta ovat välttämättömiä, jotta voidaan varmistaa, että virastojen päätökset perustuvat </w:t>
            </w:r>
            <w:r>
              <w:rPr>
                <w:b/>
                <w:i/>
              </w:rPr>
              <w:t>yksinomaan puolueettomaan näyttöön ja</w:t>
            </w:r>
            <w:r>
              <w:t xml:space="preserve"> unionin yleiseen etuun; kehottaa kaikkia virastoja ottamaan käyttöön tällaisia toimenpiteitä ja valvomaan niiden täytäntöönpanoa;</w:t>
            </w:r>
          </w:p>
        </w:tc>
        <w:tc>
          <w:tcPr>
            <w:tcW w:w="4876" w:type="dxa"/>
            <w:tcBorders>
              <w:top w:val="nil"/>
              <w:left w:val="nil"/>
              <w:bottom w:val="nil"/>
              <w:right w:val="nil"/>
            </w:tcBorders>
          </w:tcPr>
          <w:p>
            <w:pPr>
              <w:pStyle w:val="Normal6a"/>
            </w:pPr>
            <w:r>
              <w:t>6.</w:t>
            </w:r>
            <w:r>
              <w:tab/>
            </w:r>
            <w:r>
              <w:t>korostaa, että avoimuus, eturistiriitoihin liittyvät luotettavat tarkastukset ja vuorovaikutusta sidosryhmien kanssa koskevat selkeät säännöt ovat unionin erillisvirastojen riippumattomuuden, uskottavuuden ja vastuuvelvollisuuden kannalta olennaisia suojatoimia; korostaa, että avoimet menettelyt, kokousten julkistaminen, tasapainoinen ja avoin asiantuntijoiden valinta ja eturistiriitojen jatkuva seuranta ovat välttämättömiä, jotta voidaan varmistaa, että virastojen päätökset perustuvat unionin yleiseen etuun; kehottaa kaikkia virastoja ottamaan käyttöön tällaisia toimenpiteitä ja valvomaan niiden täytäntöönpanoa;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korostaa, että avoimuus, eturistiriitoihin liittyvät luotettavat tarkastukset ja vuorovaikutusta sidosryhmien kanssa koskevat selkeät säännöt ovat unionin erillisvirastojen riippumattomuuden, uskottavuuden ja vastuuvelvollisuuden kannalta olennaisia suojatoimia; painottaa, että monet virastot toimivat sellaisilla aloilla, joilla tiivis yhteistyö elinkeinoelämän, konsulttitoimistojen, teknisten asiantuntijoiden, valtiosta riippumattomien järjestöjen tai ulkoisten kumppanien kanssa on välttämätöntä mutta joilla edelleen esiintyy sopimattomaan vaikuttamiseen, epätasapuolisiin kuulemisiin tai läpinäkymättömyyteen liittyviä riskejä; korostaa, että avoimet menettelyt, kokousten julkistaminen, </w:t>
            </w:r>
            <w:r>
              <w:rPr>
                <w:b/>
                <w:i/>
              </w:rPr>
              <w:t>tasapainoinen</w:t>
            </w:r>
            <w:r>
              <w:t xml:space="preserve"> ja avoin asiantuntijoiden valinta ja eturistiriitojen jatkuva seuranta ovat välttämättömiä, jotta voidaan varmistaa, että virastojen päätökset perustuvat </w:t>
            </w:r>
            <w:r>
              <w:rPr>
                <w:b/>
                <w:i/>
              </w:rPr>
              <w:t>yksinomaan</w:t>
            </w:r>
            <w:r>
              <w:t xml:space="preserve"> puolueettomaan näyttöön ja unionin yleiseen etuun; kehottaa kaikkia virastoja ottamaan käyttöön tällaisia toimenpiteitä ja valvomaan niiden täytäntöönpanoa;</w:t>
            </w:r>
          </w:p>
        </w:tc>
        <w:tc>
          <w:tcPr>
            <w:tcW w:w="4876" w:type="dxa"/>
            <w:tcBorders>
              <w:top w:val="nil"/>
              <w:left w:val="nil"/>
              <w:bottom w:val="nil"/>
              <w:right w:val="nil"/>
            </w:tcBorders>
          </w:tcPr>
          <w:p>
            <w:pPr>
              <w:pStyle w:val="Normal6a"/>
            </w:pPr>
            <w:r>
              <w:t>6.</w:t>
            </w:r>
            <w:r>
              <w:tab/>
            </w:r>
            <w:r>
              <w:t xml:space="preserve">korostaa, että avoimuus, eturistiriitoihin liittyvät luotettavat tarkastukset ja vuorovaikutusta sidosryhmien kanssa koskevat selkeät säännöt ovat unionin erillisvirastojen riippumattomuuden, uskottavuuden ja vastuuvelvollisuuden kannalta olennaisia suojatoimia; painottaa, että monet virastot toimivat sellaisilla aloilla, joilla tiivis yhteistyö elinkeinoelämän, konsulttitoimistojen, teknisten asiantuntijoiden, valtiosta riippumattomien järjestöjen tai ulkoisten kumppanien kanssa on välttämätöntä mutta joilla edelleen esiintyy sopimattomaan vaikuttamiseen, epätasapuolisiin kuulemisiin tai läpinäkymättömyyteen liittyviä riskejä; korostaa, että avoimet menettelyt, kokousten julkistaminen, </w:t>
            </w:r>
            <w:r>
              <w:rPr>
                <w:b/>
                <w:i/>
              </w:rPr>
              <w:t>perusteltu</w:t>
            </w:r>
            <w:r>
              <w:t xml:space="preserve"> ja avoin asiantuntijoiden valinta ja </w:t>
            </w:r>
            <w:r>
              <w:rPr>
                <w:b/>
                <w:i/>
              </w:rPr>
              <w:t>näihin virastoihin sidoksissa olevien johtajien, päätöksentekijöiden ja yhteisöjen ja henkilöiden</w:t>
            </w:r>
            <w:r>
              <w:t xml:space="preserve"> eturistiriitojen jatkuva seuranta ovat välttämättömiä, jotta voidaan varmistaa, että virastojen päätökset perustuvat puolueettomaan näyttöön ja unionin yleiseen etuun </w:t>
            </w:r>
            <w:r>
              <w:rPr>
                <w:b/>
                <w:i/>
              </w:rPr>
              <w:t>ja taata myönnettyjen EU:n varojen oikea-aikainen seuranta</w:t>
            </w:r>
            <w:r>
              <w:t>; kehottaa kaikkia virastoja ottamaan käyttöön tällaisia toimenpiteitä ja valvomaan niiden täytäntöönpanoa;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korostaa, että avoimuus, eturistiriitoihin liittyvät luotettavat tarkastukset ja vuorovaikutusta sidosryhmien kanssa koskevat selkeät säännöt ovat unionin erillisvirastojen riippumattomuuden, uskottavuuden ja vastuuvelvollisuuden kannalta </w:t>
            </w:r>
            <w:r>
              <w:rPr>
                <w:b/>
                <w:i/>
              </w:rPr>
              <w:t>olennaisia suojatoimia</w:t>
            </w:r>
            <w:r>
              <w:t>; painottaa, että monet virastot toimivat sellaisilla aloilla, joilla tiivis yhteistyö elinkeinoelämän, konsulttitoimistojen, teknisten asiantuntijoiden, valtiosta riippumattomien järjestöjen tai ulkoisten kumppanien kanssa on välttämätöntä mutta joilla edelleen esiintyy sopimattomaan vaikuttamiseen, epätasapuolisiin kuulemisiin tai läpinäkymättömyyteen liittyviä riskejä; korostaa, että avoimet menettelyt, kokousten julkistaminen, tasapainoinen ja avoin asiantuntijoiden valinta ja eturistiriitojen jatkuva seuranta ovat välttämättömiä, jotta voidaan varmistaa, että virastojen päätökset perustuvat yksinomaan puolueettomaan näyttöön ja unionin yleiseen etuun; kehottaa kaikkia virastoja ottamaan käyttöön tällaisia toimenpiteitä ja valvomaan niiden täytäntöönpanoa;</w:t>
            </w:r>
          </w:p>
        </w:tc>
        <w:tc>
          <w:tcPr>
            <w:tcW w:w="4876" w:type="dxa"/>
            <w:tcBorders>
              <w:top w:val="nil"/>
              <w:left w:val="nil"/>
              <w:bottom w:val="nil"/>
              <w:right w:val="nil"/>
            </w:tcBorders>
          </w:tcPr>
          <w:p>
            <w:pPr>
              <w:pStyle w:val="Normal6a"/>
            </w:pPr>
            <w:r>
              <w:t>6.</w:t>
            </w:r>
            <w:r>
              <w:tab/>
            </w:r>
            <w:r>
              <w:t xml:space="preserve">korostaa, että avoimuus, eturistiriitoihin liittyvät luotettavat tarkastukset ja vuorovaikutusta sidosryhmien kanssa koskevat selkeät säännöt ovat </w:t>
            </w:r>
            <w:r>
              <w:rPr>
                <w:b/>
                <w:i/>
              </w:rPr>
              <w:t>olennaisia suojatoimia</w:t>
            </w:r>
            <w:r>
              <w:t xml:space="preserve"> unionin erillisvirastojen riippumattomuuden, </w:t>
            </w:r>
            <w:r>
              <w:rPr>
                <w:b/>
                <w:i/>
              </w:rPr>
              <w:t>institutionaalisen</w:t>
            </w:r>
            <w:r>
              <w:t xml:space="preserve"> uskottavuuden ja vastuuvelvollisuuden kannalta </w:t>
            </w:r>
            <w:r>
              <w:rPr>
                <w:b/>
                <w:i/>
              </w:rPr>
              <w:t>sekä sen kannalta, että kansalaiset voivat luottaa niiden vakaaseen ja luotettavaan toimintaan</w:t>
            </w:r>
            <w:r>
              <w:t xml:space="preserve">; painottaa, että monet virastot toimivat sellaisilla aloilla, joilla tiivis yhteistyö elinkeinoelämän, konsulttitoimistojen, teknisten asiantuntijoiden, valtiosta riippumattomien järjestöjen tai ulkoisten kumppanien kanssa on välttämätöntä mutta joilla edelleen esiintyy sopimattomaan vaikuttamiseen, epätasapuolisiin kuulemisiin tai läpinäkymättömyyteen liittyviä riskejä; korostaa, että avoimet menettelyt, kokousten julkistaminen, tasapainoinen ja avoin asiantuntijoiden valinta ja eturistiriitojen jatkuva seuranta ovat välttämättömiä, jotta voidaan varmistaa, että virastojen päätökset perustuvat yksinomaan puolueettomaan näyttöön ja unionin yleiseen etuun; kehottaa kaikkia virastoja ottamaan käyttöön tällaisia toimenpiteitä ja valvomaan niiden täytäntöönpanoa; </w:t>
            </w:r>
            <w:r>
              <w:rPr>
                <w:b/>
                <w:i/>
              </w:rPr>
              <w:t>kehottaa virastoja toteuttamaan säännöllisiä riippumattomia arviointeja eturistiriitoja koskevista kehyksistä ja toteuttamaan viivytyksettä korjaavia toimenpiteitä;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korostaa, että eturistiriidat ja pyöröovi-ilmiö aiheuttavat järjestelmätason hallintoriskejä erityisesti virastoille, jotka ovat tiiviissä vuorovaikutuksessa toimialojen kanssa;</w:t>
            </w:r>
            <w:r>
              <w:t xml:space="preserve"> </w:t>
            </w:r>
            <w:r>
              <w:rPr>
                <w:b/>
                <w:i/>
              </w:rPr>
              <w:t>kehottaa tiukentamaan karenssiaikoja, lisäämään ennakoivaa seurantaa ja parantamaan sidosryhmien kanssa käytävän vuorovaikutuksen täydellistä avoimuutta;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kehottaa komissiota ja EU:n virastojen verkostoa edistämään virastojen välistä ohjausta ja vertaisoppimista hyvän hallintotavan normien ja avoimuuskäytäntöjen parantamiseksi;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myöntää, että erillisvirastojen altistumisessa edunvalvontaan liittyville riskeille on eroja niiden toimeksiannon ja toimintaympäristön mukaan; </w:t>
            </w:r>
            <w:r>
              <w:rPr>
                <w:b/>
                <w:i/>
              </w:rPr>
              <w:t>korostaa, että myös nykyisissä avoimuuden varmistamiseen liittyvissä käytännöissä on eroja;</w:t>
            </w:r>
            <w:r>
              <w:t xml:space="preserve"> </w:t>
            </w:r>
            <w:r>
              <w:rPr>
                <w:b/>
                <w:i/>
              </w:rPr>
              <w:t>panee merkille, että esimerkiksi eu‑LISA ylläpitää verkkosivullaan erillistä avoimuusrekisteriä, joka kattaa kaikki sen ylemmän johdon tapaamiset talouden toimijoiden kanssa, Frontex tarjoaa verkkosivustollaan rekisterin, jossa on tietoa kokouksista erityisesti hankintoihin liittyvissä asioissa, ja ECHA julkaisee tiedot ylemmän johdon tapaamisista ulkopuolisten sidosryhmäorganisaatioiden kanssa</w:t>
            </w:r>
            <w:r>
              <w:t>; katsoo, että vaikka saman mallin soveltaminen kaikkialla ei olisikaan oikeasuhteista eikä operatiivisesti mielekästä, yhtenäisyyttä voitaisiin parantaa vahvistamalla yhteisiä vähimmäisvaatimuksia</w:t>
            </w:r>
            <w:r>
              <w:rPr>
                <w:b/>
                <w:i/>
              </w:rPr>
              <w:t>;</w:t>
            </w:r>
            <w:r>
              <w:t xml:space="preserve"> </w:t>
            </w:r>
            <w:r>
              <w:rPr>
                <w:b/>
                <w:i/>
              </w:rPr>
              <w:t>panee merkille virastojen edellisellä vastuuvapauskierroksella antamat vastaukset, kuten avoimuusrekisterin vaihtelevan käytön virastoissa sekä sen, että useat virastot ovat jo ottaneet käyttöön toimeksiantonsa mukaan räätälöityjä sisäisiä avoimuusrekistereitä tai eturistiriitajärjestelmiä</w:t>
            </w:r>
            <w:r>
              <w:t xml:space="preserve">; kehottaa virastoja hyväksymään vähimmäisvaatimuksia, joita ovat kahden silmäparin periaatteen täytäntöönpano, selkeä käytännesääntöstrategia, johon sisältyy selkeitä sääntöjä eturistiriitojen välttämiseksi, ja </w:t>
            </w:r>
            <w:r>
              <w:rPr>
                <w:b/>
                <w:i/>
              </w:rPr>
              <w:t>erityisten</w:t>
            </w:r>
            <w:r>
              <w:t xml:space="preserve"> sisäisten avoimuusrekisterien käyttöönotto </w:t>
            </w:r>
            <w:r>
              <w:rPr>
                <w:b/>
                <w:i/>
              </w:rPr>
              <w:t>selkeine vaatimuksineen</w:t>
            </w:r>
            <w:r>
              <w:t xml:space="preserve">, joissa otetaan huomioon </w:t>
            </w:r>
            <w:r>
              <w:rPr>
                <w:b/>
                <w:i/>
              </w:rPr>
              <w:t>viraston toimeksianto ja asiaa koskevat</w:t>
            </w:r>
            <w:r>
              <w:t xml:space="preserve"> tietosuojasäännöt; korostaa, että avoimuusrekisterien olisi oltava tilintarkastajien käytettävissä tapauskohtaisesti; katsoo, että täytäntöönpanon olisi oltava asteittaista ja siinä olisi </w:t>
            </w:r>
            <w:r>
              <w:rPr>
                <w:b/>
                <w:i/>
              </w:rPr>
              <w:t>otettava huomioon uudet digitaaliset mahdollisuudet</w:t>
            </w:r>
            <w:r>
              <w:t xml:space="preserve">, jotta vältetään </w:t>
            </w:r>
            <w:r>
              <w:rPr>
                <w:b/>
                <w:i/>
              </w:rPr>
              <w:t>luomasta virastoille</w:t>
            </w:r>
            <w:r>
              <w:t xml:space="preserve"> hallinnollisia </w:t>
            </w:r>
            <w:r>
              <w:rPr>
                <w:b/>
                <w:i/>
              </w:rPr>
              <w:t>lisärasitteita</w:t>
            </w:r>
            <w:r>
              <w:t>;</w:t>
            </w:r>
          </w:p>
        </w:tc>
        <w:tc>
          <w:tcPr>
            <w:tcW w:w="4876" w:type="dxa"/>
            <w:tcBorders>
              <w:top w:val="nil"/>
              <w:left w:val="nil"/>
              <w:bottom w:val="nil"/>
              <w:right w:val="nil"/>
            </w:tcBorders>
          </w:tcPr>
          <w:p>
            <w:pPr>
              <w:pStyle w:val="Normal6a"/>
            </w:pPr>
            <w:r>
              <w:t>7.</w:t>
            </w:r>
            <w:r>
              <w:tab/>
            </w:r>
            <w:r>
              <w:t xml:space="preserve">myöntää, että erillisvirastojen altistumisessa edunvalvontaan liittyville riskeille on eroja niiden toimeksiannon ja toimintaympäristön mukaan; </w:t>
            </w:r>
            <w:r>
              <w:rPr>
                <w:b/>
                <w:i/>
              </w:rPr>
              <w:t>toteaa, että avoimuuskäytännöt vaihtelevat näin ollen virastoittain</w:t>
            </w:r>
            <w:r>
              <w:t xml:space="preserve">; katsoo, että vaikka saman mallin soveltaminen kaikkialla ei olisikaan oikeasuhteista eikä operatiivisesti mielekästä, yhtenäisyyttä </w:t>
            </w:r>
            <w:r>
              <w:rPr>
                <w:b/>
                <w:i/>
              </w:rPr>
              <w:t>ja vastuuvelvollisuutta</w:t>
            </w:r>
            <w:r>
              <w:t xml:space="preserve"> voitaisiin parantaa vahvistamalla yhteisiä vähimmäisvaatimuksia; kehottaa virastoja hyväksymään vähimmäisvaatimuksia, joita ovat kahden silmäparin periaatteen täytäntöönpano, selkeä käytännesääntöstrategia, johon sisältyy selkeitä sääntöjä eturistiriitojen välttämiseksi, ja </w:t>
            </w:r>
            <w:r>
              <w:rPr>
                <w:b/>
                <w:i/>
              </w:rPr>
              <w:t>sellaisten</w:t>
            </w:r>
            <w:r>
              <w:t xml:space="preserve"> sisäisten avoimuusrekisterien käyttöönotto, joissa otetaan huomioon </w:t>
            </w:r>
            <w:r>
              <w:rPr>
                <w:b/>
                <w:i/>
              </w:rPr>
              <w:t>virastojen toimeksiannot ja sovellettavat</w:t>
            </w:r>
            <w:r>
              <w:t xml:space="preserve"> tietosuojasäännöt; korostaa, että </w:t>
            </w:r>
            <w:r>
              <w:rPr>
                <w:b/>
                <w:i/>
              </w:rPr>
              <w:t>tällaisten</w:t>
            </w:r>
            <w:r>
              <w:t xml:space="preserve"> avoimuusrekisterien olisi oltava tilintarkastajien käytettävissä tapauskohtaisesti; katsoo, että </w:t>
            </w:r>
            <w:r>
              <w:rPr>
                <w:b/>
                <w:i/>
              </w:rPr>
              <w:t>niiden</w:t>
            </w:r>
            <w:r>
              <w:t xml:space="preserve"> täytäntöönpanon olisi oltava asteittaista ja siinä olisi </w:t>
            </w:r>
            <w:r>
              <w:rPr>
                <w:b/>
                <w:i/>
              </w:rPr>
              <w:t>käytettävä digitaalisia ratkaisuja</w:t>
            </w:r>
            <w:r>
              <w:t xml:space="preserve">, jotta vältetään </w:t>
            </w:r>
            <w:r>
              <w:rPr>
                <w:b/>
                <w:i/>
              </w:rPr>
              <w:t>tarpeettomia</w:t>
            </w:r>
            <w:r>
              <w:t xml:space="preserve"> hallinnollisia </w:t>
            </w:r>
            <w:r>
              <w:rPr>
                <w:b/>
                <w:i/>
              </w:rPr>
              <w:t>rasitteita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myöntää, että erillisvirastojen altistumisessa edunvalvontaan liittyville riskeille on eroja niiden toimeksiannon ja toimintaympäristön mukaan; korostaa, että myös nykyisissä avoimuuden varmistamiseen liittyvissä käytännöissä on eroja; panee merkille, että esimerkiksi eu‑LISA ylläpitää verkkosivullaan erillistä avoimuusrekisteriä, joka kattaa kaikki sen ylemmän johdon tapaamiset talouden toimijoiden kanssa, Frontex tarjoaa verkkosivustollaan rekisterin, jossa on tietoa kokouksista erityisesti hankintoihin liittyvissä asioissa, ja ECHA julkaisee tiedot ylemmän johdon tapaamisista ulkopuolisten sidosryhmäorganisaatioiden kanssa; katsoo, että vaikka saman mallin soveltaminen kaikkialla ei olisikaan oikeasuhteista eikä operatiivisesti mielekästä, yhtenäisyyttä voitaisiin parantaa vahvistamalla yhteisiä vähimmäisvaatimuksia; panee merkille virastojen edellisellä vastuuvapauskierroksella antamat vastaukset, kuten avoimuusrekisterin vaihtelevan käytön virastoissa sekä sen, että useat virastot ovat jo ottaneet käyttöön toimeksiantonsa mukaan räätälöityjä sisäisiä avoimuusrekistereitä tai eturistiriitajärjestelmiä; kehottaa virastoja hyväksymään vähimmäisvaatimuksia, joita ovat kahden silmäparin periaatteen täytäntöönpano, selkeä käytännesääntöstrategia, johon sisältyy selkeitä sääntöjä eturistiriitojen välttämiseksi, ja erityisten sisäisten avoimuusrekisterien käyttöönotto selkeine vaatimuksineen, joissa otetaan huomioon viraston toimeksianto ja asiaa koskevat tietosuojasäännöt; korostaa, että avoimuusrekisterien olisi oltava tilintarkastajien käytettävissä tapauskohtaisesti; katsoo, että täytäntöönpanon olisi oltava asteittaista ja siinä olisi otettava huomioon uudet digitaaliset mahdollisuudet, jotta vältetään luomasta virastoille hallinnollisia lisärasitteita;</w:t>
            </w:r>
          </w:p>
        </w:tc>
        <w:tc>
          <w:tcPr>
            <w:tcW w:w="4876" w:type="dxa"/>
            <w:tcBorders>
              <w:top w:val="nil"/>
              <w:left w:val="nil"/>
              <w:bottom w:val="nil"/>
              <w:right w:val="nil"/>
            </w:tcBorders>
          </w:tcPr>
          <w:p>
            <w:pPr>
              <w:pStyle w:val="Normal6a"/>
            </w:pPr>
            <w:r>
              <w:t>7.</w:t>
            </w:r>
            <w:r>
              <w:tab/>
            </w:r>
            <w:r>
              <w:t xml:space="preserve">myöntää, että erillisvirastojen altistumisessa edunvalvontaan liittyville riskeille on eroja niiden toimeksiannon ja toimintaympäristön mukaan; korostaa, että myös nykyisissä avoimuuden varmistamiseen liittyvissä käytännöissä on eroja; panee merkille, että esimerkiksi eu‑LISA ylläpitää verkkosivullaan erillistä avoimuusrekisteriä, joka kattaa kaikki sen ylemmän johdon tapaamiset talouden toimijoiden kanssa, Frontex tarjoaa verkkosivustollaan rekisterin, jossa on tietoa kokouksista erityisesti hankintoihin liittyvissä asioissa, ja ECHA julkaisee tiedot ylemmän johdon tapaamisista ulkopuolisten sidosryhmäorganisaatioiden kanssa; katsoo, että vaikka saman mallin soveltaminen kaikkialla ei olisikaan oikeasuhteista eikä operatiivisesti mielekästä, yhtenäisyyttä voitaisiin parantaa vahvistamalla yhteisiä vähimmäisvaatimuksia; panee merkille virastojen edellisellä vastuuvapauskierroksella antamat vastaukset, kuten avoimuusrekisterin vaihtelevan käytön virastoissa sekä sen, että useat virastot ovat jo ottaneet käyttöön toimeksiantonsa mukaan räätälöityjä sisäisiä avoimuusrekistereitä tai eturistiriitajärjestelmiä; kehottaa virastoja hyväksymään vähimmäisvaatimuksia, joita ovat kahden silmäparin periaatteen täytäntöönpano, selkeä käytännesääntöstrategia, johon sisältyy selkeitä sääntöjä eturistiriitojen välttämiseksi, ja erityisten sisäisten avoimuusrekisterien käyttöönotto selkeine vaatimuksineen, joissa otetaan huomioon viraston toimeksianto ja asiaa koskevat tietosuojasäännöt; korostaa, että avoimuusrekisterien olisi oltava tilintarkastajien käytettävissä tapauskohtaisesti; katsoo, että täytäntöönpanon olisi oltava asteittaista ja siinä olisi otettava huomioon uudet digitaaliset mahdollisuudet, jotta vältetään luomasta virastoille hallinnollisia lisärasitteita; </w:t>
            </w:r>
            <w:r>
              <w:rPr>
                <w:b/>
                <w:i/>
              </w:rPr>
              <w:t>panee kuitenkin merkille, että rajoittamalla Frontexin avoimuutta koskevien tietojen julkistaminen ensisijaisesti hankintoihin liittyviin kokouksiin ei varmista kattavaa julkista vastuuvelvollisuutta etenkään viraston operatiivisen toiminnan osalta;</w:t>
            </w:r>
            <w:r>
              <w:t xml:space="preserve"> </w:t>
            </w:r>
            <w:r>
              <w:rPr>
                <w:b/>
                <w:i/>
              </w:rPr>
              <w:t>kehottaa ottamaan käyttöön laajempia ja ennakoivampia avoimuuskäytäntöjä, joihin lukeutuu operatiivisen päätöksenteon kannalta merkityksellisten asiakirjojen ja tietojen oikea-aikainen saatavuus;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vaatii täyttä avoimuutta virastojen vuorovaikutuksesta militanttien valtiosta riippumattomien järjestöjen tai eturyhmien kanssa;</w:t>
            </w:r>
            <w:r>
              <w:t xml:space="preserve"> </w:t>
            </w:r>
            <w:r>
              <w:rPr>
                <w:b/>
                <w:i/>
              </w:rPr>
              <w:t>kehottaa virastoja julkaisemaan järjestelmällisesti luettelon tapaamisistaan EU:n toimielimiin tai jäsenvaltioihin kuulumattomien keskustelukumppanien kanssa ja heiltä saadusta palautteesta;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toteaa, että vuonna 2024 kaikkiaan 33 erillisviraston palveluksessa oli yhteensä 11 491 henkilöstön jäsentä (10 580 vuonna 2023) eli virkamiehiä, väliaikaisia ja sopimussuhteisia toimihenkilöitä sekä lähetettyjä kansallisia asiantuntijoita, joten lisäystä vuoteen 2023 verrattuna oli 8,61 prosenttia; </w:t>
            </w:r>
            <w:r>
              <w:rPr>
                <w:b/>
                <w:i/>
              </w:rPr>
              <w:t>toteaa, että sukupuolten tasapuolinen edustus unionin erillisvirastoissa on parantumaan päin mutta merkittäviä eroja esiintyy yhä;</w:t>
            </w:r>
            <w:r>
              <w:t xml:space="preserve"> </w:t>
            </w:r>
            <w:r>
              <w:rPr>
                <w:b/>
                <w:i/>
              </w:rPr>
              <w:t>korostaa, että joissakin virastoissa, kuten ACER, EASA, ERA, eu‑LISA ja Europol, suurempi osuus henkilöstöstä on miehiä, kun taas sellaisissa virastoissa kuin CdT, EFSA, EMA, ETF ja Eurojust on enemmän naisia;</w:t>
            </w:r>
            <w:r>
              <w:t xml:space="preserve"> </w:t>
            </w:r>
            <w:r>
              <w:rPr>
                <w:b/>
                <w:i/>
              </w:rPr>
              <w:t>toteaa, että prosenttiosuus vaihtelee usein aloittain ja miehet ovat enemmistönä tietotekniikkaan ja lainvalvontaan liittyvissä tehtävissä ja naisia taas on enemmän koulutuksen ja terveydenhuollon aloilla;</w:t>
            </w:r>
            <w:r>
              <w:t xml:space="preserve"> </w:t>
            </w:r>
            <w:r>
              <w:rPr>
                <w:b/>
                <w:i/>
              </w:rPr>
              <w:t>muistuttaa, että unionin sitoumusta edistää sukupuolten tasa-arvoa johtotehtävissä ei ole vielä täysin pantu täytäntöön;</w:t>
            </w:r>
            <w:r>
              <w:t xml:space="preserve"> </w:t>
            </w:r>
            <w:r>
              <w:rPr>
                <w:b/>
                <w:i/>
              </w:rPr>
              <w:t>korostaa, että komission toimia tällä alalla olisi parannettava;</w:t>
            </w:r>
            <w:r>
              <w:t xml:space="preserve"> palauttaa mieliin, että asetuksessa (ETY, Euratom, EHTY) N:o 259/68 (henkilöstösäännöt</w:t>
            </w:r>
            <w:r>
              <w:rPr>
                <w:vertAlign w:val="superscript"/>
              </w:rPr>
              <w:t>3</w:t>
            </w:r>
            <w:r>
              <w:t xml:space="preserve">) todetaan, että palvelukseenoton olisi </w:t>
            </w:r>
            <w:r>
              <w:rPr>
                <w:b/>
                <w:i/>
              </w:rPr>
              <w:t>myös</w:t>
            </w:r>
            <w:r>
              <w:t xml:space="preserve"> perustuttava mahdollisimman laajaan maantieteelliseen tasapainoon EU:n jäsenvaltioita ajatellen; toteaa, että on vain luonnollista, että suurempi osuus henkilöstöstä tulee siitä jäsenvaltiosta, jossa virasto sijaitsee; palauttaa mieliin, että sellaisissa maissa sijaitsevilla virastoilla, joissa korjauskerroin on suhteellisen alhainen, on jatkuvasti haasteita ammattitaitoisen ja maantieteellisesti monimuotoisen henkilöstön houkuttelemisessa;</w:t>
            </w:r>
          </w:p>
        </w:tc>
        <w:tc>
          <w:tcPr>
            <w:tcW w:w="4876" w:type="dxa"/>
            <w:tcBorders>
              <w:top w:val="nil"/>
              <w:left w:val="nil"/>
              <w:bottom w:val="nil"/>
              <w:right w:val="nil"/>
            </w:tcBorders>
          </w:tcPr>
          <w:p>
            <w:pPr>
              <w:pStyle w:val="Normal6a"/>
            </w:pPr>
            <w:r>
              <w:t>8.</w:t>
            </w:r>
            <w:r>
              <w:tab/>
            </w:r>
            <w:r>
              <w:t>toteaa, että vuonna 2024 kaikkiaan 33 erillisviraston palveluksessa oli yhteensä 11 491 henkilöstön jäsentä (10 580 vuonna 2023) eli virkamiehiä, väliaikaisia ja sopimussuhteisia toimihenkilöitä sekä lähetettyjä kansallisia asiantuntijoita, joten lisäystä vuoteen 2023 verrattuna oli 8,61 prosenttia; palauttaa mieliin, että asetuksessa (ETY, Euratom, EHTY) N:o 259/68 (henkilöstösäännöt</w:t>
            </w:r>
            <w:r>
              <w:rPr>
                <w:vertAlign w:val="superscript"/>
              </w:rPr>
              <w:t>3</w:t>
            </w:r>
            <w:r>
              <w:t xml:space="preserve">) todetaan, että palvelukseenoton olisi perustuttava </w:t>
            </w:r>
            <w:r>
              <w:rPr>
                <w:b/>
                <w:i/>
              </w:rPr>
              <w:t>paitsi ansioihin myös</w:t>
            </w:r>
            <w:r>
              <w:t xml:space="preserve"> mahdollisimman laajaan maantieteelliseen tasapainoon EU:n jäsenvaltioita ajatellen; toteaa, että on vain luonnollista, että suurempi osuus henkilöstöstä tulee siitä jäsenvaltiosta, jossa virasto sijaitsee; palauttaa mieliin, että sellaisissa maissa sijaitsevilla virastoilla, joissa korjauskerroin on suhteellisen alhainen, on jatkuvasti haasteita ammattitaitoisen ja maantieteellisesti monimuotoisen henkilöstön houkuttelemisessa;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Neuvoston asetus (ETY, Euratom, EHTY) N:o 259/68, annettu 29. helmikuuta 1968, Euroopan yhteisöjen virkamiehiin sovellettavien henkilöstösääntöjen ja näiden yhteisöjen muuta henkilöstöä koskevien palvelussuhteen ehtojen vahvistamisesta sekä yhteisöjen virkamiehiin tilapäisesti sovellettavien erityisten toimenpiteiden laatimisesta (EYVL L 56, 4.3.1968, s.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Neuvoston asetus (ETY, Euratom, EHTY) N:o 259/68, annettu 29. helmikuuta 1968, Euroopan yhteisöjen virkamiehiin sovellettavien henkilöstösääntöjen ja näiden yhteisöjen muuta henkilöstöä koskevien palvelussuhteen ehtojen vahvistamisesta sekä yhteisöjen virkamiehiin tilapäisesti sovellettavien erityisten toimenpiteiden laatimisesta (EYVL L 56, 4.3.1968, s. 1, ELI: http://data.europa.eu/eli/reg/1968/259(1)/oj).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toteaa, että vuonna 2024 kaikkiaan 33 erillisviraston palveluksessa oli yhteensä 11 491 henkilöstön jäsentä (10 580 vuonna 2023) eli virkamiehiä, väliaikaisia ja sopimussuhteisia toimihenkilöitä sekä lähetettyjä kansallisia asiantuntijoita, joten lisäystä vuoteen 2023 verrattuna oli 8,61 prosenttia; toteaa, että sukupuolten tasapuolinen edustus unionin erillisvirastoissa on parantumaan päin mutta merkittäviä eroja esiintyy yhä; korostaa, että joissakin virastoissa, kuten ACER, EASA, ERA, eu‑LISA ja Europol, suurempi osuus henkilöstöstä on miehiä, kun taas sellaisissa virastoissa kuin CdT, EFSA, EMA, ETF ja Eurojust on enemmän naisia; </w:t>
            </w:r>
            <w:r>
              <w:rPr>
                <w:b/>
                <w:i/>
              </w:rPr>
              <w:t>toteaa, että prosenttiosuus vaihtelee usein aloittain ja miehet ovat enemmistönä tietotekniikkaan ja lainvalvontaan liittyvissä tehtävissä ja naisia taas on enemmän koulutuksen ja terveydenhuollon aloilla;</w:t>
            </w:r>
            <w:r>
              <w:t xml:space="preserve"> </w:t>
            </w:r>
            <w:r>
              <w:rPr>
                <w:b/>
                <w:i/>
              </w:rPr>
              <w:t>muistuttaa</w:t>
            </w:r>
            <w:r>
              <w:t>, että unionin sitoumusta edistää sukupuolten tasa-arvoa johtotehtävissä ei ole vielä täysin pantu täytäntöön; korostaa, että komission toimia tällä alalla olisi parannettava; palauttaa mieliin, että asetuksessa (ETY, Euratom, EHTY) N:o 259/68 (henkilöstösäännöt</w:t>
            </w:r>
            <w:r>
              <w:rPr>
                <w:b/>
                <w:i/>
                <w:vertAlign w:val="superscript"/>
              </w:rPr>
              <w:t>3</w:t>
            </w:r>
            <w:r>
              <w:t xml:space="preserve">) todetaan, että palvelukseenoton olisi </w:t>
            </w:r>
            <w:r>
              <w:rPr>
                <w:b/>
                <w:i/>
              </w:rPr>
              <w:t>myös</w:t>
            </w:r>
            <w:r>
              <w:t xml:space="preserve"> perustuttava mahdollisimman laajaan maantieteelliseen tasapainoon EU:n jäsenvaltioita ajatellen; toteaa, että on vain luonnollista, että suurempi osuus henkilöstöstä tulee siitä jäsenvaltiosta, jossa virasto sijaitsee; palauttaa mieliin, että sellaisissa maissa sijaitsevilla virastoilla, joissa korjauskerroin on suhteellisen alhainen, on jatkuvasti haasteita ammattitaitoisen ja maantieteellisesti monimuotoisen henkilöstön houkuttelemisessa;</w:t>
            </w:r>
          </w:p>
        </w:tc>
        <w:tc>
          <w:tcPr>
            <w:tcW w:w="4876" w:type="dxa"/>
            <w:tcBorders>
              <w:top w:val="nil"/>
              <w:left w:val="nil"/>
              <w:bottom w:val="nil"/>
              <w:right w:val="nil"/>
            </w:tcBorders>
          </w:tcPr>
          <w:p>
            <w:pPr>
              <w:pStyle w:val="Normal6a"/>
            </w:pPr>
            <w:r>
              <w:t>8.</w:t>
            </w:r>
            <w:r>
              <w:tab/>
            </w:r>
            <w:r>
              <w:t xml:space="preserve">toteaa, että vuonna 2024 kaikkiaan 33 erillisviraston palveluksessa oli yhteensä 11 491 henkilöstön jäsentä (10 580 vuonna 2023) eli virkamiehiä, väliaikaisia ja sopimussuhteisia toimihenkilöitä sekä lähetettyjä kansallisia asiantuntijoita, joten lisäystä vuoteen 2023 verrattuna oli 8,61 prosenttia; toteaa, että sukupuolten tasapuolinen edustus unionin erillisvirastoissa on parantumaan päin mutta merkittäviä eroja esiintyy yhä; korostaa, että joissakin virastoissa, kuten ACER, EASA, ERA, eu‑LISA ja Europol, suurempi osuus henkilöstöstä on miehiä, kun taas sellaisissa virastoissa kuin CdT, EFSA, EMA, ETF ja Eurojust on enemmän naisia; </w:t>
            </w:r>
            <w:r>
              <w:rPr>
                <w:b/>
                <w:i/>
              </w:rPr>
              <w:t>pitää valitettavana</w:t>
            </w:r>
            <w:r>
              <w:t>, että unionin sitoumusta edistää sukupuolten tasa-arvoa johtotehtävissä ei ole vielä täysin pantu täytäntöön; korostaa, että komission toimia tällä alalla olisi parannettava; palauttaa mieliin, että asetuksessa (ETY, Euratom, EHTY) N:o 259/68 (henkilöstösäännöt</w:t>
            </w:r>
            <w:r>
              <w:rPr>
                <w:b/>
                <w:i/>
              </w:rPr>
              <w:t>[1]</w:t>
            </w:r>
            <w:r>
              <w:t xml:space="preserve">) todetaan, että palvelukseenoton olisi perustuttava </w:t>
            </w:r>
            <w:r>
              <w:rPr>
                <w:b/>
                <w:i/>
              </w:rPr>
              <w:t>objektiivisiin, avoimiin ja ansioihin pohjautuviin perusteisiin ja myös</w:t>
            </w:r>
            <w:r>
              <w:t xml:space="preserve"> mahdollisimman laajaan maantieteelliseen tasapainoon EU:n jäsenvaltioita ajatellen; toteaa, että on vain luonnollista, että suurempi osuus henkilöstöstä tulee siitä jäsenvaltiosta, jossa virasto sijaitsee; palauttaa mieliin, että sellaisissa maissa sijaitsevilla virastoilla, joissa korjauskerroin on suhteellisen alhainen, on jatkuvasti haasteita ammattitaitoisen ja maantieteellisesti monimuotoisen henkilöstön houkuttelemisessa;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Neuvoston asetus (ETY, Euratom, EHTY) N:o 259/68, annettu 29. helmikuuta 1968, Euroopan yhteisöjen virkamiehiin sovellettavien henkilöstösääntöjen ja näiden yhteisöjen muuta henkilöstöä koskevien palvelussuhteen ehtojen vahvistamisesta sekä yhteisöjen virkamiehiin tilapäisesti sovellettavien erityisten toimenpiteiden laatimisesta (EYVL L 56, 4.3.1968, s.</w:t>
            </w:r>
            <w:r>
              <w:t xml:space="preserve"> </w:t>
            </w:r>
            <w:r>
              <w:rPr>
                <w:b/>
                <w:i/>
              </w:rPr>
              <w:t>1, ELI: http://data.europa.eu/eli/reg/1968/259(1)/oj).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toteaa, että vuonna 2024 kaikkiaan 33 erillisviraston palveluksessa oli yhteensä 11 491 henkilöstön jäsentä (10 580 vuonna 2023) eli virkamiehiä, väliaikaisia ja sopimussuhteisia toimihenkilöitä sekä lähetettyjä kansallisia asiantuntijoita, joten lisäystä vuoteen 2023 verrattuna oli 8,61 prosenttia; toteaa, että sukupuolten tasapuolinen edustus unionin erillisvirastoissa on parantumaan päin mutta merkittäviä eroja esiintyy yhä; korostaa, että joissakin virastoissa, kuten ACER, EASA, ERA, eu‑LISA ja Europol, suurempi osuus henkilöstöstä on miehiä, kun taas sellaisissa virastoissa kuin CdT, EFSA, EMA, ETF ja Eurojust on enemmän naisia; toteaa, että prosenttiosuus vaihtelee usein aloittain ja miehet ovat enemmistönä tietotekniikkaan ja lainvalvontaan liittyvissä tehtävissä ja naisia taas on enemmän koulutuksen ja terveydenhuollon aloilla; muistuttaa, että unionin sitoumusta edistää sukupuolten tasa-arvoa johtotehtävissä ei ole vielä täysin pantu täytäntöön; korostaa, että komission toimia tällä alalla olisi parannettava; palauttaa mieliin, että asetuksessa (ETY, Euratom, EHTY) N:o 259/68 (henkilöstösäännöt</w:t>
            </w:r>
            <w:r>
              <w:rPr>
                <w:vertAlign w:val="superscript"/>
              </w:rPr>
              <w:t>3</w:t>
            </w:r>
            <w:r>
              <w:t>) todetaan, että palvelukseenoton olisi myös perustuttava mahdollisimman laajaan maantieteelliseen tasapainoon EU:n jäsenvaltioita ajatellen; toteaa, että on vain luonnollista, että suurempi osuus henkilöstöstä tulee siitä jäsenvaltiosta, jossa virasto sijaitsee; palauttaa mieliin, että sellaisissa maissa sijaitsevilla virastoilla, joissa korjauskerroin on suhteellisen alhainen, on jatkuvasti haasteita ammattitaitoisen ja maantieteellisesti monimuotoisen henkilöstön houkuttelemisessa;</w:t>
            </w:r>
          </w:p>
        </w:tc>
        <w:tc>
          <w:tcPr>
            <w:tcW w:w="4876" w:type="dxa"/>
            <w:tcBorders>
              <w:top w:val="nil"/>
              <w:left w:val="nil"/>
              <w:bottom w:val="nil"/>
              <w:right w:val="nil"/>
            </w:tcBorders>
          </w:tcPr>
          <w:p>
            <w:pPr>
              <w:pStyle w:val="Normal6a"/>
            </w:pPr>
            <w:r>
              <w:t>8.</w:t>
            </w:r>
            <w:r>
              <w:tab/>
            </w:r>
            <w:r>
              <w:t xml:space="preserve">toteaa, että vuonna 2024 kaikkiaan 33 erillisviraston palveluksessa oli yhteensä 11 491 henkilöstön jäsentä (10 580 vuonna 2023) eli virkamiehiä, väliaikaisia ja sopimussuhteisia toimihenkilöitä sekä lähetettyjä kansallisia asiantuntijoita, joten lisäystä vuoteen 2023 verrattuna oli 8,61 prosenttia; toteaa, että sukupuolten tasapuolinen edustus unionin erillisvirastoissa on parantumaan päin mutta merkittäviä eroja esiintyy yhä; korostaa, että joissakin virastoissa, kuten ACER, EASA, ERA, eu‑LISA ja Europol, suurempi osuus henkilöstöstä on miehiä, kun taas sellaisissa virastoissa kuin CdT, EFSA, EMA, ETF ja Eurojust on enemmän naisia; toteaa, että prosenttiosuus vaihtelee usein aloittain ja miehet ovat enemmistönä tietotekniikkaan ja lainvalvontaan liittyvissä tehtävissä ja naisia taas on enemmän koulutuksen ja terveydenhuollon aloilla; muistuttaa, että unionin sitoumusta edistää sukupuolten tasa-arvoa johtotehtävissä ei ole vielä täysin pantu täytäntöön; korostaa, että komission toimia tällä alalla olisi parannettava; </w:t>
            </w:r>
            <w:r>
              <w:rPr>
                <w:b/>
                <w:i/>
              </w:rPr>
              <w:t>kehottaa virastoja hyväksymään korjaavia strategioita, mukaan lukien avoimet ylennysmenettelyt ja kohdennettu johtajuuden kehittäminen sukupuolten tasapuolisen edustuksen parantamiseksi;</w:t>
            </w:r>
            <w:r>
              <w:t xml:space="preserve"> palauttaa mieliin, että asetuksessa (ETY, Euratom, EHTY) N:o 259/68 (henkilöstösäännöt</w:t>
            </w:r>
            <w:r>
              <w:rPr>
                <w:vertAlign w:val="superscript"/>
              </w:rPr>
              <w:t>3</w:t>
            </w:r>
            <w:r>
              <w:t>) todetaan, että palvelukseenoton olisi myös perustuttava mahdollisimman laajaan maantieteelliseen tasapainoon EU:n jäsenvaltioita ajatellen; toteaa, että on vain luonnollista, että suurempi osuus henkilöstöstä tulee siitä jäsenvaltiosta, jossa virasto sijaitsee; palauttaa mieliin, että sellaisissa maissa sijaitsevilla virastoilla, joissa korjauskerroin on suhteellisen alhainen, on jatkuvasti haasteita ammattitaitoisen ja maantieteellisesti monimuotoisen henkilöstön houkuttelemisessa;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Neuvoston asetus (ETY, Euratom, EHTY) N:o 259/68, annettu 29. helmikuuta 1968, Euroopan yhteisöjen virkamiehiin sovellettavien henkilöstösääntöjen ja näiden yhteisöjen muuta henkilöstöä koskevien palvelussuhteen ehtojen vahvistamisesta sekä yhteisöjen virkamiehiin tilapäisesti sovellettavien erityisten toimenpiteiden laatimisesta (EYVL L 56, 4.3.1968, s.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Neuvoston asetus (ETY, Euratom, EHTY) N:o 259/68, annettu 29. helmikuuta 1968, Euroopan yhteisöjen virkamiehiin sovellettavien henkilöstösääntöjen ja näiden yhteisöjen muuta henkilöstöä koskevien palvelussuhteen ehtojen vahvistamisesta sekä yhteisöjen virkamiehiin tilapäisesti sovellettavien erityisten toimenpiteiden laatimisesta (EYVL L 56, 4.3.1968, s. 1, ELI: http://data.europa.eu/eli/reg/1968/259(1)/oj).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toteaa, että vuonna 2024 kaikkiaan 33 erillisviraston palveluksessa oli yhteensä 11 491 henkilöstön jäsentä (10 580 vuonna 2023) eli virkamiehiä, väliaikaisia ja sopimussuhteisia toimihenkilöitä sekä lähetettyjä kansallisia asiantuntijoita, joten lisäystä vuoteen 2023 verrattuna oli 8,61 prosenttia; toteaa, että sukupuolten tasapuolinen edustus unionin erillisvirastoissa on parantumaan päin mutta merkittäviä eroja esiintyy yhä; korostaa, että joissakin virastoissa, kuten ACER, EASA, ERA, eu‑LISA ja Europol, suurempi osuus henkilöstöstä on miehiä, kun taas sellaisissa virastoissa kuin CdT, EFSA, EMA, ETF ja Eurojust on enemmän naisia; toteaa, että prosenttiosuus vaihtelee usein aloittain ja miehet ovat enemmistönä tietotekniikkaan ja lainvalvontaan liittyvissä tehtävissä ja naisia taas on enemmän koulutuksen ja terveydenhuollon aloilla; muistuttaa, että unionin sitoumusta edistää sukupuolten tasa-arvoa johtotehtävissä ei ole vielä täysin pantu täytäntöön; korostaa, että komission toimia tällä alalla olisi parannettava; palauttaa mieliin, että asetuksessa (ETY, Euratom, EHTY) N:o 259/68 (henkilöstösäännöt</w:t>
            </w:r>
            <w:r>
              <w:rPr>
                <w:vertAlign w:val="superscript"/>
              </w:rPr>
              <w:t>3</w:t>
            </w:r>
            <w:r>
              <w:t>) todetaan, että palvelukseenoton olisi myös perustuttava mahdollisimman laajaan maantieteelliseen tasapainoon EU:n jäsenvaltioita ajatellen; toteaa, että on vain luonnollista, että suurempi osuus henkilöstöstä tulee siitä jäsenvaltiosta, jossa virasto sijaitsee; palauttaa mieliin, että sellaisissa maissa sijaitsevilla virastoilla, joissa korjauskerroin on suhteellisen alhainen, on jatkuvasti haasteita ammattitaitoisen ja maantieteellisesti monimuotoisen henkilöstön houkuttelemisessa;</w:t>
            </w:r>
          </w:p>
        </w:tc>
        <w:tc>
          <w:tcPr>
            <w:tcW w:w="4876" w:type="dxa"/>
            <w:tcBorders>
              <w:top w:val="nil"/>
              <w:left w:val="nil"/>
              <w:bottom w:val="nil"/>
              <w:right w:val="nil"/>
            </w:tcBorders>
          </w:tcPr>
          <w:p>
            <w:pPr>
              <w:pStyle w:val="Normal6a"/>
            </w:pPr>
            <w:r>
              <w:t>8.</w:t>
            </w:r>
            <w:r>
              <w:tab/>
            </w:r>
            <w:r>
              <w:t>toteaa, että vuonna 2024 kaikkiaan 33 erillisviraston palveluksessa oli yhteensä 11 491 henkilöstön jäsentä (10 580 vuonna 2023) eli virkamiehiä, väliaikaisia ja sopimussuhteisia toimihenkilöitä sekä lähetettyjä kansallisia asiantuntijoita, joten lisäystä vuoteen 2023 verrattuna oli 8,61 prosenttia</w:t>
            </w:r>
            <w:r>
              <w:rPr>
                <w:b/>
                <w:i/>
              </w:rPr>
              <w:t>;</w:t>
            </w:r>
            <w:r>
              <w:t xml:space="preserve"> </w:t>
            </w:r>
            <w:r>
              <w:rPr>
                <w:b/>
                <w:i/>
              </w:rPr>
              <w:t>pitää valitettavana tätä merkittävää lisäystä, joka johtaa henkilöstömenojen kasvuun, kun eurooppalaiset kärsivät inflaatiosta ja elinkustannusten noususta</w:t>
            </w:r>
            <w:r>
              <w:t>; toteaa, että sukupuolten tasapuolinen edustus unionin erillisvirastoissa on parantumaan päin mutta merkittäviä eroja esiintyy yhä; korostaa, että joissakin virastoissa, kuten ACER, EASA, ERA, eu‑LISA ja Europol, suurempi osuus henkilöstöstä on miehiä, kun taas sellaisissa virastoissa kuin CdT, EFSA, EMA, ETF ja Eurojust on enemmän naisia; toteaa, että prosenttiosuus vaihtelee usein aloittain ja miehet ovat enemmistönä tietotekniikkaan ja lainvalvontaan liittyvissä tehtävissä ja naisia taas on enemmän koulutuksen ja terveydenhuollon aloilla; muistuttaa, että unionin sitoumusta edistää sukupuolten tasa-arvoa johtotehtävissä ei ole vielä täysin pantu täytäntöön; korostaa, että komission toimia tällä alalla olisi parannettava; palauttaa mieliin, että asetuksessa (ETY, Euratom, EHTY) N:o 259/68 (henkilöstösäännöt</w:t>
            </w:r>
            <w:r>
              <w:rPr>
                <w:vertAlign w:val="superscript"/>
              </w:rPr>
              <w:t>3</w:t>
            </w:r>
            <w:r>
              <w:t>) todetaan, että palvelukseenoton olisi myös perustuttava mahdollisimman laajaan maantieteelliseen tasapainoon EU:n jäsenvaltioita ajatellen; toteaa, että on vain luonnollista, että suurempi osuus henkilöstöstä tulee siitä jäsenvaltiosta, jossa virasto sijaitsee; palauttaa mieliin, että sellaisissa maissa sijaitsevilla virastoilla, joissa korjauskerroin on suhteellisen alhainen, on jatkuvasti haasteita ammattitaitoisen ja maantieteellisesti monimuotoisen henkilöstön houkuttelemisessa;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Neuvoston asetus (ETY, Euratom, EHTY) N:o 259/68, annettu 29. helmikuuta 1968, Euroopan yhteisöjen virkamiehiin sovellettavien henkilöstösääntöjen ja näiden yhteisöjen muuta henkilöstöä koskevien palvelussuhteen ehtojen vahvistamisesta sekä yhteisöjen virkamiehiin tilapäisesti sovellettavien erityisten toimenpiteiden laatimisesta (EYVL L 56, 4.3.1968, s.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Neuvoston asetus (ETY, Euratom, EHTY) N:o 259/68, annettu 29. helmikuuta 1968, Euroopan yhteisöjen virkamiehiin sovellettavien henkilöstösääntöjen ja näiden yhteisöjen muuta henkilöstöä koskevien palvelussuhteen ehtojen vahvistamisesta sekä yhteisöjen virkamiehiin tilapäisesti sovellettavien erityisten toimenpiteiden laatimisesta (EYVL L 56, 4.3.1968, s. 1, ELI: http://data.europa.eu/eli/reg/1968/259(1)/oj).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panee merkille, että näiden virastojen henkilöstön määrä kasvaa jatkuvasti, ja kehottaa lisäämään niiden määrärahoja;</w:t>
            </w:r>
            <w:r>
              <w:t xml:space="preserve"> </w:t>
            </w:r>
            <w:r>
              <w:rPr>
                <w:b/>
                <w:i/>
              </w:rPr>
              <w:t>muistuttaa kuitenkin, että kaikkien rahoitusta tai henkilöstöä koskevien tulevien mukautusten on perustuttava osoitettavissa oleviin tehokkuushyötyihin, avoimiin tulosindikaattoreihin ja mitattavissa oleviin operatiivisiin tuloksiin;</w:t>
            </w:r>
            <w:r>
              <w:t xml:space="preserve"> </w:t>
            </w:r>
            <w:r>
              <w:rPr>
                <w:b/>
                <w:i/>
              </w:rPr>
              <w:t>korostaa, että resurssien lisääminen ei saisi johtaa hallinnolliseen laajenemiseen tai päällekkäisyyteen kansallisten viranomaisten jo hoitamien tehtävien kanssa;</w:t>
            </w:r>
            <w:r>
              <w:t xml:space="preserve"> </w:t>
            </w:r>
            <w:r>
              <w:rPr>
                <w:b/>
                <w:i/>
              </w:rPr>
              <w:t>korostaa tarvetta säilyttää kevyt ja tulossuuntautunut rakenne, joka on yhteensopiva kunkin viraston unionin lainsäädännön mukaisen toimeksiannon kanssa;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kannustaa virastoja sisällyttämään henkilöstöstrategioihinsa selkeät sukupuolten tasapuolista edustusta koskevat tavoitteet;</w:t>
            </w:r>
            <w:r>
              <w:t xml:space="preserve"> </w:t>
            </w:r>
            <w:r>
              <w:rPr>
                <w:b/>
                <w:i/>
              </w:rPr>
              <w:t>kehottaa virastoja varmistamaan, että johtotehtäviä varten perustetut valintalautakunnat ovat sukupuolijakaumaltaan tasapainoisia ja käyttävät toiminnassaan selkeitä, ansioihin pohjautuvia perusteita;</w:t>
            </w:r>
            <w:r>
              <w:t xml:space="preserve"> </w:t>
            </w:r>
            <w:r>
              <w:rPr>
                <w:b/>
                <w:i/>
              </w:rPr>
              <w:t>kehottaa komissiota ja EU:n virastojen verkostoa kehittämään yhteisiä parhaita käytäntöjä ja vertailuanalyysivälineitä, joilla tuetaan virastoja kestävän sukupuolten tasapuolisen edustuksen saavuttamisessa myös johtotehtävissä;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toteaa, että vuonna 2024 henkilöstön vaihtuvuus oli yli viisi prosenttia 16 virastossa 33:sta (BEREC-virasto, CdT, Cedefop, CEPOL, ECDC, EEA, ELA, eu‑LISA, EU‑OSHA, Eurofound, Eurojust, Europol ja FRA) ja kahdessa niistä (EIT ja ETF) se ylitti kymmenen prosenttia; antaa tunnustusta virastoille, jotka ovat toteuttaneet kohdennettuja toimenpiteitä ehkäistäkseen henkilöstön suurta vaihtuvuutta; kehottaa komissiota ja jäsenvaltioita sallimaan sen, että sopimussuhteisia toimihenkilöitä palkataan pidemmäksi ajaksi tai että väliaikaisia toimihenkilöitä palkataan enemmän, jotta voidaan taata parempi jatkuvuus ja tietämyksen säilyttäminen;</w:t>
            </w:r>
          </w:p>
        </w:tc>
        <w:tc>
          <w:tcPr>
            <w:tcW w:w="4876" w:type="dxa"/>
            <w:tcBorders>
              <w:top w:val="nil"/>
              <w:left w:val="nil"/>
              <w:bottom w:val="nil"/>
              <w:right w:val="nil"/>
            </w:tcBorders>
          </w:tcPr>
          <w:p>
            <w:pPr>
              <w:pStyle w:val="Normal6a"/>
            </w:pPr>
            <w:r>
              <w:t>9.</w:t>
            </w:r>
            <w:r>
              <w:tab/>
            </w:r>
            <w:r>
              <w:t xml:space="preserve">toteaa, että vuonna 2024 henkilöstön vaihtuvuus oli yli viisi prosenttia 16 virastossa 33:sta (BEREC-virasto, CdT, Cedefop, CEPOL, ECDC, EEA, ELA, eu‑LISA, EU‑OSHA, Eurofound, Eurojust, Europol ja FRA) ja kahdessa niistä (EIT ja ETF) se ylitti kymmenen prosenttia; antaa tunnustusta virastoille, jotka ovat toteuttaneet kohdennettuja toimenpiteitä ehkäistäkseen henkilöstön suurta vaihtuvuutta; kehottaa komissiota ja jäsenvaltioita sallimaan sen, että sopimussuhteisia toimihenkilöitä palkataan pidemmäksi ajaksi tai että väliaikaisia toimihenkilöitä palkataan enemmän, jotta voidaan taata parempi jatkuvuus ja tietämyksen säilyttäminen; </w:t>
            </w:r>
            <w:r>
              <w:rPr>
                <w:b/>
                <w:i/>
              </w:rPr>
              <w:t>korostaa, että hallintoneuvostot ovat kollektiivisesti vastuussa virastojen lahjomattomuudesta, vastuuvelvollisuudesta ja asianmukaisesta toiminnasta;</w:t>
            </w:r>
            <w:r>
              <w:t xml:space="preserve"> </w:t>
            </w:r>
            <w:r>
              <w:rPr>
                <w:b/>
                <w:i/>
              </w:rPr>
              <w:t>pitää valitettavina tapauksia, joissa hallintoneuvostot eivät ole toteuttaneet tehokkaita toimia puuttuakseen vakaviin havaintoihin, ja kehottaa lisäämään hallintoneuvostojen kokousten avoimuutta vastuuvapauden myöntävään viranomaiseen nähden;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katsoo, että työuupumuksen, henkilöstön vaihtuvuuden ja epävarmojen työsuhteiden suuri määrä muodostaa rakenteellisen riskin institutionaaliselle eheydelle, sisäiselle valvonnalle ja väärinkäytösten paljastamiselle ja siten moitteettomalle varainhoidolle;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suhtautuu myönteisesti siihen, että vuonna 2024 useimmat virastot hyväksyivät ja panivat täytäntöön moninaisuutta ja osallisuutta koskevan peruskirjan</w:t>
            </w:r>
            <w:r>
              <w:rPr>
                <w:b/>
                <w:i/>
                <w:vertAlign w:val="superscript"/>
              </w:rPr>
              <w:t>4</w:t>
            </w:r>
            <w:r>
              <w:rPr>
                <w:b/>
                <w:i/>
              </w:rPr>
              <w:t>, jolla edistetään yhdenvertaista kohtelua, monimuotoisuutta ja osallisuutta työpaikalla ja yhteiskunnallisessa elämässä;</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https://agencies-network.europa.eu/document/download/04667fb8-be05-4818-9f62-0cb99f0c5538_en?filename=EUAN%20WG%25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suhtautuu myönteisesti siihen, että vuonna 2024 useimmat virastot hyväksyivät ja panivat täytäntöön moninaisuutta ja osallisuutta koskevan peruskirjan</w:t>
            </w:r>
            <w:r>
              <w:rPr>
                <w:vertAlign w:val="superscript"/>
              </w:rPr>
              <w:t>4</w:t>
            </w:r>
            <w:r>
              <w:t>, jolla edistetään yhdenvertaista kohtelua, monimuotoisuutta ja osallisuutta työpaikalla ja yhteiskunnallisessa elämässä;</w:t>
            </w:r>
          </w:p>
        </w:tc>
        <w:tc>
          <w:tcPr>
            <w:tcW w:w="4876" w:type="dxa"/>
            <w:tcBorders>
              <w:top w:val="nil"/>
              <w:left w:val="nil"/>
              <w:bottom w:val="nil"/>
              <w:right w:val="nil"/>
            </w:tcBorders>
          </w:tcPr>
          <w:p>
            <w:pPr>
              <w:pStyle w:val="Normal6a"/>
            </w:pPr>
            <w:r>
              <w:t>10.</w:t>
            </w:r>
            <w:r>
              <w:tab/>
            </w:r>
            <w:r>
              <w:t>suhtautuu myönteisesti siihen, että vuonna 2024 useimmat virastot hyväksyivät ja panivat täytäntöön moninaisuutta ja osallisuutta koskevan peruskirjan</w:t>
            </w:r>
            <w:r>
              <w:rPr>
                <w:vertAlign w:val="superscript"/>
              </w:rPr>
              <w:t>4</w:t>
            </w:r>
            <w:r>
              <w:t xml:space="preserve">, jolla edistetään yhdenvertaista kohtelua, monimuotoisuutta ja osallisuutta työpaikalla ja yhteiskunnallisessa elämässä; </w:t>
            </w:r>
            <w:r>
              <w:rPr>
                <w:b/>
                <w:i/>
              </w:rPr>
              <w:t>kannustaa voimakkaasti niitä erillisvirastoja, jotka eivät ole vielä liittyneet peruskirjaan, harkitsemaan viipymättä sen hyväksymistä ja täytäntöönpanoa;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https://agencies-network.europa.eu/document/download/04667fb8-be05-4818-9f62-0cb99f0c5538_en?filename=EUAN%20WG%25</w:t>
            </w:r>
          </w:p>
        </w:tc>
        <w:tc>
          <w:tcPr>
            <w:tcW w:w="4876" w:type="dxa"/>
            <w:tcBorders>
              <w:top w:val="nil"/>
              <w:left w:val="nil"/>
              <w:bottom w:val="nil"/>
              <w:right w:val="nil"/>
            </w:tcBorders>
          </w:tcPr>
          <w:p>
            <w:pPr>
              <w:pStyle w:val="Normal6a"/>
            </w:pPr>
            <w:r>
              <w:rPr>
                <w:vertAlign w:val="superscript"/>
              </w:rPr>
              <w:t>4</w:t>
            </w:r>
            <w:r>
              <w:t xml:space="preserve"> </w:t>
            </w:r>
            <w:r>
              <w:t>https://agencies-network.europa.eu/document/download/04667fb8-be05-4818-9f62-0cb99f0c5538_en?filename=EUAN%20WG%25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korostaa, että unionin erillisvirastojen henkilöstölle tarkoitetun vaikuttavan valitusmekanismin käyttöönotto edellyttää, että vahvat luottamuksellisuustakeet, joihin sisältyvät anonyymit ilmoituskanavat, yhdistetään selkeisiin, yhdenmukaistettuihin menettelyihin, jotka ovat henkilöstösääntöjen mukaisia ja joista tiedotetaan säännöllisen henkilöstökoulutuksen avulla; katsoo, että virastojen olisi nimitettävä riippumattomia, ammattimaisesti koulutettuja ammattietiikasta tai valituksista vastaavia henkilöitä tai pienempien virastojen tapauksessa käytettävä yhteisiä virastojen välisiä rakenteita, jotta voidaan varmistaa henkilöstösääntöjen 90 artiklan mukaisten pyyntöjen, häirintäilmoitusten, eturistiriitojen ja väärinkäytösten paljastajien ilmoittamien tietojen puolueeton käsittely; kehottaa virastoja varmistamaan </w:t>
            </w:r>
            <w:r>
              <w:rPr>
                <w:b/>
                <w:i/>
              </w:rPr>
              <w:t>henkilöstölle mahdollisuuden käyttää ulkoista eskalointikanavaa ja vankan suojan kostotoimia vastaan järjestelmällisten seurantatarkastusten avulla ja toteaa, että samalla olisi lisättävä avoimuutta valituksia ja niiden tuloksia koskevilla anonymisoiduilla ilmoituksilla ja puolueettomuutta parannettava käyttämällä arkaluonteisissa tapauksissa virastojen välisiä tutkintalautakuntia</w:t>
            </w:r>
            <w:r>
              <w:t xml:space="preserve">; </w:t>
            </w:r>
            <w:r>
              <w:rPr>
                <w:b/>
                <w:i/>
              </w:rPr>
              <w:t>kehottaa ottamaan käyttöön suojamekanismeja perättömien syytösten ja ilmiantojen varalta;</w:t>
            </w:r>
          </w:p>
        </w:tc>
        <w:tc>
          <w:tcPr>
            <w:tcW w:w="4876" w:type="dxa"/>
            <w:tcBorders>
              <w:top w:val="nil"/>
              <w:left w:val="nil"/>
              <w:bottom w:val="nil"/>
              <w:right w:val="nil"/>
            </w:tcBorders>
          </w:tcPr>
          <w:p>
            <w:pPr>
              <w:pStyle w:val="Normal6a"/>
            </w:pPr>
            <w:r>
              <w:t>11.</w:t>
            </w:r>
            <w:r>
              <w:tab/>
            </w:r>
            <w:r>
              <w:t xml:space="preserve">korostaa, että unionin erillisvirastojen henkilöstölle tarkoitetun vaikuttavan valitusmekanismin käyttöönotto edellyttää, että vahvat luottamuksellisuustakeet, joihin sisältyvät anonyymit ilmoituskanavat, yhdistetään selkeisiin, yhdenmukaistettuihin menettelyihin, jotka ovat henkilöstösääntöjen mukaisia ja joista tiedotetaan säännöllisen </w:t>
            </w:r>
            <w:r>
              <w:rPr>
                <w:b/>
                <w:i/>
              </w:rPr>
              <w:t>ja pakollisen</w:t>
            </w:r>
            <w:r>
              <w:t xml:space="preserve"> henkilöstökoulutuksen avulla; katsoo, että virastojen olisi nimitettävä riippumattomia, ammattimaisesti koulutettuja ammattietiikasta tai valituksista vastaavia henkilöitä tai pienempien virastojen tapauksessa käytettävä yhteisiä virastojen välisiä rakenteita, jotta voidaan varmistaa henkilöstösääntöjen 90 artiklan mukaisten pyyntöjen, häirintäilmoitusten, eturistiriitojen ja väärinkäytösten paljastajien ilmoittamien tietojen puolueeton käsittely; kehottaa virastoja varmistamaan </w:t>
            </w:r>
            <w:r>
              <w:rPr>
                <w:b/>
                <w:i/>
              </w:rPr>
              <w:t>väärinkäytösten paljastajien vahvan, riippumattoman ja tehokkaan suojelun, mukaan lukien suojelu kaikenlaisilta kostotoimilta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panee merkille EU:n virastojen verkoston (EUAN) ja erityisesti sen tieto- ja viestintätekniikkaa käsittelevän neuvoa-antavan komitean (ICTAC) merkittävän roolin tuettaessa virastojen valmiutta kyberturvallisuusasetuksen täytäntöönpanoon tehostetun koordinoinnin, tietämyksen vaihdon ja DIGIT-pääosaston, CERT-EU:n ja digitaalista muutosta käsittelevän toimielinten välisen komitean kanssa tehtävän yhteistyön avulla; kehottaa EUANia ja ICTACia tarjoamaan kattavaa ja säännöllistä tietoa täytäntöönpanon tilanteesta kaikissa erillisvirastoissa, myös yhteisistä haasteista, yksilöidyistä riskeistä, resurssitarpeista ja suunnitelluista lieventämistoimenpiteistä, jotta tuloksellinen valvonta olisi mahdollista;</w:t>
            </w:r>
          </w:p>
        </w:tc>
        <w:tc>
          <w:tcPr>
            <w:tcW w:w="4876" w:type="dxa"/>
            <w:tcBorders>
              <w:top w:val="nil"/>
              <w:left w:val="nil"/>
              <w:bottom w:val="nil"/>
              <w:right w:val="nil"/>
            </w:tcBorders>
          </w:tcPr>
          <w:p>
            <w:pPr>
              <w:pStyle w:val="Normal6a"/>
            </w:pPr>
            <w:r>
              <w:t>12.</w:t>
            </w:r>
            <w:r>
              <w:tab/>
            </w:r>
            <w:r>
              <w:t xml:space="preserve">panee merkille EU:n virastojen verkoston (EUAN) ja erityisesti sen tieto- ja viestintätekniikkaa käsittelevän neuvoa-antavan komitean (ICTAC) merkittävän roolin tuettaessa virastojen valmiutta kyberturvallisuusasetuksen täytäntöönpanoon tehostetun koordinoinnin, tietämyksen vaihdon ja DIGIT-pääosaston, CERT-EU:n ja digitaalista muutosta käsittelevän toimielinten välisen komitean kanssa tehtävän yhteistyön avulla; kehottaa EUANia ja ICTACia tarjoamaan kattavaa ja säännöllistä tietoa täytäntöönpanon tilanteesta kaikissa erillisvirastoissa, myös yhteisistä haasteista, yksilöidyistä riskeistä, resurssitarpeista ja suunnitelluista lieventämistoimenpiteistä, jotta tuloksellinen valvonta olisi mahdollista; </w:t>
            </w:r>
            <w:r>
              <w:rPr>
                <w:b/>
                <w:i/>
              </w:rPr>
              <w:t>korostaa, että tarvitaan vankkoja ja entistä vahvempia kyberturvallisuustoimenpiteitä, joilla varmistetaan kyky selviytyä muuttuvista uhkista;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korostaa tekoälyvälineiden käytön lisääntymistä ja niiden tarjoamia mahdollisuuksia mutta myös niiden taloudellisia ja operatiivisia riskejä;</w:t>
            </w:r>
            <w:r>
              <w:t xml:space="preserve"> </w:t>
            </w:r>
            <w:r>
              <w:rPr>
                <w:b/>
                <w:i/>
              </w:rPr>
              <w:t>kehottaa virastoja ottamaan käyttöön jäsenneltyjä riskinarviointeja tekoälyä hyödyntäville prosesseille erityisesti silloin, kun ne vaikuttavat varainhoito-, hankinta- tai päätöksentekotoimintoihin;</w:t>
            </w:r>
            <w:r>
              <w:t xml:space="preserve"> </w:t>
            </w:r>
            <w:r>
              <w:rPr>
                <w:b/>
                <w:i/>
              </w:rPr>
              <w:t>kannustaa virastoja varmistamaan avoimuuden tekoälyvälineiden käytössä, myös dokumentoimalla päätöksentekologiikan, ottamalla käyttöön ihmisen suorittaman valvonnan mekanismeja ja varmistamalla automatisoitujen prosessien tarkastettavuuden;</w:t>
            </w:r>
            <w:r>
              <w:t xml:space="preserve"> </w:t>
            </w:r>
            <w:r>
              <w:rPr>
                <w:b/>
                <w:i/>
              </w:rPr>
              <w:t>painottaa tarvetta varmistaa, että tekoälyn käyttö pysyy täysin unionin tietosuoja- ja kyberturvallisuusvelvoitteiden mukaisena;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korostaa, että on tärkeää kehittää selkeitä, luotettavia ja merkityksellisiä keskeisiä tulosindikaattoreita EU:n virastojen vuotuisiin toimintakertomuksiin, sillä nämä kertomukset ovat ulkopuolisille käyttäjille yksi ensisijaisista tietolähteistä; toteaa, että </w:t>
            </w:r>
            <w:r>
              <w:rPr>
                <w:b/>
                <w:i/>
              </w:rPr>
              <w:t>joistakin</w:t>
            </w:r>
            <w:r>
              <w:t xml:space="preserve"> keskeisten tulosindikaattorien </w:t>
            </w:r>
            <w:r>
              <w:rPr>
                <w:b/>
                <w:i/>
              </w:rPr>
              <w:t>järjestelmistä puuttuu usein jatkuvuus, standardointi, operatiivinen syvyys, dokumentoitu menetelmä indikaattorien valitsemiseksi, päivittämiseksi ja poistamiseksi, avoimuus, vertailtavuus ja monivuotinen seuranta, mikä heikentää vertailtavuutta ja ulkopuolisten käyttäjien kykyä arvioida tuloksia puolueettomasti</w:t>
            </w:r>
            <w:r>
              <w:t xml:space="preserve">; painottaa, että keskeisten tulosindikaattorien olisi oltava selkeitä </w:t>
            </w:r>
            <w:r>
              <w:rPr>
                <w:b/>
                <w:i/>
              </w:rPr>
              <w:t>ja hyvin suunniteltuja</w:t>
            </w:r>
            <w:r>
              <w:t>, niiden olisi perustuttava SMART-periaatteisiin ja niitä olisi sovellettava johdonmukaisesti eri raportointisyklien välillä, mikä on olennaisen tärkeää arvioitaessa tehokkuutta, vaikuttavuutta ja strategisissa tavoitteissa edistymistä;</w:t>
            </w:r>
          </w:p>
        </w:tc>
        <w:tc>
          <w:tcPr>
            <w:tcW w:w="4876" w:type="dxa"/>
            <w:tcBorders>
              <w:top w:val="nil"/>
              <w:left w:val="nil"/>
              <w:bottom w:val="nil"/>
              <w:right w:val="nil"/>
            </w:tcBorders>
          </w:tcPr>
          <w:p>
            <w:pPr>
              <w:pStyle w:val="Normal6a"/>
            </w:pPr>
            <w:r>
              <w:t>13.</w:t>
            </w:r>
            <w:r>
              <w:tab/>
            </w:r>
            <w:r>
              <w:t xml:space="preserve">korostaa, että on tärkeää kehittää selkeitä, luotettavia ja merkityksellisiä keskeisiä tulosindikaattoreita EU:n virastojen vuotuisiin toimintakertomuksiin, sillä nämä kertomukset ovat ulkopuolisille käyttäjille yksi ensisijaisista tietolähteistä; toteaa, että </w:t>
            </w:r>
            <w:r>
              <w:rPr>
                <w:b/>
                <w:i/>
              </w:rPr>
              <w:t>luotettavan</w:t>
            </w:r>
            <w:r>
              <w:t xml:space="preserve"> keskeisten tulosindikaattorien </w:t>
            </w:r>
            <w:r>
              <w:rPr>
                <w:b/>
                <w:i/>
              </w:rPr>
              <w:t>järjestelmän päätarkoituksena on tulosten puolueeton arviointi</w:t>
            </w:r>
            <w:r>
              <w:t>; painottaa, että keskeisten tulosindikaattorien olisi oltava selkeitä, niiden olisi perustuttava SMART-periaatteisiin ja niitä olisi sovellettava johdonmukaisesti eri raportointisyklien välillä, mikä on olennaisen tärkeää arvioitaessa tehokkuutta, vaikuttavuutta ja strategisissa tavoitteissa edistymistä;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korostaa, että on tärkeää kehittää selkeitä, luotettavia ja merkityksellisiä keskeisiä tulosindikaattoreita EU:n virastojen vuotuisiin toimintakertomuksiin, sillä nämä kertomukset ovat ulkopuolisille käyttäjille yksi ensisijaisista tietolähteistä; toteaa, että joistakin keskeisten tulosindikaattorien järjestelmistä puuttuu usein jatkuvuus, standardointi, operatiivinen syvyys, dokumentoitu menetelmä indikaattorien valitsemiseksi, päivittämiseksi ja poistamiseksi, avoimuus, vertailtavuus ja monivuotinen seuranta, mikä heikentää vertailtavuutta ja ulkopuolisten käyttäjien kykyä arvioida tuloksia puolueettomasti; painottaa, että keskeisten tulosindikaattorien olisi oltava selkeitä ja hyvin suunniteltuja, niiden olisi perustuttava SMART-periaatteisiin ja niitä olisi sovellettava johdonmukaisesti eri raportointisyklien välillä, mikä on olennaisen tärkeää arvioitaessa tehokkuutta, vaikuttavuutta ja strategisissa tavoitteissa edistymistä;</w:t>
            </w:r>
          </w:p>
        </w:tc>
        <w:tc>
          <w:tcPr>
            <w:tcW w:w="4876" w:type="dxa"/>
            <w:tcBorders>
              <w:top w:val="nil"/>
              <w:left w:val="nil"/>
              <w:bottom w:val="nil"/>
              <w:right w:val="nil"/>
            </w:tcBorders>
          </w:tcPr>
          <w:p>
            <w:pPr>
              <w:pStyle w:val="Normal6a"/>
            </w:pPr>
            <w:r>
              <w:t>13.</w:t>
            </w:r>
            <w:r>
              <w:tab/>
            </w:r>
            <w:r>
              <w:t xml:space="preserve">korostaa, että on tärkeää kehittää selkeitä, luotettavia ja merkityksellisiä keskeisiä tulosindikaattoreita EU:n virastojen vuotuisiin toimintakertomuksiin, sillä nämä kertomukset ovat ulkopuolisille käyttäjille yksi ensisijaisista tietolähteistä; toteaa, että joistakin keskeisten tulosindikaattorien järjestelmistä puuttuu usein jatkuvuus, standardointi, operatiivinen syvyys, dokumentoitu menetelmä indikaattorien valitsemiseksi, päivittämiseksi ja poistamiseksi, avoimuus, vertailtavuus ja monivuotinen seuranta, mikä heikentää vertailtavuutta ja ulkopuolisten käyttäjien kykyä arvioida tuloksia puolueettomasti; painottaa, että keskeisten tulosindikaattorien olisi oltava selkeitä ja hyvin suunniteltuja, niiden olisi perustuttava SMART-periaatteisiin ja niitä olisi sovellettava johdonmukaisesti eri raportointisyklien välillä, mikä on olennaisen tärkeää arvioitaessa tehokkuutta, vaikuttavuutta ja strategisissa tavoitteissa edistymistä; </w:t>
            </w:r>
            <w:r>
              <w:rPr>
                <w:b/>
                <w:i/>
              </w:rPr>
              <w:t>korostaa, että siirtymisen panoksiin ja toimintoihin perustuvasta raportoinnista tulos- ja vaikutuskeskeiseen raportointiin pitäisi vähentää sekä tarkastajien että virastojen hallinnollista taakkaa, sillä siinä painopiste on olennaisuudessa ja oikeasuhteisuudessa;</w:t>
            </w:r>
            <w:r>
              <w:t xml:space="preserve"> </w:t>
            </w:r>
            <w:r>
              <w:rPr>
                <w:b/>
                <w:i/>
              </w:rPr>
              <w:t>korostaa, että tulosindikaattorit on johdettava nimenomaisesti kunkin viraston perustehtävään ja niissä on huomioitava tuotokset, tulokset ja ennen kaikkea vaikutukset;</w:t>
            </w:r>
            <w:r>
              <w:t xml:space="preserve"> </w:t>
            </w:r>
            <w:r>
              <w:rPr>
                <w:b/>
                <w:i/>
              </w:rPr>
              <w:t>kehottaa virastoja sisällyttämään tuloskehyksiinsä kustannus-hyötyanalyysin ja avoimen budjetoinnin;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panee yleisesti merkille, että virastojen sisäisessä valvonnassa ja menettelyissä on heikkouksia ja että jotkin näistä puutteista johtavat menoihin, jotka olisivat vältettävissä;</w:t>
            </w:r>
            <w:r>
              <w:t xml:space="preserve"> </w:t>
            </w:r>
            <w:r>
              <w:rPr>
                <w:b/>
                <w:i/>
              </w:rPr>
              <w:t>kehottaa kiireellisesti toteuttamaan julkisen ulkoisen tarkastuksen, jonka tarkoituksena on tehdä virastoille ehdotuksia vahvistetuista ja tehokkaista yhdenmukaistetuista sisäisen valvonnan säännöistä, jotta voidaan puuttua puutteisiin sisäisen valvonnan järjestelyissä, eturistiriitojen hallinnassa, hankinnoissa, henkilöstöhallinnon prosesseissa ja muilla tilintarkastustuomioistuimen toistuvasti esiin nostamilla aloilla unionin taloudellisten etujen suojaamiseksi;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panee merkille yhteistyön, jota on tehty ulkopuolisten kumppanien, kuten Taloudellisen yhteistyön ja kehityksen järjestön ja Yhdistyneiden kansakuntien strategisen suunnittelun verkoston, kanssa keskeisiä tulosindikaattoreita koskevien menetelmien nykyaikaistamiseksi; korostaa, että jotkin virastot, kuten ACER, EASA ja ECDC, ovat kehittäneet luotettavampia ja operatiivisesti merkityksellisempiä indikaattoreita; kehottaa niitä virastoja, joiden järjestelmissä keskeiset tulosindikaattorit ovat </w:t>
            </w:r>
            <w:r>
              <w:rPr>
                <w:b/>
                <w:i/>
              </w:rPr>
              <w:t>tehottomia tai sellaisia, ettei niitä voida kvantifioida tai mitata</w:t>
            </w:r>
            <w:r>
              <w:t>, hyödyntämään tällaisia parempia malleja ja vaihtamaan järjestelmällisesti parhaita käytäntöjä EUANin kautta, jotta voidaan parantaa vertailtavuutta, lisätä vuotuisten toimintakertomusten hyödyllisyyttä ulkopuolisille käyttäjille ja vahvistaa yleistä tuloksellisuusarviointia kaikissa virastoissa;</w:t>
            </w:r>
          </w:p>
        </w:tc>
        <w:tc>
          <w:tcPr>
            <w:tcW w:w="4876" w:type="dxa"/>
            <w:tcBorders>
              <w:top w:val="nil"/>
              <w:left w:val="nil"/>
              <w:bottom w:val="nil"/>
              <w:right w:val="nil"/>
            </w:tcBorders>
          </w:tcPr>
          <w:p>
            <w:pPr>
              <w:pStyle w:val="Normal6a"/>
            </w:pPr>
            <w:r>
              <w:t>14.</w:t>
            </w:r>
            <w:r>
              <w:tab/>
            </w:r>
            <w:r>
              <w:t xml:space="preserve">panee merkille yhteistyön, jota on tehty ulkopuolisten kumppanien, kuten Taloudellisen yhteistyön ja kehityksen järjestön ja Yhdistyneiden kansakuntien strategisen suunnittelun verkoston, kanssa keskeisiä tulosindikaattoreita koskevien menetelmien nykyaikaistamiseksi; korostaa, että jotkin virastot, kuten ACER, EASA ja ECDC, ovat kehittäneet luotettavampia ja operatiivisesti merkityksellisempiä indikaattoreita; kehottaa niitä virastoja, joiden järjestelmissä keskeiset tulosindikaattorit ovat </w:t>
            </w:r>
            <w:r>
              <w:rPr>
                <w:b/>
                <w:i/>
              </w:rPr>
              <w:t>vähemmän tehokkaita</w:t>
            </w:r>
            <w:r>
              <w:t>, hyödyntämään tällaisia parempia malleja ja vaihtamaan järjestelmällisesti parhaita käytäntöjä EUANin kautta, jotta voidaan parantaa vertailtavuutta, lisätä vuotuisten toimintakertomusten hyödyllisyyttä ulkopuolisille käyttäjille ja vahvistaa yleistä tuloksellisuusarviointia kaikissa virastoissa;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panee merkille yhteistyön, jota on tehty ulkopuolisten kumppanien, kuten Taloudellisen yhteistyön ja kehityksen järjestön ja Yhdistyneiden kansakuntien strategisen suunnittelun verkoston, kanssa keskeisiä tulosindikaattoreita koskevien menetelmien nykyaikaistamiseksi; korostaa, että jotkin virastot, kuten ACER, EASA ja ECDC, ovat kehittäneet luotettavampia ja operatiivisesti merkityksellisempiä indikaattoreita; kehottaa niitä virastoja, joiden järjestelmissä keskeiset tulosindikaattorit ovat tehottomia tai sellaisia, ettei niitä voida kvantifioida tai mitata, hyödyntämään tällaisia parempia malleja ja vaihtamaan järjestelmällisesti parhaita käytäntöjä EUANin kautta, jotta voidaan parantaa vertailtavuutta, lisätä vuotuisten toimintakertomusten hyödyllisyyttä ulkopuolisille käyttäjille ja vahvistaa yleistä tuloksellisuusarviointia kaikissa virastoissa;</w:t>
            </w:r>
          </w:p>
        </w:tc>
        <w:tc>
          <w:tcPr>
            <w:tcW w:w="4876" w:type="dxa"/>
            <w:tcBorders>
              <w:top w:val="nil"/>
              <w:left w:val="nil"/>
              <w:bottom w:val="nil"/>
              <w:right w:val="nil"/>
            </w:tcBorders>
          </w:tcPr>
          <w:p>
            <w:pPr>
              <w:pStyle w:val="Normal6a"/>
            </w:pPr>
            <w:r>
              <w:t>14.</w:t>
            </w:r>
            <w:r>
              <w:tab/>
            </w:r>
            <w:r>
              <w:t xml:space="preserve">panee merkille yhteistyön, jota on tehty ulkopuolisten kumppanien, kuten Taloudellisen yhteistyön ja kehityksen järjestön ja Yhdistyneiden kansakuntien strategisen suunnittelun verkoston, kanssa keskeisiä tulosindikaattoreita koskevien menetelmien nykyaikaistamiseksi; korostaa, että jotkin virastot, kuten ACER, EASA ja ECDC, ovat kehittäneet luotettavampia ja operatiivisesti merkityksellisempiä indikaattoreita; kehottaa niitä virastoja, joiden järjestelmissä keskeiset tulosindikaattorit ovat tehottomia tai sellaisia, ettei niitä voida kvantifioida tai mitata, hyödyntämään tällaisia parempia malleja ja vaihtamaan järjestelmällisesti parhaita käytäntöjä EUANin kautta, jotta voidaan parantaa vertailtavuutta, lisätä vuotuisten toimintakertomusten hyödyllisyyttä ulkopuolisille käyttäjille ja vahvistaa yleistä tuloksellisuusarviointia kaikissa virastoissa; </w:t>
            </w:r>
            <w:r>
              <w:rPr>
                <w:b/>
                <w:i/>
              </w:rPr>
              <w:t>kehottaa komissiota vaatimaan, että kaikissa yhteisen lähestymistavan 60 kohdan mukaisissa virastojen arvioinneissa arvioidaan järjestelmällisesti rahalle saatavaa vastinetta ja kunkin viraston mitattavissa olevaa vaikutusta sen toiminta-alaan ja että ohjelmat tai toimet, joiden vaikuttavuutta ei ole osoitettu kohtuullisessa ajassa, lopetetaan ja varat kohdennetaan uudelleen vaikuttavampiin toimenpiteisiin tai palautetaan tarvittaessa veronmaksajille;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kehottaa EU:n virastojen verkostoa (EUAN) kehittämään tilintarkastustuomioistuimen erityiskertomuksessa 22/2020 antaman suosituksen pohjalta ja yhteistyössä tilintarkastustuomioistuimen kanssa yhteisen kehyksen virastojen tuloksellisuuden ja yhteiskunnallisten vaikutusten mittaamiseksi ja esittämään sen vastuuvapauden myöntävälle viranomaiselle vuoden 2026 loppuun mennessä;</w:t>
            </w:r>
            <w:r>
              <w:t xml:space="preserve"> </w:t>
            </w:r>
            <w:r>
              <w:rPr>
                <w:b/>
                <w:i/>
              </w:rPr>
              <w:t>katsoo, että tähän kehykseen olisi sisällyttävä kunkin viraston osalta rajallinen määrä tulos- ja vaikutusindikaattoreita, jotka liittyvät suoraan viraston perustehtävään, ja sen olisi annettava parlamentille ja veronmaksajille mahdollisuus arvioida käytettyjen resurssien konkreettisia tuloksia;</w:t>
            </w:r>
            <w:r>
              <w:t xml:space="preserve"> </w:t>
            </w:r>
            <w:r>
              <w:rPr>
                <w:b/>
                <w:i/>
              </w:rPr>
              <w:t>kysyy EUAN-verkostolta, aikooko se ottaa käyttöön tällaisen yhteisen kehyksen ja jos aikoo, pyytää ilmoittamaan vastuuvapauden myöntävälle viranomaiselle odotettavissa olevasta aikataulusta ja käytettävistä menetelmistä;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kehottaa kiinnittämään huomiota Euroopan petostentorjuntaviraston (OLAF) tutkimuksiin, joiden kohteena on useita virastoja: ENISA (kaksi vuoden 2024 tapausta, joista toinen on vireillä ja toinen hylättiin, ja yksi vuoden 2025 tapaus, joka koskee palvelukseenottoa), eu-LISA (eturistiriitoja ja hankintoja koskevat selvitykset), EIT (kolme osaamis- ja innovaatioyhteisöihin liittyvää tapausta, jotka saatiin päätökseen ja jotka johtivat 15–20 miljoonan euron takaisinperintään), Frontex (kahdeksan vuosina 2023–2024 päätettyä tapausta) sekä meneillään olevat tutkimukset ACERissa ja EEA:ssa; kehottaa kaikkia virastoja varmistamaan täyden yhteistyön OLAFin kanssa, lujittamaan sisäistä valvontaa sekä palvelukseenottoon ja hankintoihin liittyviä suojatoimia ja antamaan vastuuvapauden myöntävälle viranomaiselle lisätietoja heti kun luottamuksellisuuteen liittyvät rajoitukset poistetaan;</w:t>
            </w:r>
          </w:p>
        </w:tc>
        <w:tc>
          <w:tcPr>
            <w:tcW w:w="4876" w:type="dxa"/>
            <w:tcBorders>
              <w:top w:val="nil"/>
              <w:left w:val="nil"/>
              <w:bottom w:val="nil"/>
              <w:right w:val="nil"/>
            </w:tcBorders>
          </w:tcPr>
          <w:p>
            <w:pPr>
              <w:pStyle w:val="Normal6a"/>
            </w:pPr>
            <w:r>
              <w:t>15.</w:t>
            </w:r>
            <w:r>
              <w:tab/>
            </w:r>
            <w:r>
              <w:t xml:space="preserve">kehottaa kiinnittämään huomiota Euroopan petostentorjuntaviraston (OLAF) tutkimuksiin, joiden kohteena on useita virastoja: ENISA (kaksi vuoden 2024 tapausta, joista toinen on vireillä ja toinen hylättiin, ja yksi vuoden 2025 tapaus, joka koskee palvelukseenottoa), eu-LISA (eturistiriitoja ja hankintoja koskevat selvitykset), EIT (kolme osaamis- ja innovaatioyhteisöihin liittyvää tapausta, jotka saatiin päätökseen ja jotka johtivat 15–20 miljoonan euron takaisinperintään), Frontex (kahdeksan vuosina 2023–2024 päätettyä tapausta) sekä meneillään olevat tutkimukset ACERissa ja EEA:ssa; kehottaa kaikkia virastoja varmistamaan täyden yhteistyön OLAFin kanssa, lujittamaan sisäistä valvontaa sekä palvelukseenottoon ja hankintoihin liittyviä suojatoimia ja antamaan vastuuvapauden myöntävälle viranomaiselle lisätietoja heti kun luottamuksellisuuteen liittyvät rajoitukset poistetaan; </w:t>
            </w:r>
            <w:r>
              <w:rPr>
                <w:b/>
                <w:i/>
              </w:rPr>
              <w:t>korostaa, että Euroopan raja- ja merivartioviraston (Frontex) tapauksessa on otettava huomioon useat aiemmat tutkimukset ja perusoikeuksien noudattamiseen ja hallinnon puutteisiin liittyvät havainnot, kun arvioidaan viraston yleistä tuloksellisuutta ja talousarviovarojen kohdentamisen edellytyksiä;</w:t>
            </w:r>
            <w:r>
              <w:t xml:space="preserve"> </w:t>
            </w:r>
            <w:r>
              <w:rPr>
                <w:b/>
                <w:i/>
              </w:rPr>
              <w:t>muistuttaa, että vastuuvapauden myöntävä viranomainen kiinnitti vuoden 2023 vastuuvapausmenettelyn aikana runsaasti huomiota Euroopan unionin turvapaikkavirastoa (EUAA) koskeneeseen OLAFin tutkimukseen, joka johdosta vastuuvapauden myöntämistä alun perin lykättiin;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w:t>
            </w:r>
            <w:r>
              <w:tab/>
            </w:r>
            <w:r>
              <w:rPr>
                <w:b/>
                <w:i/>
              </w:rPr>
              <w:t>panee merkille myös kaksi meneillään olevaa OLAFin tutkimusta väitteistä, joiden mukaan Frontex olisi syyllistynyt häirintään, väärinkäytöksiin ja maahanmuuttajien pakkokäännytyksiin, ja yhden Euroopan parlamentin tutkimuksen, joka koskee väitteitä perusoikeuksien loukkaamisista Frontexissa;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d.</w:t>
            </w:r>
            <w:r>
              <w:tab/>
            </w:r>
            <w:r>
              <w:rPr>
                <w:b/>
                <w:i/>
              </w:rPr>
              <w:t>panee merkille, että vuosina 2006–2018 Frontex koordinoi partiointia Luoteis-Afrikan rannikolla pysäyttääkseen maahanmuuttajia ja turvapaikanhakijoita kuljettavia aluksia kansainvälisillä vesillä – ja Mauritanian ja Senegalin vesillä niiden suostumuksella – käyttäen omia laitteitaan, aluksiaan ja lentokoneitaan ja toteuttaen ajoittain yhteisiä operaatioita Mauritanian ja Senegalin joukkojen kanssa;</w:t>
            </w:r>
            <w:r>
              <w:t xml:space="preserve"> </w:t>
            </w:r>
            <w:r>
              <w:rPr>
                <w:b/>
                <w:i/>
              </w:rPr>
              <w:t>panee merkille, että perustuslaillisia oikeuksia ja ihmisoikeuksia valvova European Center for Constitutional and Human Rights -keskus (ECCHR) oli pyytänyt pääsyä asiaa koskeviin Frontexin asiakirjoihin ja että sen havaintojen mukaan ei ollut selvää, millaisia "seulontatoimia" toteutettiin ennen henkilöiden palauttamista; tuo esille, että ECCHR korosti puutteita vastuuvelvollisuudessa ja avoimuudessa todeten, että Frontex oli salannut merkittäviä osia toimittamistaan asiakirjoista, myös tietoja mahdollisista ihmisoikeusrikkomuksista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https://www.hrw.org/report/2025/08/27/they-accused-me-of-trying-to-go-to-europe/migration-control-abuses-and-eu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f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f.</w:t>
            </w:r>
            <w:r>
              <w:tab/>
            </w:r>
            <w:r>
              <w:rPr>
                <w:b/>
                <w:i/>
              </w:rPr>
              <w:t>muistuttaa, että Frontexin toimeksiantoa laajennettiin merkittävästi vuonna 2019, kun tarkistetulla asetuksella lisättiin sen tehtäviä ja valtuutettiin 10 000 rajavartijan pysyvän joukon perustaminen;</w:t>
            </w:r>
            <w:r>
              <w:t xml:space="preserve"> </w:t>
            </w:r>
            <w:r>
              <w:rPr>
                <w:b/>
                <w:i/>
              </w:rPr>
              <w:t>panee merkille, että Frontexin vuotuinen talousarvio kasvoi jyrkästi 142 miljoonasta eurosta vuonna 2015 peräti 922 miljoonaan euroon vuonna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g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g.</w:t>
            </w:r>
            <w:r>
              <w:tab/>
            </w:r>
            <w:r>
              <w:rPr>
                <w:b/>
                <w:i/>
              </w:rPr>
              <w:t>toteaa, että avoimuuden puute heikentää mahdollisuutta saattaa EU:n toimielimiä vastuuseen ja haittaa siten yleistä etua sekä rajoittaa kansalaisyhteiskunnan harjoittamaa valvontaa;</w:t>
            </w:r>
            <w:r>
              <w:t xml:space="preserve"> </w:t>
            </w:r>
            <w:r>
              <w:rPr>
                <w:b/>
                <w:i/>
              </w:rPr>
              <w:t>toteaa, että eurooppalaisilla veronmaksajilla on oikeus saada tietoa siitä, miten Frontex käyttää ilmavalvontaa mahdollistaakseen sen, että Libyan joukot pysäyttävät aluksia, täysin tietoisena aluksilla oleviin henkilöihin kohdistettavista mielivaltaisista pidätyksistä, väkivallasta ja hyväksikäytöstä, kun heidät palautetaan Libyaan sen sijaan, että heidät pelastettaisiin ja laskettaisiin maihin turvallisessa paikassa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https://www.hrw.org/news/2024/04/24/eu-misses-opportunity-frontex-transparency-accountability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toteaa, että sellaisten irtisanomislausekkeiden puuttuminen, joiden perusteella vuokrasopimukset voidaan päättää ennenaikaisesti, on EU:n virastoille edelleen taloudellinen riski; muistuttaa, että vuokrasopimuksiin on tärkeää sisällyttää tällaisia lausekkeita ja että tämä huomattiin silloin, kun Euroopan lääkevirasto (EMA) joutui vaikeaan tilanteeseen brexitin jälkeen siksi, ettei se pystynyt irtisanomaan pitkäaikaista vuokrasopimustaan Lontoossa ja sen piti siksi maksaa vuokraa sekä Lontoossa että Amsterdamissa; panee merkille, että useat virastot ovat ottaneet käyttöön irtisanomislausekkeita vuoden 2019 jälkeen, </w:t>
            </w:r>
            <w:r>
              <w:rPr>
                <w:b/>
                <w:i/>
              </w:rPr>
              <w:t>mutta huomauttaa</w:t>
            </w:r>
            <w:r>
              <w:t>, etteivät kaikki virastot ole tehneet näin ja että on myös tapauksia, joissa on allekirjoitettu uusia tai uusittuja vuokrasopimuksia</w:t>
            </w:r>
            <w:r>
              <w:rPr>
                <w:b/>
                <w:i/>
              </w:rPr>
              <w:t>, joissa tällaisia määräyksiä ei ole</w:t>
            </w:r>
            <w:r>
              <w:t xml:space="preserve">; kehottaa virastoja ja komissiota </w:t>
            </w:r>
            <w:r>
              <w:rPr>
                <w:b/>
                <w:i/>
              </w:rPr>
              <w:t>arvioimaan</w:t>
            </w:r>
            <w:r>
              <w:t xml:space="preserve"> järjestelmällisesti </w:t>
            </w:r>
            <w:r>
              <w:rPr>
                <w:b/>
                <w:i/>
              </w:rPr>
              <w:t>irtisanomislausekkeiden tarvetta</w:t>
            </w:r>
            <w:r>
              <w:t>, kun ne neuvottelevat tai uusivat vuokrasopimuksia</w:t>
            </w:r>
            <w:r>
              <w:rPr>
                <w:b/>
                <w:i/>
              </w:rPr>
              <w:t>, ja ottamaan näin huomioon aiemmin saadut kokemukset</w:t>
            </w:r>
            <w:r>
              <w:t>, jotta voidaan rajoittaa taloudellista riskiä ja varmistaa suurempi talousarviojousto;</w:t>
            </w:r>
          </w:p>
        </w:tc>
        <w:tc>
          <w:tcPr>
            <w:tcW w:w="4876" w:type="dxa"/>
            <w:tcBorders>
              <w:top w:val="nil"/>
              <w:left w:val="nil"/>
              <w:bottom w:val="nil"/>
              <w:right w:val="nil"/>
            </w:tcBorders>
          </w:tcPr>
          <w:p>
            <w:pPr>
              <w:pStyle w:val="Normal6a"/>
            </w:pPr>
            <w:r>
              <w:t>16.</w:t>
            </w:r>
            <w:r>
              <w:tab/>
            </w:r>
            <w:r>
              <w:t xml:space="preserve">toteaa, että sellaisten irtisanomislausekkeiden puuttuminen, joiden perusteella vuokrasopimukset voidaan päättää ennenaikaisesti, on EU:n virastoille edelleen taloudellinen riski; muistuttaa, että vuokrasopimuksiin on tärkeää sisällyttää tällaisia lausekkeita ja että tämä huomattiin silloin, kun Euroopan lääkevirasto (EMA) joutui vaikeaan tilanteeseen brexitin jälkeen siksi, ettei se pystynyt irtisanomaan pitkäaikaista vuokrasopimustaan Lontoossa ja sen piti siksi maksaa vuokraa sekä Lontoossa että Amsterdamissa; panee merkille, että useat virastot ovat ottaneet käyttöön irtisanomislausekkeita vuoden 2019 jälkeen, </w:t>
            </w:r>
            <w:r>
              <w:rPr>
                <w:b/>
                <w:i/>
              </w:rPr>
              <w:t>ja pitää valitettavana</w:t>
            </w:r>
            <w:r>
              <w:t xml:space="preserve">, etteivät kaikki virastot ole tehneet näin ja että on myös tapauksia, joissa on allekirjoitettu uusia tai uusittuja vuokrasopimuksia; kehottaa virastoja ja komissiota </w:t>
            </w:r>
            <w:r>
              <w:rPr>
                <w:b/>
                <w:i/>
              </w:rPr>
              <w:t>ottamaan</w:t>
            </w:r>
            <w:r>
              <w:t xml:space="preserve"> järjestelmällisesti </w:t>
            </w:r>
            <w:r>
              <w:rPr>
                <w:b/>
                <w:i/>
              </w:rPr>
              <w:t>käyttöön irtisanomislausekkeen</w:t>
            </w:r>
            <w:r>
              <w:t>, kun ne neuvottelevat tai uusivat vuokrasopimuksia, jotta voidaan rajoittaa taloudellista riskiä ja varmistaa suurempi talousarviojousto;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toteaa</w:t>
            </w:r>
            <w:r>
              <w:t xml:space="preserve">, että sellaisten irtisanomislausekkeiden puuttuminen, joiden perusteella vuokrasopimukset voidaan päättää ennenaikaisesti, on EU:n virastoille edelleen taloudellinen riski; muistuttaa, että vuokrasopimuksiin on tärkeää sisällyttää tällaisia lausekkeita ja että tämä huomattiin silloin, kun Euroopan lääkevirasto (EMA) joutui vaikeaan tilanteeseen brexitin jälkeen </w:t>
            </w:r>
            <w:r>
              <w:rPr>
                <w:b/>
                <w:i/>
              </w:rPr>
              <w:t>siksi, ettei se pystynyt</w:t>
            </w:r>
            <w:r>
              <w:t xml:space="preserve"> irtisanomaan pitkäaikaista vuokrasopimustaan Lontoossa ja sen piti siksi maksaa vuokraa sekä Lontoossa että Amsterdamissa; panee merkille, että useat virastot ovat ottaneet käyttöön irtisanomislausekkeita vuoden 2019 jälkeen, mutta huomauttaa, etteivät kaikki virastot ole tehneet näin ja että on myös tapauksia, joissa on allekirjoitettu uusia tai uusittuja vuokrasopimuksia, joissa tällaisia määräyksiä ei ole; kehottaa virastoja ja komissiota </w:t>
            </w:r>
            <w:r>
              <w:rPr>
                <w:b/>
                <w:i/>
              </w:rPr>
              <w:t>arvioimaan</w:t>
            </w:r>
            <w:r>
              <w:t xml:space="preserve"> järjestelmällisesti </w:t>
            </w:r>
            <w:r>
              <w:rPr>
                <w:b/>
                <w:i/>
              </w:rPr>
              <w:t>irtisanomislausekkeiden tarvetta</w:t>
            </w:r>
            <w:r>
              <w:t xml:space="preserve">, kun ne neuvottelevat tai uusivat vuokrasopimuksia, ja ottamaan näin huomioon aiemmin saadut kokemukset, jotta voidaan rajoittaa taloudellista riskiä ja </w:t>
            </w:r>
            <w:r>
              <w:rPr>
                <w:b/>
                <w:i/>
              </w:rPr>
              <w:t>varmistaa suurempi talousarviojousto</w:t>
            </w:r>
            <w:r>
              <w:t>;</w:t>
            </w:r>
          </w:p>
        </w:tc>
        <w:tc>
          <w:tcPr>
            <w:tcW w:w="4876" w:type="dxa"/>
            <w:tcBorders>
              <w:top w:val="nil"/>
              <w:left w:val="nil"/>
              <w:bottom w:val="nil"/>
              <w:right w:val="nil"/>
            </w:tcBorders>
          </w:tcPr>
          <w:p>
            <w:pPr>
              <w:pStyle w:val="Normal6a"/>
            </w:pPr>
            <w:r>
              <w:t>16.</w:t>
            </w:r>
            <w:r>
              <w:tab/>
            </w:r>
            <w:r>
              <w:rPr>
                <w:b/>
                <w:i/>
              </w:rPr>
              <w:t>panee huolestuneena merkille</w:t>
            </w:r>
            <w:r>
              <w:t xml:space="preserve">, että sellaisten irtisanomislausekkeiden puuttuminen, joiden perusteella vuokrasopimukset voidaan päättää ennenaikaisesti, on EU:n virastoille edelleen taloudellinen riski; muistuttaa, että vuokrasopimuksiin on tärkeää sisällyttää tällaisia lausekkeita ja että tämä huomattiin silloin, kun Euroopan lääkevirasto (EMA) joutui vaikeaan tilanteeseen </w:t>
            </w:r>
            <w:r>
              <w:rPr>
                <w:b/>
                <w:i/>
              </w:rPr>
              <w:t>ja voi joutua maksamaan yhteensä 543 miljoonaa euroa vuokraa Lontoossa sijaitsevien entisten toimitilojensa vuokrasta vuoteen 2039 asti huolimatta siitä, että kyseiset tilat on vuokrattu edelleen eräälle yritykselle, joka on äskettäin neuvotellut vuokranalennuksesta;</w:t>
            </w:r>
            <w:r>
              <w:t xml:space="preserve"> </w:t>
            </w:r>
            <w:r>
              <w:rPr>
                <w:b/>
                <w:i/>
              </w:rPr>
              <w:t>pitää valitettavana, että tästä syystä EMA teki vuoden 2024 lopussa 122,1 miljoonan euron tappiollisen sopimuksen, josta Euroopan komissio korvasi osan, koska EMA ei pystynyt</w:t>
            </w:r>
            <w:r>
              <w:t xml:space="preserve"> brexitin jälkeen irtisanomaan pitkäaikaista vuokrasopimustaan Lontoossa ja sen piti siksi maksaa vuokraa sekä Lontoossa että Amsterdamissa; panee merkille, että useat virastot ovat ottaneet käyttöön irtisanomislausekkeita vuoden 2019 jälkeen, mutta huomauttaa, etteivät kaikki virastot ole tehneet näin ja että on myös tapauksia, joissa on allekirjoitettu uusia tai uusittuja vuokrasopimuksia, joissa tällaisia määräyksiä ei ole</w:t>
            </w:r>
            <w:r>
              <w:rPr>
                <w:b/>
                <w:i/>
              </w:rPr>
              <w:t>, mikä osoittaa huolestuttavaa ammattitaidon puutetta tai jopa välinpitämättömyyttä EU:n jäsenvaltioiden veronmaksajien rahojen käytöstä</w:t>
            </w:r>
            <w:r>
              <w:t xml:space="preserve">; kehottaa virastoja ja komissiota </w:t>
            </w:r>
            <w:r>
              <w:rPr>
                <w:b/>
                <w:i/>
              </w:rPr>
              <w:t>sisällyttämään</w:t>
            </w:r>
            <w:r>
              <w:t xml:space="preserve"> järjestelmällisesti </w:t>
            </w:r>
            <w:r>
              <w:rPr>
                <w:b/>
                <w:i/>
              </w:rPr>
              <w:t>tällaisia irtisanomislausekkeita</w:t>
            </w:r>
            <w:r>
              <w:t xml:space="preserve">, kun ne neuvottelevat tai uusivat vuokrasopimuksia, ja ottamaan näin huomioon aiemmin saadut kokemukset, jotta voidaan rajoittaa taloudellista riskiä ja </w:t>
            </w:r>
            <w:r>
              <w:rPr>
                <w:b/>
                <w:i/>
              </w:rPr>
              <w:t>näin lopettaa EU:n kansalaisten rahojen tuhlaaminen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panee huolestuneena merkille, että 33 erillisviraston kokonaistalousarvio on kasvanut vuoden 2023 3,6 miljardista eurosta vuoden 2024 4,1 miljardiin euroon, mikä merkitsee noin 14 prosentin lisäystä;</w:t>
            </w:r>
            <w:r>
              <w:t xml:space="preserve"> </w:t>
            </w:r>
            <w:r>
              <w:rPr>
                <w:b/>
                <w:i/>
              </w:rPr>
              <w:t>korostaa, että yleistä suuntausta on arvioitava EU:n julkisen talouden rahoitusaseman valossa;</w:t>
            </w:r>
            <w:r>
              <w:t xml:space="preserve"> </w:t>
            </w:r>
            <w:r>
              <w:rPr>
                <w:b/>
                <w:i/>
              </w:rPr>
              <w:t>kehottaa komissiota esittämään kattavan analyysin virastojen laajentamisen kumulatiivisista kustannuksista viiden viime vuoden ajalta, mukaan lukien erittely toimeksiantoon perustuvan kasvun ja orgaanisen hallinnollisen laajentamisen välillä, ja varmistamaan, että kaikki lisäkorotukset ovat tiukasti perusteltuja osoitettavissa olevan lisäarvon vuoksi;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on huolestunut siitä, että virastojen yleinen talousarvio on yli kaksinkertaistunut viimeisten kymmenen vuoden aikana ja vuonna 2024 kasvanut 5,3 miljardiin euroon (4,7 miljoonaa euroa vuonna 2023), joka on neljä prosenttia EU:n vuoden 2024 yleisestä talousarviosta (vuonna 2023 kolme prosenttia)</w:t>
            </w:r>
            <w:r>
              <w:rPr>
                <w:b/>
                <w:i/>
                <w:vertAlign w:val="superscript"/>
              </w:rPr>
              <w:t>7 t</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t</w:t>
            </w:r>
            <w:r>
              <w:t xml:space="preserve"> </w:t>
            </w:r>
            <w:r>
              <w:rPr>
                <w:b/>
                <w:i/>
              </w:rPr>
              <w:t>https://www.eca.europa.eu/ECAPublications/SAR-AGENCIES-2024/SAR-AGENCIES-2024_FI.pdf.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korostaa, että erillisvirastojen määrärahojen lisäämisen yhteydessä on vahvistettava vastaavasti hallintoa, sisäistä valvontaa, henkilöstökapasiteettia ja varojen käytön suunnittelua;</w:t>
            </w:r>
            <w:r>
              <w:t xml:space="preserve"> </w:t>
            </w:r>
            <w:r>
              <w:rPr>
                <w:b/>
                <w:i/>
              </w:rPr>
              <w:t>varoittaa, että talousarvion jatkuva kasvu ilman asiaankuuluvia hallinnollisia ja valvontavalmiuksia lisää sääntöjenvastaisuuksien, määrärahasiirtojen ja tehottoman varainkäytön riskiä;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w:t>
            </w:r>
            <w:r>
              <w:tab/>
            </w:r>
            <w:r>
              <w:rPr>
                <w:b/>
                <w:i/>
              </w:rPr>
              <w:t>huomauttaa, että Frontexin talousarvio kasvoi 118 miljoonasta eurosta (vuonna 2011) 922 miljoonaan euroon (vuonna 2024), mikä on merkittävin virastojen määrärahojen lisäys viime vuosina;</w:t>
            </w:r>
            <w:r>
              <w:t xml:space="preserve"> </w:t>
            </w:r>
            <w:r>
              <w:rPr>
                <w:b/>
                <w:i/>
              </w:rPr>
              <w:t>katsoo, että Frontexin määrärahojen lisäämisen ehtona on ehdottomasti oltava todistettavat parannukset perusoikeuksien noudattamisessa, avoimuudessa, vastaanottokyvyssä ja tehokkaat jatkotoimet parlamentin, oikeusasiamiehen, OLAFin ja perusoikeusvastaavan suosituksista;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c.</w:t>
            </w:r>
            <w:r>
              <w:tab/>
            </w:r>
            <w:r>
              <w:rPr>
                <w:b/>
                <w:i/>
              </w:rPr>
              <w:t>panee merkille, että Euroopan unionin perusoikeusviraston (FRA) talousarvio- ja henkilöstöresurssit ovat edelleen verrattain rajalliset, vaikka virastolta odotetaan yhä enemmän tukea unionin toimielimille, elimille ja virastoille sen varmistamisessa, että unionin lainsäädäntö pannaan täytäntöön perusoikeuksien mukaisesti;</w:t>
            </w:r>
            <w:r>
              <w:t xml:space="preserve"> </w:t>
            </w:r>
            <w:r>
              <w:rPr>
                <w:b/>
                <w:i/>
              </w:rPr>
              <w:t>korostaa, että tämä rakenteellinen resurssipula on ristiriidassa operatiivisia tai täytäntöönpanovaltuuksia käyttävien virastojen toimeksiantojen ja talousarvioiden laajentamisen kanssa;</w:t>
            </w:r>
            <w:r>
              <w:t xml:space="preserve"> </w:t>
            </w:r>
            <w:r>
              <w:rPr>
                <w:b/>
                <w:i/>
              </w:rPr>
              <w:t>kehottaa komissiota ja budjettivallan käyttäjää antamaan perusoikeusvirastolle riittävät, vakaat ja ennakoitavissa olevat resurssit, jotka vastaavat sen monialaista roolia unionin perusoikeuksien valvojana;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panee merkille, että EEA:n vuoden 2024 määrärahalisäyksessä on otettu huomioon </w:t>
            </w:r>
            <w:r>
              <w:rPr>
                <w:b/>
                <w:i/>
              </w:rPr>
              <w:t>uudet</w:t>
            </w:r>
            <w:r>
              <w:t xml:space="preserve"> lainsäädäntöön </w:t>
            </w:r>
            <w:r>
              <w:rPr>
                <w:b/>
                <w:i/>
              </w:rPr>
              <w:t>liittyvät toimeksiannot ja jatkuvat operatiiviset tarpeet</w:t>
            </w:r>
            <w:r>
              <w:t xml:space="preserve">, luonnon ennallistamista </w:t>
            </w:r>
            <w:r>
              <w:rPr>
                <w:b/>
                <w:i/>
              </w:rPr>
              <w:t>koskeva asetus (joka annettiin vuoden 2024 lopussa)</w:t>
            </w:r>
            <w:r>
              <w:t xml:space="preserve">, </w:t>
            </w:r>
            <w:r>
              <w:rPr>
                <w:b/>
                <w:i/>
              </w:rPr>
              <w:t>epäpuhtauksien päästöjä ja siirtoja koskevan eurooppalaisen rekisterin perustamisesta annettu asetus (E-PRTR-asetus), EU:n hiilenpoiston ja hiiliviljelyn sertifiointi (CRCF) sekä raskaiden hyötyajoneuvojen</w:t>
            </w:r>
            <w:r>
              <w:t xml:space="preserve"> päästöjen </w:t>
            </w:r>
            <w:r>
              <w:rPr>
                <w:b/>
                <w:i/>
              </w:rPr>
              <w:t>laajennettua</w:t>
            </w:r>
            <w:r>
              <w:t xml:space="preserve"> seurantaa koskeva </w:t>
            </w:r>
            <w:r>
              <w:rPr>
                <w:b/>
                <w:i/>
              </w:rPr>
              <w:t>aloite, joita tuettiin ottamalla henkilöstöä palvelukseen</w:t>
            </w:r>
            <w:r>
              <w:t>; toteaa lisäksi</w:t>
            </w:r>
            <w:r>
              <w:rPr>
                <w:b/>
                <w:i/>
              </w:rPr>
              <w:t>, että virasto on toteuttanut myös tarkistetun maankäyttöä, maankäytön muutosta ja metsätaloutta koskevan asetuksen (2023) mukaisia tehtäviä;</w:t>
            </w:r>
            <w:r>
              <w:t xml:space="preserve"> </w:t>
            </w:r>
            <w:r>
              <w:rPr>
                <w:b/>
                <w:i/>
              </w:rPr>
              <w:t>on tietoinen myös siitä</w:t>
            </w:r>
            <w:r>
              <w:t xml:space="preserve">, että uudet palvelutasosopimukset MARE-, SANTE- ja RTD-pääosastojen kanssa ovat laajentaneet viraston roolia </w:t>
            </w:r>
            <w:r>
              <w:rPr>
                <w:b/>
                <w:i/>
              </w:rPr>
              <w:t>merten</w:t>
            </w:r>
            <w:r>
              <w:t xml:space="preserve"> ennallistamisen, </w:t>
            </w:r>
            <w:r>
              <w:rPr>
                <w:b/>
                <w:i/>
              </w:rPr>
              <w:t>terveysuhkien</w:t>
            </w:r>
            <w:r>
              <w:t xml:space="preserve"> ja ympäristödatan integroinnin </w:t>
            </w:r>
            <w:r>
              <w:rPr>
                <w:b/>
                <w:i/>
              </w:rPr>
              <w:t>alalla, jolloin on lujitettu</w:t>
            </w:r>
            <w:r>
              <w:t xml:space="preserve"> unionin </w:t>
            </w:r>
            <w:r>
              <w:rPr>
                <w:b/>
                <w:i/>
              </w:rPr>
              <w:t>ilmastoon ja luonnon monimuotoisuuteen liittyvää sekä toimintapoliittista tukea</w:t>
            </w:r>
            <w:r>
              <w:t>;</w:t>
            </w:r>
          </w:p>
        </w:tc>
        <w:tc>
          <w:tcPr>
            <w:tcW w:w="4876" w:type="dxa"/>
            <w:tcBorders>
              <w:top w:val="nil"/>
              <w:left w:val="nil"/>
              <w:bottom w:val="nil"/>
              <w:right w:val="nil"/>
            </w:tcBorders>
          </w:tcPr>
          <w:p>
            <w:pPr>
              <w:pStyle w:val="Normal6a"/>
            </w:pPr>
            <w:r>
              <w:t>19.</w:t>
            </w:r>
            <w:r>
              <w:tab/>
            </w:r>
            <w:r>
              <w:t xml:space="preserve">panee merkille, että EEA:n vuoden 2024 määrärahalisäyksessä on otettu huomioon </w:t>
            </w:r>
            <w:r>
              <w:rPr>
                <w:b/>
                <w:i/>
              </w:rPr>
              <w:t>sen</w:t>
            </w:r>
            <w:r>
              <w:t xml:space="preserve"> lainsäädäntöön </w:t>
            </w:r>
            <w:r>
              <w:rPr>
                <w:b/>
                <w:i/>
              </w:rPr>
              <w:t>liittyvien toimeksiantojen ja operatiivisten vastuiden laajentaminen</w:t>
            </w:r>
            <w:r>
              <w:t xml:space="preserve">, </w:t>
            </w:r>
            <w:r>
              <w:rPr>
                <w:b/>
                <w:i/>
              </w:rPr>
              <w:t>joka johtuu Euroopan vihreän kehityksen ohjelman täytäntöönpanosta, mukaan lukien</w:t>
            </w:r>
            <w:r>
              <w:t xml:space="preserve"> luonnon ennallistamista, päästöjen seurantaa</w:t>
            </w:r>
            <w:r>
              <w:rPr>
                <w:b/>
                <w:i/>
              </w:rPr>
              <w:t>, hiilenhallintaa, epäpuhtauksista raportointia ja maankäyttöpolitiikkaa</w:t>
            </w:r>
            <w:r>
              <w:t xml:space="preserve"> koskeva </w:t>
            </w:r>
            <w:r>
              <w:rPr>
                <w:b/>
                <w:i/>
              </w:rPr>
              <w:t>työ;</w:t>
            </w:r>
            <w:r>
              <w:t xml:space="preserve"> </w:t>
            </w:r>
            <w:r>
              <w:rPr>
                <w:b/>
                <w:i/>
              </w:rPr>
              <w:t>korostaa, että henkilöstön kohdennettu vahvistaminen on antanut virastolle mahdollisuuden hoitaa tehokkaasti näitä uusia tehtäviä ja parantaa analyysiensa laatua, oikea-aikaisuutta ja tieteellistä luotettavuutta</w:t>
            </w:r>
            <w:r>
              <w:t xml:space="preserve">; toteaa lisäksi, että uudet palvelutasosopimukset MARE-, SANTE- ja RTD-pääosastojen kanssa ovat laajentaneet viraston roolia </w:t>
            </w:r>
            <w:r>
              <w:rPr>
                <w:b/>
                <w:i/>
              </w:rPr>
              <w:t>valtamerten ja vesistöjen</w:t>
            </w:r>
            <w:r>
              <w:t xml:space="preserve"> ennallistamisen, </w:t>
            </w:r>
            <w:r>
              <w:rPr>
                <w:b/>
                <w:i/>
              </w:rPr>
              <w:t>terveyteen liittyvien ympäristöuhkien</w:t>
            </w:r>
            <w:r>
              <w:t xml:space="preserve"> ja ympäristödatan integroinnin </w:t>
            </w:r>
            <w:r>
              <w:rPr>
                <w:b/>
                <w:i/>
              </w:rPr>
              <w:t>aloilla ja vahvistaneet siten</w:t>
            </w:r>
            <w:r>
              <w:t xml:space="preserve"> unionin </w:t>
            </w:r>
            <w:r>
              <w:rPr>
                <w:b/>
                <w:i/>
              </w:rPr>
              <w:t>yleisiä valmiuksia saavuttaa vihreän kehityksen ohjelman painopisteet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panee merkille, että EEA:n vuoden </w:t>
            </w:r>
            <w:r>
              <w:rPr>
                <w:b/>
                <w:i/>
              </w:rPr>
              <w:t>2024</w:t>
            </w:r>
            <w:r>
              <w:t xml:space="preserve"> määrärahalisäyksessä on otettu huomioon uudet lainsäädäntöön liittyvät toimeksiannot ja jatkuvat operatiiviset tarpeet, luonnon ennallistamista koskeva asetus (joka annettiin vuoden 2024 lopussa), epäpuhtauksien päästöjä ja siirtoja koskevan eurooppalaisen rekisterin perustamisesta annettu asetus (E-PRTR-asetus), EU:n hiilenpoiston ja hiiliviljelyn sertifiointi (CRCF) sekä raskaiden hyötyajoneuvojen päästöjen laajennettua seurantaa koskeva aloite, joita tuettiin ottamalla henkilöstöä palvelukseen; toteaa lisäksi, että virasto on toteuttanut myös tarkistetun maankäyttöä, maankäytön muutosta ja metsätaloutta koskevan asetuksen (2023) mukaisia tehtäviä; on tietoinen myös siitä, että uudet palvelutasosopimukset MARE-, SANTE- ja RTD-pääosastojen kanssa ovat laajentaneet viraston roolia merten ennallistamisen, terveysuhkien ja ympäristödatan integroinnin alalla</w:t>
            </w:r>
            <w:r>
              <w:rPr>
                <w:b/>
                <w:i/>
              </w:rPr>
              <w:t>, jolloin on lujitettu</w:t>
            </w:r>
            <w:r>
              <w:t xml:space="preserve"> unionin </w:t>
            </w:r>
            <w:r>
              <w:rPr>
                <w:b/>
                <w:i/>
              </w:rPr>
              <w:t>ilmastoon ja luonnon monimuotoisuuteen liittyvää sekä toimintapoliittista tukea</w:t>
            </w:r>
            <w:r>
              <w:t>;</w:t>
            </w:r>
          </w:p>
        </w:tc>
        <w:tc>
          <w:tcPr>
            <w:tcW w:w="4876" w:type="dxa"/>
            <w:tcBorders>
              <w:top w:val="nil"/>
              <w:left w:val="nil"/>
              <w:bottom w:val="nil"/>
              <w:right w:val="nil"/>
            </w:tcBorders>
          </w:tcPr>
          <w:p>
            <w:pPr>
              <w:pStyle w:val="Normal6a"/>
            </w:pPr>
            <w:r>
              <w:t>19.</w:t>
            </w:r>
            <w:r>
              <w:tab/>
            </w:r>
            <w:r>
              <w:t xml:space="preserve">panee merkille, että EEA:n vuoden </w:t>
            </w:r>
            <w:r>
              <w:rPr>
                <w:b/>
                <w:i/>
              </w:rPr>
              <w:t>2024 33,56 prosentin</w:t>
            </w:r>
            <w:r>
              <w:t xml:space="preserve"> määrärahalisäyksessä on otettu huomioon uudet lainsäädäntöön liittyvät toimeksiannot ja jatkuvat operatiiviset tarpeet, luonnon ennallistamista koskeva asetus (joka annettiin vuoden 2024 lopussa), epäpuhtauksien päästöjä ja siirtoja koskevan eurooppalaisen rekisterin perustamisesta annettu asetus (E-PRTR-asetus), EU:n hiilenpoiston ja hiiliviljelyn sertifiointi (CRCF) sekä raskaiden hyötyajoneuvojen päästöjen laajennettua seurantaa koskeva aloite, joita tuettiin ottamalla henkilöstöä palvelukseen; toteaa lisäksi, että virasto on toteuttanut myös tarkistetun maankäyttöä, maankäytön muutosta ja metsätaloutta koskevan asetuksen (2023) mukaisia tehtäviä; on tietoinen myös siitä, että uudet palvelutasosopimukset MARE-, SANTE- ja RTD-pääosastojen kanssa ovat laajentaneet viraston roolia merten ennallistamisen, terveysuhkien ja ympäristödatan integroinnin alalla </w:t>
            </w:r>
            <w:r>
              <w:rPr>
                <w:b/>
                <w:i/>
              </w:rPr>
              <w:t>ja että niiden avulla tarjotaan tietoa ja analyyseja</w:t>
            </w:r>
            <w:r>
              <w:t xml:space="preserve"> unionin </w:t>
            </w:r>
            <w:r>
              <w:rPr>
                <w:b/>
                <w:i/>
              </w:rPr>
              <w:t>ympäristöpolitiikkaa varten;</w:t>
            </w:r>
            <w:r>
              <w:t xml:space="preserve"> </w:t>
            </w:r>
            <w:r>
              <w:rPr>
                <w:b/>
                <w:i/>
              </w:rPr>
              <w:t>korostaa, että näin merkittävä määrärahojen lisäys edellyttää tiukkoja perusteluja kustannuksista ja hyödyistä;</w:t>
            </w:r>
            <w:r>
              <w:t xml:space="preserve"> </w:t>
            </w:r>
            <w:r>
              <w:rPr>
                <w:b/>
                <w:i/>
              </w:rPr>
              <w:t>vaatii, että EEA:n laajennetuissa ympäristöseurantatoimissa noudatetaan teknologianeutraaliuden periaatetta ja että ne perustuvat objektiivisiin tieteellisiin tietoihin eivätkä ennalta määritettyihin toimintapoliittisiin tuloksiin</w:t>
            </w:r>
            <w:r>
              <w:t xml:space="preserve">; </w:t>
            </w:r>
            <w:r>
              <w:rPr>
                <w:b/>
                <w:i/>
              </w:rPr>
              <w:t>korostaa, että seurantajärjestelmissä olisi otettava huomioon kaikki käytettävissä olevat teknologiat ja lähestymistavat, mukaan lukien niistä yrityksille, jäsenvaltioille ja veronmaksajille aiheutuvat kustannukset;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katsoo, että ENISA on kriittisessä tilanteessa, koska unionin kyberturvallisuustarpeet ovat yhä monimutkaisempia ja </w:t>
            </w:r>
            <w:r>
              <w:rPr>
                <w:b/>
                <w:i/>
              </w:rPr>
              <w:t>ENISAlta puuttuu</w:t>
            </w:r>
            <w:r>
              <w:t xml:space="preserve"> tähän </w:t>
            </w:r>
            <w:r>
              <w:rPr>
                <w:b/>
                <w:i/>
              </w:rPr>
              <w:t>suhteutettu rahoitus ja riittävä henkilöstö;</w:t>
            </w:r>
            <w:r>
              <w:t xml:space="preserve"> </w:t>
            </w:r>
            <w:r>
              <w:rPr>
                <w:b/>
                <w:i/>
              </w:rPr>
              <w:t>yhtyy</w:t>
            </w:r>
            <w:r>
              <w:t xml:space="preserve"> joulukuussa 2024 </w:t>
            </w:r>
            <w:r>
              <w:rPr>
                <w:b/>
                <w:i/>
              </w:rPr>
              <w:t>hyväksyttyihin</w:t>
            </w:r>
            <w:r>
              <w:t xml:space="preserve"> ENISAa </w:t>
            </w:r>
            <w:r>
              <w:rPr>
                <w:b/>
                <w:i/>
              </w:rPr>
              <w:t>koskeviin</w:t>
            </w:r>
            <w:r>
              <w:t xml:space="preserve"> neuvoston </w:t>
            </w:r>
            <w:r>
              <w:rPr>
                <w:b/>
                <w:i/>
              </w:rPr>
              <w:t>päätelmiin</w:t>
            </w:r>
            <w:r>
              <w:t>, joissa korostetaan ENISAn keskeistä roolia unionin eurooppalaisessa kyberturvallisuusekosysteemissä sekä tarvetta sovittaa rahoitus ja resurssit sen laajennettuun toimeksiantoon;</w:t>
            </w:r>
          </w:p>
        </w:tc>
        <w:tc>
          <w:tcPr>
            <w:tcW w:w="4876" w:type="dxa"/>
            <w:tcBorders>
              <w:top w:val="nil"/>
              <w:left w:val="nil"/>
              <w:bottom w:val="nil"/>
              <w:right w:val="nil"/>
            </w:tcBorders>
          </w:tcPr>
          <w:p>
            <w:pPr>
              <w:pStyle w:val="Normal6a"/>
            </w:pPr>
            <w:r>
              <w:t>23.</w:t>
            </w:r>
            <w:r>
              <w:tab/>
            </w:r>
            <w:r>
              <w:t xml:space="preserve">katsoo, että ENISA on kriittisessä tilanteessa, koska unionin kyberturvallisuustarpeet ovat yhä monimutkaisempia ja </w:t>
            </w:r>
            <w:r>
              <w:rPr>
                <w:b/>
                <w:i/>
              </w:rPr>
              <w:t>ENISA tarvitsee</w:t>
            </w:r>
            <w:r>
              <w:t xml:space="preserve"> tähän </w:t>
            </w:r>
            <w:r>
              <w:rPr>
                <w:b/>
                <w:i/>
              </w:rPr>
              <w:t>suhteutetun määrän henkilöstöä;</w:t>
            </w:r>
            <w:r>
              <w:t xml:space="preserve"> </w:t>
            </w:r>
            <w:r>
              <w:rPr>
                <w:b/>
                <w:i/>
              </w:rPr>
              <w:t>panee merkille</w:t>
            </w:r>
            <w:r>
              <w:t xml:space="preserve"> joulukuussa 2024 </w:t>
            </w:r>
            <w:r>
              <w:rPr>
                <w:b/>
                <w:i/>
              </w:rPr>
              <w:t>hyväksytyt</w:t>
            </w:r>
            <w:r>
              <w:t xml:space="preserve"> ENISAa </w:t>
            </w:r>
            <w:r>
              <w:rPr>
                <w:b/>
                <w:i/>
              </w:rPr>
              <w:t>koskevat</w:t>
            </w:r>
            <w:r>
              <w:t xml:space="preserve"> neuvoston </w:t>
            </w:r>
            <w:r>
              <w:rPr>
                <w:b/>
                <w:i/>
              </w:rPr>
              <w:t>päätelmät</w:t>
            </w:r>
            <w:r>
              <w:t xml:space="preserve">, joissa korostetaan ENISAn keskeistä roolia unionin eurooppalaisessa kyberturvallisuusekosysteemissä sekä tarvetta sovittaa rahoitus ja resurssit sen laajennettuun toimeksiantoon; </w:t>
            </w:r>
            <w:r>
              <w:rPr>
                <w:b/>
                <w:i/>
              </w:rPr>
              <w:t>korostaa kuitenkin, että kaikkiin lisäresursseihin on liitettävä mitattavissa olevat tulostavoitteet ja säännöllinen raportointi saavutetuista konkreettisista tuloksista, jotta vastuuvapauden myöntävä viranomainen voi arvioida rahalle saatavaa vastinetta;</w:t>
            </w:r>
            <w:r>
              <w:t xml:space="preserve"> </w:t>
            </w:r>
            <w:r>
              <w:rPr>
                <w:b/>
                <w:i/>
              </w:rPr>
              <w:t>korostaa kuitenkin, että kaikkiin lisäresursseihin on liitettävä mitattavissa olevat tulostavoitteet ja säännöllinen raportointi saavutetuista konkreettisista tuloksista, jotta vastuuvapauden myöntävä viranomainen voi arvioida rahalle saatavaa vastinetta;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katsoo</w:t>
            </w:r>
            <w:r>
              <w:t>, että ENISA on kriittisessä tilanteessa, koska unionin kyberturvallisuustarpeet ovat yhä monimutkaisempia ja ENISAlta puuttuu tähän suhteutettu rahoitus ja riittävä henkilöstö; yhtyy joulukuussa 2024 hyväksyttyihin ENISAa koskeviin neuvoston päätelmiin, joissa korostetaan ENISAn keskeistä roolia unionin eurooppalaisessa kyberturvallisuusekosysteemissä sekä tarvetta sovittaa rahoitus ja resurssit sen laajennettuun toimeksiantoon;</w:t>
            </w:r>
          </w:p>
        </w:tc>
        <w:tc>
          <w:tcPr>
            <w:tcW w:w="4876" w:type="dxa"/>
            <w:tcBorders>
              <w:top w:val="nil"/>
              <w:left w:val="nil"/>
              <w:bottom w:val="nil"/>
              <w:right w:val="nil"/>
            </w:tcBorders>
          </w:tcPr>
          <w:p>
            <w:pPr>
              <w:pStyle w:val="Normal6a"/>
            </w:pPr>
            <w:r>
              <w:t>23.</w:t>
            </w:r>
            <w:r>
              <w:tab/>
            </w:r>
            <w:r>
              <w:rPr>
                <w:b/>
                <w:i/>
              </w:rPr>
              <w:t>ilmaisee vakavan huolensa siitä</w:t>
            </w:r>
            <w:r>
              <w:t>, että ENISA on kriittisessä tilanteessa, koska unionin kyberturvallisuustarpeet ovat yhä monimutkaisempia</w:t>
            </w:r>
            <w:r>
              <w:rPr>
                <w:b/>
                <w:i/>
              </w:rPr>
              <w:t>, uusia kyberuhkia ilmenee jatkuvasti</w:t>
            </w:r>
            <w:r>
              <w:t xml:space="preserve"> ja ENISAlta puuttuu tähän suhteutettu rahoitus ja riittävä henkilöstö; yhtyy joulukuussa 2024 hyväksyttyihin ENISAa koskeviin neuvoston päätelmiin, joissa korostetaan ENISAn keskeistä roolia unionin eurooppalaisessa kyberturvallisuusekosysteemissä sekä tarvetta sovittaa rahoitus ja resurssit sen laajennettuun toimeksiantoon;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panee merkille Europolin toimeksiannon asteittaisen laajentamisen, mukaan lukien äskettäin hyväksytyt ja ehdotetut toimenpiteet, joilla myönnetään tehostettuja valmiuksia vakavan ja järjestäytyneen rikollisuuden, kuten ihmissalakuljetuksen, ihmiskaupan, kyberrikollisuuden ja terrorismin, torjumiseksi; palauttaa mieliin, että näihin muutoksiin sisältyvät muiden muassa vahvistettu yhteistyö yksityisten toimijoiden kanssa suoran tiedonvaihdon kautta, lujitetut suurien tietomäärien analysointivalmiudet ja tehostettu operatiivinen apu jäsenvaltioille erikoistuneiden tukiryhmien kautta; painottaa, että näiden lisätehtävien tuloksellinen toteuttaminen edellyttää vastaavaa lisäystä Europolin henkilöresursseihin; huomauttaa kuitenkin, että Europolin talousarvio kasvoi vain 5,78 prosenttia vuonna 2024 vuoteen 2023 verrattuna</w:t>
            </w:r>
            <w:r>
              <w:rPr>
                <w:b/>
                <w:i/>
              </w:rPr>
              <w:t>;</w:t>
            </w:r>
            <w:r>
              <w:t xml:space="preserve"> </w:t>
            </w:r>
            <w:r>
              <w:rPr>
                <w:b/>
                <w:i/>
              </w:rPr>
              <w:t>kehottaa sen vuoksi vahvistamaan edelleen Europolin talousarviota</w:t>
            </w:r>
            <w:r>
              <w:t xml:space="preserve">, jotta voidaan puuttua sitkeään henkilöstöpulaan </w:t>
            </w:r>
            <w:r>
              <w:rPr>
                <w:b/>
                <w:i/>
              </w:rPr>
              <w:t>ja varmistaa, että sen taloudelliset resurssit ovat sen laajenevien vastuualueiden tasalla</w:t>
            </w:r>
            <w:r>
              <w:t>;</w:t>
            </w:r>
          </w:p>
        </w:tc>
        <w:tc>
          <w:tcPr>
            <w:tcW w:w="4876" w:type="dxa"/>
            <w:tcBorders>
              <w:top w:val="nil"/>
              <w:left w:val="nil"/>
              <w:bottom w:val="nil"/>
              <w:right w:val="nil"/>
            </w:tcBorders>
          </w:tcPr>
          <w:p>
            <w:pPr>
              <w:pStyle w:val="Normal6a"/>
            </w:pPr>
            <w:r>
              <w:t>25.</w:t>
            </w:r>
            <w:r>
              <w:tab/>
            </w:r>
            <w:r>
              <w:t xml:space="preserve">panee merkille Europolin toimeksiannon asteittaisen laajentamisen, mukaan lukien äskettäin hyväksytyt ja ehdotetut toimenpiteet, joilla myönnetään tehostettuja valmiuksia vakavan ja järjestäytyneen rikollisuuden, kuten ihmissalakuljetuksen, ihmiskaupan, kyberrikollisuuden ja terrorismin, torjumiseksi; palauttaa mieliin, että näihin muutoksiin sisältyvät muiden muassa vahvistettu yhteistyö yksityisten toimijoiden kanssa suoran tiedonvaihdon kautta, lujitetut suurien tietomäärien analysointivalmiudet ja tehostettu operatiivinen apu jäsenvaltioille erikoistuneiden tukiryhmien kautta; </w:t>
            </w:r>
            <w:r>
              <w:rPr>
                <w:b/>
                <w:i/>
              </w:rPr>
              <w:t>korostaa, että tällainen operatiivisten ja analyyttisten valtuuksien laajentaminen aiheuttaa merkittäviä haasteita demokraattiselle vastuuvelvollisuudelle, tietosuojalle, perusoikeuksien noudattamiselle ja tehokkaalle valvonnalle;</w:t>
            </w:r>
            <w:r>
              <w:t xml:space="preserve"> painottaa, että näiden lisätehtävien tuloksellinen toteuttaminen edellyttää vastaavaa lisäystä Europolin henkilöresursseihin </w:t>
            </w:r>
            <w:r>
              <w:rPr>
                <w:b/>
                <w:i/>
              </w:rPr>
              <w:t>mutta myös vahvoja sisäisiä suojatoimia, riittäviä noudattamisvalmiuksia ja vahvistettuja valvontamekanismeja</w:t>
            </w:r>
            <w:r>
              <w:t xml:space="preserve">; huomauttaa kuitenkin </w:t>
            </w:r>
            <w:r>
              <w:rPr>
                <w:b/>
                <w:i/>
              </w:rPr>
              <w:t>tässä yhteydessä</w:t>
            </w:r>
            <w:r>
              <w:t xml:space="preserve">, että Europolin talousarvio kasvoi vain 5,78 prosenttia vuonna 2024 vuoteen 2023 verrattuna </w:t>
            </w:r>
            <w:r>
              <w:rPr>
                <w:b/>
                <w:i/>
              </w:rPr>
              <w:t>ja ettei tämä riitä</w:t>
            </w:r>
            <w:r>
              <w:t>, jotta voidaan puuttua sitkeään henkilöstöpulaan</w:t>
            </w:r>
            <w:r>
              <w:rPr>
                <w:b/>
                <w:i/>
              </w:rPr>
              <w:t>, erityisesti vaatimusten noudattamiseen, tietosuojaan ja valvontaan liittyvillä aloilla;</w:t>
            </w:r>
            <w:r>
              <w:t xml:space="preserve"> </w:t>
            </w:r>
            <w:r>
              <w:rPr>
                <w:b/>
                <w:i/>
              </w:rPr>
              <w:t>kehottaa siksi asettamaan Europolin talousarvion vahvistamisen ehdoksi osoitettavissa olevat parannukset hallinnossa, vastuuvelvollisuudessa ja perusoikeuksien kunnioittamisessa, kuten parlamentti on jo pitkään ilmaissut aiemmissa vastuuvapausmenettelyissä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panee merkille Europolin toimeksiannon asteittaisen laajentamisen, mukaan lukien äskettäin hyväksytyt ja ehdotetut toimenpiteet, joilla myönnetään tehostettuja valmiuksia vakavan ja järjestäytyneen rikollisuuden, kuten ihmissalakuljetuksen, ihmiskaupan, kyberrikollisuuden ja terrorismin, torjumiseksi; palauttaa mieliin, että näihin muutoksiin sisältyvät muiden muassa vahvistettu yhteistyö yksityisten toimijoiden kanssa suoran tiedonvaihdon kautta, lujitetut suurien tietomäärien analysointivalmiudet ja tehostettu operatiivinen apu jäsenvaltioille erikoistuneiden tukiryhmien kautta; painottaa, että näiden lisätehtävien tuloksellinen toteuttaminen edellyttää vastaavaa lisäystä Europolin henkilöresursseihin; huomauttaa kuitenkin, että Europolin talousarvio kasvoi vain 5,78 prosenttia vuonna 2024 vuoteen 2023 verrattuna; kehottaa sen vuoksi vahvistamaan edelleen Europolin talousarviota, jotta voidaan puuttua sitkeään henkilöstöpulaan ja varmistaa, että sen taloudelliset resurssit ovat sen laajenevien vastuualueiden tasalla;</w:t>
            </w:r>
          </w:p>
        </w:tc>
        <w:tc>
          <w:tcPr>
            <w:tcW w:w="4876" w:type="dxa"/>
            <w:tcBorders>
              <w:top w:val="nil"/>
              <w:left w:val="nil"/>
              <w:bottom w:val="nil"/>
              <w:right w:val="nil"/>
            </w:tcBorders>
          </w:tcPr>
          <w:p>
            <w:pPr>
              <w:pStyle w:val="Normal6a"/>
            </w:pPr>
            <w:r>
              <w:t>25.</w:t>
            </w:r>
            <w:r>
              <w:tab/>
            </w:r>
            <w:r>
              <w:t xml:space="preserve">panee merkille Europolin toimeksiannon asteittaisen laajentamisen, mukaan lukien äskettäin hyväksytyt ja ehdotetut toimenpiteet, joilla myönnetään tehostettuja valmiuksia vakavan ja järjestäytyneen rikollisuuden, kuten ihmissalakuljetuksen, ihmiskaupan, kyberrikollisuuden ja terrorismin, torjumiseksi; palauttaa mieliin, että näihin muutoksiin sisältyvät muiden muassa vahvistettu yhteistyö yksityisten toimijoiden kanssa suoran tiedonvaihdon kautta, lujitetut suurien tietomäärien analysointivalmiudet ja tehostettu operatiivinen apu jäsenvaltioille erikoistuneiden tukiryhmien kautta; painottaa, että näiden lisätehtävien tuloksellinen toteuttaminen edellyttää vastaavaa lisäystä Europolin henkilöresursseihin; huomauttaa kuitenkin, että Europolin talousarvio kasvoi vain 5,78 prosenttia vuonna 2024 vuoteen 2023 verrattuna; kehottaa sen vuoksi vahvistamaan edelleen Europolin talousarviota, jotta voidaan puuttua sitkeään henkilöstöpulaan ja varmistaa, että sen taloudelliset resurssit ovat sen laajenevien vastuualueiden tasalla; </w:t>
            </w:r>
            <w:r>
              <w:rPr>
                <w:b/>
                <w:i/>
              </w:rPr>
              <w:t>korostaa, että Europolin rooli muuttajien salakuljetuksen, rajat ylittävän järjestäytyneen rikollisuuden ja terrorismin torjunnassa on ensisijaisen tärkeä ja että riittävien resurssien osoittaminen näihin keskeisiin tehtäviin olisi asetettava etusijalle virastojen muihin vähemmän kiireellisiin menoihin nähden;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korostaa, että Euroopan raja- ja merivartioviraston (Frontex) on keskitettävä resurssinsa keskeisiin operatiivisiin tehtäviinsä eli Schengen-alueen rajavalvontaan, rajat ylittävän rikollisuuden torjuntaan ja tehokkaiden palauttamisoperaatioiden tukemiseen, jotka ovat olennaisen tärkeitä unionin muuttoliikkeen hallintakehyksen uskottavuuden ylläpitämiseksi;</w:t>
            </w:r>
            <w:r>
              <w:t xml:space="preserve"> </w:t>
            </w:r>
            <w:r>
              <w:rPr>
                <w:b/>
                <w:i/>
              </w:rPr>
              <w:t>kehottaa asettamaan edelleen etusijalle etulinjan työntekijöiden rekrytoinnin unionin ulkorajoille ja selkeyttämään vastaavasti hallintovirkoja;</w:t>
            </w:r>
            <w:r>
              <w:t xml:space="preserve"> </w:t>
            </w:r>
            <w:r>
              <w:rPr>
                <w:b/>
                <w:i/>
              </w:rPr>
              <w:t>panee merkille, että unionin yleinen palauttamisaste on edelleen riittämätön laittomien muuttovirtojen laajuuteen nähden;</w:t>
            </w:r>
            <w:r>
              <w:t xml:space="preserve"> </w:t>
            </w:r>
            <w:r>
              <w:rPr>
                <w:b/>
                <w:i/>
              </w:rPr>
              <w:t>kehottaa Frontexia vahvistamaan edelleen palauttamistoimintaansa ja tehostamaan yhteistyötä jäsenvaltioiden ja kolmansien maiden kanssa palauttamisohjelmien tehokkuuden parantamiseksi;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w:t>
            </w:r>
            <w:r>
              <w:tab/>
            </w:r>
            <w:r>
              <w:rPr>
                <w:b/>
                <w:i/>
              </w:rPr>
              <w:t>panee merkille Frontexin jatkuvat pyrkimykset vahvistaa perusoikeusvastaavansa roolia ja valmiuksia;</w:t>
            </w:r>
            <w:r>
              <w:t xml:space="preserve"> </w:t>
            </w:r>
            <w:r>
              <w:rPr>
                <w:b/>
                <w:i/>
              </w:rPr>
              <w:t>korostaa, että perusoikeusvastaavan toimilla olisi täydennettävä ja tuettava eikä estettävä Frontexin perustamisasetuksessa määritellyn Frontexin operatiivisen toimeksiannon tehokasta täytäntöönpanoa eli jäsenvaltioiden avustamista ulkorajojen suojelussa, laittomien muuttajien palauttamisen tukemista ja Schengen-alueen turvaamista;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panee merkille tarpeen lisätä</w:t>
            </w:r>
            <w:r>
              <w:t xml:space="preserve"> Eurojustin </w:t>
            </w:r>
            <w:r>
              <w:rPr>
                <w:b/>
                <w:i/>
              </w:rPr>
              <w:t>henkilöstöä</w:t>
            </w:r>
            <w:r>
              <w:t xml:space="preserve">, kun otetaan huomioon, että sen toimeksiantoa on määrä laajentaa kattamaan kolmannet maat, varsinkin vuonna 2022 </w:t>
            </w:r>
            <w:r>
              <w:rPr>
                <w:b/>
                <w:i/>
              </w:rPr>
              <w:t>Ukrainassa käynnistetyn hyökkäyksen jälkeen</w:t>
            </w:r>
            <w:r>
              <w:t xml:space="preserve">, ja toteaa, että se voi näin kerätä, tallentaa ja analysoida todisteita keskeisistä kansainvälisistä rikoksista (sotarikokset, joukkotuhonta, rikokset ihmisyyttä vastaan), jakaa tällaisia todisteita kansallisten viranomaisten ja kansainvälisten elinten, kuten Kansainvälisen rikostuomioistuimen, kanssa ja luoda tätä varten erillisen kansainvälisen rikosaineistotietokannan, jolloin se voi siirtyä pelkästä tutkintatoimien tukemisesta aktiivisesti turvaamaan olennaisia todisteita tulevia tutkintatoimia varten; </w:t>
            </w:r>
            <w:r>
              <w:rPr>
                <w:b/>
                <w:i/>
              </w:rPr>
              <w:t>toteaa kuitenkin, että vuoden 2024 talousarvioon oli tehty vain vaatimaton prosenttikorotus vuoden 2023 talousarvioon verrattuna, ja</w:t>
            </w:r>
            <w:r>
              <w:t xml:space="preserve"> kehottaa lisäämään henkilöstörahoitusta koko talousarviota vastaavasti odotettavissa olevaa tulevaa toimeksiantoa ajatellen;</w:t>
            </w:r>
          </w:p>
        </w:tc>
        <w:tc>
          <w:tcPr>
            <w:tcW w:w="4876" w:type="dxa"/>
            <w:tcBorders>
              <w:top w:val="nil"/>
              <w:left w:val="nil"/>
              <w:bottom w:val="nil"/>
              <w:right w:val="nil"/>
            </w:tcBorders>
          </w:tcPr>
          <w:p>
            <w:pPr>
              <w:pStyle w:val="Normal6a"/>
            </w:pPr>
            <w:r>
              <w:t>26.</w:t>
            </w:r>
            <w:r>
              <w:tab/>
            </w:r>
            <w:r>
              <w:rPr>
                <w:b/>
                <w:i/>
              </w:rPr>
              <w:t>kehottaa lisäämään</w:t>
            </w:r>
            <w:r>
              <w:t xml:space="preserve"> Eurojustin </w:t>
            </w:r>
            <w:r>
              <w:rPr>
                <w:b/>
                <w:i/>
              </w:rPr>
              <w:t>henkilöstömäärää</w:t>
            </w:r>
            <w:r>
              <w:t xml:space="preserve">, kun otetaan huomioon, että sen toimeksiantoa on määrä laajentaa kattamaan kolmannet maat, varsinkin </w:t>
            </w:r>
            <w:r>
              <w:rPr>
                <w:b/>
                <w:i/>
              </w:rPr>
              <w:t>Venäjän käynnistettyä hyökkäyssodan Ukrainaa vastaan</w:t>
            </w:r>
            <w:r>
              <w:t xml:space="preserve"> vuonna 2022, ja toteaa, että se voi näin kerätä, tallentaa ja analysoida todisteita keskeisistä kansainvälisistä rikoksista (sotarikokset, joukkotuhonta, rikokset ihmisyyttä vastaan), jakaa tällaisia todisteita kansallisten viranomaisten ja kansainvälisten elinten, kuten Kansainvälisen rikostuomioistuimen, kanssa ja luoda tätä varten erillisen kansainvälisen rikosaineistotietokannan, jolloin se voi siirtyä pelkästä tutkintatoimien tukemisesta aktiivisesti turvaamaan olennaisia todisteita tulevia tutkintatoimia varten; kehottaa lisäämään henkilöstörahoitusta koko talousarviota vastaavasti odotettavissa olevaa tulevaa toimeksiantoa ajatellen;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palauttaa mieliin, että jo vuoden 2023 vastuuvapauspäätöslauselmissa tuotiin esille, </w:t>
            </w:r>
            <w:r>
              <w:rPr>
                <w:b/>
                <w:i/>
              </w:rPr>
              <w:t>että on tärkeää lujittaa</w:t>
            </w:r>
            <w:r>
              <w:t xml:space="preserve"> Euroopan valvontaviranomaisten (EPV, EIOPA ja ESMA) </w:t>
            </w:r>
            <w:r>
              <w:rPr>
                <w:b/>
                <w:i/>
              </w:rPr>
              <w:t>valmiutta yksilöidä ja kirjata erikseen eri tulovirtoja tuottavien toimintojen kustannukset;</w:t>
            </w:r>
            <w:r>
              <w:t xml:space="preserve"> </w:t>
            </w:r>
            <w:r>
              <w:rPr>
                <w:b/>
                <w:i/>
              </w:rPr>
              <w:t>on tietoinen siitä, ettei niiden</w:t>
            </w:r>
            <w:r>
              <w:t xml:space="preserve"> perustamisasetuksissa vaadita erottelemaan unionin rahoitusosuuksilla ja kansallisilla rahoitusosuuksilla rahoitettavia toimintoja</w:t>
            </w:r>
            <w:r>
              <w:rPr>
                <w:b/>
                <w:i/>
              </w:rPr>
              <w:t>, ja</w:t>
            </w:r>
            <w:r>
              <w:t xml:space="preserve"> toteaa, että </w:t>
            </w:r>
            <w:r>
              <w:rPr>
                <w:b/>
                <w:i/>
              </w:rPr>
              <w:t>koska asetuksissa ei tehdä selvää rajausta</w:t>
            </w:r>
            <w:r>
              <w:t xml:space="preserve"> näiden kahden rahoituslähteen </w:t>
            </w:r>
            <w:r>
              <w:rPr>
                <w:b/>
                <w:i/>
              </w:rPr>
              <w:t>välillä, kyseiset viranomaiset eivät erottele unionin talousarviosta katettavia ja jäsenvaltioiden rahoittamia kustannuksia, kuten tilintarkastustuomioistuin korosti vuosikertomuksessaan vuonna 2023</w:t>
            </w:r>
            <w:r>
              <w:t>;</w:t>
            </w:r>
          </w:p>
        </w:tc>
        <w:tc>
          <w:tcPr>
            <w:tcW w:w="4876" w:type="dxa"/>
            <w:tcBorders>
              <w:top w:val="nil"/>
              <w:left w:val="nil"/>
              <w:bottom w:val="nil"/>
              <w:right w:val="nil"/>
            </w:tcBorders>
          </w:tcPr>
          <w:p>
            <w:pPr>
              <w:pStyle w:val="Normal6a"/>
            </w:pPr>
            <w:r>
              <w:t>30.</w:t>
            </w:r>
            <w:r>
              <w:tab/>
            </w:r>
            <w:r>
              <w:t xml:space="preserve">palauttaa mieliin, että jo vuoden 2023 vastuuvapauspäätöslauselmissa tuotiin esille, </w:t>
            </w:r>
            <w:r>
              <w:rPr>
                <w:b/>
                <w:i/>
              </w:rPr>
              <w:t>ettei</w:t>
            </w:r>
            <w:r>
              <w:t xml:space="preserve"> Euroopan valvontaviranomaisten (EPV, EIOPA ja ESMA) perustamisasetuksissa vaadita erottelemaan unionin rahoitusosuuksilla ja kansallisilla rahoitusosuuksilla rahoitettavia toimintoja</w:t>
            </w:r>
            <w:r>
              <w:rPr>
                <w:b/>
                <w:i/>
              </w:rPr>
              <w:t>;</w:t>
            </w:r>
            <w:r>
              <w:t xml:space="preserve"> toteaa, että </w:t>
            </w:r>
            <w:r>
              <w:rPr>
                <w:b/>
                <w:i/>
              </w:rPr>
              <w:t>käytännössä yleinen kustannustenjakomekanismi ei edellytä</w:t>
            </w:r>
            <w:r>
              <w:t xml:space="preserve"> näiden kahden rahoituslähteen </w:t>
            </w:r>
            <w:r>
              <w:rPr>
                <w:b/>
                <w:i/>
              </w:rPr>
              <w:t>eriyttämistä yksittäisten toimien tasolla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katsoo</w:t>
            </w:r>
            <w:r>
              <w:rPr>
                <w:b/>
                <w:i/>
              </w:rPr>
              <w:t>, että erillisen kustannuslaskennan käyttöönotto Euroopan valvontaviranomaisten toimintoja varten</w:t>
            </w:r>
            <w:r>
              <w:t xml:space="preserve"> parantaisi </w:t>
            </w:r>
            <w:r>
              <w:rPr>
                <w:b/>
                <w:i/>
              </w:rPr>
              <w:t>avoimuutta,</w:t>
            </w:r>
            <w:r>
              <w:t xml:space="preserve"> vastuuvelvollisuutta </w:t>
            </w:r>
            <w:r>
              <w:rPr>
                <w:b/>
                <w:i/>
              </w:rPr>
              <w:t>ja päätöksentekoa, jolloin sidosryhmät ja myös jäsenvaltiot, rahoituslaitokset ja veronmaksajat voisivat paremmin arvioida tehokkuutta ja oikeudenmukaisuutta</w:t>
            </w:r>
            <w:r>
              <w:t xml:space="preserve">; korostaa, että </w:t>
            </w:r>
            <w:r>
              <w:rPr>
                <w:b/>
                <w:i/>
              </w:rPr>
              <w:t>nykyinen erottelun puuttuminen hankaloittaa valvontaa, ja katsoo, että Euroopan valvontaviranomaisten toimintojen kustannukset ja tulot olisi määritettävä selkeästi, kirjattava erikseen ja julkistettava tilinpäätöksissä ja ohjelmasuunnitteluasiakirjoissa</w:t>
            </w:r>
            <w:r>
              <w:t>;</w:t>
            </w:r>
          </w:p>
        </w:tc>
        <w:tc>
          <w:tcPr>
            <w:tcW w:w="4876" w:type="dxa"/>
            <w:tcBorders>
              <w:top w:val="nil"/>
              <w:left w:val="nil"/>
              <w:bottom w:val="nil"/>
              <w:right w:val="nil"/>
            </w:tcBorders>
          </w:tcPr>
          <w:p>
            <w:pPr>
              <w:pStyle w:val="Normal6a"/>
            </w:pPr>
            <w:r>
              <w:t>31.</w:t>
            </w:r>
            <w:r>
              <w:tab/>
            </w:r>
            <w:r>
              <w:t xml:space="preserve">katsoo </w:t>
            </w:r>
            <w:r>
              <w:rPr>
                <w:b/>
                <w:i/>
              </w:rPr>
              <w:t>tässä yhteydessä, että budjetoinnin ja toimintoperusteisen raportoinnin avoimuuden lisääminen</w:t>
            </w:r>
            <w:r>
              <w:t xml:space="preserve"> parantaisi </w:t>
            </w:r>
            <w:r>
              <w:rPr>
                <w:b/>
                <w:i/>
              </w:rPr>
              <w:t>valvontaa ja</w:t>
            </w:r>
            <w:r>
              <w:t xml:space="preserve"> vastuuvelvollisuutta</w:t>
            </w:r>
            <w:r>
              <w:rPr>
                <w:b/>
                <w:i/>
              </w:rPr>
              <w:t>, erityisesti sellaisten virastojen osalta, joita rahoitetaan useista tulovirroista</w:t>
            </w:r>
            <w:r>
              <w:t xml:space="preserve">; korostaa, että </w:t>
            </w:r>
            <w:r>
              <w:rPr>
                <w:b/>
                <w:i/>
              </w:rPr>
              <w:t>tulolähteiden ja toimien välisen yhteyden selkeys vahvistaa luottamusta unionin varojen moitteettomaan käyttöön samalla kun noudatetaan virastojen perustamisasetuksissa vahvistettua oikeudellista kehystä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on huolissaan CdT:n 5,7 miljoonan euron negatiivisesta taloudellisesta tuloksesta ja toimintatulojen jatkuvasta pienentymisestä, joka johtuu pääasiassa siitä, että laskutettujen sivujen määrä pieneni 11,4 prosenttia vuonna 2024 ja 17,6 prosenttia vuonna 2023; toteaa, että hinnoitteluvakauden varaus, joka perustettiin vuonna 2011 kompensoimaan asiakkaiden liiketoiminnan määrän heilahteluja ja auttamaan CdT:tä varmistamaan talousarvion ja hintojen vakaus, oli suurimmillaan vuonna 2014, jolloin sen määrä oli 15,6 miljoonaa euroa, ja sen jälkeen varaus supistui 8,9 miljoonaan euroon vuonna 2024 (42,9 prosentin vähennys vuodesta 2014); on tietoinen siitä, että kun varaus on käytetty loppuun, mahdolliset lisäalijäämät olisi katettava unionin talousarviosta myönnettävillä avustuksilla, kuten CdT:n perustamisasetuksessa säädetään; panee merkille CdT:n jatkotoimena vuoden 2023 vastuuvapausmenettelyyn antaman vastauksen ja kehottaa hallintoneuvostoa edelleen raportoimaan vastuuvapauden myöntävälle viranomaiselle näiden suunnitelmien kehityksestä, kun otetaan huomioon tulojen jatkuva pienentyminen; </w:t>
            </w:r>
            <w:r>
              <w:rPr>
                <w:b/>
                <w:i/>
              </w:rPr>
              <w:t>kannustaa CdT:tä määrittämään uusia palveluja, joita se voisi tarjota, ja uusia tulonlähteitä</w:t>
            </w:r>
            <w:r>
              <w:t xml:space="preserve">, ottaen huomioon </w:t>
            </w:r>
            <w:r>
              <w:rPr>
                <w:b/>
                <w:i/>
              </w:rPr>
              <w:t>sellaisten</w:t>
            </w:r>
            <w:r>
              <w:t xml:space="preserve"> uusien maksuttomien käännösteknologioiden yleisyyden, </w:t>
            </w:r>
            <w:r>
              <w:rPr>
                <w:b/>
                <w:i/>
              </w:rPr>
              <w:t>jotka saattavat vaikuttaa käännöspyyntöjen määrään</w:t>
            </w:r>
            <w:r>
              <w:t>;</w:t>
            </w:r>
          </w:p>
        </w:tc>
        <w:tc>
          <w:tcPr>
            <w:tcW w:w="4876" w:type="dxa"/>
            <w:tcBorders>
              <w:top w:val="nil"/>
              <w:left w:val="nil"/>
              <w:bottom w:val="nil"/>
              <w:right w:val="nil"/>
            </w:tcBorders>
          </w:tcPr>
          <w:p>
            <w:pPr>
              <w:pStyle w:val="Normal6a"/>
            </w:pPr>
            <w:r>
              <w:t>33.</w:t>
            </w:r>
            <w:r>
              <w:tab/>
            </w:r>
            <w:r>
              <w:t xml:space="preserve">on huolissaan CdT:n 5,7 miljoonan euron negatiivisesta taloudellisesta tuloksesta ja toimintatulojen jatkuvasta pienentymisestä, joka johtuu pääasiassa siitä, että laskutettujen sivujen määrä pieneni 11,4 prosenttia vuonna 2024 ja 17,6 prosenttia vuonna 2023; toteaa, että hinnoitteluvakauden varaus, joka perustettiin vuonna 2011 kompensoimaan asiakkaiden liiketoiminnan määrän heilahteluja ja auttamaan CdT:tä varmistamaan talousarvion ja hintojen vakaus, oli suurimmillaan vuonna 2014, jolloin sen määrä oli 15,6 miljoonaa euroa, ja sen jälkeen varaus supistui 8,9 miljoonaan euroon vuonna 2024 (42,9 prosentin vähennys vuodesta 2014); on tietoinen siitä, että kun varaus on käytetty loppuun, mahdolliset lisäalijäämät olisi katettava unionin talousarviosta myönnettävillä avustuksilla, kuten CdT:n perustamisasetuksessa säädetään; panee merkille CdT:n jatkotoimena vuoden 2023 vastuuvapausmenettelyyn antaman vastauksen ja kehottaa hallintoneuvostoa edelleen raportoimaan vastuuvapauden myöntävälle viranomaiselle näiden suunnitelmien kehityksestä, kun otetaan huomioon tulojen jatkuva pienentyminen; </w:t>
            </w:r>
            <w:r>
              <w:rPr>
                <w:b/>
                <w:i/>
              </w:rPr>
              <w:t>kehottaa CdT:tä suunnittelemaan vuosikohtaisen toimintansa uudelleen ja järjestelemään henkilöstöresurssinsa sen mukaisesti</w:t>
            </w:r>
            <w:r>
              <w:t xml:space="preserve">, ottaen huomioon uusien maksuttomien käännösteknologioiden yleisyyden, </w:t>
            </w:r>
            <w:r>
              <w:rPr>
                <w:b/>
                <w:i/>
              </w:rPr>
              <w:t>joka selittää CdT:n liiketoiminnan vakaata ja jatkuvaa hiipumista, ja toteaa, että näin pyritään pienentämään sen palveluja käyttävien elinten osoittamaa budjettia</w:t>
            </w:r>
            <w:r>
              <w:t xml:space="preserve">; </w:t>
            </w:r>
            <w:r>
              <w:rPr>
                <w:b/>
                <w:i/>
              </w:rPr>
              <w:t>kehottaa harkitsemaan viraston toimeksiannon lakkauttamista;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katsoo, että vaikka varainhoitoasetuksessa ei ole vahvistettu siirtojen enimmäismäärää, niiden toistuvasti liiallinen määrä heikentää talousarvion vuotuisperiaatteen noudattamista ja </w:t>
            </w:r>
            <w:r>
              <w:rPr>
                <w:b/>
                <w:i/>
              </w:rPr>
              <w:t>saattaa viitata</w:t>
            </w:r>
            <w:r>
              <w:t xml:space="preserve"> rakenteellisiin ongelmiin talousarvioprosessissa ja talousarvion toteuttamissyklissä;</w:t>
            </w:r>
          </w:p>
        </w:tc>
        <w:tc>
          <w:tcPr>
            <w:tcW w:w="4876" w:type="dxa"/>
            <w:tcBorders>
              <w:top w:val="nil"/>
              <w:left w:val="nil"/>
              <w:bottom w:val="nil"/>
              <w:right w:val="nil"/>
            </w:tcBorders>
          </w:tcPr>
          <w:p>
            <w:pPr>
              <w:pStyle w:val="Normal6a"/>
            </w:pPr>
            <w:r>
              <w:t>34.</w:t>
            </w:r>
            <w:r>
              <w:tab/>
            </w:r>
            <w:r>
              <w:t xml:space="preserve">katsoo, että vaikka varainhoitoasetuksessa ei ole vahvistettu siirtojen enimmäismäärää, niiden toistuvasti liiallinen määrä heikentää talousarvion vuotuisperiaatteen noudattamista ja </w:t>
            </w:r>
            <w:r>
              <w:rPr>
                <w:b/>
                <w:i/>
              </w:rPr>
              <w:t>viittaa</w:t>
            </w:r>
            <w:r>
              <w:t xml:space="preserve"> rakenteellisiin ongelmiin talousarvioprosessissa ja talousarvion toteuttamissyklissä; </w:t>
            </w:r>
            <w:r>
              <w:rPr>
                <w:b/>
                <w:i/>
              </w:rPr>
              <w:t>kehottaa komissiota vaatimaan virastoja, joiden toistuvat määrärahasiirrot ovat yli 15 prosenttia, toimittamaan kuuden kuukauden kuluessa korjaussuunnitelmat, joihin sisältyy arvio siitä, vastaavatko pyydetyt talousarviomäärärahat todellista täytäntöönpanokapasiteettia;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panee merkille, että vuonna 2024 kaikkiaan 11 virastossa (ACER, ECDC, EFCA, EIGE, ELA, EMA, ENISA, ESA, eu-LISA, EU-OSHA, Eurofound, EUSPA, FRA ja Frontex) siirtojen määrät ylittivät 15 prosenttia kaikissa talousarvion osastoissa ja kaava oli niissä toistuva; toteaa, että Frontexin tapauksessa siirtojen osuus oli yli 40 prosenttia ja ESA:n tapauksessa yli 30 prosenttia;</w:t>
            </w:r>
          </w:p>
        </w:tc>
        <w:tc>
          <w:tcPr>
            <w:tcW w:w="4876" w:type="dxa"/>
            <w:tcBorders>
              <w:top w:val="nil"/>
              <w:left w:val="nil"/>
              <w:bottom w:val="nil"/>
              <w:right w:val="nil"/>
            </w:tcBorders>
          </w:tcPr>
          <w:p>
            <w:pPr>
              <w:pStyle w:val="Normal6a"/>
            </w:pPr>
            <w:r>
              <w:t>35.</w:t>
            </w:r>
            <w:r>
              <w:tab/>
            </w:r>
            <w:r>
              <w:t xml:space="preserve">panee merkille, että vuonna 2024 kaikkiaan 11 virastossa (ACER, ECDC, EFCA, EIGE, ELA, EMA, ENISA, ESA, eu-LISA, EU-OSHA, Eurofound, EUSPA, FRA ja Frontex) siirtojen määrät ylittivät 15 prosenttia kaikissa talousarvion osastoissa ja kaava oli niissä toistuva; toteaa, että Frontexin tapauksessa siirtojen osuus oli yli 40 prosenttia ja ESA:n tapauksessa yli 30 prosenttia; </w:t>
            </w:r>
            <w:r>
              <w:rPr>
                <w:b/>
                <w:i/>
              </w:rPr>
              <w:t>kehottaa virastoja parantamaan monivuotista suunnittelua, hankintojen aikataulutusta ja sitoumusennusteita sen varmistamiseksi, että määrärahat käytetään sen varainhoitovuoden aikana, jolle ne on hyväksytty;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a.</w:t>
            </w:r>
            <w:r>
              <w:tab/>
            </w:r>
            <w:r>
              <w:rPr>
                <w:b/>
                <w:i/>
              </w:rPr>
              <w:t>hylkää täten FRAn lisärahoituspyynnön;</w:t>
            </w:r>
            <w:r>
              <w:t xml:space="preserve"> </w:t>
            </w:r>
            <w:r>
              <w:rPr>
                <w:b/>
                <w:i/>
              </w:rPr>
              <w:t>painottaa, että FRAn olisi hoidettava tehtävänsä tasapuolisesti ja puolueettomasti;</w:t>
            </w:r>
            <w:r>
              <w:t xml:space="preserve"> </w:t>
            </w:r>
            <w:r>
              <w:rPr>
                <w:b/>
                <w:i/>
              </w:rPr>
              <w:t>muistuttaa, että viraston budjettivaroja pitäisi käyttää pelkästään puolueettomien ja näyttöön perustuvien analyysien laatimiseen sekä sen keskeisten oikeudellisten tehtävien hoitamiseen;</w:t>
            </w:r>
            <w:r>
              <w:t xml:space="preserve"> </w:t>
            </w:r>
            <w:r>
              <w:rPr>
                <w:b/>
                <w:i/>
              </w:rPr>
              <w:t>kehottaa tämän vuoksi sitä lopettamaan jatkuvan puuttumisen toimielinten ja virastojen toimintaan ja erityisesti niiden toimielinten ja virastojen toimintaan, joilla on omia perusoikeuksista vastaavia työntekijöitä;</w:t>
            </w:r>
            <w:r>
              <w:t xml:space="preserve"> </w:t>
            </w:r>
            <w:r>
              <w:rPr>
                <w:b/>
                <w:i/>
              </w:rPr>
              <w:t>kehottaa harkitsemaan viraston toimeksiannon lakkauttamista, koska sen ja lukuisten virastojen yksiköiden toiminnassa on päällekkäisyyksiä, mikä vähentää sen lisäarvoa;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a.</w:t>
            </w:r>
            <w:r>
              <w:tab/>
            </w:r>
            <w:r>
              <w:rPr>
                <w:b/>
                <w:i/>
              </w:rPr>
              <w:t>panee merkille, että Frontex siirsi vuonna 2024 yli 43 prosenttia vuoden jaksottamattomista määrärahoista vuodelle 2025 ja että Euroopan tilintarkastustuomioistuimen vuosikertomuksessa EU:n virastoista varainhoitovuodelta 2024 korostettiin, että siirtojen toistuvasti suuri määrä heikentää talousarvion vuotuisperiaatteen noudattamista ja viittaa rakenteellisiin ongelmiin talousarvioprosessissa ja talousarvion toteuttamissyklissä;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w:t>
            </w:r>
            <w:r>
              <w:tab/>
            </w:r>
            <w:r>
              <w:rPr>
                <w:b/>
                <w:i/>
              </w:rPr>
              <w:t>muistuttaa, että virastojen olisi keskityttävä pääasialliseen toimintaansa;</w:t>
            </w:r>
            <w:r>
              <w:t xml:space="preserve"> </w:t>
            </w:r>
            <w:r>
              <w:rPr>
                <w:b/>
                <w:i/>
              </w:rPr>
              <w:t>vastustaa sitä, että komission tukemat vasemmistolaiset kansalaisjärjestöt ovat viime vuosina ujuttaneet omaa ideologiaansa eri yhteyksissä;</w:t>
            </w:r>
            <w:r>
              <w:t xml:space="preserve"> </w:t>
            </w:r>
            <w:r>
              <w:rPr>
                <w:b/>
                <w:i/>
              </w:rPr>
              <w:t>pitää valitettavana tässä yhteydessä perusoikeuksien valvontaa varten varatun henkilöstön ja budjetin kasvua Frontexin pysyvien joukkojen kustannuksella, mistä Frontexin pääjohtaja huomautti vuonna 2024</w:t>
            </w:r>
            <w:r>
              <w:rPr>
                <w:b/>
                <w:i/>
                <w:vertAlign w:val="superscript"/>
              </w:rPr>
              <w:t>35 t</w:t>
            </w:r>
            <w:r>
              <w:t xml:space="preserve"> </w:t>
            </w:r>
            <w:r>
              <w:rPr>
                <w:b/>
                <w:i/>
              </w:rPr>
              <w:t>ja mikä häiritsee Frontexin pääasiallisen tehtävän suorittamista ja välillä jopa haittaa sitä;</w:t>
            </w:r>
            <w:r>
              <w:t xml:space="preserve"> </w:t>
            </w:r>
            <w:r>
              <w:rPr>
                <w:b/>
                <w:i/>
              </w:rPr>
              <w:t>korostaa, että kaikki Frontexin toimet ja resurssit olisi keskitettävä jatkuvasti rajavalvontaan, rajatylittävän rikollisuuden ja sääntöjenvastaisen muuttoliikkeen torjuntaan sekä sellaisten ihmisten tosiasialliseen palauttamiseen, joilla ei ole laillista oikeutta jäädä;</w:t>
            </w:r>
            <w:r>
              <w:t xml:space="preserve"> </w:t>
            </w:r>
            <w:r>
              <w:rPr>
                <w:b/>
                <w:i/>
              </w:rPr>
              <w:t>kehottaa kohdentamaan resursseja uudelleen siten, että ne keskitetään jatkossakin rajavalvonnan keskeisiin tehtäviin, tarvittavien etulinjan työntekijöiden palkkaamiseen EU:n ulkorajoille ja hallinnollisten virkojen/toimien määrän järkeistämiseen;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35 t</w:t>
            </w:r>
            <w:r>
              <w:t xml:space="preserve"> </w:t>
            </w:r>
            <w:r>
              <w:rPr>
                <w:b/>
                <w:i/>
              </w:rPr>
              <w:t>https://www.euronews.com/my-europe/2024/03/05/frontex-director-replies-to-ombudsman-were-not-the-european-rescue-agency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katsoo, että joissakin tapauksissa siirtojen perusteluna voi olla toimien monivuotinen luonne tai ne ovat voineet johtua syistä, joihin kyseiset virastot eivät ole voineet vaikuttaa; panee merkille tilintarkastustuomioistuimen 1. joulukuuta 2025 pidetyssä kuulemisessa antaman lausunnon, jonka mukaan se pyrkii uuden tarkastustapansa mukaisesti antamaan selkeämmän yleiskuvan siirtojen luonteesta tulevissa kertomuksissa, ja panee samalla merkille tilintarkastustuomioistuimen selvennyksen, että virastokohtainen erittely siirtojen syistä ei menetelmä- ja resurssirajoitteiden vuoksi ole mahdollinen; on ilahtunut tilintarkastustuomioistuimen valmiudesta nostaa esiin liiallisiin siirtoihin vaikuttavia toistuvia kaavoja ja järjestelmätason tekijöitä </w:t>
            </w:r>
            <w:r>
              <w:rPr>
                <w:b/>
                <w:i/>
              </w:rPr>
              <w:t>ja</w:t>
            </w:r>
            <w:r>
              <w:t xml:space="preserve"> kehottaa virastoja parantamaan talousarvioennusteita ja hankkeiden aikataulutusta, jotta voidaan minimoida ennakoimattomat siirrot ja varmistaa, että määrärahat käytetään tehokkaasti varainhoitovuoden aikana;</w:t>
            </w:r>
          </w:p>
        </w:tc>
        <w:tc>
          <w:tcPr>
            <w:tcW w:w="4876" w:type="dxa"/>
            <w:tcBorders>
              <w:top w:val="nil"/>
              <w:left w:val="nil"/>
              <w:bottom w:val="nil"/>
              <w:right w:val="nil"/>
            </w:tcBorders>
          </w:tcPr>
          <w:p>
            <w:pPr>
              <w:pStyle w:val="Normal6a"/>
            </w:pPr>
            <w:r>
              <w:t>36.</w:t>
            </w:r>
            <w:r>
              <w:tab/>
            </w:r>
            <w:r>
              <w:t>katsoo, että joissakin tapauksissa siirtojen perusteluna voi olla toimien monivuotinen luonne tai ne ovat voineet johtua syistä, joihin kyseiset virastot eivät ole voineet vaikuttaa; panee merkille tilintarkastustuomioistuimen 1. joulukuuta 2025 pidetyssä kuulemisessa antaman lausunnon, jonka mukaan se pyrkii uuden tarkastustapansa mukaisesti antamaan selkeämmän yleiskuvan siirtojen luonteesta tulevissa kertomuksissa, ja panee samalla merkille tilintarkastustuomioistuimen selvennyksen, että virastokohtainen erittely siirtojen syistä ei menetelmä- ja resurssirajoitteiden vuoksi ole mahdollinen; on ilahtunut tilintarkastustuomioistuimen valmiudesta nostaa esiin liiallisiin siirtoihin vaikuttavia toistuvia kaavoja ja järjestelmätason tekijöitä</w:t>
            </w:r>
            <w:r>
              <w:rPr>
                <w:b/>
                <w:i/>
              </w:rPr>
              <w:t>;</w:t>
            </w:r>
            <w:r>
              <w:t xml:space="preserve"> </w:t>
            </w:r>
            <w:r>
              <w:rPr>
                <w:b/>
                <w:i/>
              </w:rPr>
              <w:t>korostaa kuitenkin, että jatkuvasti suuret ja toistuvat siirrot voivat viitata taustalla oleviin rakenteellisiin haasteisiin suunnittelussa, täytäntöönpanossa tai resurssien kohdentamisessa;</w:t>
            </w:r>
            <w:r>
              <w:t xml:space="preserve"> kehottaa virastoja parantamaan talousarvioennusteita ja hankkeiden aikataulutusta, jotta voidaan minimoida ennakoimattomat siirrot ja varmistaa, että määrärahat käytetään tehokkaasti varainhoitovuoden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palauttaa mieliin, että sääntelykehyksen mukaan virastojen on suoritettava maksut tietyissä määräajoissa; toteaa, että näiden määräaikojen noudattamatta jättäminen saattaa </w:t>
            </w:r>
            <w:r>
              <w:rPr>
                <w:b/>
                <w:i/>
              </w:rPr>
              <w:t>johtaa siihen, että velkojilla on oikeus viivästyskorkoon</w:t>
            </w:r>
            <w:r>
              <w:t>; panee merkille, että tilintarkastustuomioistuin raportoi vuodelta 2024, että 11 virastossa (ACER, Cedefop, CEPOL, EEA, ELA, ENISA, ETF, EUDA, Eurojust, FRA ja Frontex) yli viisi prosenttia maksuista suoritettiin sovellettavan määräajan jälkeen; on huolestunut siitä, että maksuviivästykset ovat lisääntyneet vuodesta 2022 ja tällaisten virastojen määrä on kasvanut verrattuna vuoteen 2023 (yhdeksän virastoa) ja 2022 (viisi virastoa);</w:t>
            </w:r>
          </w:p>
        </w:tc>
        <w:tc>
          <w:tcPr>
            <w:tcW w:w="4876" w:type="dxa"/>
            <w:tcBorders>
              <w:top w:val="nil"/>
              <w:left w:val="nil"/>
              <w:bottom w:val="nil"/>
              <w:right w:val="nil"/>
            </w:tcBorders>
          </w:tcPr>
          <w:p>
            <w:pPr>
              <w:pStyle w:val="Normal6a"/>
            </w:pPr>
            <w:r>
              <w:t>37.</w:t>
            </w:r>
            <w:r>
              <w:tab/>
            </w:r>
            <w:r>
              <w:t xml:space="preserve">palauttaa mieliin, että sääntelykehyksen mukaan virastojen on suoritettava maksut tietyissä määräajoissa; toteaa, että näiden määräaikojen noudattamatta jättäminen saattaa </w:t>
            </w:r>
            <w:r>
              <w:rPr>
                <w:b/>
                <w:i/>
              </w:rPr>
              <w:t>heikentää unionin uskottavuutta sopimuskumppanina ja voi aiheuttaa lisäkustannuksia, kuten viivästyskorkoja</w:t>
            </w:r>
            <w:r>
              <w:t xml:space="preserve">; panee merkille, että tilintarkastustuomioistuin raportoi vuodelta 2024, että 11 virastossa (ACER, Cedefop, CEPOL, EEA, ELA, ENISA, ETF, EUDA, Eurojust, FRA ja Frontex) yli viisi prosenttia maksuista suoritettiin sovellettavan määräajan jälkeen; on huolestunut siitä, että maksuviivästykset ovat lisääntyneet vuodesta 2022 ja tällaisten virastojen määrä on kasvanut verrattuna vuoteen 2023 (yhdeksän virastoa) ja 2022 (viisi virastoa); </w:t>
            </w:r>
            <w:r>
              <w:rPr>
                <w:b/>
                <w:i/>
              </w:rPr>
              <w:t>kehottaa laatimaan korjaavia toimintasuunnitelmia virastoissa, joissa maksuviivästyksiä on ollut useiden vuosien ajan;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vaatii varmistamaan, että maksuille asetettuja lakisääteisiä määräaikoja noudatetaan, ja toteaa, että maksuviivästysten yleisyys saattaa vaikuttaa kielteisesti virastojen maineeseen; kehottaa asianomaisia virastoja toteuttamaan toimenpiteitä, joilla vältetään vastaisuudessa maksuviivästykset ja viivästyskorot ja varmistetaan velvoitteiden oikea-aikainen täyttäminen;</w:t>
            </w:r>
          </w:p>
        </w:tc>
        <w:tc>
          <w:tcPr>
            <w:tcW w:w="4876" w:type="dxa"/>
            <w:tcBorders>
              <w:top w:val="nil"/>
              <w:left w:val="nil"/>
              <w:bottom w:val="nil"/>
              <w:right w:val="nil"/>
            </w:tcBorders>
          </w:tcPr>
          <w:p>
            <w:pPr>
              <w:pStyle w:val="Normal6a"/>
            </w:pPr>
            <w:r>
              <w:t>38.</w:t>
            </w:r>
            <w:r>
              <w:tab/>
            </w:r>
            <w:r>
              <w:t xml:space="preserve">vaatii varmistamaan, että maksuille asetettuja lakisääteisiä määräaikoja noudatetaan, ja toteaa, että maksuviivästysten yleisyys saattaa vaikuttaa kielteisesti virastojen maineeseen; kehottaa asianomaisia virastoja toteuttamaan toimenpiteitä, joilla vältetään vastaisuudessa maksuviivästykset ja viivästyskorot ja varmistetaan velvoitteiden oikea-aikainen täyttäminen; </w:t>
            </w:r>
            <w:r>
              <w:rPr>
                <w:b/>
                <w:i/>
              </w:rPr>
              <w:t>muistuttaa, että varainhoitoasetuksen mukaisten maksumääräaikojen noudattaminen on oikeudellinen velvoite ja keskeinen osa varainhoitoa;</w:t>
            </w:r>
            <w:r>
              <w:t xml:space="preserve"> </w:t>
            </w:r>
            <w:r>
              <w:rPr>
                <w:b/>
                <w:i/>
              </w:rPr>
              <w:t>kehottaa virastoja toteuttamaan korjaavia toimenpiteitä, joilla varmistetaan lakisääteisten määräaikojen järjestelmällinen noudattaminen;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kehottaa Euroopan valvontaviranomaisia (EPV, EIOPA ja ESMA) </w:t>
            </w:r>
            <w:r>
              <w:rPr>
                <w:b/>
                <w:i/>
              </w:rPr>
              <w:t>parantamaan valmiuttaan yksilöidä ja kirjata erikseen eri tulovirtoja tuottavien toimintojen kustannukset</w:t>
            </w:r>
            <w:r>
              <w:t xml:space="preserve">, jotta voidaan </w:t>
            </w:r>
            <w:r>
              <w:rPr>
                <w:b/>
                <w:i/>
              </w:rPr>
              <w:t>parantaa kirjanpidon valvontaa ja avoimuutta, kuten tilintarkastustuomioistuin suosittaa, sillä se, ettei näitä kustannuksia pystytä kirjaamaan, on riski unionin varojen käytön avoimuudelle</w:t>
            </w:r>
            <w:r>
              <w:t>;</w:t>
            </w:r>
          </w:p>
        </w:tc>
        <w:tc>
          <w:tcPr>
            <w:tcW w:w="4876" w:type="dxa"/>
            <w:tcBorders>
              <w:top w:val="nil"/>
              <w:left w:val="nil"/>
              <w:bottom w:val="nil"/>
              <w:right w:val="nil"/>
            </w:tcBorders>
          </w:tcPr>
          <w:p>
            <w:pPr>
              <w:pStyle w:val="Normal6a"/>
            </w:pPr>
            <w:r>
              <w:t>39.</w:t>
            </w:r>
            <w:r>
              <w:tab/>
            </w:r>
            <w:r>
              <w:t xml:space="preserve">kehottaa Euroopan valvontaviranomaisia (EPV, EIOPA ja ESMA) </w:t>
            </w:r>
            <w:r>
              <w:rPr>
                <w:b/>
                <w:i/>
              </w:rPr>
              <w:t>vahvistamaan edelleen toimintoperusteisen budjetoinnin ja kustannuslaskentajärjestelmiensä avoimuutta, erityisesti valvontamaksuilla tai muilla erityisillä tulovirroilla rahoitettavien toimien osalta</w:t>
            </w:r>
            <w:r>
              <w:t xml:space="preserve">, jotta voidaan </w:t>
            </w:r>
            <w:r>
              <w:rPr>
                <w:b/>
                <w:i/>
              </w:rPr>
              <w:t>lieventää tilintarkastustuomioistuimen havaitsemia avoimuuteen kohdistuvia riskejä tulojen hallinnan ja rahoitusrakenteiden osalta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panee merkille Euroopan tilintarkastustuomioistuimen, jäljempänä ’tilintarkastustuomioistuin’, vuosikertomuksessaan EU:n virastoista varainhoitovuodelta 2024, jäljempänä ’tilintarkastustuomioistuimen kertomus’, esittämän päätelmän, jonka mukaan tilintarkastustuomioistuimen tarkastuksessa saatiin vastaavanlaisia tuloksia kuin edellisinä vuosina ja maksujen sääntöjenvastaisuuden merkittävin syy ovat julkisiin hankintamenettelyihin liittyvät puutteet;</w:t>
            </w:r>
          </w:p>
        </w:tc>
        <w:tc>
          <w:tcPr>
            <w:tcW w:w="4876" w:type="dxa"/>
            <w:tcBorders>
              <w:top w:val="nil"/>
              <w:left w:val="nil"/>
              <w:bottom w:val="nil"/>
              <w:right w:val="nil"/>
            </w:tcBorders>
          </w:tcPr>
          <w:p>
            <w:pPr>
              <w:pStyle w:val="Normal6a"/>
            </w:pPr>
            <w:r>
              <w:t>40.</w:t>
            </w:r>
            <w:r>
              <w:tab/>
            </w:r>
            <w:r>
              <w:t xml:space="preserve">panee merkille Euroopan tilintarkastustuomioistuimen, jäljempänä ’tilintarkastustuomioistuin’, vuosikertomuksessaan EU:n virastoista varainhoitovuodelta 2024, jäljempänä ’tilintarkastustuomioistuimen kertomus’, esittämän päätelmän, jonka mukaan tilintarkastustuomioistuimen tarkastuksessa saatiin vastaavanlaisia tuloksia kuin edellisinä vuosina ja maksujen sääntöjenvastaisuuden merkittävin syy ovat julkisiin hankintamenettelyihin liittyvät puutteet; </w:t>
            </w:r>
            <w:r>
              <w:rPr>
                <w:b/>
                <w:i/>
              </w:rPr>
              <w:t>ottaa huomioon kyseessä olevat yhteensä miljoonien eurojen suuruiset summat ja tilintarkastustuomioistuimen vuosikertomuksissa toistuvat varoitukset ja on niiden vuoksi huolestunut siitä, että lukuisat virastot suhtautuvat liian kevyesti julkisten hankintamenettelyiden vaatimusten noudattamiseen, sekä toteaa, että maksujen sääntöjenvastaisuuden merkittävin syy ovat julkisiin hankintamenettelyihin liittyvät puutteet;</w:t>
            </w:r>
            <w:r>
              <w:t xml:space="preserve"> </w:t>
            </w:r>
            <w:r>
              <w:rPr>
                <w:b/>
                <w:i/>
              </w:rPr>
              <w:t>on huolestunut siitä, että näitä puutteita on edelleen, erityisesti tietyissä virastoissa, jotka eivät vaikuta tehneen tarvittavia toimia tai haluavan korjata tätä tilannetta;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panee merkille Euroopan tilintarkastustuomioistuimen, jäljempänä ’tilintarkastustuomioistuin’, vuosikertomuksessaan EU:n virastoista varainhoitovuodelta 2024, jäljempänä ’tilintarkastustuomioistuimen kertomus’, esittämän päätelmän, jonka mukaan tilintarkastustuomioistuimen tarkastuksessa saatiin vastaavanlaisia tuloksia kuin edellisinä vuosina ja maksujen sääntöjenvastaisuuden merkittävin syy ovat julkisiin hankintamenettelyihin liittyvät puutteet;</w:t>
            </w:r>
          </w:p>
        </w:tc>
        <w:tc>
          <w:tcPr>
            <w:tcW w:w="4876" w:type="dxa"/>
            <w:tcBorders>
              <w:top w:val="nil"/>
              <w:left w:val="nil"/>
              <w:bottom w:val="nil"/>
              <w:right w:val="nil"/>
            </w:tcBorders>
          </w:tcPr>
          <w:p>
            <w:pPr>
              <w:pStyle w:val="Normal6a"/>
            </w:pPr>
            <w:r>
              <w:t>40.</w:t>
            </w:r>
            <w:r>
              <w:tab/>
            </w:r>
            <w:r>
              <w:t xml:space="preserve">panee merkille Euroopan tilintarkastustuomioistuimen, jäljempänä ’tilintarkastustuomioistuin’, vuosikertomuksessaan EU:n virastoista varainhoitovuodelta 2024, jäljempänä ’tilintarkastustuomioistuimen kertomus’, esittämän päätelmän, jonka mukaan tilintarkastustuomioistuimen tarkastuksessa saatiin vastaavanlaisia tuloksia kuin edellisinä vuosina ja maksujen sääntöjenvastaisuuden merkittävin syy ovat julkisiin hankintamenettelyihin liittyvät puutteet; </w:t>
            </w:r>
            <w:r>
              <w:rPr>
                <w:b/>
                <w:i/>
              </w:rPr>
              <w:t>kehottaa asianomaisia virastoja tehostamaan ennakkotarkastuksiaan, parantamaan myöntämisperusteiden dokumentointia ja varmistamaan tiukat perustelut sellaisten neuvottelumenettelyiden käytölle, joista ei julkaista ilmoitusta;</w:t>
            </w:r>
            <w:r>
              <w:t xml:space="preserve"> </w:t>
            </w:r>
            <w:r>
              <w:rPr>
                <w:b/>
                <w:i/>
              </w:rPr>
              <w:t>kehottaa komissiota tarjoamaan kohdennettua ohjausta ja koulutusta virastoille, joilla on toistuvia hankintapuutteita;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panee merkille Euroopan tilintarkastustuomioistuimen, jäljempänä ’tilintarkastustuomioistuin’, vuosikertomuksessaan EU:n virastoista varainhoitovuodelta 2024, jäljempänä ’tilintarkastustuomioistuimen kertomus’, esittämän päätelmän, jonka mukaan tilintarkastustuomioistuimen tarkastuksessa saatiin vastaavanlaisia tuloksia kuin edellisinä vuosina ja maksujen sääntöjenvastaisuuden merkittävin syy ovat julkisiin hankintamenettelyihin liittyvät puutteet;</w:t>
            </w:r>
          </w:p>
        </w:tc>
        <w:tc>
          <w:tcPr>
            <w:tcW w:w="4876" w:type="dxa"/>
            <w:tcBorders>
              <w:top w:val="nil"/>
              <w:left w:val="nil"/>
              <w:bottom w:val="nil"/>
              <w:right w:val="nil"/>
            </w:tcBorders>
          </w:tcPr>
          <w:p>
            <w:pPr>
              <w:pStyle w:val="Normal6a"/>
            </w:pPr>
            <w:r>
              <w:t>40.</w:t>
            </w:r>
            <w:r>
              <w:tab/>
            </w:r>
            <w:r>
              <w:t xml:space="preserve">panee merkille Euroopan tilintarkastustuomioistuimen, jäljempänä ’tilintarkastustuomioistuin’, vuosikertomuksessaan EU:n virastoista varainhoitovuodelta 2024, jäljempänä ’tilintarkastustuomioistuimen kertomus’, esittämän päätelmän, jonka mukaan tilintarkastustuomioistuimen tarkastuksessa saatiin vastaavanlaisia tuloksia kuin edellisinä vuosina ja maksujen sääntöjenvastaisuuden merkittävin syy ovat julkisiin hankintamenettelyihin liittyvät puutteet; </w:t>
            </w:r>
            <w:r>
              <w:rPr>
                <w:b/>
                <w:i/>
              </w:rPr>
              <w:t>kehottaa virastoja varmistamaan täyden jäljitettävyyden, kilpailumenettelyt ja asianmukaisen kirjanpidon kaikissa hankintatoimissa (myös arvoltaan vähäisissä sopimuksissa) ja pyytää virastojen sisäisen tarkastuksen yksiköitä asettamaan hankintojen arvioinnit etusijalle;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 a.</w:t>
            </w:r>
            <w:r>
              <w:tab/>
            </w:r>
            <w:r>
              <w:rPr>
                <w:b/>
                <w:i/>
              </w:rPr>
              <w:t>kehottaa tilintarkastustuomioistuinta ilmoittamaan parlamentille joka vuosi virastokohtaisen luettelon avulla sellaisten valitusten määrän, joita virastojen henkilöstö on tehnyt OLAFille ja joita OLAF on päättänyt olla tutkimatta ja jotka liittyvät eturistiriitoihin ja julkisiin hankintoihin; toteaa, että tällaiset valitukset ovat hyödyllisiä heikkoja signaaleja;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 b.</w:t>
            </w:r>
            <w:r>
              <w:tab/>
            </w:r>
            <w:r>
              <w:rPr>
                <w:b/>
                <w:i/>
              </w:rPr>
              <w:t>muistuttaa, että kaikissa hankintamenettelyissä on tärkeää noudattaa</w:t>
            </w:r>
            <w:r>
              <w:t xml:space="preserve"> </w:t>
            </w:r>
            <w:r>
              <w:rPr>
                <w:b/>
                <w:i/>
              </w:rPr>
              <w:t>avoimuuden, oikeasuhtaisuuden, tasapuolisen kohtelun, syrjimättömyyden ja reilun kilpailun periaatteita muun muassa tarjoajien ja tavarantoimittajien suhteen ja kehottaa asettamaan etusijalle eurooppalaiset yritykset ja tuotteet ja muun muassa avoimen lähdekoodin tuotteet EU:n ulkopuolisiin yrityksiin nähden ja edistämään näin teknologista suvereniteettia ja ruokasuvereniteettia;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panee merkille, että aiempien vuosien tapaan tilintarkastustuomioistuin pitää varainhoidon moitteettomuuteen liittyviä riskejä keskisuurina ja katsoo niiden liittyvän ensisijaisesti julkisiin hankintamenettelyihin;</w:t>
            </w:r>
          </w:p>
        </w:tc>
        <w:tc>
          <w:tcPr>
            <w:tcW w:w="4876" w:type="dxa"/>
            <w:tcBorders>
              <w:top w:val="nil"/>
              <w:left w:val="nil"/>
              <w:bottom w:val="nil"/>
              <w:right w:val="nil"/>
            </w:tcBorders>
          </w:tcPr>
          <w:p>
            <w:pPr>
              <w:pStyle w:val="Normal6a"/>
            </w:pPr>
            <w:r>
              <w:t>43.</w:t>
            </w:r>
            <w:r>
              <w:tab/>
            </w:r>
            <w:r>
              <w:t xml:space="preserve">panee merkille, että aiempien vuosien tapaan tilintarkastustuomioistuin pitää varainhoidon moitteettomuuteen liittyviä riskejä keskisuurina ja katsoo niiden liittyvän ensisijaisesti julkisiin hankintamenettelyihin; </w:t>
            </w:r>
            <w:r>
              <w:rPr>
                <w:b/>
                <w:i/>
              </w:rPr>
              <w:t>korostaa, että "virastot eivät aina onnistu noudattamaan riittävän suurta avoimuutta tai saavuttamaan riittävää vastinetta rahalle tarjouskilpailujen yhteydessä. Hankintasäännöt ja -menettelyt ovat monimutkaisia"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https://www.eca.europa.eu/ECAPublications/SAR-AGENCIES-2024/SAR-AGENCIES-2024_FI.pdf.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toteaa, että tilintarkastustuomioistuin pitää budjettihallintoon kohdistuvaa riskiä vähäisenä ja että tilintarkastustuomioistuimen tarkastuksessa raportoitiin puutteista, jotka liittyvät pääasiassa jaksottamattomien määrärahojen siirtämiseen ilman eri toimenpiteitä ja maksuviivästyksiin; tuo esiin, että puutteet hallinto- ja valvontajärjestelmissä koskevat muun muassa asianmukaisten jälki- ja ennakkotarkastusten puuttumista, operatiivisia hankintamenettelyjä, jotka on käynnistetty ilman asianmukaisia rahoituspäätöksiä, menoja, jotka on toteutettu ilman tulojen ja menojen hyväksyjän asianmukaista valtuutusta, heikkouksia avustusten hallinnoinnissa sekä viiveitä komission suorittamassa viraston arvioinnissa;</w:t>
            </w:r>
          </w:p>
        </w:tc>
        <w:tc>
          <w:tcPr>
            <w:tcW w:w="4876" w:type="dxa"/>
            <w:tcBorders>
              <w:top w:val="nil"/>
              <w:left w:val="nil"/>
              <w:bottom w:val="nil"/>
              <w:right w:val="nil"/>
            </w:tcBorders>
          </w:tcPr>
          <w:p>
            <w:pPr>
              <w:pStyle w:val="Normal6a"/>
            </w:pPr>
            <w:r>
              <w:t>44.</w:t>
            </w:r>
            <w:r>
              <w:tab/>
            </w:r>
            <w:r>
              <w:t xml:space="preserve">toteaa, että tilintarkastustuomioistuin pitää budjettihallintoon kohdistuvaa riskiä vähäisenä ja että tilintarkastustuomioistuimen tarkastuksessa raportoitiin puutteista, jotka liittyvät pääasiassa jaksottamattomien määrärahojen siirtämiseen ilman eri toimenpiteitä ja maksuviivästyksiin; tuo esiin, että puutteet hallinto- ja valvontajärjestelmissä koskevat muun muassa asianmukaisten jälki- ja ennakkotarkastusten puuttumista, operatiivisia hankintamenettelyjä, jotka on käynnistetty ilman asianmukaisia rahoituspäätöksiä, menoja, jotka on toteutettu ilman tulojen ja menojen hyväksyjän asianmukaista valtuutusta, heikkouksia avustusten hallinnoinnissa sekä viiveitä komission suorittamassa viraston arvioinnissa; </w:t>
            </w:r>
            <w:r>
              <w:rPr>
                <w:b/>
                <w:i/>
              </w:rPr>
              <w:t>korostaa, että nämä tilintarkastustuomioistuimen luettelemat puutteet heikentävät moitteetonta varainhoitoa ja altistavat virastot taloudellisille riskeille ja maineriskeille;</w:t>
            </w:r>
            <w:r>
              <w:t xml:space="preserve"> </w:t>
            </w:r>
            <w:r>
              <w:rPr>
                <w:b/>
                <w:i/>
              </w:rPr>
              <w:t>kehottaa asianomaisia virastoja varmistamaan, että varainhoitoasetusta noudatetaan kaikilta osin, ja toteuttamaan tarvittavat korjaavat toimenpiteet, ja pyytää komissiota seuraamaan tiiviisti niiden täytäntöönpanoa;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panee merkille, että ELAn osalta varauma koski vuonna 2024 suoritettuja 2,6 miljoonan euron maksuja, joiden osuus oli 5,7 prosenttia kaikista käytettävissä olleista maksumäärärahoista; toteaa tähän määrään sisältyneen 2,2 miljoonaa euroa, jotka liittyivät sopimukseen, joka katsottiin vuoden 2022 tarkastuskertomuksessa sääntöjenvastaiseksi siksi, että varainhoitoasetuksen liitteessä I olevan 12.3 kohdan a alakohdan vastaisesti sopimuksen arvo ylitti vahvistetun sopimusrajan, sekä 0,4 miljoonaa euroa, jotka liittyivät sopimusten täytäntöönpanoa koskevien ennakkotarkastusten puutteisiin; panee erityisesti merkille ELAn 1. joulukuuta 2025 pidetyssä kuulemisessa antaman vastauksen, jonka mukaan sääntöjenvastaisesti myönnettyä sopimusta lukuun ottamatta sopimuksen puitteissa tosiasiallisesti suoritetut maksut pysyivät tarjouseritelmässä vahvistetun kuuden miljoonan euron rajoissa ja sopimus oli olennaisen tärkeä viranomaisen toiminnan jatkuvuuden varmistamiseksi sen perustamisen alkuvaiheessa; panee lisäksi merkille, että sääntöjenvastainen sopimus päättyi helmikuussa 2024 eikä sitä uusittu; on ilahtunut siitä, että viranomainen vakuuttaa, että vastaavien sääntöjenvastaisuuksien ehkäisemiseksi on toteutettu korjaavia toimenpiteitä, kuten tarkistettu tarjousasiakirjoja, lujitettu hankintamenettelyjä ja päivitetty sisäisiä tarkistuslistoja;</w:t>
            </w:r>
          </w:p>
        </w:tc>
        <w:tc>
          <w:tcPr>
            <w:tcW w:w="4876" w:type="dxa"/>
            <w:tcBorders>
              <w:top w:val="nil"/>
              <w:left w:val="nil"/>
              <w:bottom w:val="nil"/>
              <w:right w:val="nil"/>
            </w:tcBorders>
          </w:tcPr>
          <w:p>
            <w:pPr>
              <w:pStyle w:val="Normal6a"/>
            </w:pPr>
            <w:r>
              <w:t>48.</w:t>
            </w:r>
            <w:r>
              <w:tab/>
            </w:r>
            <w:r>
              <w:t xml:space="preserve">panee merkille, että ELAn osalta varauma koski vuonna 2024 suoritettuja 2,6 miljoonan euron maksuja, joiden osuus oli 5,7 prosenttia kaikista käytettävissä olleista maksumäärärahoista; toteaa tähän määrään sisältyneen 2,2 miljoonaa euroa, jotka liittyivät sopimukseen, joka katsottiin vuoden 2022 tarkastuskertomuksessa sääntöjenvastaiseksi siksi, että varainhoitoasetuksen liitteessä I olevan 12.3 kohdan a alakohdan vastaisesti sopimuksen arvo ylitti vahvistetun sopimusrajan, sekä 0,4 miljoonaa euroa, jotka liittyivät sopimusten täytäntöönpanoa koskevien ennakkotarkastusten puutteisiin; panee erityisesti merkille ELAn 1. joulukuuta 2025 pidetyssä kuulemisessa antaman vastauksen, jonka mukaan sääntöjenvastaisesti myönnettyä sopimusta lukuun ottamatta sopimuksen puitteissa tosiasiallisesti suoritetut maksut pysyivät tarjouseritelmässä vahvistetun kuuden miljoonan euron rajoissa ja sopimus oli olennaisen tärkeä viranomaisen toiminnan jatkuvuuden varmistamiseksi sen perustamisen alkuvaiheessa; panee lisäksi merkille, että sääntöjenvastainen sopimus päättyi helmikuussa 2024 eikä sitä uusittu; on ilahtunut siitä, että viranomainen vakuuttaa, että vastaavien sääntöjenvastaisuuksien ehkäisemiseksi on toteutettu korjaavia toimenpiteitä, kuten tarkistettu tarjousasiakirjoja, lujitettu hankintamenettelyjä ja päivitetty sisäisiä tarkistuslistoja; </w:t>
            </w:r>
            <w:r>
              <w:rPr>
                <w:b/>
                <w:i/>
              </w:rPr>
              <w:t>kannustaa ELAa vahvistamaan suunnittelu- ja priorisointimekanismeja, jotta varmistetaan määrärahojen tehokas käyttö ja operatiivisten toimien oikea-aikainen täytäntöönpano tulevaisuudessa;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panee merkille, että virastoja koskevissa erityisvuosikertomuksissa esitetyt huomautukset ovat itse asiassa tilintarkastustuomioistuimen suosituksia, joille ei ole asetettu määräaikaa; toteaa, että tilintarkastustuomioistuin seuraa näitä huomautuksia vuosittain arvioimalla, onko niiden tilanne ”käsittely kesken” vai ”käsittely päätetty”;</w:t>
            </w:r>
          </w:p>
        </w:tc>
        <w:tc>
          <w:tcPr>
            <w:tcW w:w="4876" w:type="dxa"/>
            <w:tcBorders>
              <w:top w:val="nil"/>
              <w:left w:val="nil"/>
              <w:bottom w:val="nil"/>
              <w:right w:val="nil"/>
            </w:tcBorders>
          </w:tcPr>
          <w:p>
            <w:pPr>
              <w:pStyle w:val="Normal6a"/>
            </w:pPr>
            <w:r>
              <w:t>50.</w:t>
            </w:r>
            <w:r>
              <w:tab/>
            </w:r>
            <w:r>
              <w:t xml:space="preserve">panee merkille, että virastoja koskevissa erityisvuosikertomuksissa esitetyt huomautukset ovat itse asiassa tilintarkastustuomioistuimen suosituksia, joille ei ole asetettu määräaikaa; toteaa, että tilintarkastustuomioistuin seuraa näitä huomautuksia vuosittain arvioimalla, onko niiden tilanne ”käsittely kesken” vai ”käsittely päätetty”; </w:t>
            </w:r>
            <w:r>
              <w:rPr>
                <w:b/>
                <w:i/>
              </w:rPr>
              <w:t>katsoo kuitenkin, että pitkäaikaisissa avoimissa huomautuksissa olisi vaadittava oikea-aikaisia ja konkreettisia korjaavia toimenpiteitä sekä asianomaisten hallintoneuvostojen tehostettua valvontaa, jotta toistuvia puutteita voidaan ehkäistä;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pyytää kiinnittämään huomiota siihen, että digitaalista häiriönsietokykyä koskevalla säädöksellä (DORA) ja kryptovarojen markkinoista annetulla asetuksella (MiCAR) on ollut merkittävä vaikutus Euroopan pankkiviranomaisen (EPV) operatiivisiin toimeksiantoihin ja tehtäviin; </w:t>
            </w:r>
            <w:r>
              <w:rPr>
                <w:b/>
                <w:i/>
              </w:rPr>
              <w:t>panee huolestuneena merkille, ettei säännöksissä alun perin otettu riittävästi huomioon näiden roolien vahvistamiseen tai niihin liittyvien politiikkatoimien valmistelu- ja täytäntöönpanovaiheisiin vaadittavaa rahoitusta;</w:t>
            </w:r>
            <w:r>
              <w:t xml:space="preserve"> </w:t>
            </w:r>
            <w:r>
              <w:rPr>
                <w:b/>
                <w:i/>
              </w:rPr>
              <w:t>tukee täysin viranomaisen näkemystä, että tulevissa säädösehdotuksiin liittyvissä rahoitusselvityksissä on ennakoitava tällaisten monimutkaisten toimeksiantojen oikea-aikainen ja tuloksellinen suunnittelu ja annettava siihen asianmukaiset resurssit;</w:t>
            </w:r>
            <w:r>
              <w:t xml:space="preserve"> </w:t>
            </w:r>
            <w:r>
              <w:rPr>
                <w:b/>
                <w:i/>
              </w:rPr>
              <w:t>kehottaa antamaan asianmukaista rahoitusta, jotta tällainen toimeksiannon laajentaminen voidaan ottaa huomioon</w:t>
            </w:r>
            <w:r>
              <w:t>;</w:t>
            </w:r>
          </w:p>
        </w:tc>
        <w:tc>
          <w:tcPr>
            <w:tcW w:w="4876" w:type="dxa"/>
            <w:tcBorders>
              <w:top w:val="nil"/>
              <w:left w:val="nil"/>
              <w:bottom w:val="nil"/>
              <w:right w:val="nil"/>
            </w:tcBorders>
          </w:tcPr>
          <w:p>
            <w:pPr>
              <w:pStyle w:val="Normal6a"/>
            </w:pPr>
            <w:r>
              <w:t>54.</w:t>
            </w:r>
            <w:r>
              <w:tab/>
            </w:r>
            <w:r>
              <w:t xml:space="preserve">pyytää kiinnittämään huomiota siihen, että digitaalista häiriönsietokykyä koskevalla säädöksellä (DORA) ja kryptovarojen markkinoista annetulla asetuksella (MiCAR) on ollut merkittävä vaikutus Euroopan pankkiviranomaisen (EPV) operatiivisiin toimeksiantoihin ja tehtäviin; </w:t>
            </w:r>
            <w:r>
              <w:rPr>
                <w:b/>
                <w:i/>
              </w:rPr>
              <w:t>korostaa, että ennen mahdollista lisärahoitusta on arvioitava yksityiskohtaisesti EPV:n nykyistä resurssien kohdentamista ja määritettävä sisäisen tehokkuuden mahdollinen parantuminen ennen unionin lisärahoitusosuuksien pyytämistä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pyytää kiinnittämään huomiota siihen, että digitaalista häiriönsietokykyä koskevalla säädöksellä (DORA) ja kryptovarojen markkinoista annetulla asetuksella (MiCAR) on ollut merkittävä vaikutus Euroopan pankkiviranomaisen (EPV) operatiivisiin toimeksiantoihin ja tehtäviin; panee huolestuneena merkille, ettei säännöksissä alun perin otettu riittävästi huomioon näiden roolien vahvistamiseen tai niihin liittyvien politiikkatoimien valmistelu- ja täytäntöönpanovaiheisiin vaadittavaa rahoitusta; tukee täysin viranomaisen näkemystä, että tulevissa säädösehdotuksiin liittyvissä rahoitusselvityksissä on ennakoitava tällaisten monimutkaisten toimeksiantojen oikea-aikainen ja tuloksellinen suunnittelu ja annettava siihen asianmukaiset resurssit; </w:t>
            </w:r>
            <w:r>
              <w:rPr>
                <w:b/>
                <w:i/>
              </w:rPr>
              <w:t>kehottaa antamaan asianmukaista rahoitusta, jotta tällainen toimeksiannon laajentaminen voidaan ottaa huomioon;</w:t>
            </w:r>
          </w:p>
        </w:tc>
        <w:tc>
          <w:tcPr>
            <w:tcW w:w="4876" w:type="dxa"/>
            <w:tcBorders>
              <w:top w:val="nil"/>
              <w:left w:val="nil"/>
              <w:bottom w:val="nil"/>
              <w:right w:val="nil"/>
            </w:tcBorders>
          </w:tcPr>
          <w:p>
            <w:pPr>
              <w:pStyle w:val="Normal6a"/>
            </w:pPr>
            <w:r>
              <w:t>54.</w:t>
            </w:r>
            <w:r>
              <w:tab/>
            </w:r>
            <w:r>
              <w:t>pyytää kiinnittämään huomiota siihen, että digitaalista häiriönsietokykyä koskevalla säädöksellä (DORA) ja kryptovarojen markkinoista annetulla asetuksella (MiCAR) on ollut merkittävä vaikutus Euroopan pankkiviranomaisen (EPV) operatiivisiin toimeksiantoihin ja tehtäviin; panee huolestuneena merkille, ettei säännöksissä alun perin otettu riittävästi huomioon näiden roolien vahvistamiseen tai niihin liittyvien politiikkatoimien valmistelu- ja täytäntöönpanovaiheisiin vaadittavaa rahoitusta; tukee täysin viranomaisen näkemystä, että tulevissa säädösehdotuksiin liittyvissä rahoitusselvityksissä on ennakoitava tällaisten monimutkaisten toimeksiantojen oikea-aikainen ja tuloksellinen suunnittelu ja annettava siihen asianmukaiset resurssit;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panee merkille, että kesäkuussa 2024 CEPOLiin kohdistui merkittävä kyberhyökkäys, joka vaikutti kaikkiin toiminta-aloihin ja johti siihen, että kymmenen lähikoulutustapahtumaa peruutettiin ja kaikki verkkokoulutus keskeytettiin kyseisen vuoden loppuun saakka; toteaa myös, että tapahtuma häiritsi merkittävästi CEPOLin operatiivista toimintaa ja se johti myös odottamattomiin lisämenoihin, jotka liittyivät poikkeamaan reagoimiseen, järjestelmän palautukseen ja tehostettuihin kyberturvallisuutta koskeviin toimenpiteisiin; on tietoinen siitä, että hyökkäyksen johdosta aloitettiin CERT-EU:n ja Europolin tuella toteutettava rikostutkinta; pyytää kiinnittämään huomiota CERT-EU:n infrastruktuurin jälleenrakentamisesta antamaan neuvoon, joka johti nollaluottamukseen perustuvan </w:t>
            </w:r>
            <w:r>
              <w:rPr>
                <w:b/>
                <w:i/>
              </w:rPr>
              <w:t>lähestymistavan mukaisen infrastruktuurin</w:t>
            </w:r>
            <w:r>
              <w:t xml:space="preserve"> käyttöönottoon DIGIT-pääosastossa kolmen viikon kuluessa;</w:t>
            </w:r>
          </w:p>
        </w:tc>
        <w:tc>
          <w:tcPr>
            <w:tcW w:w="4876" w:type="dxa"/>
            <w:tcBorders>
              <w:top w:val="nil"/>
              <w:left w:val="nil"/>
              <w:bottom w:val="nil"/>
              <w:right w:val="nil"/>
            </w:tcBorders>
          </w:tcPr>
          <w:p>
            <w:pPr>
              <w:pStyle w:val="Normal6a"/>
            </w:pPr>
            <w:r>
              <w:t>57.</w:t>
            </w:r>
            <w:r>
              <w:tab/>
            </w:r>
            <w:r>
              <w:t xml:space="preserve">panee merkille, että kesäkuussa 2024 CEPOLiin kohdistui merkittävä kyberhyökkäys, joka vaikutti kaikkiin toiminta-aloihin ja johti siihen, että kymmenen lähikoulutustapahtumaa peruutettiin ja kaikki verkkokoulutus keskeytettiin kyseisen vuoden loppuun saakka; toteaa myös, että tapahtuma häiritsi merkittävästi CEPOLin operatiivista toimintaa ja se johti myös odottamattomiin lisämenoihin, jotka liittyivät poikkeamaan reagoimiseen, järjestelmän palautukseen ja tehostettuihin kyberturvallisuutta koskeviin toimenpiteisiin; </w:t>
            </w:r>
            <w:r>
              <w:rPr>
                <w:b/>
                <w:i/>
              </w:rPr>
              <w:t>panee merkille, että tietoturvaloukkaus johtui suoraan CEPOLin digitaaliseen infrastruktuuriin kohdistuneesta pitkälle kehitetystä kyberhyökkäyksestä ja että luvattomat toimijat saivat pääsyn merkittävään määrään henkilötietoja, mikä vaaransi niiden luottamuksellisuuden, eheyden ja saatavuuden;</w:t>
            </w:r>
            <w:r>
              <w:t xml:space="preserve"> </w:t>
            </w:r>
            <w:r>
              <w:rPr>
                <w:b/>
                <w:i/>
              </w:rPr>
              <w:t>korostaa, että kyberhyökkäyksen vuoksi noin 99 000 henkilölle oli ilmoitettava suoraan heidän henkilötietojensa tietoturvaloukkauksesta;</w:t>
            </w:r>
            <w:r>
              <w:t xml:space="preserve"> on tietoinen siitä, että hyökkäyksen johdosta aloitettiin CERT-EU:n ja Europolin tuella toteutettava rikostutkinta</w:t>
            </w:r>
            <w:r>
              <w:rPr>
                <w:b/>
                <w:i/>
              </w:rPr>
              <w:t>;</w:t>
            </w:r>
            <w:r>
              <w:t xml:space="preserve"> </w:t>
            </w:r>
            <w:r>
              <w:rPr>
                <w:b/>
                <w:i/>
              </w:rPr>
              <w:t>on huolissaan siitä, että joistakin aihetodisteista huolimatta uhkatoimijaa ei ole tunnistettu kiistattomasti</w:t>
            </w:r>
            <w:r>
              <w:t xml:space="preserve">; pyytää kiinnittämään huomiota CERT-EU:n infrastruktuurin jälleenrakentamisesta antamaan neuvoon, joka johti nollaluottamukseen perustuvan </w:t>
            </w:r>
            <w:r>
              <w:rPr>
                <w:b/>
                <w:i/>
              </w:rPr>
              <w:t>ja kokonaan pilvipalveluna toimivan tietotekniikkaympäristön ja uusien laitteiden</w:t>
            </w:r>
            <w:r>
              <w:t xml:space="preserve"> käyttöönottoon DIGIT-pääosastossa kolmen viikon kuluessa; </w:t>
            </w:r>
            <w:r>
              <w:rPr>
                <w:b/>
                <w:i/>
              </w:rPr>
              <w:t>panee merkille, että CEPOL toteuttaa tällä hetkellä 42:ta kyberturvallisuustehtävää ja -hanketta osana kyberturvallisuussuunnitelmaansa;</w:t>
            </w:r>
            <w:r>
              <w:t xml:space="preserve"> </w:t>
            </w:r>
            <w:r>
              <w:rPr>
                <w:b/>
                <w:i/>
              </w:rPr>
              <w:t>korostaa, että koko henkilöstölle on järjestetty tieto- ja viestintätekniikan turvallisuutta koskevia tiedotus- ja koulutustilaisuuksia, joita on täydennetty säännöllisillä intranet-ilmoituksilla ja -päivityksillä osana vakiokäytäntöä;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panee merkille, että kesäkuussa 2024 CEPOLiin kohdistui merkittävä kyberhyökkäys, joka vaikutti kaikkiin toiminta-aloihin ja johti siihen, että kymmenen lähikoulutustapahtumaa peruutettiin ja kaikki verkkokoulutus keskeytettiin kyseisen vuoden loppuun saakka; toteaa myös, että tapahtuma häiritsi merkittävästi CEPOLin operatiivista toimintaa ja se johti myös odottamattomiin lisämenoihin, jotka liittyivät poikkeamaan reagoimiseen, järjestelmän palautukseen ja tehostettuihin kyberturvallisuutta koskeviin toimenpiteisiin; on tietoinen siitä, että hyökkäyksen johdosta aloitettiin CERT-EU:n ja Europolin tuella toteutettava rikostutkinta; pyytää kiinnittämään huomiota CERT-EU:n infrastruktuurin jälleenrakentamisesta antamaan neuvoon, joka johti nollaluottamukseen perustuvan lähestymistavan mukaisen infrastruktuurin käyttöönottoon DIGIT-pääosastossa kolmen viikon kuluessa;</w:t>
            </w:r>
          </w:p>
        </w:tc>
        <w:tc>
          <w:tcPr>
            <w:tcW w:w="4876" w:type="dxa"/>
            <w:tcBorders>
              <w:top w:val="nil"/>
              <w:left w:val="nil"/>
              <w:bottom w:val="nil"/>
              <w:right w:val="nil"/>
            </w:tcBorders>
          </w:tcPr>
          <w:p>
            <w:pPr>
              <w:pStyle w:val="Normal6a"/>
            </w:pPr>
            <w:r>
              <w:t>57.</w:t>
            </w:r>
            <w:r>
              <w:tab/>
            </w:r>
            <w:r>
              <w:t xml:space="preserve">panee merkille, että kesäkuussa 2024 CEPOLiin kohdistui merkittävä kyberhyökkäys, joka vaikutti kaikkiin toiminta-aloihin ja johti siihen, että kymmenen lähikoulutustapahtumaa peruutettiin ja kaikki verkkokoulutus keskeytettiin kyseisen vuoden loppuun saakka; toteaa myös, että tapahtuma häiritsi merkittävästi CEPOLin operatiivista toimintaa ja se johti myös odottamattomiin lisämenoihin, jotka liittyivät poikkeamaan reagoimiseen, järjestelmän palautukseen ja tehostettuihin kyberturvallisuutta koskeviin toimenpiteisiin; on tietoinen siitä, että hyökkäyksen johdosta aloitettiin CERT-EU:n ja Europolin tuella toteutettava rikostutkinta; pyytää kiinnittämään huomiota CERT-EU:n infrastruktuurin jälleenrakentamisesta antamaan neuvoon, joka johti nollaluottamukseen perustuvan lähestymistavan mukaisen infrastruktuurin käyttöönottoon DIGIT-pääosastossa kolmen viikon kuluessa; </w:t>
            </w:r>
            <w:r>
              <w:rPr>
                <w:b/>
                <w:i/>
              </w:rPr>
              <w:t>korostaa, että kyberturvallisuuden puutteet aiheuttavat virastoille paitsi operatiivisia myös maineeseen liittyviä ja oikeudellisia riskejä;</w:t>
            </w:r>
            <w:r>
              <w:t xml:space="preserve"> </w:t>
            </w:r>
            <w:r>
              <w:rPr>
                <w:b/>
                <w:i/>
              </w:rPr>
              <w:t>kehottaa laatimaan sitovat kyberturvallisuuden vähimmäisvaatimukset ja varmistamaan riittävän ja vakaan rahoituksen niiden tehokkaan täytäntöönpanon varmistamiseksi;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 a.</w:t>
            </w:r>
            <w:r>
              <w:tab/>
            </w:r>
            <w:r>
              <w:rPr>
                <w:b/>
                <w:i/>
              </w:rPr>
              <w:t>panee merkille koulutustoimien yleisen vähenemisen vuonna 2024 ja korostaa tarvetta varmistaa, että CEPOLin resurssit käytetään ensisijaisesti operatiiviseen ja tekniseen koulutukseen, joka liittyy suoraan lainvalvontaan;</w:t>
            </w:r>
            <w:r>
              <w:t xml:space="preserve"> </w:t>
            </w:r>
            <w:r>
              <w:rPr>
                <w:b/>
                <w:i/>
              </w:rPr>
              <w:t>muistuttaa, että CEPOLin tehtävänä on tehostaa poliisiyhteistyötä, tutkintavalmiuksia ja rajatylittävän rikollisuuden ehkäisemistä eikä osallistua aihekohtaisiin tai ideologisiin koulutusohjelmiin;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 a.</w:t>
            </w:r>
            <w:r>
              <w:tab/>
            </w:r>
            <w:r>
              <w:rPr>
                <w:b/>
                <w:i/>
              </w:rPr>
              <w:t>korostaa, että kun virastot toimivat unionin alueen ulkopuolella tai tekevät yhteistyötä kolmansien maiden viranomaisten kanssa, niitä sitoo edelleen kaikilta osin unionin lainsäädäntö, mukaan lukien perusoikeusvelvoitteet, avoimuusvaatimukset ja vastuuvelvollisuutta koskevat normit;</w:t>
            </w:r>
            <w:r>
              <w:t xml:space="preserve"> </w:t>
            </w:r>
            <w:r>
              <w:rPr>
                <w:b/>
                <w:i/>
              </w:rPr>
              <w:t>kehottaa komissiota varmistamaan, että yhteistyösopimuksiin, operatiivisiin järjestelyihin ja tiedonjakokehyksiin sisältyy täytäntöönpanokelpoisia suojatoimia, seurantamekanismeja ja selkeitä raportointivelvoitteita vastuuvapauden myöntävälle viranomaiselle;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palauttaa mieliin, että asetuksessa (EU, Euratom) 2023/284</w:t>
            </w:r>
            <w:r>
              <w:rPr>
                <w:vertAlign w:val="superscript"/>
              </w:rPr>
              <w:t>16</w:t>
            </w:r>
            <w:r>
              <w:t xml:space="preserve">säädetään sitovasta ja kunnianhimoisesta kyberturvallisuuskehyksestä kaikille erillisvirastoille, mukaan lukien kattavan kyberturvallisuusriskien hallintajärjestelmän käyttöönotto, vankkojen teknisten ja organisatoristen toimenpiteiden toteuttaminen kaikissa tieto- ja viestintätekniikkaympäristöissä, asteittainen siirtyminen nollaluottamukseen perustuvaan arkkitehtuuriin, vahvistettu yhteistyö CERT-EU:n kanssa ja poikkeamia koskevat tiukat raportointivelvoitteet; panee merkille, että useat näistä keskeisistä vaatimuksista ovat yhä haastavia virastojen tämänhetkinen epätasainen valmiustaso huomioon ottaen; korostaa, että </w:t>
            </w:r>
            <w:r>
              <w:rPr>
                <w:b/>
                <w:i/>
              </w:rPr>
              <w:t>kaikkien</w:t>
            </w:r>
            <w:r>
              <w:t xml:space="preserve"> virastojen </w:t>
            </w:r>
            <w:r>
              <w:rPr>
                <w:b/>
                <w:i/>
              </w:rPr>
              <w:t>on otettava oppia CEPOLin kyberhyökkäyksestä ja nopeutettava</w:t>
            </w:r>
            <w:r>
              <w:t xml:space="preserve"> asetuksen </w:t>
            </w:r>
            <w:r>
              <w:rPr>
                <w:b/>
                <w:i/>
              </w:rPr>
              <w:t>kyberturvallisuussäännösten</w:t>
            </w:r>
            <w:r>
              <w:t xml:space="preserve"> täytäntöönpanoa;</w:t>
            </w:r>
          </w:p>
        </w:tc>
        <w:tc>
          <w:tcPr>
            <w:tcW w:w="4876" w:type="dxa"/>
            <w:tcBorders>
              <w:top w:val="nil"/>
              <w:left w:val="nil"/>
              <w:bottom w:val="nil"/>
              <w:right w:val="nil"/>
            </w:tcBorders>
          </w:tcPr>
          <w:p>
            <w:pPr>
              <w:pStyle w:val="Normal6a"/>
            </w:pPr>
            <w:r>
              <w:t>58.</w:t>
            </w:r>
            <w:r>
              <w:tab/>
            </w:r>
            <w:r>
              <w:t>palauttaa mieliin, että asetuksessa (EU, Euratom) 2023/284</w:t>
            </w:r>
            <w:r>
              <w:rPr>
                <w:vertAlign w:val="superscript"/>
              </w:rPr>
              <w:t>16</w:t>
            </w:r>
            <w:r>
              <w:t xml:space="preserve"> säädetään sitovasta ja kunnianhimoisesta kyberturvallisuuskehyksestä kaikille erillisvirastoille, mukaan lukien kattavan kyberturvallisuusriskien hallintajärjestelmän käyttöönotto, vankkojen teknisten ja organisatoristen toimenpiteiden toteuttaminen kaikissa tieto- ja viestintätekniikkaympäristöissä, asteittainen siirtyminen nollaluottamukseen perustuvaan arkkitehtuuriin, vahvistettu yhteistyö CERT-EU:n kanssa ja poikkeamia koskevat tiukat raportointivelvoitteet; panee merkille, että useat näistä keskeisistä vaatimuksista ovat yhä haastavia virastojen tämänhetkinen epätasainen valmiustaso huomioon ottaen; korostaa, että </w:t>
            </w:r>
            <w:r>
              <w:rPr>
                <w:b/>
                <w:i/>
              </w:rPr>
              <w:t>CEPOLin kyberhäiriötilanne osoittaa arkaluonteisia tietoja käsittelevien</w:t>
            </w:r>
            <w:r>
              <w:t xml:space="preserve"> virastojen </w:t>
            </w:r>
            <w:r>
              <w:rPr>
                <w:b/>
                <w:i/>
              </w:rPr>
              <w:t>systeemisen haavoittuvuuden;</w:t>
            </w:r>
            <w:r>
              <w:t xml:space="preserve"> </w:t>
            </w:r>
            <w:r>
              <w:rPr>
                <w:b/>
                <w:i/>
              </w:rPr>
              <w:t>kehottaa nopeuttamaan</w:t>
            </w:r>
            <w:r>
              <w:t xml:space="preserve"> asetuksen </w:t>
            </w:r>
            <w:r>
              <w:rPr>
                <w:b/>
                <w:i/>
              </w:rPr>
              <w:t>(EU, Euratom) 2023/284 kyberturvallisuutta koskevien säännösten</w:t>
            </w:r>
            <w:r>
              <w:t xml:space="preserve"> täytäntöönpanoa </w:t>
            </w:r>
            <w:r>
              <w:rPr>
                <w:b/>
                <w:i/>
              </w:rPr>
              <w:t>kaikissa virastoissa ja tekemään virastojen tietotekniikkajärjestelmille ja toiminnan jatkuvuuden varajärjestelmille säännöllisiä stressitestejä</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Euroopan parlamentin ja neuvoston asetus (EU, Euratom) 2023/2841, annettu 13</w:t>
            </w:r>
            <w:r>
              <w:rPr>
                <w:b/>
                <w:i/>
              </w:rPr>
              <w:t>.</w:t>
            </w:r>
            <w:r>
              <w:t xml:space="preserve"> joulukuuta 2023, toimenpiteistä kyberturvallisuuden yhteisen korkean tason varmistamiseksi unionin toimielimissä, elimissä, toimistoissa ja virastoissa (</w:t>
            </w:r>
            <w:r>
              <w:rPr>
                <w:b/>
                <w:i/>
              </w:rPr>
              <w:t>OJ</w:t>
            </w:r>
            <w:r>
              <w:t xml:space="preserve"> L, 2023/2841, 18.12.2023, ELI: http://data.europa.</w:t>
            </w:r>
            <w:r>
              <w:rPr>
                <w:b/>
                <w:i/>
              </w:rPr>
              <w:t>eu/eli/reg/2023/2841/oj)</w:t>
            </w:r>
            <w:r>
              <w:t>.</w:t>
            </w:r>
          </w:p>
        </w:tc>
        <w:tc>
          <w:tcPr>
            <w:tcW w:w="4876" w:type="dxa"/>
            <w:tcBorders>
              <w:top w:val="nil"/>
              <w:left w:val="nil"/>
              <w:bottom w:val="nil"/>
              <w:right w:val="nil"/>
            </w:tcBorders>
          </w:tcPr>
          <w:p>
            <w:pPr>
              <w:pStyle w:val="Normal6a"/>
            </w:pPr>
            <w:r>
              <w:rPr>
                <w:vertAlign w:val="superscript"/>
              </w:rPr>
              <w:t>16</w:t>
            </w:r>
            <w:r>
              <w:t xml:space="preserve"> </w:t>
            </w:r>
            <w:r>
              <w:t xml:space="preserve">Euroopan parlamentin ja neuvoston asetus (EU, Euratom) 2023/2841, annettu 13 </w:t>
            </w:r>
            <w:r>
              <w:rPr>
                <w:b/>
                <w:i/>
              </w:rPr>
              <w:t>päivänä</w:t>
            </w:r>
            <w:r>
              <w:t xml:space="preserve"> joulukuuta 2023, toimenpiteistä kyberturvallisuuden yhteisen korkean tason varmistamiseksi unionin toimielimissä, elimissä, toimistoissa ja virastoissa (</w:t>
            </w:r>
            <w:r>
              <w:rPr>
                <w:b/>
                <w:i/>
              </w:rPr>
              <w:t>EUVL</w:t>
            </w:r>
            <w:r>
              <w:t xml:space="preserve"> L, 2023/2841, 18.12.2023, ELI: http://data.europa.</w:t>
            </w:r>
            <w:r>
              <w:rPr>
                <w:b/>
                <w:i/>
              </w:rPr>
              <w:t>eu/eli/reg/2023/2841/oj</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palauttaa mieliin, että asetuksessa (EU, Euratom) 2023/284</w:t>
            </w:r>
            <w:r>
              <w:rPr>
                <w:vertAlign w:val="superscript"/>
              </w:rPr>
              <w:t>16</w:t>
            </w:r>
            <w:r>
              <w:t>säädetään sitovasta ja kunnianhimoisesta kyberturvallisuuskehyksestä kaikille erillisvirastoille, mukaan lukien kattavan kyberturvallisuusriskien hallintajärjestelmän käyttöönotto, vankkojen teknisten ja organisatoristen toimenpiteiden toteuttaminen kaikissa tieto- ja viestintätekniikkaympäristöissä, asteittainen siirtyminen nollaluottamukseen perustuvaan arkkitehtuuriin, vahvistettu yhteistyö CERT-EU:n kanssa ja poikkeamia koskevat tiukat raportointivelvoitteet; panee merkille, että useat näistä keskeisistä vaatimuksista ovat yhä haastavia virastojen tämänhetkinen epätasainen valmiustaso huomioon ottaen; korostaa, että kaikkien virastojen on otettava oppia CEPOLin kyberhyökkäyksestä ja nopeutettava asetuksen kyberturvallisuussäännösten täytäntöönpanoa;</w:t>
            </w:r>
          </w:p>
        </w:tc>
        <w:tc>
          <w:tcPr>
            <w:tcW w:w="4876" w:type="dxa"/>
            <w:tcBorders>
              <w:top w:val="nil"/>
              <w:left w:val="nil"/>
              <w:bottom w:val="nil"/>
              <w:right w:val="nil"/>
            </w:tcBorders>
          </w:tcPr>
          <w:p>
            <w:pPr>
              <w:pStyle w:val="Normal6a"/>
            </w:pPr>
            <w:r>
              <w:t>58.</w:t>
            </w:r>
            <w:r>
              <w:tab/>
            </w:r>
            <w:r>
              <w:t>palauttaa mieliin, että asetuksessa (EU, Euratom) 2023/284</w:t>
            </w:r>
            <w:r>
              <w:rPr>
                <w:vertAlign w:val="superscript"/>
              </w:rPr>
              <w:t>16</w:t>
            </w:r>
            <w:r>
              <w:t xml:space="preserve"> säädetään sitovasta ja kunnianhimoisesta kyberturvallisuuskehyksestä kaikille erillisvirastoille, mukaan lukien </w:t>
            </w:r>
            <w:r>
              <w:rPr>
                <w:b/>
                <w:i/>
              </w:rPr>
              <w:t>sellaisen</w:t>
            </w:r>
            <w:r>
              <w:t xml:space="preserve"> kattavan kyberturvallisuusriskien hallintajärjestelmän käyttöönotto, </w:t>
            </w:r>
            <w:r>
              <w:rPr>
                <w:b/>
                <w:i/>
              </w:rPr>
              <w:t>joka kattaa rahoitusmekanismit, operatiiviset alustat ja arkaluonteiset tiedot, sekä</w:t>
            </w:r>
            <w:r>
              <w:t xml:space="preserve"> vankkojen teknisten ja organisatoristen toimenpiteiden toteuttaminen kaikissa tieto- ja viestintätekniikkaympäristöissä, asteittainen siirtyminen nollaluottamukseen perustuvaan arkkitehtuuriin, vahvistettu yhteistyö CERT-EU:n</w:t>
            </w:r>
            <w:r>
              <w:rPr>
                <w:b/>
                <w:i/>
              </w:rPr>
              <w:t>, DIGIT-pääosaston ja muiden asiaankuuluvien toimielinten välisten elinten</w:t>
            </w:r>
            <w:r>
              <w:t xml:space="preserve"> kanssa ja poikkeamia koskevat tiukat raportointivelvoitteet; panee merkille, että useat näistä keskeisistä vaatimuksista ovat yhä haastavia virastojen tämänhetkinen epätasainen valmiustaso huomioon ottaen; </w:t>
            </w:r>
            <w:r>
              <w:rPr>
                <w:b/>
                <w:i/>
              </w:rPr>
              <w:t>kehottaa virastoja järjestämään säännöllisesti kyberhäiriöitä koskevia simulaatioharjoituksia ja validoimaan valmius- ja koordinointimenettelyt;</w:t>
            </w:r>
            <w:r>
              <w:t xml:space="preserve"> korostaa, että kaikkien virastojen on otettava oppia CEPOLin kyberhyökkäyksestä ja nopeutettava asetuksen kyberturvallisuussäännösten täytäntöönpanoa;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Euroopan parlamentin ja neuvoston asetus (EU, Euratom) 2023/2841, annettu 13</w:t>
            </w:r>
            <w:r>
              <w:rPr>
                <w:b/>
                <w:i/>
              </w:rPr>
              <w:t>.</w:t>
            </w:r>
            <w:r>
              <w:t xml:space="preserve"> joulukuuta 2023, toimenpiteistä kyberturvallisuuden yhteisen korkean tason varmistamiseksi unionin toimielimissä, elimissä, toimistoissa ja virastoissa (</w:t>
            </w:r>
            <w:r>
              <w:rPr>
                <w:b/>
                <w:i/>
              </w:rPr>
              <w:t>OJ</w:t>
            </w:r>
            <w:r>
              <w:t xml:space="preserve"> L, 2023/2841, 18.12.2023, ELI: http://data.europa.</w:t>
            </w:r>
            <w:r>
              <w:rPr>
                <w:b/>
                <w:i/>
              </w:rPr>
              <w:t>eu/eli/reg/2023/2841/oj)</w:t>
            </w:r>
            <w:r>
              <w:t>.</w:t>
            </w:r>
          </w:p>
        </w:tc>
        <w:tc>
          <w:tcPr>
            <w:tcW w:w="4876" w:type="dxa"/>
            <w:tcBorders>
              <w:top w:val="nil"/>
              <w:left w:val="nil"/>
              <w:bottom w:val="nil"/>
              <w:right w:val="nil"/>
            </w:tcBorders>
          </w:tcPr>
          <w:p>
            <w:pPr>
              <w:pStyle w:val="Normal6a"/>
            </w:pPr>
            <w:r>
              <w:rPr>
                <w:vertAlign w:val="superscript"/>
              </w:rPr>
              <w:t>16</w:t>
            </w:r>
            <w:r>
              <w:t xml:space="preserve"> </w:t>
            </w:r>
            <w:r>
              <w:t xml:space="preserve">Euroopan parlamentin ja neuvoston asetus (EU, Euratom) 2023/2841, annettu 13 </w:t>
            </w:r>
            <w:r>
              <w:rPr>
                <w:b/>
                <w:i/>
              </w:rPr>
              <w:t>päivänä</w:t>
            </w:r>
            <w:r>
              <w:t xml:space="preserve"> joulukuuta 2023, toimenpiteistä kyberturvallisuuden yhteisen korkean tason varmistamiseksi unionin toimielimissä, elimissä, toimistoissa ja virastoissa (</w:t>
            </w:r>
            <w:r>
              <w:rPr>
                <w:b/>
                <w:i/>
              </w:rPr>
              <w:t>EUVL</w:t>
            </w:r>
            <w:r>
              <w:t xml:space="preserve"> L, 2023/2841, 18.12.2023, ELI: http://data.europa.</w:t>
            </w:r>
            <w:r>
              <w:rPr>
                <w:b/>
                <w:i/>
              </w:rPr>
              <w:t>eu/eli/reg/2023/2841/oj</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58 a.</w:t>
            </w:r>
            <w:r>
              <w:tab/>
            </w:r>
            <w:r>
              <w:rPr>
                <w:b/>
                <w:i/>
              </w:rPr>
              <w:t>kehottaa virastoja vahvistamaan reaaliaikaisia seurantavalmiuksia ja uhkien havaitsemisvalmiuksia, jotta voidaan minimoida altistumis- ja reagointiaika kyberhyökkäysten sattuessa;</w:t>
            </w:r>
            <w:r>
              <w:t xml:space="preserve"> </w:t>
            </w:r>
            <w:r>
              <w:rPr>
                <w:b/>
                <w:i/>
              </w:rPr>
              <w:t>kannustaa virastoja toteuttamaan jatkuvasti kyberturvallisuutta koskevia tiedotus- ja koulutusohjelmia henkilöstölle;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 a.</w:t>
            </w:r>
            <w:r>
              <w:tab/>
            </w:r>
            <w:r>
              <w:rPr>
                <w:b/>
                <w:i/>
              </w:rPr>
              <w:t>panee merkille, että miehet ovat aliedustettuina EIGEn henkilöstössä, sillä heitä on henkilöstöstä vain 29 prosenttia ja hallintoneuvostosta 21 prosenttia (8 miestä), ja kannustaa EIGEä parantamaan sukupuolten tasapuolista edustusta palkatessaan uusia työntekijöitä;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59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panee merkille tilintarkastustuomioistuimen huomautukset EIGEn hallinto- ja valvontajärjestelmistä, kuten</w:t>
            </w:r>
          </w:p>
        </w:tc>
        <w:tc>
          <w:tcPr>
            <w:tcW w:w="4876" w:type="dxa"/>
            <w:tcBorders>
              <w:top w:val="nil"/>
              <w:left w:val="nil"/>
              <w:bottom w:val="nil"/>
              <w:right w:val="nil"/>
            </w:tcBorders>
          </w:tcPr>
          <w:p>
            <w:pPr>
              <w:pStyle w:val="Normal6a"/>
            </w:pPr>
            <w:r>
              <w:t>59.</w:t>
            </w:r>
            <w:r>
              <w:tab/>
            </w:r>
            <w:r>
              <w:t xml:space="preserve">panee merkille tilintarkastustuomioistuimen huomautukset EIGEn hallinto- ja valvontajärjestelmistä, kuten </w:t>
            </w:r>
            <w:r>
              <w:rPr>
                <w:b/>
                <w:i/>
              </w:rPr>
              <w:t>liian tiukat ja rajoittavat kriteerit vuoden 2024 siivouspalveluja koskevassa tarjouskilpailussa, ongelmat kahden tarjouskilpailun arvioinneissa näyttöä koskevien vaatimusten puuttumisen vuoksi sekä kolmen aikaan ja resursseihin pohjautuvan sopimuksen heikko valvonta, johon ei kuulunut tehtyjen työpäivien tarkastamista ja joka aiheutti riskin liiallisista maksuista;</w:t>
            </w:r>
            <w:r>
              <w:t xml:space="preserve"> </w:t>
            </w:r>
            <w:r>
              <w:rPr>
                <w:b/>
                <w:i/>
              </w:rPr>
              <w:t>panee merkille EIGEn sitoumuksen tehostaa ennakkotarkastuksia;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59 kohta – 1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hankintoja koskevat sääntöjenvastaisuudet:</w:t>
            </w:r>
            <w:r>
              <w:t xml:space="preserve"> </w:t>
            </w:r>
            <w:r>
              <w:rPr>
                <w:b/>
                <w:i/>
              </w:rPr>
              <w:t>huomauttaa, että vuonna 2024 EIGEn siivouspalveluja koskevassa hankintamenettelyssä vaatimat taloudelliset valmiudet olivat liian suuret ja valintakriteerit rajoittavat, mikä on tilintarkastustuomioistuimen mukaan voinut johtaa siihen, että osa mahdollisista tarjoajista on saattanut lannistua ja jopa jättää osallistumatta tarjouskilpailuun;</w:t>
            </w:r>
            <w:r>
              <w:t xml:space="preserve"> </w:t>
            </w:r>
            <w:r>
              <w:rPr>
                <w:b/>
                <w:i/>
              </w:rPr>
              <w:t>panee merkille, että EIGE korostaa, että vaatimus rajoittavista perusteista tuli yhteishankintaan osallistuneilta hankintaviranomaisilta (komissio ja parlamentti) eivätkä potentiaaliset tarjoajat valittaneet valintaperusteista;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59 kohta – 2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tarjousten puutteellinen arviointi:</w:t>
            </w:r>
            <w:r>
              <w:t xml:space="preserve"> </w:t>
            </w:r>
            <w:r>
              <w:rPr>
                <w:b/>
                <w:i/>
              </w:rPr>
              <w:t>panee merkille, että kahdessa hankintamenettelyssä (220 000 euroa ja 193 175 euroa) EIGEn arviointikomiteat eivät olleet arvioineet asianmukaisesti tarjoajien kykyä hallinnoida asiantuntijaryhmiä, koska EIGE ei ollut tarjouseritelmässä vaatinut tarjoajia toimittamaan tältä osin asianmukaista näyttöä, mihin liittyy sopimusten kehnon toteuttamisen riski;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59 kohta – 3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sopimusten heikko valvonta:</w:t>
            </w:r>
            <w:r>
              <w:t xml:space="preserve"> </w:t>
            </w:r>
            <w:r>
              <w:rPr>
                <w:b/>
                <w:i/>
              </w:rPr>
              <w:t>toteaa, että EIGE maksoi kolmessa aikaan ja resursseihin pohjautuvassa sopimuksessa syntyneitä laskuja tarkastamatta tosiasiallisia työpäiviä, mikä on vastoin sen varainhoitoasetuksen 45 artiklan 5 kohtaa ja altistaa sen liiallisten maksujen riskille;</w:t>
            </w:r>
            <w:r>
              <w:t xml:space="preserve"> </w:t>
            </w:r>
            <w:r>
              <w:rPr>
                <w:b/>
                <w:i/>
              </w:rPr>
              <w:t>panee merkille, että EIGE aikoo lujittaa ennakkotarkastuksia tämän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60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panee merkille eu-LISAa koskevat tilintarkastustuomioistuimen havainnot, joista suurin osa liittyy </w:t>
            </w:r>
            <w:r>
              <w:rPr>
                <w:b/>
                <w:i/>
              </w:rPr>
              <w:t>aiempina vuosina käynnistettyjä hankintamenettelyjä</w:t>
            </w:r>
            <w:r>
              <w:t xml:space="preserve"> koskeviin sääntöjenvastaisuuksiin, jotka johtivat sääntöjenvastaisiin maksuihin vuonna 2024, mukaan </w:t>
            </w:r>
            <w:r>
              <w:rPr>
                <w:b/>
                <w:i/>
              </w:rPr>
              <w:t>lukien</w:t>
            </w:r>
          </w:p>
        </w:tc>
        <w:tc>
          <w:tcPr>
            <w:tcW w:w="4876" w:type="dxa"/>
            <w:tcBorders>
              <w:top w:val="nil"/>
              <w:left w:val="nil"/>
              <w:bottom w:val="nil"/>
              <w:right w:val="nil"/>
            </w:tcBorders>
          </w:tcPr>
          <w:p>
            <w:pPr>
              <w:pStyle w:val="Normal6a"/>
            </w:pPr>
            <w:r>
              <w:t>60.</w:t>
            </w:r>
            <w:r>
              <w:tab/>
            </w:r>
            <w:r>
              <w:t xml:space="preserve">panee merkille eu-LISAa koskevat tilintarkastustuomioistuimen havainnot, joista suurin osa liittyy </w:t>
            </w:r>
            <w:r>
              <w:rPr>
                <w:b/>
                <w:i/>
              </w:rPr>
              <w:t>aiempia hankintamenettelyitä</w:t>
            </w:r>
            <w:r>
              <w:t xml:space="preserve"> koskeviin sääntöjenvastaisuuksiin, jotka johtivat sääntöjenvastaisiin maksuihin vuonna 2024</w:t>
            </w:r>
            <w:r>
              <w:rPr>
                <w:b/>
                <w:i/>
              </w:rPr>
              <w:t>;</w:t>
            </w:r>
            <w:r>
              <w:t xml:space="preserve"> </w:t>
            </w:r>
            <w:r>
              <w:rPr>
                <w:b/>
                <w:i/>
              </w:rPr>
              <w:t>nostaa esiin erityisesti Strasbourgin tilojen vuokraamista koskevan sääntöjenvastaisen neuvottelumenettelyn</w:t>
            </w:r>
            <w:r>
              <w:t xml:space="preserve">, </w:t>
            </w:r>
            <w:r>
              <w:rPr>
                <w:b/>
                <w:i/>
              </w:rPr>
              <w:t>jossa myöntämisperusteet neuvoteltiin uudelleen eivätkä tilat täyttäneet eritelmien vaatimuksia (850 000 euroa),</w:t>
            </w:r>
            <w:r>
              <w:t xml:space="preserve"> </w:t>
            </w:r>
            <w:r>
              <w:rPr>
                <w:b/>
                <w:i/>
              </w:rPr>
              <w:t>tarjoajien hintatarjouksiin sähkö- ja rakennusteknisiä töitä koskevassa hankintamenettelyssä tehdyt muutokset, jotka johtivat sääntöjenvastaiseen sopimukseen (150 000 euroa),</w:t>
            </w:r>
            <w:r>
              <w:t xml:space="preserve"> </w:t>
            </w:r>
            <w:r>
              <w:rPr>
                <w:b/>
                <w:i/>
              </w:rPr>
              <w:t>hinnoittelutekijöiden muutokset, jotka ylittävät sen, mitä varainhoitoasetuksen 151 artiklassa sallitaan, ja jotka vaikuttavat sopimusten tekemiseen (1,4 miljoonaa euroa),</w:t>
            </w:r>
            <w:r>
              <w:t xml:space="preserve"> </w:t>
            </w:r>
            <w:r>
              <w:rPr>
                <w:b/>
                <w:i/>
              </w:rPr>
              <w:t>huolet viisumitietojärjestelmän seuranta- ja ylläpitopalvelujen uudelleenkilpailuttamisesta, jossa voittanut tarjous (47,8 miljoonaa euroa) oli suhteettoman alhainen kilpailijoihin verrattuna ja johon liittyi merkittäviä operatiivisia ja sopimusriskejä, ja</w:t>
            </w:r>
            <w:r>
              <w:t xml:space="preserve"> </w:t>
            </w:r>
            <w:r>
              <w:rPr>
                <w:b/>
                <w:i/>
              </w:rPr>
              <w:t>ratkaisemattoman kiistan rajanylitystietojärjestelmän (EES) ylläpitokustannuksista, mikä johti ylläpidon keskeytymiseen ja siihen, että eu-LISA maksoi 5,3 miljoonaa euroa vuonna 2023 ja 1,3 miljoonaa euroa vuonna 2024 huoltosopimuksen katkoksesta aiheutuneita kustannuksia, joista viraston tulkinnan</w:t>
            </w:r>
            <w:r>
              <w:t xml:space="preserve"> mukaan </w:t>
            </w:r>
            <w:r>
              <w:rPr>
                <w:b/>
                <w:i/>
              </w:rPr>
              <w:t>toimeksisaajan olisi pitänyt vastata;</w:t>
            </w:r>
            <w:r>
              <w:t xml:space="preserve"> </w:t>
            </w:r>
            <w:r>
              <w:rPr>
                <w:b/>
                <w:i/>
              </w:rPr>
              <w:t>pitää valitettavana, ettei asiasta ollut nostettu kannetta vuoden 2024 loppuun mennessä;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60 kohta – 1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sääntöjenvastaisuudet vuonna 2019 käynnistetyssä ja vuonna 2020 päätetyssä, toimitilojen vuokraamista Strasbourgissa koskevassa neuvottelumenettelyssä, jossa tilojen pinta-ala ja työpisteiden määrä jäivät tarjouseritelmässä määriteltyjä tarpeita pienemmiksi ja tarjouksen laatu oli arvioitu erittäin heikoksi, mutta sitä ei hylätty;</w:t>
            </w:r>
            <w:r>
              <w:t xml:space="preserve"> </w:t>
            </w:r>
            <w:r>
              <w:rPr>
                <w:b/>
                <w:i/>
              </w:rPr>
              <w:t>panee lisäksi merkille, että sopimuksentekoperusteista myös neuvoteltiin myöhemmin tarjoajan kanssa, mikä on vastoin varainhoitoasetuksen 167 artiklan 3 kohtaa ja liitteessä I olevaa 6.5 kohtaa;</w:t>
            </w:r>
            <w:r>
              <w:t xml:space="preserve"> </w:t>
            </w:r>
            <w:r>
              <w:rPr>
                <w:b/>
                <w:i/>
              </w:rPr>
              <w:t>korostaa, että neuvottelumenettely ja siihen perustuva vuokrasopimus olivat sääntöjenvastaisia, samoin kuin niihin liittyvät maksut, joiden määrä vuonna 2024 oli 850 000 euroa;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60 kohta – 2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tarjoajien hintatarjouksiin sähkö- ja rakennusteknisten töiden toimittamista Strasbourgissa koskevassa hankintamenettelyssä tehdyt muutokset, jotka vaikuttivat menettelyn tulokseen ja johtivat siihen, että sopimus ja siihen liittyvät maksut, joiden määrä vuonna 2024 oli 150 000 euroa, olivat sääntöjenvastaisia;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60 kohta – 3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hintatarjouksiin tehdyt muutokset, jotka menivät pidemmälle kuin varainhoitoasetuksen 151 artiklassa sallitut oikaisut ja jotka vaikuttivat ratkaisevasti tarjouskilpailun tulokseen ja johtivat siihen, että sopimus ja siihen liittyvät maksut, joiden määrä vuonna 2024 oli 1,4 miljoonaa euroa, olivat sääntöjenvastaisia;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60 kohta – 4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viisumitietojärjestelmään liittyvien seuranta- ja ylläpitopalvelujen uudelleenkilpailuttaminen;</w:t>
            </w:r>
            <w:r>
              <w:t xml:space="preserve"> </w:t>
            </w:r>
            <w:r>
              <w:rPr>
                <w:b/>
                <w:i/>
              </w:rPr>
              <w:t>on huolissaan siitä, että tarjouskilpailun voittaneen tarjoajan tarjous (47,8 miljoonaa euroa), oli hinnaltaan viidesosa toiseksi sijoittuneesta tarjouksesta (243,4 miljoonaa euroa) ja viideskymmenesosa verrattuna kalleimpaan tarjoukseen (2,4 miljardia euroa), mikä herättää huolta sen pätevyydestä;</w:t>
            </w:r>
            <w:r>
              <w:t xml:space="preserve"> </w:t>
            </w:r>
            <w:r>
              <w:rPr>
                <w:b/>
                <w:i/>
              </w:rPr>
              <w:t>pyytää kiinnittämään huomiota siihen, että eu‑LISA perusti työryhmän arvioimaan asianomaista uudelleenkilpailutusta ja että työryhmä vahvisti rahoitustoimihenkilöiden tekemän arvioinnin mutta se raportoi operatiivisesta ja sopimusperusteisesta riskistä, joka liittyi siihen, että eu-LISAn olisi maksettava suurin osa sopimuksen hinnasta etukäteen;</w:t>
            </w:r>
            <w:r>
              <w:t xml:space="preserve"> </w:t>
            </w:r>
            <w:r>
              <w:rPr>
                <w:b/>
                <w:i/>
              </w:rPr>
              <w:t>korostaa, että tilintarkastustuomioistuin piti tätä riskiä merkittävänä;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60 kohta – 5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palauttaa mieliin, että rajanylitystietojärjestelmän (EES) täytäntöönpanon viivästyttyä syntyi kiista, jossa toimeksisaaja kieltäytyi vastaamasta tiettyjen tietotekniikkatuotteiden ylimääräisistä ylläpitokustannuksista, mikä johti siihen, että ylläpito keskeytyi marraskuun 2022 ja huhtikuun 2023 väliseksi ajaksi ja eu‑LISA joutui alttiiksi operatiivisille riskeille;</w:t>
            </w:r>
            <w:r>
              <w:t xml:space="preserve"> </w:t>
            </w:r>
            <w:r>
              <w:rPr>
                <w:b/>
                <w:i/>
              </w:rPr>
              <w:t>palauttaa mieliin, että toiminnan jatkuvuuteen kohdistuvan välittömän riskin huomioon ottamiseksi eu-LISA muutti vuonna 2023 monialaisten toimien puitesopimusta sisällyttämällä siihen huoltosopimuksen katkoksesta aiheutuvat kustannukset, jotka johtuvat seuraamuksesta, jota sovelletaan, kun tuotteen huoltosopimusta ei uusita ajoissa, ja maksoi sittemmin 5,3 miljoonaa euroa vuonna 2023 ja 1,3 miljoonaa euroa vuonna 2024 ohjelmiston ylläpidon uusimisesta ja huoltosopimuksen katkoksesta aiheutuneita kustannuksia, joista viraston tulkinnan mukaan EES:n toimeksisaajan olisi pitänyt vastata;</w:t>
            </w:r>
            <w:r>
              <w:t xml:space="preserve"> </w:t>
            </w:r>
            <w:r>
              <w:rPr>
                <w:b/>
                <w:i/>
              </w:rPr>
              <w:t>palauttaa myös mieliin, että huolimatta kiistanalaisten määrien suuruusluokasta ja siitä, että tilintarkastustuomioistuimen huomautuksen tilanne on edelleen ”käsittely kesken”, eu-LISA ei vuoden 2024 loppuun mennessä ollut nostanut asiasta kannetta EES:n toimeksisaajaa vastaan;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toteaa, että eu-LISAlla on edessään huomattavia haasteita</w:t>
            </w:r>
            <w:r>
              <w:rPr>
                <w:b/>
                <w:i/>
              </w:rPr>
              <w:t>, ja painottaa tarvetta lisätä sen henkilöstöä, jotta se voi tuloksellisesti puuttua näihin haasteisiin ja varmistaa toimintansa jatkuvuuden, sekä toteaa, että tähän olisi saatava vastaava rahoitus</w:t>
            </w:r>
            <w:r>
              <w:t>;</w:t>
            </w:r>
          </w:p>
        </w:tc>
        <w:tc>
          <w:tcPr>
            <w:tcW w:w="4876" w:type="dxa"/>
            <w:tcBorders>
              <w:top w:val="nil"/>
              <w:left w:val="nil"/>
              <w:bottom w:val="nil"/>
              <w:right w:val="nil"/>
            </w:tcBorders>
          </w:tcPr>
          <w:p>
            <w:pPr>
              <w:pStyle w:val="Normal6a"/>
            </w:pPr>
            <w:r>
              <w:t>62.</w:t>
            </w:r>
            <w:r>
              <w:tab/>
            </w:r>
            <w:r>
              <w:t>toteaa, että eu-LISAlla on edessään huomattavia haasteita</w:t>
            </w:r>
            <w:r>
              <w:rPr>
                <w:b/>
                <w:i/>
              </w:rPr>
              <w:t>;</w:t>
            </w:r>
            <w:r>
              <w:t xml:space="preserve"> </w:t>
            </w:r>
            <w:r>
              <w:rPr>
                <w:b/>
                <w:i/>
              </w:rPr>
              <w:t>panee kuitenkin merkille, että tilintarkastustuomioistuin on havainnut jatkuvia ja järjestelmällisiä hankintoihin liittyviä sääntöjenvastaisuuksia eu-LISAn toiminnassa;</w:t>
            </w:r>
            <w:r>
              <w:t xml:space="preserve"> </w:t>
            </w:r>
            <w:r>
              <w:rPr>
                <w:b/>
                <w:i/>
              </w:rPr>
              <w:t>korostaa, että ennen lisähenkilöstön hyväksymistä ja rahoittamista viraston on ensin osoitettava, että se on korjannut tilintarkastustuomioistuimen havaitsemat rakenteelliset puutteet ja että olemassa olevia resursseja käytetään tehokkaasti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pitää myönteisenä, että Europolin operatiivisten toimintaryhmien ja yhteisten tutkintaryhmien mekanismit olivat keskeisessä asemassa salattuun viestintään tarkoitetun Matrix-alustan sulkemisessa, mikä on osoitus niiden toisiaan täydentävistä mutta erillisistä rooleista kansainvälisen järjestäytyneen rikollisuuden torjunnassa; panee merkille, että operaatio käynnistettiin operatiivisessa toimintaryhmässä kesäkuussa 2024 Alankomaiden, Ranskan, Liettuan, Italian ja Espanjan välillä ja sillä helpotettiin tiedustelutiedon jakamista ja rikollisen toiminnan seurantaa; korostaa, että siirtyminen yhteiseen tutkintaryhmään Eurojustin puitteissa mahdollisti tutkintatoimien muodollisen koordinoinnin, mikä johti pidätyksiin, takavarikkoihin ja 2,3 miljoonan 33 kielellä lähetetyn viestin salauksen purkamiseen; huomauttaa, että Saksan viranomaiset tarjosivat teknistä tukea ja Espanjan, Ranskan ja Alankomaiden poliisivoimat tekivät yhteistyötä koko tutkinnan ajan; katsoo, että tämä tapaus tuo esiin rajatylittävän yhteistyön tuloksellisuuden laittomien verkostojen hajottamisessa ja tarpeen investoida jatkuvasti lainvalvontavalmiuksiin, jotta voidaan puuttua rikollisten muuttuviin taktiikoihin;</w:t>
            </w:r>
          </w:p>
        </w:tc>
        <w:tc>
          <w:tcPr>
            <w:tcW w:w="4876" w:type="dxa"/>
            <w:tcBorders>
              <w:top w:val="nil"/>
              <w:left w:val="nil"/>
              <w:bottom w:val="nil"/>
              <w:right w:val="nil"/>
            </w:tcBorders>
          </w:tcPr>
          <w:p>
            <w:pPr>
              <w:pStyle w:val="Normal6a"/>
            </w:pPr>
            <w:r>
              <w:t>70.</w:t>
            </w:r>
            <w:r>
              <w:tab/>
            </w:r>
            <w:r>
              <w:t xml:space="preserve">pitää myönteisenä, että Europolin operatiivisten toimintaryhmien ja yhteisten tutkintaryhmien mekanismit olivat keskeisessä asemassa salattuun viestintään tarkoitetun Matrix-alustan sulkemisessa, mikä on osoitus niiden toisiaan täydentävistä mutta erillisistä rooleista kansainvälisen järjestäytyneen rikollisuuden torjunnassa; panee merkille, että operaatio käynnistettiin operatiivisessa toimintaryhmässä kesäkuussa 2024 Alankomaiden, Ranskan, Liettuan, Italian ja Espanjan välillä ja sillä helpotettiin tiedustelutiedon jakamista ja rikollisen toiminnan seurantaa; korostaa, että siirtyminen yhteiseen tutkintaryhmään Eurojustin puitteissa mahdollisti tutkintatoimien muodollisen koordinoinnin, mikä johti pidätyksiin, takavarikkoihin ja 2,3 miljoonan 33 kielellä lähetetyn viestin salauksen purkamiseen; huomauttaa, että Saksan viranomaiset tarjosivat teknistä tukea ja Espanjan, Ranskan ja Alankomaiden poliisivoimat tekivät yhteistyötä koko tutkinnan ajan; katsoo, että tämä tapaus tuo esiin rajatylittävän yhteistyön tuloksellisuuden laittomien verkostojen hajottamisessa ja tarpeen investoida jatkuvasti lainvalvontavalmiuksiin, jotta voidaan puuttua rikollisten muuttuviin taktiikoihin; </w:t>
            </w:r>
            <w:r>
              <w:rPr>
                <w:b/>
                <w:i/>
              </w:rPr>
              <w:t>korostaa, että jäsenvaltioiden välistä yhteistyötä järjestävät virastot ovat saavuttaneet myönteisiä tuloksia, ja on tyytyväinen tähän kehitykseen;</w:t>
            </w:r>
            <w:r>
              <w:t xml:space="preserve"> </w:t>
            </w:r>
            <w:r>
              <w:rPr>
                <w:b/>
                <w:i/>
              </w:rPr>
              <w:t>pitää sitä vastoin valitettavana, että suurin osa virastoista noudattaa ylhäältä alaspäin suuntautuvaa, määräilevää, teknokraattista ja keskittämiseen painottuvaa lähestymistapaa jäsenvaltioihin nähden;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panee merkille 31. lokakuuta 2025 päivätyn Euroopan unionin turvapaikkaviraston (EUAA) raportin, joka koskee pääjohtajan ja hallintoneuvoston välillä sovittujen, parlamentin päätöslauselman johdosta toteutettavien korjaavien toimien täytäntöönpanoa; panee merkille, että hallintoneuvosto käsittelee parlamentin huomautuksia omien menettelyjensä mukaisesti ja tarkastelee jäljellä olevissa toimenpiteissä tapahtunutta edistymistä kokouksessaan marraskuussa 2025;</w:t>
            </w:r>
          </w:p>
        </w:tc>
        <w:tc>
          <w:tcPr>
            <w:tcW w:w="4876" w:type="dxa"/>
            <w:tcBorders>
              <w:top w:val="nil"/>
              <w:left w:val="nil"/>
              <w:bottom w:val="nil"/>
              <w:right w:val="nil"/>
            </w:tcBorders>
          </w:tcPr>
          <w:p>
            <w:pPr>
              <w:pStyle w:val="Normal6a"/>
            </w:pPr>
            <w:r>
              <w:t>71.</w:t>
            </w:r>
            <w:r>
              <w:tab/>
            </w:r>
            <w:r>
              <w:t xml:space="preserve">panee merkille 31. lokakuuta 2025 päivätyn Euroopan unionin turvapaikkaviraston (EUAA) raportin, joka koskee pääjohtajan ja hallintoneuvoston välillä sovittujen, parlamentin päätöslauselman johdosta toteutettavien korjaavien toimien täytäntöönpanoa; panee merkille, että hallintoneuvosto käsittelee parlamentin huomautuksia omien menettelyjensä mukaisesti ja tarkastelee jäljellä olevissa toimenpiteissä tapahtunutta edistymistä kokouksessaan marraskuussa 2025; </w:t>
            </w:r>
            <w:r>
              <w:rPr>
                <w:b/>
                <w:i/>
              </w:rPr>
              <w:t>kehottaa virastoa selvittämään kaikilta osin kaikki avoimet kysymykset, panemaan OLAFin suositukset täytäntöön uskottavasti ja avoimesti ja ottamaan käyttöön vahvat sisäistä ja eettistä valvontaa sekä vastuuvelvollisuutta koskevat mekanismit;</w:t>
            </w:r>
            <w:r>
              <w:t xml:space="preserve"> </w:t>
            </w:r>
            <w:r>
              <w:rPr>
                <w:b/>
                <w:i/>
              </w:rPr>
              <w:t>kehottaa virastoa tiedottamaan vastuuvapauden myöntävälle viranomaiselle kaikista toteutetuista korjaustoimista ilman aiheetonta viivytystä;</w:t>
            </w:r>
            <w:r>
              <w:t xml:space="preserve"> </w:t>
            </w:r>
            <w:r>
              <w:rPr>
                <w:b/>
                <w:i/>
              </w:rPr>
              <w:t>korostaa, että EUAA:n on kiireellisesti tuettava jäsenvaltioita toimenpiteissä, joilla ehkäistään laitonta muuttoliikettä ja autetaan käsittelemään palauttamispäätökset tehokkaasti;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panee merkille 31. lokakuuta 2025 päivätyn Euroopan unionin turvapaikkaviraston (EUAA) raportin, joka koskee pääjohtajan ja hallintoneuvoston välillä sovittujen, parlamentin päätöslauselman johdosta toteutettavien korjaavien toimien täytäntöönpanoa; panee merkille, että hallintoneuvosto käsittelee parlamentin huomautuksia omien menettelyjensä mukaisesti ja tarkastelee jäljellä olevissa toimenpiteissä tapahtunutta edistymistä kokouksessaan marraskuussa 2025;</w:t>
            </w:r>
          </w:p>
        </w:tc>
        <w:tc>
          <w:tcPr>
            <w:tcW w:w="4876" w:type="dxa"/>
            <w:tcBorders>
              <w:top w:val="nil"/>
              <w:left w:val="nil"/>
              <w:bottom w:val="nil"/>
              <w:right w:val="nil"/>
            </w:tcBorders>
          </w:tcPr>
          <w:p>
            <w:pPr>
              <w:pStyle w:val="Normal6a"/>
            </w:pPr>
            <w:r>
              <w:t>71.</w:t>
            </w:r>
            <w:r>
              <w:tab/>
            </w:r>
            <w:r>
              <w:t xml:space="preserve">panee merkille 31. lokakuuta 2025 päivätyn Euroopan unionin turvapaikkaviraston (EUAA) raportin, joka koskee pääjohtajan ja hallintoneuvoston välillä sovittujen, parlamentin päätöslauselman johdosta toteutettavien korjaavien toimien täytäntöönpanoa; panee </w:t>
            </w:r>
            <w:r>
              <w:rPr>
                <w:b/>
                <w:i/>
              </w:rPr>
              <w:t>tyytyväisenä merkille, että EUAA on useiden vuosien jälkeen vihdoin irtisanonut Lesboksella ja Roomassa sijaitsevien tilojen vuokrasopimuksensa, jotka Euroopan tilintarkastustuomioistuin on vuodesta 2014 lähtien todennut sääntöjenvastaisiksi ja joista pelkästään varainhoitovuonna 2023 aiheutui 123 800 euron kustannukset mutta ei enää kustannuksia vuonna 2024;</w:t>
            </w:r>
            <w:r>
              <w:t xml:space="preserve"> </w:t>
            </w:r>
            <w:r>
              <w:rPr>
                <w:b/>
                <w:i/>
              </w:rPr>
              <w:t>toistaa olevansa huolissaan poikkeavuudesta, jonka pitkään jatkuneen ongelman ratkaisemisen näinkin huomattava viivästyminen muodostaa, ja siitä aiheutuneista taloudellisista menetyksistä, koska kyseiset määrärahat olisi voitu kohdentaa muuhun tarkoitukseen, erityisesti laittoman muuttoliikkeen torjuntaa koskevan EUAA:n toiminnan yhteydessä;</w:t>
            </w:r>
            <w:r>
              <w:t xml:space="preserve"> </w:t>
            </w:r>
            <w:r>
              <w:rPr>
                <w:b/>
                <w:i/>
              </w:rPr>
              <w:t>panee</w:t>
            </w:r>
            <w:r>
              <w:t xml:space="preserve"> merkille, että hallintoneuvosto käsittelee parlamentin huomautuksia omien menettelyjensä mukaisesti ja tarkastelee jäljellä olevissa toimenpiteissä tapahtunutta edistymistä kokouksessaan marraskuussa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72 a.</w:t>
            </w:r>
            <w:r>
              <w:tab/>
            </w:r>
            <w:r>
              <w:rPr>
                <w:b/>
                <w:i/>
              </w:rPr>
              <w:t>korostaa, että OLAFin tutkimusten päätökseen saattaminen ei sinällään merkitse, että hallinnon puutteet olisi korjattu;</w:t>
            </w:r>
            <w:r>
              <w:t xml:space="preserve"> </w:t>
            </w:r>
            <w:r>
              <w:rPr>
                <w:b/>
                <w:i/>
              </w:rPr>
              <w:t>muistuttaa, että vastuuvapauden myöntävällä viranomaisella on täydet valvontaoikeudet, kunnes hallinnoinnin, avoimuuden ja eturistiriitojen käsittelyn rakenteelliset puutteet on täysin korjattu ja tarkistettu;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a.</w:t>
            </w:r>
            <w:r>
              <w:tab/>
            </w:r>
            <w:r>
              <w:rPr>
                <w:b/>
                <w:i/>
              </w:rPr>
              <w:t>korostaa, että virastoissa käytäviin keskusteluihin osallistuvien kansalaisjärjestöjen tai kansalaisyhteiskunnan asiantuntijoiden valinnassa on otettava huomioon Euroopan parlamentin poliittisten voimien tasapaino;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a.</w:t>
            </w:r>
            <w:r>
              <w:tab/>
            </w:r>
            <w:r>
              <w:rPr>
                <w:b/>
                <w:i/>
              </w:rPr>
              <w:t>varaa itselleen oikeuden asettaa ehtoja tuleville vastuuvapauden myöntämistä koskeville päätöksille tai lykätä niitä, jos virastot eivät toteuta vakavien havaintojen vuoksi tarvittavia täydellisiä, todennettavissa olevia rakenneuudistuksia;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a.</w:t>
            </w:r>
            <w:r>
              <w:tab/>
            </w:r>
            <w:r>
              <w:rPr>
                <w:b/>
                <w:i/>
              </w:rPr>
              <w:t>panee merkille, että päätöstä vastuuvapauden myöntämisestä EUAA:lle lykättiin toukokuussa 2025 Euroopan petostentorjuntaviraston (OLAF) EUAA:n hallinnosta ja vakaudesta tekemien ”erittäin huolestuttavien” havaintojen vuoksi;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b.</w:t>
            </w:r>
            <w:r>
              <w:tab/>
            </w:r>
            <w:r>
              <w:rPr>
                <w:b/>
                <w:i/>
              </w:rPr>
              <w:t>toteaa, että EUAA:n ylempi johto ohitti henkilöstösäännöt ja ylensi johtotehtäviin ”ystäväpiirin”, kuten OLAFin luottamuksellisessa tutkimuksessa todettiin;</w:t>
            </w:r>
            <w:r>
              <w:t xml:space="preserve"> </w:t>
            </w:r>
            <w:r>
              <w:rPr>
                <w:b/>
                <w:i/>
              </w:rPr>
              <w:t>ottaa huomioon OLAFin tutkijoiden todenneen, että tällaiset palvelukseenoton käytännöt ovat EU:n henkilöstösääntöjen vastaisia, sillä johtoa syytetään vakiintuneiden menettelyjen sivuuttamisesta ja sisäisten suositusten huomiotta jättämisestä</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https://www.politico.eu/article/eu-asylum-agency-bosses-promotions-watchdog-probe/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75 kohta – v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a)</w:t>
            </w:r>
            <w:r>
              <w:tab/>
            </w:r>
            <w:r>
              <w:rPr>
                <w:b/>
                <w:i/>
              </w:rPr>
              <w:t>painottaa, että Frontexilla on EU:n perusoikeuskirjan sekä vuonna 2019 annetun Frontex-asetuksen ja viraston oman perusoikeuksia koskevan toimintasuunnitelman mukaisia ihmisoikeusvelvoitteita;</w:t>
            </w:r>
            <w:r>
              <w:t xml:space="preserve"> </w:t>
            </w:r>
            <w:r>
              <w:rPr>
                <w:b/>
                <w:i/>
              </w:rPr>
              <w:t>korostaa, että kansainvälinen ihmisoikeuslainsäädäntö velvoittaa Frontexin pidättäytymääm loukkaamasta suoraan kenenkään ihmisoikeuksia ja olemaan altistamatta ketään muualla välillisesti näiden oikeuksien vakaville loukkauksille, kuten kidutukselle;</w:t>
            </w:r>
            <w:r>
              <w:t xml:space="preserve"> </w:t>
            </w:r>
            <w:r>
              <w:rPr>
                <w:b/>
                <w:i/>
              </w:rPr>
              <w:t>kehottaa siksi virastoa ryhtymään toimiin lieventääkseen tiedustelu- ja rajaturvallisuustoimiinsa liittyviä ihmisoikeusriskejä;</w:t>
            </w:r>
            <w:r>
              <w:t xml:space="preserve"> </w:t>
            </w:r>
            <w:r>
              <w:rPr>
                <w:b/>
                <w:i/>
              </w:rPr>
              <w:t>muistuttaa lisäksi, että Frontexin on myös suojeltava oikeutta elämään muun muassa toteuttamalla toimia ihmishenkien menetysten estämiseksi ennakoitavissa olevien uhkien tapauksessa ja hengenvaarallisissa tilanteissa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https://www.hrw.org/news/2025/04/14/eu-border-agency-use-aerial-surveillance-save-lives-sea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75 kohta – v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a)</w:t>
            </w:r>
            <w:r>
              <w:tab/>
            </w:r>
            <w:r>
              <w:rPr>
                <w:b/>
                <w:i/>
              </w:rPr>
              <w:t>kehottaa Frontexia tehostamaan talousarvion suunnittelua ja toteuttamista vuotuisperiaatteen noudattamisen varmistamiseksi;</w:t>
            </w:r>
            <w:r>
              <w:t xml:space="preserve"> </w:t>
            </w:r>
            <w:r>
              <w:rPr>
                <w:b/>
                <w:i/>
              </w:rPr>
              <w:t>korostaa, että viraston toimeksiannon laajuus ja monimutkaisuus edellyttävät vankkoja sisäisiä mekanismeja, ja kehottaa virastoa tehostamaan hankintamenettelyjen ja sopimusten hallinnointimenettelyjen valvontaa;</w:t>
            </w:r>
            <w:r>
              <w:t xml:space="preserve"> </w:t>
            </w:r>
            <w:r>
              <w:rPr>
                <w:b/>
                <w:i/>
              </w:rPr>
              <w:t>kannustaa Frontexia tehostamaan tarkastushavaintojen seurantamenettelyjä ja raportoimaan mitattavissa olevasta edistymisestä vastuuvapauden myöntävälle viranomaiselle;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75 kohta – v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b)</w:t>
            </w:r>
            <w:r>
              <w:tab/>
            </w:r>
            <w:r>
              <w:rPr>
                <w:b/>
                <w:i/>
              </w:rPr>
              <w:t>tähdentää, että Frontexin toimeksiantoon ja talousarvioon tehtävillä muutoksilla olisi pikemmin vahvistettava kuin heikennettävä sen ihmisoikeusnormeja, avoimuutta ja vastuuvelvollisuutta;</w:t>
            </w:r>
            <w:r>
              <w:t xml:space="preserve"> </w:t>
            </w:r>
            <w:r>
              <w:rPr>
                <w:b/>
                <w:i/>
              </w:rPr>
              <w:t>toteaa, että tässä yhteydessä olisi varmistettava, että Frontexin resurssien ja palvelujen tarjoamiseen jäsenvaltioille sovelletaan kattavaa hätätilanteen määritelmää ja että siinä edellytetään yhteistyötä humanitaaristen järjestöjen kanssa sekä hätätapausten ja pelastusoperaatioiden seurantaa;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75 kohta – v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a)</w:t>
            </w:r>
            <w:r>
              <w:tab/>
            </w:r>
            <w:r>
              <w:rPr>
                <w:b/>
                <w:i/>
              </w:rPr>
              <w:t>Eurojustia tiedottamaan komissiolle tulevaan toimeksiannon laajentamiseen liittyvistä tulevista määrärahatarpeista ja kehottaa toimeksiannon laajentamisen toteuttamiseksi varmistamaan riittävän rahoituksen ja henkilöresurssit;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panee huolestuneena merkille, että ELA tukeutuu keskeisissä operatiivisissa toimissa ja rahoitustoimissa edelleen liikaa väliaikaisiin työntekijöihin, kansallisiin asiantuntijoihin ja tilapäiseen henkilöstöön; panee merkille, että vuoden 2022 lopussa väliaikaisten työntekijöiden osuus ELAn henkilöstöstä oli 58 prosenttia ja että hienoisesta vähenemisestä huolimatta osuus oli sekä vuoden 2023 että vuoden 2024 lopussa hyvin suuri, 47 prosenttia; panee lisäksi merkille, että vastoin ELAn varainhoitosääntöjen 41 artiklan 1 kohtaa viranomainen käytti väliaikaista toimihenkilöä ja harjoittelijaa talousarvion toteuttamiseen liittyvien keskeisten rahoitustoimien suorittamiseen marraskuusta 2022 maaliskuuhun 2023, että käytäntö jatkui vuonna 2023 ja että väliaikaista toimihenkilöä käytettiin edelleen keskeisten rahoitustoimien suorittamiseen vuonna 2024;</w:t>
            </w:r>
          </w:p>
        </w:tc>
        <w:tc>
          <w:tcPr>
            <w:tcW w:w="4876" w:type="dxa"/>
            <w:tcBorders>
              <w:top w:val="nil"/>
              <w:left w:val="nil"/>
              <w:bottom w:val="nil"/>
              <w:right w:val="nil"/>
            </w:tcBorders>
          </w:tcPr>
          <w:p>
            <w:pPr>
              <w:pStyle w:val="Normal6a"/>
            </w:pPr>
            <w:r>
              <w:t>78.</w:t>
            </w:r>
            <w:r>
              <w:tab/>
            </w:r>
            <w:r>
              <w:t xml:space="preserve">panee huolestuneena merkille, että ELA tukeutuu keskeisissä operatiivisissa toimissa ja rahoitustoimissa edelleen liikaa väliaikaisiin työntekijöihin, kansallisiin asiantuntijoihin ja tilapäiseen henkilöstöön; panee merkille, että vuoden 2022 lopussa väliaikaisten työntekijöiden osuus ELAn henkilöstöstä oli 58 prosenttia ja että hienoisesta vähenemisestä huolimatta osuus oli sekä vuoden 2023 että vuoden 2024 lopussa hyvin suuri, 47 prosenttia; panee lisäksi merkille, että vastoin ELAn varainhoitosääntöjen 41 artiklan 1 kohtaa viranomainen käytti väliaikaista toimihenkilöä ja harjoittelijaa talousarvion toteuttamiseen liittyvien keskeisten rahoitustoimien suorittamiseen marraskuusta 2022 maaliskuuhun 2023, että käytäntö jatkui vuonna 2023 ja että väliaikaista toimihenkilöä käytettiin edelleen keskeisten rahoitustoimien suorittamiseen vuonna 2024; </w:t>
            </w:r>
            <w:r>
              <w:rPr>
                <w:b/>
                <w:i/>
              </w:rPr>
              <w:t>panee merkille, että ELAn johtaja pyytää säännöllisesti kuulemisissa ja kirjallisesti parlamenttia muuttamaan ELAn kansallisten asiantuntijoiden toimet vakinaisiksi väliaikaisen toimihenkilön toimiksi;</w:t>
            </w:r>
            <w:r>
              <w:t xml:space="preserve"> </w:t>
            </w:r>
            <w:r>
              <w:rPr>
                <w:b/>
                <w:i/>
              </w:rPr>
              <w:t>muistuttaa tuomioistuimen todenneen, että kaikkien kilpailujen on oltava avoimia eikä toimia saa varata sisäisille hakijoille;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panee merkille, että ELAn pääjohtaja antoi 1. joulukuuta 2025 järjestetyssä kuulemisessa selityksen väliaikaisten työntekijöiden, erityisesti kansallisten asiantuntijoiden, rakenteellisesti suuresta osuudesta, joka on tällä hetkellä noin 42–50 prosenttia ELAn operatiivisesta henkilöstöstä, ja kertoi, että </w:t>
            </w:r>
            <w:r>
              <w:rPr>
                <w:b/>
                <w:i/>
              </w:rPr>
              <w:t>heitä on</w:t>
            </w:r>
            <w:r>
              <w:t xml:space="preserve"> oikeudellisesti </w:t>
            </w:r>
            <w:r>
              <w:rPr>
                <w:b/>
                <w:i/>
              </w:rPr>
              <w:t>estetty suorittamasta</w:t>
            </w:r>
            <w:r>
              <w:t xml:space="preserve"> keskeisiä tehtäviä</w:t>
            </w:r>
            <w:r>
              <w:rPr>
                <w:b/>
                <w:i/>
              </w:rPr>
              <w:t>, kuten edustamasta viranomaista tai hallinnoimasta rahoitus- ja hankinta-asioita</w:t>
            </w:r>
            <w:r>
              <w:t xml:space="preserve">, mikä johtaa vastuualueiden keskittymiseen ja suurempaan virheiden riskiin; tukee </w:t>
            </w:r>
            <w:r>
              <w:rPr>
                <w:b/>
                <w:i/>
              </w:rPr>
              <w:t>pääjohtajan pyyntöä mukauttaa henkilöstötaulukkoa</w:t>
            </w:r>
            <w:r>
              <w:t xml:space="preserve">, jotta </w:t>
            </w:r>
            <w:r>
              <w:rPr>
                <w:b/>
                <w:i/>
              </w:rPr>
              <w:t>voidaan siirtyä</w:t>
            </w:r>
            <w:r>
              <w:t xml:space="preserve"> kansallisiin asiantuntijoihin </w:t>
            </w:r>
            <w:r>
              <w:rPr>
                <w:b/>
                <w:i/>
              </w:rPr>
              <w:t>perustuvasta resursoinnista uusiin</w:t>
            </w:r>
            <w:r>
              <w:t xml:space="preserve"> väliaikaisten toimihenkilöiden </w:t>
            </w:r>
            <w:r>
              <w:rPr>
                <w:b/>
                <w:i/>
              </w:rPr>
              <w:t>toimiin</w:t>
            </w:r>
            <w:r>
              <w:t xml:space="preserve">, jotka </w:t>
            </w:r>
            <w:r>
              <w:rPr>
                <w:b/>
                <w:i/>
              </w:rPr>
              <w:t>olisi täytettävä</w:t>
            </w:r>
            <w:r>
              <w:t xml:space="preserve"> avoimilla, kilpailuun perustuvilla menettelyillä talousarvion nykyisen enimmäismäärän puitteissa; katsoo, että ELAn olisi </w:t>
            </w:r>
            <w:r>
              <w:rPr>
                <w:b/>
                <w:i/>
              </w:rPr>
              <w:t>toimittava roolimallina</w:t>
            </w:r>
            <w:r>
              <w:t xml:space="preserve"> työnormien noudattamisessa ja pyrittävä tarjoamaan pidempiä sopimuksia</w:t>
            </w:r>
            <w:r>
              <w:rPr>
                <w:b/>
                <w:i/>
              </w:rPr>
              <w:t>, mikä olisi myönteistä</w:t>
            </w:r>
            <w:r>
              <w:t xml:space="preserve"> henkilöstön </w:t>
            </w:r>
            <w:r>
              <w:rPr>
                <w:b/>
                <w:i/>
              </w:rPr>
              <w:t>edun</w:t>
            </w:r>
            <w:r>
              <w:t>, toiminnan jatkuvuuden</w:t>
            </w:r>
            <w:r>
              <w:rPr>
                <w:b/>
                <w:i/>
              </w:rPr>
              <w:t>,</w:t>
            </w:r>
            <w:r>
              <w:t xml:space="preserve"> tietämyksen säilyttämisen </w:t>
            </w:r>
            <w:r>
              <w:rPr>
                <w:b/>
                <w:i/>
              </w:rPr>
              <w:t>ja pullonkaulojen välttämisen kannalta</w:t>
            </w:r>
            <w:r>
              <w:t>;</w:t>
            </w:r>
          </w:p>
        </w:tc>
        <w:tc>
          <w:tcPr>
            <w:tcW w:w="4876" w:type="dxa"/>
            <w:tcBorders>
              <w:top w:val="nil"/>
              <w:left w:val="nil"/>
              <w:bottom w:val="nil"/>
              <w:right w:val="nil"/>
            </w:tcBorders>
          </w:tcPr>
          <w:p>
            <w:pPr>
              <w:pStyle w:val="Normal6a"/>
            </w:pPr>
            <w:r>
              <w:t>79.</w:t>
            </w:r>
            <w:r>
              <w:tab/>
            </w:r>
            <w:r>
              <w:t xml:space="preserve">panee merkille, että ELAn pääjohtaja antoi 1. joulukuuta 2025 järjestetyssä kuulemisessa selityksen väliaikaisten työntekijöiden, erityisesti kansallisten asiantuntijoiden, rakenteellisesti suuresta osuudesta, joka on tällä hetkellä noin 42–50 prosenttia ELAn operatiivisesta henkilöstöstä, ja kertoi, että </w:t>
            </w:r>
            <w:r>
              <w:rPr>
                <w:b/>
                <w:i/>
              </w:rPr>
              <w:t>heidän ei ole</w:t>
            </w:r>
            <w:r>
              <w:t xml:space="preserve"> oikeudellisesti </w:t>
            </w:r>
            <w:r>
              <w:rPr>
                <w:b/>
                <w:i/>
              </w:rPr>
              <w:t>mahdollista suorittaa</w:t>
            </w:r>
            <w:r>
              <w:t xml:space="preserve"> keskeisiä tehtäviä, mikä johtaa vastuualueiden keskittymiseen ja suurempaan virheiden riskiin; tukee </w:t>
            </w:r>
            <w:r>
              <w:rPr>
                <w:b/>
                <w:i/>
              </w:rPr>
              <w:t>henkilöstötaulukon mukauttamista</w:t>
            </w:r>
            <w:r>
              <w:t xml:space="preserve">, jotta kansallisiin asiantuntijoihin </w:t>
            </w:r>
            <w:r>
              <w:rPr>
                <w:b/>
                <w:i/>
              </w:rPr>
              <w:t>perustuva resursointi korvataan uusilla</w:t>
            </w:r>
            <w:r>
              <w:t xml:space="preserve"> väliaikaisten toimihenkilöiden </w:t>
            </w:r>
            <w:r>
              <w:rPr>
                <w:b/>
                <w:i/>
              </w:rPr>
              <w:t>toimilla</w:t>
            </w:r>
            <w:r>
              <w:t xml:space="preserve">, jotka </w:t>
            </w:r>
            <w:r>
              <w:rPr>
                <w:b/>
                <w:i/>
              </w:rPr>
              <w:t>täytetään</w:t>
            </w:r>
            <w:r>
              <w:t xml:space="preserve"> avoimilla, kilpailuun perustuvilla menettelyillä talousarvion nykyisen enimmäismäärän puitteissa; katsoo, että ELAn olisi </w:t>
            </w:r>
            <w:r>
              <w:rPr>
                <w:b/>
                <w:i/>
              </w:rPr>
              <w:t>näytettävä esimerkkiä</w:t>
            </w:r>
            <w:r>
              <w:t xml:space="preserve"> työnormien noudattamisessa ja pyrittävä tarjoamaan pidempiä sopimuksia henkilöstön, toiminnan jatkuvuuden </w:t>
            </w:r>
            <w:r>
              <w:rPr>
                <w:b/>
                <w:i/>
              </w:rPr>
              <w:t>ja</w:t>
            </w:r>
            <w:r>
              <w:t xml:space="preserve"> tietämyksen säilyttämisen </w:t>
            </w:r>
            <w:r>
              <w:rPr>
                <w:b/>
                <w:i/>
              </w:rPr>
              <w:t>tukemiseksi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panee merkille, että ELAn pääjohtaja antoi 1. joulukuuta 2025 järjestetyssä kuulemisessa selityksen väliaikaisten työntekijöiden, erityisesti kansallisten asiantuntijoiden, rakenteellisesti suuresta osuudesta, joka on tällä hetkellä noin 42–50 prosenttia ELAn operatiivisesta henkilöstöstä, ja kertoi, että heitä on oikeudellisesti estetty suorittamasta keskeisiä tehtäviä, kuten edustamasta viranomaista tai hallinnoimasta rahoitus- ja hankinta-asioita, mikä johtaa vastuualueiden keskittymiseen ja suurempaan virheiden riskiin; tukee pääjohtajan pyyntöä mukauttaa henkilöstötaulukkoa, jotta voidaan siirtyä kansallisiin asiantuntijoihin perustuvasta resursoinnista uusiin väliaikaisten toimihenkilöiden toimiin, jotka olisi täytettävä avoimilla, kilpailuun perustuvilla menettelyillä talousarvion nykyisen enimmäismäärän puitteissa; katsoo, että ELAn olisi toimittava roolimallina työnormien noudattamisessa ja pyrittävä tarjoamaan pidempiä sopimuksia, mikä olisi myönteistä henkilöstön edun, toiminnan jatkuvuuden, tietämyksen säilyttämisen ja pullonkaulojen välttämisen kannalta;</w:t>
            </w:r>
          </w:p>
        </w:tc>
        <w:tc>
          <w:tcPr>
            <w:tcW w:w="4876" w:type="dxa"/>
            <w:tcBorders>
              <w:top w:val="nil"/>
              <w:left w:val="nil"/>
              <w:bottom w:val="nil"/>
              <w:right w:val="nil"/>
            </w:tcBorders>
          </w:tcPr>
          <w:p>
            <w:pPr>
              <w:pStyle w:val="Normal6a"/>
            </w:pPr>
            <w:r>
              <w:t>79.</w:t>
            </w:r>
            <w:r>
              <w:tab/>
            </w:r>
            <w:r>
              <w:t xml:space="preserve">panee merkille, että ELAn pääjohtaja antoi 1. joulukuuta 2025 järjestetyssä kuulemisessa selityksen väliaikaisten työntekijöiden, erityisesti kansallisten asiantuntijoiden, rakenteellisesti suuresta osuudesta, joka on tällä hetkellä noin 42–50 prosenttia ELAn operatiivisesta henkilöstöstä, ja kertoi, että heitä on oikeudellisesti estetty suorittamasta keskeisiä tehtäviä, kuten edustamasta viranomaista tai hallinnoimasta rahoitus- ja hankinta-asioita, mikä johtaa vastuualueiden keskittymiseen ja suurempaan virheiden riskiin; tukee pääjohtajan pyyntöä mukauttaa henkilöstötaulukkoa, jotta voidaan siirtyä kansallisiin asiantuntijoihin perustuvasta resursoinnista uusiin väliaikaisten toimihenkilöiden toimiin, jotka olisi täytettävä avoimilla, kilpailuun perustuvilla menettelyillä talousarvion nykyisen enimmäismäärän puitteissa; katsoo, että ELAn olisi toimittava roolimallina työnormien noudattamisessa ja pyrittävä tarjoamaan pidempiä sopimuksia, mikä olisi myönteistä henkilöstön edun, toiminnan jatkuvuuden, tietämyksen säilyttämisen ja pullonkaulojen välttämisen kannalta; </w:t>
            </w:r>
            <w:r>
              <w:rPr>
                <w:b/>
                <w:i/>
              </w:rPr>
              <w:t>kehottaa viranomaista tehostamaan yhteistyötä kansallisten työvoimaviranomaisten kanssa päällekkäisyyksien välttämiseksi ja tietojenvaihdon parantamiseksi;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toteaa, että kaikkien virastojen seurantajärjestelmiä, myös SMART-tavoitteita ja keskeisiä suorituskykyindikaattoreita, olisi vahvistettava tuloksellisuusarvioinnin ja sidosryhmien osallistumisen parantamiseksi; korostaa, että tietopuutteet (erityisesti ETF:ssä) sekä suorituskykytavoitteiden ja kansallisen tason indikaattoreiden puuttuminen heikentävät vaikuttavuutta; toteaa, että nämä haasteet edellyttävät tietojen kattavuuden parantamista, selkeämpää tavoitteiden asettamista ja parempia seurantakehyksiä, jotta varmistetaan kattavat tuloksellisuusarvioinnit ja sidosryhmien tarpeisiin vastaaminen;</w:t>
            </w:r>
          </w:p>
        </w:tc>
        <w:tc>
          <w:tcPr>
            <w:tcW w:w="4876" w:type="dxa"/>
            <w:tcBorders>
              <w:top w:val="nil"/>
              <w:left w:val="nil"/>
              <w:bottom w:val="nil"/>
              <w:right w:val="nil"/>
            </w:tcBorders>
          </w:tcPr>
          <w:p>
            <w:pPr>
              <w:pStyle w:val="Normal6a"/>
            </w:pPr>
            <w:r>
              <w:t>81.</w:t>
            </w:r>
            <w:r>
              <w:tab/>
            </w:r>
            <w:r>
              <w:t xml:space="preserve">toteaa, että kaikkien virastojen seurantajärjestelmiä, myös SMART-tavoitteita ja keskeisiä suorituskykyindikaattoreita, olisi vahvistettava tuloksellisuusarvioinnin ja sidosryhmien osallistumisen parantamiseksi; korostaa, että tietopuutteet (erityisesti ETF:ssä) sekä suorituskykytavoitteiden ja kansallisen tason indikaattoreiden puuttuminen heikentävät vaikuttavuutta; toteaa, että nämä haasteet edellyttävät tietojen kattavuuden parantamista, selkeämpää tavoitteiden asettamista ja parempia seurantakehyksiä, jotta varmistetaan kattavat tuloksellisuusarvioinnit ja sidosryhmien tarpeisiin vastaaminen; </w:t>
            </w:r>
            <w:r>
              <w:rPr>
                <w:b/>
                <w:i/>
              </w:rPr>
              <w:t>korostaa läpinäkyvien hallintorakenteiden ja eturistiriitoja koskevien suojatoimien merkitystä sidosryhmien virastojen työlle osoittaman luottamuksen tukemiseksi;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panee merkille, että näillä neljällä virastolla (Cedefopilla, EU‑OSHAlla, Eurofoundilla ja ETF:llä) on mahdollisuus vähentää hallinnollista taakkaa ja tehostaa toimintaansa yhteisten palvelujen avulla</w:t>
            </w:r>
            <w:r>
              <w:rPr>
                <w:vertAlign w:val="superscript"/>
              </w:rPr>
              <w:t>20</w:t>
            </w:r>
            <w:r>
              <w:t>; korostaa, että kestävän työmäärän ylläpitämiseksi virastojen olisi kevennettävä henkilöstöön kohdistuvaa hallinnollista taakkaa jakamalla henkilöstöhallinnon sekä oikeudellisten, tietoteknisten ja teknisten toimintojen yhteisiä palveluja; huomauttaa, että näin virastot voisivat vähentää hallinnollisia tehtäviä hoitavaa henkilöstöä ja keskittyä enemmän ydintoimintoihin;</w:t>
            </w:r>
          </w:p>
        </w:tc>
        <w:tc>
          <w:tcPr>
            <w:tcW w:w="4876" w:type="dxa"/>
            <w:tcBorders>
              <w:top w:val="nil"/>
              <w:left w:val="nil"/>
              <w:bottom w:val="nil"/>
              <w:right w:val="nil"/>
            </w:tcBorders>
          </w:tcPr>
          <w:p>
            <w:pPr>
              <w:pStyle w:val="Normal6a"/>
            </w:pPr>
            <w:r>
              <w:t>82.</w:t>
            </w:r>
            <w:r>
              <w:tab/>
            </w:r>
            <w:r>
              <w:t>panee merkille, että näillä neljällä virastolla (Cedefopilla, EU‑OSHAlla, Eurofoundilla ja ETF:llä) on mahdollisuus vähentää hallinnollista taakkaa ja tehostaa toimintaansa yhteisten palvelujen avulla</w:t>
            </w:r>
            <w:r>
              <w:rPr>
                <w:vertAlign w:val="superscript"/>
              </w:rPr>
              <w:t>20</w:t>
            </w:r>
            <w:r>
              <w:t xml:space="preserve">; korostaa, että kestävän työmäärän ylläpitämiseksi </w:t>
            </w:r>
            <w:r>
              <w:rPr>
                <w:b/>
                <w:i/>
              </w:rPr>
              <w:t>kaikkien</w:t>
            </w:r>
            <w:r>
              <w:t xml:space="preserve"> virastojen olisi kevennettävä henkilöstöön kohdistuvaa hallinnollista taakkaa jakamalla henkilöstöhallinnon sekä oikeudellisten</w:t>
            </w:r>
            <w:r>
              <w:rPr>
                <w:b/>
                <w:i/>
              </w:rPr>
              <w:t>, varainhoidon</w:t>
            </w:r>
            <w:r>
              <w:t xml:space="preserve">, tietoteknisten ja teknisten toimintojen yhteisiä palveluja; huomauttaa, että näin virastot voisivat vähentää hallinnollisia tehtäviä hoitavaa henkilöstöä ja </w:t>
            </w:r>
            <w:r>
              <w:rPr>
                <w:b/>
                <w:i/>
              </w:rPr>
              <w:t>parantaa tämän asiantuntemusta;</w:t>
            </w:r>
            <w:r>
              <w:t xml:space="preserve"> </w:t>
            </w:r>
            <w:r>
              <w:rPr>
                <w:b/>
                <w:i/>
              </w:rPr>
              <w:t>kehottaa lisäksi yhdistämään kiinteistöihin liittyvät resurssit ja valmiudet keskittämällä mahdollisuuksien mukaan tukitoiminnot yhdelle alustalle, millä saadaan aikaan kullekin näistä virastoista taloudellisia säästöjä ja mahdollistetaan se, että ne voivat</w:t>
            </w:r>
            <w:r>
              <w:t xml:space="preserve"> keskittyä enemmän ydintoimintoihin;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SWD(2024) </w:t>
            </w:r>
            <w:r>
              <w:rPr>
                <w:b/>
                <w:i/>
              </w:rPr>
              <w:t>222</w:t>
            </w:r>
            <w:r>
              <w:t>.</w:t>
            </w:r>
          </w:p>
        </w:tc>
        <w:tc>
          <w:tcPr>
            <w:tcW w:w="4876" w:type="dxa"/>
            <w:tcBorders>
              <w:top w:val="nil"/>
              <w:left w:val="nil"/>
              <w:bottom w:val="nil"/>
              <w:right w:val="nil"/>
            </w:tcBorders>
          </w:tcPr>
          <w:p>
            <w:pPr>
              <w:pStyle w:val="Normal6a"/>
            </w:pPr>
            <w:r>
              <w:rPr>
                <w:vertAlign w:val="superscript"/>
              </w:rPr>
              <w:t>20</w:t>
            </w:r>
            <w:r>
              <w:t xml:space="preserve"> </w:t>
            </w:r>
            <w:r>
              <w:t>SWD(2024)</w:t>
            </w:r>
            <w:r>
              <w:rPr>
                <w:b/>
                <w:i/>
              </w:rPr>
              <w:t>0222</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panee merkille, että näillä neljällä virastolla (Cedefopilla, EU‑OSHAlla, Eurofoundilla ja ETF:llä) on mahdollisuus vähentää hallinnollista taakkaa ja tehostaa toimintaansa yhteisten palvelujen avulla</w:t>
            </w:r>
            <w:r>
              <w:rPr>
                <w:vertAlign w:val="superscript"/>
              </w:rPr>
              <w:t>20</w:t>
            </w:r>
            <w:r>
              <w:t>; korostaa, että kestävän työmäärän ylläpitämiseksi virastojen olisi kevennettävä henkilöstöön kohdistuvaa hallinnollista taakkaa jakamalla henkilöstöhallinnon sekä oikeudellisten, tietoteknisten ja teknisten toimintojen yhteisiä palveluja; huomauttaa, että näin virastot voisivat vähentää hallinnollisia tehtäviä hoitavaa henkilöstöä ja keskittyä enemmän ydintoimintoihin;</w:t>
            </w:r>
          </w:p>
        </w:tc>
        <w:tc>
          <w:tcPr>
            <w:tcW w:w="4876" w:type="dxa"/>
            <w:tcBorders>
              <w:top w:val="nil"/>
              <w:left w:val="nil"/>
              <w:bottom w:val="nil"/>
              <w:right w:val="nil"/>
            </w:tcBorders>
          </w:tcPr>
          <w:p>
            <w:pPr>
              <w:pStyle w:val="Normal6a"/>
            </w:pPr>
            <w:r>
              <w:t>82.</w:t>
            </w:r>
            <w:r>
              <w:tab/>
            </w:r>
            <w:r>
              <w:t>panee merkille, että näillä neljällä virastolla (Cedefopilla, EU‑OSHAlla, Eurofoundilla ja ETF:llä) on mahdollisuus vähentää hallinnollista taakkaa ja tehostaa toimintaansa yhteisten palvelujen avulla</w:t>
            </w:r>
            <w:r>
              <w:rPr>
                <w:vertAlign w:val="superscript"/>
              </w:rPr>
              <w:t>20</w:t>
            </w:r>
            <w:r>
              <w:t xml:space="preserve">; korostaa, että kestävän työmäärän ylläpitämiseksi virastojen olisi kevennettävä henkilöstöön kohdistuvaa hallinnollista taakkaa jakamalla henkilöstöhallinnon sekä oikeudellisten, tietoteknisten ja teknisten toimintojen yhteisiä palveluja; huomauttaa, että näin virastot voisivat vähentää hallinnollisia tehtäviä hoitavaa henkilöstöä ja keskittyä enemmän ydintoimintoihin; </w:t>
            </w:r>
            <w:r>
              <w:rPr>
                <w:b/>
                <w:i/>
              </w:rPr>
              <w:t>kehottaa näitä virastoja laatimaan tiiviissä yhteistyössä tilintarkastustuomioistuimen kanssa yhteisiä palveluja koskevan jäsennellyn täytäntöönpanosuunnitelman ja konkreettiset välitavoitteet, mukaan lukien tehokkuushyötyjä ja ennakoituja euroina ilmaistavia säästöjä koskevat mitattavissa olevat tavoitteet;</w:t>
            </w:r>
            <w:r>
              <w:t xml:space="preserve"> </w:t>
            </w:r>
            <w:r>
              <w:rPr>
                <w:b/>
                <w:i/>
              </w:rPr>
              <w:t>painottaa, että suunnitelmalla olisi helpotettava parhaiden käytäntöjen ja suositusten vaihtoa asianomaisten virastojen kesken sekä laajemmin EU:n virastojen verkoston puitteissa tilintarkastustuomioistuimen tarkastushavaintojen ja monialaisten arviointien pohjalta;</w:t>
            </w:r>
            <w:r>
              <w:t xml:space="preserve"> </w:t>
            </w:r>
            <w:r>
              <w:rPr>
                <w:b/>
                <w:i/>
              </w:rPr>
              <w:t>kehottaa komissiota raportoimaan vuosittain vastuuvapauden myöntävälle viranomaiselle suunnitelman täytäntöönpanossa saavutetusta edistyksestä ja erittelemään, miten yksittäisten virastojen tuloksellisuus on parantunut ja mitä todellisia säästöjä on saatu aikaan;</w:t>
            </w:r>
            <w:r>
              <w:t xml:space="preserve"> </w:t>
            </w:r>
            <w:r>
              <w:rPr>
                <w:b/>
                <w:i/>
              </w:rPr>
              <w:t>tähdentää, että ensimmäinen edistymiskertomus olisi toimitettava vuoden 2026 loppuun mennessä;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SWD(2024) </w:t>
            </w:r>
            <w:r>
              <w:rPr>
                <w:b/>
                <w:i/>
              </w:rPr>
              <w:t>222</w:t>
            </w:r>
            <w:r>
              <w:t>.</w:t>
            </w:r>
          </w:p>
        </w:tc>
        <w:tc>
          <w:tcPr>
            <w:tcW w:w="4876" w:type="dxa"/>
            <w:tcBorders>
              <w:top w:val="nil"/>
              <w:left w:val="nil"/>
              <w:bottom w:val="nil"/>
              <w:right w:val="nil"/>
            </w:tcBorders>
          </w:tcPr>
          <w:p>
            <w:pPr>
              <w:pStyle w:val="Normal6a"/>
            </w:pPr>
            <w:r>
              <w:rPr>
                <w:vertAlign w:val="superscript"/>
              </w:rPr>
              <w:t>20</w:t>
            </w:r>
            <w:r>
              <w:t xml:space="preserve"> </w:t>
            </w:r>
            <w:r>
              <w:t>SWD(2024)</w:t>
            </w:r>
            <w:r>
              <w:rPr>
                <w:b/>
                <w:i/>
              </w:rPr>
              <w:t>0222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panee merkille, että Cedefop on ollut osallisena riita-asiassa entisen henkilöstön jäsenen kanssa, jonka sopimusta ei uusittu vuonna 2017; palauttaa mieliin, että unionin yleinen tuomioistuin kumosi vuonna 2020 Cedefopin päätöksen ja määräsi maksettavaksi taloudellisen korvauksen, minkä Cedefop pani täytäntöön; panee merkille, että unionin yleinen tuomioistuin hylkäsi helmikuussa 2024 tämän entisen henkilöstön jäsenen myöhemmin nostaman kanteen, joka koski kyseisen tuomion täytäntöönpanoa; panee merkille, että kyseinen entinen henkilöstön jäsen on valittanut tuomiosta Euroopan unionin tuomioistuimeen (asia C-209/24 P) ja että lopullista tuomiota ei ole vielä annettu; palauttaa mieliin unionin yleisen tuomioistuimen todenneen, että menettelyllisiä perustakeita, kuten oikeutta tulla kuulluksi, puolustautumisoikeutta, huolellisuusvelvollisuutta ja hyvän hallintotavan periaatetta, oli rikottu; </w:t>
            </w:r>
            <w:r>
              <w:rPr>
                <w:b/>
                <w:i/>
              </w:rPr>
              <w:t>panee huolestuneena merkille, että näiden havaintojen perusteella ei ilmeisesti ole aloitettu kurinpitomenettelyä</w:t>
            </w:r>
            <w:r>
              <w:t xml:space="preserve">; kritisoi päätöksentekoprosessin liian pitkää kestoa ja sitä, että asia on edelleen ratkaisematta; </w:t>
            </w:r>
            <w:r>
              <w:rPr>
                <w:b/>
                <w:i/>
              </w:rPr>
              <w:t>vaatii, että kyseinen henkilöstön jäsen saa korvausta menetetyistä tuloista;</w:t>
            </w:r>
            <w:r>
              <w:t xml:space="preserve"> vaatii tekemään henkilöstöön liittyvät päätökset avoimesti ja jäljitettävissä olevalla tavalla;</w:t>
            </w:r>
          </w:p>
        </w:tc>
        <w:tc>
          <w:tcPr>
            <w:tcW w:w="4876" w:type="dxa"/>
            <w:tcBorders>
              <w:top w:val="nil"/>
              <w:left w:val="nil"/>
              <w:bottom w:val="nil"/>
              <w:right w:val="nil"/>
            </w:tcBorders>
          </w:tcPr>
          <w:p>
            <w:pPr>
              <w:pStyle w:val="Normal6a"/>
            </w:pPr>
            <w:r>
              <w:t>83.</w:t>
            </w:r>
            <w:r>
              <w:tab/>
            </w:r>
            <w:r>
              <w:t xml:space="preserve">panee merkille, että Cedefop on ollut osallisena riita-asiassa entisen henkilöstön jäsenen kanssa, jonka sopimusta ei uusittu vuonna 2017; palauttaa mieliin, että unionin yleinen tuomioistuin kumosi vuonna 2020 Cedefopin päätöksen ja määräsi maksettavaksi taloudellisen korvauksen, minkä Cedefop pani täytäntöön; panee merkille, että unionin yleinen tuomioistuin hylkäsi helmikuussa 2024 tämän entisen henkilöstön jäsenen myöhemmin nostaman kanteen, joka koski kyseisen tuomion täytäntöönpanoa; panee merkille, että kyseinen entinen henkilöstön jäsen on valittanut tuomiosta Euroopan unionin tuomioistuimeen (asia C-209/24 P) ja että lopullista tuomiota ei ole vielä annettu; palauttaa mieliin unionin yleisen tuomioistuimen todenneen, että menettelyllisiä perustakeita, kuten oikeutta tulla kuulluksi, puolustautumisoikeutta, huolellisuusvelvollisuutta ja hyvän hallintotavan periaatetta, oli rikottu; </w:t>
            </w:r>
            <w:r>
              <w:rPr>
                <w:b/>
                <w:i/>
              </w:rPr>
              <w:t>korostaa, että hallintoneuvosto kieltäytyi uusimasta johtajan sopimusta, koska tämä ei noudattanut menettelysääntöjä eikä hallinnollisia ja menettelyllisiä määräyksiä</w:t>
            </w:r>
            <w:r>
              <w:t>; kritisoi päätöksentekoprosessin liian pitkää kestoa</w:t>
            </w:r>
            <w:r>
              <w:rPr>
                <w:b/>
                <w:i/>
              </w:rPr>
              <w:t>, oikeusmenettelystä ja oikeudellisten neuvonantajien käyttämisestä aiheutuneita kohtuuttomia kustannuksia</w:t>
            </w:r>
            <w:r>
              <w:t xml:space="preserve"> ja sitä, että asia on edelleen ratkaisematta;</w:t>
            </w:r>
            <w:r>
              <w:rPr>
                <w:b/>
                <w:i/>
              </w:rPr>
              <w:t xml:space="preserve"> </w:t>
            </w:r>
            <w:r>
              <w:t xml:space="preserve"> vaatii tekemään henkilöstöön liittyvät päätökset avoimesti ja jäljitettävissä olevalla tavalla; </w:t>
            </w:r>
            <w:r>
              <w:rPr>
                <w:b/>
                <w:i/>
              </w:rPr>
              <w:t>kehottaa komissiota ja virastoja ottamaan käyttöön mekanismeja, jotka antavat virastoille enemmän joustovaraa käsitellä ja ratkaista henkilöstöön liittyviä riita-asioita varhaisessa vaiheessa, tarvittaessa myös sovintoratkaisujen avulla, jotta vältetään pitkälliset ja kalliit oikeudenkäynnit;</w:t>
            </w:r>
            <w:r>
              <w:t xml:space="preserve"> </w:t>
            </w:r>
            <w:r>
              <w:rPr>
                <w:b/>
                <w:i/>
              </w:rPr>
              <w:t>kehottaa lisäksi komissiota ja EU:n virastojen verkostoa luomaan virastoille yhteisen oikeudellisen yksikön, jonka tehtävänä on käsitellä virastojen oikeudellisia asioita ja antaa oikea-aikaista oikeudellista ohjausta;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panee merkille, että Cedefop on ollut osallisena riita-asiassa entisen henkilöstön jäsenen kanssa, jonka sopimusta ei uusittu vuonna 2017; palauttaa mieliin, että unionin yleinen tuomioistuin kumosi vuonna 2020 Cedefopin päätöksen ja määräsi maksettavaksi taloudellisen korvauksen, minkä Cedefop pani täytäntöön; panee merkille, että unionin yleinen tuomioistuin hylkäsi helmikuussa 2024 tämän entisen henkilöstön jäsenen myöhemmin nostaman kanteen, joka koski kyseisen tuomion täytäntöönpanoa; panee merkille, että kyseinen entinen henkilöstön jäsen on valittanut tuomiosta Euroopan unionin tuomioistuimeen (asia C-209/24 P) ja että lopullista tuomiota ei ole vielä annettu; palauttaa mieliin unionin yleisen tuomioistuimen todenneen, että menettelyllisiä perustakeita</w:t>
            </w:r>
            <w:r>
              <w:rPr>
                <w:b/>
                <w:i/>
              </w:rPr>
              <w:t>, kuten oikeutta tulla kuulluksi, puolustautumisoikeutta, huolellisuusvelvollisuutta ja hyvän hallintotavan periaatetta,</w:t>
            </w:r>
            <w:r>
              <w:t xml:space="preserve"> oli rikottu</w:t>
            </w:r>
            <w:r>
              <w:rPr>
                <w:b/>
                <w:i/>
              </w:rPr>
              <w:t>;</w:t>
            </w:r>
            <w:r>
              <w:t xml:space="preserve"> </w:t>
            </w:r>
            <w:r>
              <w:rPr>
                <w:b/>
                <w:i/>
              </w:rPr>
              <w:t>panee huolestuneena merkille, että näiden havaintojen perusteella</w:t>
            </w:r>
            <w:r>
              <w:t xml:space="preserve"> ei ilmeisesti ole </w:t>
            </w:r>
            <w:r>
              <w:rPr>
                <w:b/>
                <w:i/>
              </w:rPr>
              <w:t>aloitettu kurinpitomenettelyä</w:t>
            </w:r>
            <w:r>
              <w:t xml:space="preserve">; kritisoi päätöksentekoprosessin liian pitkää kestoa ja sitä, että asia on edelleen ratkaisematta; vaatii, että </w:t>
            </w:r>
            <w:r>
              <w:rPr>
                <w:b/>
                <w:i/>
              </w:rPr>
              <w:t>kyseinen</w:t>
            </w:r>
            <w:r>
              <w:t xml:space="preserve"> henkilöstön jäsen saa korvausta menetetyistä tuloista; vaatii tekemään henkilöstöön liittyvät päätökset avoimesti ja jäljitettävissä olevalla tavalla;</w:t>
            </w:r>
          </w:p>
        </w:tc>
        <w:tc>
          <w:tcPr>
            <w:tcW w:w="4876" w:type="dxa"/>
            <w:tcBorders>
              <w:top w:val="nil"/>
              <w:left w:val="nil"/>
              <w:bottom w:val="nil"/>
              <w:right w:val="nil"/>
            </w:tcBorders>
          </w:tcPr>
          <w:p>
            <w:pPr>
              <w:pStyle w:val="Normal6a"/>
            </w:pPr>
            <w:r>
              <w:t>83.</w:t>
            </w:r>
            <w:r>
              <w:tab/>
            </w:r>
            <w:r>
              <w:t>panee merkille, että Cedefop on ollut osallisena riita-asiassa entisen henkilöstön jäsenen kanssa, jonka sopimusta ei uusittu vuonna 2017; palauttaa mieliin, että unionin yleinen tuomioistuin kumosi vuonna 2020 Cedefopin päätöksen ja määräsi maksettavaksi taloudellisen korvauksen, minkä Cedefop pani täytäntöön; panee merkille, että unionin yleinen tuomioistuin hylkäsi helmikuussa 2024 tämän entisen henkilöstön jäsenen myöhemmin nostaman kanteen, joka koski kyseisen tuomion täytäntöönpanoa; panee merkille, että kyseinen entinen henkilöstön jäsen on valittanut tuomiosta Euroopan unionin tuomioistuimeen (asia C-209/24 P) ja että lopullista tuomiota ei ole vielä annettu; palauttaa mieliin unionin yleisen tuomioistuimen todenneen, että menettelyllisiä perustakeita oli rikottu</w:t>
            </w:r>
            <w:r>
              <w:rPr>
                <w:b/>
                <w:i/>
              </w:rPr>
              <w:t>, mutta toteaa, että kurinpitotoimiin</w:t>
            </w:r>
            <w:r>
              <w:t xml:space="preserve"> ei ilmeisesti ole </w:t>
            </w:r>
            <w:r>
              <w:rPr>
                <w:b/>
                <w:i/>
              </w:rPr>
              <w:t>ryhdytty</w:t>
            </w:r>
            <w:r>
              <w:t xml:space="preserve">; kritisoi päätöksentekoprosessin liian pitkää kestoa ja sitä, että asia on edelleen ratkaisematta; vaatii, että </w:t>
            </w:r>
            <w:r>
              <w:rPr>
                <w:b/>
                <w:i/>
              </w:rPr>
              <w:t>asianomainen</w:t>
            </w:r>
            <w:r>
              <w:t xml:space="preserve"> henkilöstön jäsen saa korvausta menetetyistä tuloista; vaatii tekemään henkilöstöön liittyvät päätökset avoimesti ja jäljitettävissä olevalla tavalla;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84 a.</w:t>
            </w:r>
            <w:r>
              <w:tab/>
            </w:r>
            <w:r>
              <w:rPr>
                <w:b/>
                <w:i/>
              </w:rPr>
              <w:t>toteaa, että 75 prosenttia työperäisistä syövistä liittyy asbestialtistukseen; panee merkille EU-OSHAn osallistumisen vuonna 2024 asbestia koskevien komission uusien ohjeiden laatimiseen ja kannustaa EU-OSHAa osoittamaan edelleen henkilöresursseja ja määrärahoja asbestia koskevan tietoisuuden parantamiseen ja menetelmiin, joilla puututaan laajalle levinneeseen asbestiongelmaan kaikkialla Euroopassa;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kehottaa kiinnittämään huomiota 28. kesäkuuta 2024 annettuun komission täytäntöönpanopäätökseen, jolla kumottiin asetuksen (EY) N:o 726/2004 mukaisesti annettu komission päätös C(2018) 4831 (final) myyntiluvan epäämisestä ihmisille tarkoitetulle lääkkeelle ”Aplidin – plitidepsiini”; korostaa, että kumoaminen perustui havaintoon, jonka mukaan yhtä neuvoa-antavaan ryhmään osallistunutta tieteellistä neuvonantajaa koski eturistiriita, sillä hänellä oli aktiivinen rooli kilpailevan lääkkeen kehittämisessä, minkä olisi objektiivisen puolueettomuuden periaatteen mukaisesti pitänyt estää hänen osallistumisensa; korostaa, että EMA on vahvistanut merkittävästi tieteellisten komiteoiden jäsenillä ja asiantuntijoilla olevien kilpailevien etujen käsittelyä koskevia toimintaperiaatteitaan, jotka EMAn hallintoneuvosto hyväksyi joulukuussa 2024 ja jotka tulivat voimaan 1. toukokuuta 2025;</w:t>
            </w:r>
          </w:p>
        </w:tc>
        <w:tc>
          <w:tcPr>
            <w:tcW w:w="4876" w:type="dxa"/>
            <w:tcBorders>
              <w:top w:val="nil"/>
              <w:left w:val="nil"/>
              <w:bottom w:val="nil"/>
              <w:right w:val="nil"/>
            </w:tcBorders>
          </w:tcPr>
          <w:p>
            <w:pPr>
              <w:pStyle w:val="Normal6a"/>
            </w:pPr>
            <w:r>
              <w:t>94.</w:t>
            </w:r>
            <w:r>
              <w:tab/>
            </w:r>
            <w:r>
              <w:t xml:space="preserve">kehottaa kiinnittämään huomiota 28. kesäkuuta 2024 annettuun komission täytäntöönpanopäätökseen, jolla kumottiin asetuksen (EY) N:o 726/2004 mukaisesti annettu komission päätös C(2018) 4831 (final) myyntiluvan epäämisestä ihmisille tarkoitetulle lääkkeelle ”Aplidin – plitidepsiini”; korostaa, että kumoaminen perustui havaintoon, jonka mukaan yhtä neuvoa-antavaan ryhmään osallistunutta tieteellistä neuvonantajaa koski eturistiriita, sillä hänellä oli aktiivinen rooli kilpailevan lääkkeen kehittämisessä, minkä olisi objektiivisen puolueettomuuden periaatteen mukaisesti pitänyt estää hänen osallistumisensa; </w:t>
            </w:r>
            <w:r>
              <w:rPr>
                <w:b/>
                <w:i/>
              </w:rPr>
              <w:t>muistuttaa myös, että unionin tuomioistuin kumosi vuonna 2024</w:t>
            </w:r>
            <w:r>
              <w:rPr>
                <w:b/>
                <w:i/>
                <w:vertAlign w:val="superscript"/>
              </w:rPr>
              <w:t>1 a</w:t>
            </w:r>
            <w:r>
              <w:t xml:space="preserve"> </w:t>
            </w:r>
            <w:r>
              <w:rPr>
                <w:b/>
                <w:i/>
              </w:rPr>
              <w:t>ranskalaisen Debrégeas-yhtiön kehittämän Hopveus-nimisen lääkkeen (tunnetaan myös nimellä "Debrégeas et associés Pharma" tai "D &amp; A Pharma") myyntiluvan epäämisen "päätutkijana" olleen asiantuntijan eturistiriidan vuoksi, sillä tämä oli osallistunut kilpailevan tuotteen kliiniseen lääketutkimukseen (asia C-291/22 P);</w:t>
            </w:r>
            <w:r>
              <w:t xml:space="preserve"> </w:t>
            </w:r>
            <w:r>
              <w:rPr>
                <w:b/>
                <w:i/>
              </w:rPr>
              <w:t>palauttaa mieliin toistuvan kritiikin EMAn suorittamasta tarkastelusta ja vakavien sivuvaikutusten analyysista, jonka on sanottu olevan puolueellista tai liian pinnallista;</w:t>
            </w:r>
            <w:r>
              <w:t xml:space="preserve"> </w:t>
            </w:r>
            <w:r>
              <w:rPr>
                <w:b/>
                <w:i/>
              </w:rPr>
              <w:t>panee merkille, että EMAa syytetään säännöllisesti siitä, että se vähättelee vakavia sivuvaikutuksia koskevia tapausselostuksia, ei tutki riittävästi kliinistä raakatietoa sisältäviä raportteja tai reagoi liian hitaasti havaittuihin riskeihin, mikä on saanut aikaan ristiriitoja ja heikentänyt luottamusta sen tekemiin arviointeihin (muun muassa covid-19-rokotteista ja HPV-rokotteesta);</w:t>
            </w:r>
            <w:r>
              <w:t xml:space="preserve"> </w:t>
            </w:r>
            <w:r>
              <w:rPr>
                <w:b/>
                <w:i/>
              </w:rPr>
              <w:t>palauttaa mieliin, että EMA on riippuvainen toimialalta saamistaan tiedoista;</w:t>
            </w:r>
            <w:r>
              <w:t xml:space="preserve"> </w:t>
            </w:r>
            <w:r>
              <w:rPr>
                <w:b/>
                <w:i/>
              </w:rPr>
              <w:t>toteaa arvostelijoiden huomauttaneen, että EMA tukeutuu liikaa sponsoroituihin kliinisiin lääketutkimuksiin, millä on osaltaan huomattava vaikutus yleiseen luottamukseen;</w:t>
            </w:r>
            <w:r>
              <w:t xml:space="preserve"> </w:t>
            </w:r>
            <w:r>
              <w:rPr>
                <w:b/>
                <w:i/>
              </w:rPr>
              <w:t>toteaa, että nämä kiistat ovat osaltaan heikentäneet rokotuskattavuutta joissakin maissa ja johtaneet valituksiin siitä, että EMAn riippumattomuus ei toteudu ja että sillä on läheiset yhteydet suuriin lääkeyhtiöihin;</w:t>
            </w:r>
            <w:r>
              <w:t xml:space="preserve"> korostaa, että EMA on vahvistanut merkittävästi tieteellisten komiteoiden jäsenillä ja asiantuntijoilla olevien kilpailevien etujen käsittelyä koskevia toimintaperiaatteitaan, jotka EMAn hallintoneuvosto hyväksyi joulukuussa 2024 ja jotka tulivat voimaan 1. toukokuuta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https://eur-lex.europa.eu/legal-content/FI/TXT/PDF/?uri=CELEX:62022CJ0291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a.</w:t>
            </w:r>
            <w:r>
              <w:tab/>
            </w:r>
            <w:r>
              <w:rPr>
                <w:b/>
                <w:i/>
              </w:rPr>
              <w:t>kiittää Euroopan lääkevirastoa sen työstä amoksisilliiniantibioottien pulan ratkaisemiseksi Euroopassa ja yhteistyöstä kansallisten lääkevirastojen kanssa lääkepulan korjaamiseksi, minkä seurauksena amoksisilliini poistettiin lääkepulaluettelosta vuonna 2024;</w:t>
            </w:r>
            <w:r>
              <w:t xml:space="preserve"> </w:t>
            </w:r>
            <w:r>
              <w:rPr>
                <w:b/>
                <w:i/>
              </w:rPr>
              <w:t>kannustaa EMAa jatkamaan henkilöresurssien ja talousarviovarojen kohdentamista vastaaviin tavoitteisiin;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a.</w:t>
            </w:r>
            <w:r>
              <w:tab/>
            </w:r>
            <w:r>
              <w:rPr>
                <w:b/>
                <w:i/>
              </w:rPr>
              <w:t>kritisoi sitä, että vuonna 2024 osoitettiin joulukoristeluihin 72 000 euron summa Santa’s Office -nimisen yhtiön kautta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https://www.ema.europa.eu/en/documents/other/annual-list-contracts-2024_en.pdf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b.</w:t>
            </w:r>
            <w:r>
              <w:tab/>
            </w:r>
            <w:r>
              <w:rPr>
                <w:b/>
                <w:i/>
              </w:rPr>
              <w:t>panee merkille tilintarkastustuomioistuimen suosittelevan erityiskertomuksessaan 12/2024, että Euroopan lääkevirasto jatkaa työtään sen puolesta, että sen viestintä olisi helposti suuren yleisön hyödynnettävissä ja että yleisö saisi paremmin käsityksen siitä, miten virasto käyttää EU:n varoja;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94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c.</w:t>
            </w:r>
            <w:r>
              <w:tab/>
            </w:r>
            <w:r>
              <w:rPr>
                <w:b/>
                <w:i/>
              </w:rPr>
              <w:t>panee merkille, että tilintarkastustuomioistuin suositteli erityiskertomuksessaan 12/2024, että Euroopan lääkevirasto jatkaa yhteistyötä ja koordinointia ECDC:n ja HERAn kanssa, jotta varmistetaan parempi varautuminen tuleviin pandemioihin, mukaan lukien selkeämpi työn- ja vastuunjako ja EU:n varojen tehokkaampi käyttö;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94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d.</w:t>
            </w:r>
            <w:r>
              <w:tab/>
            </w:r>
            <w:r>
              <w:rPr>
                <w:b/>
                <w:i/>
              </w:rPr>
              <w:t>panee merkille, että tilintarkastustuomioistuin suositteli erityiskertomuksessaan 12/24, että EMAn olisi tarkasteltava uudelleen pandemian aikana käyttöön ottamiaan välineitä, menettelyjä ja ohjeita, määritettävä, mitkä niistä olisi säilytettävä tulevia pandemioita tai muita kriisitilanteita silmällä pitäen, ja mukautettava niitä nykyisen tieteellisen ja teknologisen kehityksen mukaisesti;</w:t>
            </w:r>
            <w:r>
              <w:t xml:space="preserve"> </w:t>
            </w:r>
            <w:r>
              <w:rPr>
                <w:b/>
                <w:i/>
              </w:rPr>
              <w:t>kehottaa osoittamaan tähän tarkoitukseen riittävästi resursseja;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94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e.</w:t>
            </w:r>
            <w:r>
              <w:tab/>
            </w:r>
            <w:r>
              <w:rPr>
                <w:b/>
                <w:i/>
              </w:rPr>
              <w:t>korostaa EMAn tuoneen esiin, että kriittisistä syöpälääkkeistä, kuten fludarabiinista, vindesiinista, fluoriurasiilista, sisplatiinista, topotekaanista ja metotreksaatista, on jatkuvaa pulaa ja että ne ovat olennaisen tärkeitä leukemiaa, lymfoomaa, munasarjasyöpää ja pienisoluista keuhkosyöpää sairastavien potilaiden hoidossa;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94 f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f.</w:t>
            </w:r>
            <w:r>
              <w:tab/>
            </w:r>
            <w:r>
              <w:rPr>
                <w:b/>
                <w:i/>
              </w:rPr>
              <w:t>korostaa EMAn tuoneen esiin, että kriittisistä diabeteslääkkeistä, kuten insuliini aspartista (Fiasp, NovoRapid PumpCart), lisproinsuliinista (Sanofi), ihmisinsuliinista kaikissa lyhyt-, pika-, keskipitkä- ja pitkävaikutteisissa muodoissa ja näiden muotojen yhdistelmissä, Insuman Rapid -, Basal -, Comb 25 -valmisteista, liraglutidista (Victoza), dulaglutidista (Trulicity) ja liraglutidista (Saxenda), on jatkuvaa pulaa ja että ne ovat olennaisen tärkeitä tyypin 1 ja 2 diabeteksen hoidossa sekä potilailla, jotka tarvitsevat GLP-1-reseptoriagonisteja verensokerin hallintaan ja aineenvaihduntariskin vähentämiseen;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95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95.</w:t>
            </w:r>
            <w:r>
              <w:tab/>
            </w:r>
            <w:r>
              <w:t xml:space="preserve">on erittäin huolissaan </w:t>
            </w:r>
            <w:r>
              <w:rPr>
                <w:b/>
                <w:i/>
              </w:rPr>
              <w:t>EUDAn hankintamenettelyissä havaituista</w:t>
            </w:r>
            <w:r>
              <w:t xml:space="preserve"> toistuvista varainhoitoasetuksen rikkomisista ja panee merkille viisi tilintarkastustuomioistuimen vuonna 2024 havaitsemaa sääntöjenvastaisuutta</w:t>
            </w:r>
            <w:r>
              <w:rPr>
                <w:b/>
                <w:i/>
              </w:rPr>
              <w:t>;</w:t>
            </w:r>
            <w:r>
              <w:t xml:space="preserve"> </w:t>
            </w:r>
            <w:r>
              <w:rPr>
                <w:b/>
                <w:i/>
              </w:rPr>
              <w:t>painottaa</w:t>
            </w:r>
            <w:r>
              <w:t xml:space="preserve">, </w:t>
            </w:r>
            <w:r>
              <w:rPr>
                <w:b/>
                <w:i/>
              </w:rPr>
              <w:t>että näitä sääntöjenvastaisuuksia ovat muun muassa</w:t>
            </w:r>
          </w:p>
        </w:tc>
        <w:tc>
          <w:tcPr>
            <w:tcW w:w="4876" w:type="dxa"/>
            <w:tcBorders>
              <w:top w:val="nil"/>
              <w:left w:val="nil"/>
              <w:bottom w:val="nil"/>
              <w:right w:val="nil"/>
            </w:tcBorders>
          </w:tcPr>
          <w:p>
            <w:pPr>
              <w:pStyle w:val="Normal6a"/>
            </w:pPr>
            <w:r>
              <w:t>95.</w:t>
            </w:r>
            <w:r>
              <w:tab/>
            </w:r>
            <w:r>
              <w:t xml:space="preserve">on erittäin huolissaan toistuvista varainhoitoasetuksen rikkomisista </w:t>
            </w:r>
            <w:r>
              <w:rPr>
                <w:b/>
                <w:i/>
              </w:rPr>
              <w:t>EUDAn hankintamenettelyissä</w:t>
            </w:r>
            <w:r>
              <w:t xml:space="preserve"> ja panee merkille viisi tilintarkastustuomioistuimen vuonna 2024 havaitsemaa sääntöjenvastaisuutta</w:t>
            </w:r>
            <w:r>
              <w:rPr>
                <w:b/>
                <w:i/>
              </w:rPr>
              <w:t>:</w:t>
            </w:r>
            <w:r>
              <w:t xml:space="preserve"> </w:t>
            </w:r>
            <w:r>
              <w:rPr>
                <w:b/>
                <w:i/>
              </w:rPr>
              <w:t>luvaton sopimuksen jakaminen ja neuvottelumenettelyn perusteeton käyttö Lissabonissa järjestettyä tapahtumaa koskevien sopimusten osalta (210 668 euroa)</w:t>
            </w:r>
            <w:r>
              <w:t xml:space="preserve">, </w:t>
            </w:r>
            <w:r>
              <w:rPr>
                <w:b/>
                <w:i/>
              </w:rPr>
              <w:t>merkittävät puutteet 410 000 euron arvoisessa huumausaineiden kauppaa koskevan raportointijärjestelmän hankinnasta tehdyssä sopimuksessa, minkä vuoksi sekä sopimus että siihen liittyvä 60 000 euron maksu ovat sääntöjenvastaisia,</w:t>
            </w:r>
            <w:r>
              <w:t xml:space="preserve"> </w:t>
            </w:r>
            <w:r>
              <w:rPr>
                <w:b/>
                <w:i/>
              </w:rPr>
              <w:t>avajaistilaisuuksiin liittyvien maksujen ylittäminen 14 007 eurolla,</w:t>
            </w:r>
            <w:r>
              <w:t xml:space="preserve"> </w:t>
            </w:r>
            <w:r>
              <w:rPr>
                <w:b/>
                <w:i/>
              </w:rPr>
              <w:t>tietojen keräämistä Ukrainassa koskevan 10 000 euron sopimuksen virheellinen hankintamenettely</w:t>
            </w:r>
            <w:r>
              <w:t xml:space="preserve"> </w:t>
            </w:r>
            <w:r>
              <w:rPr>
                <w:b/>
                <w:i/>
              </w:rPr>
              <w:t>sekä julkistamista ja eturistiriitoja koskevien vaatimusten noudattamatta jättäminen 100 000 euron arvoisessa väliaikaisten palvelujen tarjoamista koskevassa sopimuksessa;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95 kohta – 1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luvaton sopimusten jakaminen ja neuvottelumenettelyjen epäasianmukainen käyttö ilman perusteluja kolmen Lissabonissa järjestettyä tapahtumaa koskevan sopimuksen osalta (tilojen vuokra ja ateriapalvelut yhteensä 210 668 euroa), asiakirjojen puuttuminen ja hankintojen julkisuutta koskevien vaatimusten noudattamatta jättäminen;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95 kohta – 2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vakavat puutteet 410 000 euron arvoisessa huumausaineiden kauppaa koskevan raportointijärjestelmän hankinnasta tehdyssä sopimuksessa, mukaan lukien asianmukaisen tarjouseritelmän, sopimuksentekoperusteiden ja arviointikomitean puuttuminen, minkä vuoksi sekä sopimus että siihen liittyvä 60 000 euron maksu ovat sääntöjenvastaisia;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95 kohta – 3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avajaistilaisuuksia koskevan sopimuksen sovitun arvon ylittäminen 14 007 eurolla EUDAn varainhoitoasetuksen 73 artiklan vastaisesti;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95 kohta – 4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tietojen keräämistä Ukrainassa koskevan 10 000 euron sopimuksen virheellinen hankintamenettely, josta puuttuivat sopimuksentekoperusteet ja asianmukaiset asiakirjat;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95 kohta – 5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julkistamisvaatimusten noudattamatta jättäminen ja puuttuvat ilmoitukset eturistiriidattomuudesta 100 000 euron arvoisessa väliaikaisten palvelujen tarjoamista koskevassa hankinnassa;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97 a.</w:t>
            </w:r>
            <w:r>
              <w:tab/>
            </w:r>
            <w:r>
              <w:rPr>
                <w:b/>
                <w:i/>
              </w:rPr>
              <w:t>panee merkille EUDAn kansallisten viranomaisten tueksi toteuttamat analyysi- ja koordinointitoimet;</w:t>
            </w:r>
            <w:r>
              <w:t xml:space="preserve"> </w:t>
            </w:r>
            <w:r>
              <w:rPr>
                <w:b/>
                <w:i/>
              </w:rPr>
              <w:t>panee merkille, että vuonna 2024 EUDA antoi koulutusta huumausaineiden valvontapolitiikan alalla yli 11 700:lle ammattilaiselle, kuten lainvalvontaviranomaisille, terveydenhuollon työntekijöille ja poliittisille päättäjille;</w:t>
            </w:r>
            <w:r>
              <w:t xml:space="preserve"> </w:t>
            </w:r>
            <w:r>
              <w:rPr>
                <w:b/>
                <w:i/>
              </w:rPr>
              <w:t>muistuttaa, että unionin tämän alan resursseilla olisi ensisijaisesti pyrittävä ehkäisemään ja torjumaan huumekauppaa, vahvistamaan lainvalvontayhteistyötä ja suojelemaan kansanterveyttä ja yleistä turvallisuutta ja että koulutustoimissa olisi edelleen keskityttävä operatiiviseen yhteistyöhön, tiedustelutietojen jakamiseen ja järjestäytyneen rikollisuuden ehkäisemiseen;</w:t>
            </w:r>
            <w:r>
              <w:t xml:space="preserve"> </w:t>
            </w:r>
            <w:r>
              <w:rPr>
                <w:b/>
                <w:i/>
              </w:rPr>
              <w:t>korostaa, että unionin muiden virastojen kanssa tehtävällä yhteistyöllä on pyrittävä vahvistamaan turvallisuutta ja tehokasta rajavalvontaa sekä varmistamaan mitattavissa olevat tulokset ja unionin varojen tehokas käyttö;</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 a.</w:t>
            </w:r>
            <w:r>
              <w:tab/>
            </w:r>
            <w:r>
              <w:rPr>
                <w:b/>
                <w:i/>
              </w:rPr>
              <w:t>painottaa tilintarkastustuomioistuimen suosittelevan, että ECDC tekee yhteistyötä jäsenvaltioiden kanssa yhdenmukaistetun EU:n laajuisen tartuntatautien seurantajärjestelmän vahvistamiseksi, parantaa sisäisiä prosessejaan, jotta se voi antaa oikea-aikaisempia ja käytännöllisempiä ohjeita, ja viestii yleisölle selkeämmin käyttäen selkeää kieltä, jotta EU:n varojen käytöstä voidaan antaa selkeämpi kuva, kuten tilintarkastustuomioistuin totesi erityiskertomuksessaan 12/2024;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 a.</w:t>
            </w:r>
            <w:r>
              <w:tab/>
            </w:r>
            <w:r>
              <w:rPr>
                <w:b/>
                <w:i/>
              </w:rPr>
              <w:t>panee tyytyväisenä merkille, että EFSA on ottanut käyttöön uudet eturistiriitoja koskevat toimintaperiaatteet sen jälkeen, kun se joutui keskelle skandaaleja, kuten</w:t>
            </w:r>
            <w:r>
              <w:t xml:space="preserve"> </w:t>
            </w:r>
            <w:r>
              <w:rPr>
                <w:b/>
                <w:i/>
              </w:rPr>
              <w:t>johtokunnan entistä puheenjohtajaa Diána Bánátia koskeneessa tapauksessa, jossa tämä ei ollut antanut tietoja yhteyksistään, erosi tehtävästään vuonna 2012 ja siirtyi teollisuuden etuja ajavan ILSIn palvelukseen, sekä tapauksessa, jossa muuntogeenisiin organismeihin liittyvien tehtävien entinen vastuuhenkilö Suzy Renckens siirtyi Syngentan palvelukseen vuonna 2008;</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kohta – ii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a)</w:t>
            </w:r>
            <w:r>
              <w:tab/>
            </w:r>
            <w:r>
              <w:rPr>
                <w:b/>
                <w:i/>
              </w:rPr>
              <w:t>ECDC:tä ja EMAa käyttämään osan määrärahoistaan Euroopan tilintarkastustuomioistuimen erityiskertomuksessa 12/2024 esitettyjen ja edellä lueteltujen suositusten täytäntöönpanemiseen;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100 kohta – ii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b)</w:t>
            </w:r>
            <w:r>
              <w:tab/>
            </w:r>
            <w:r>
              <w:rPr>
                <w:b/>
                <w:i/>
              </w:rPr>
              <w:t>EMAa, komissiota ja jäsenvaltioita ryhtymään välittömiin toimiin edellä lueteltujen kriittisten lääkkeiden jatkuvan pulan korjaamiseksi ja kehottaa tähän liittyen EMAa tekemään tiivistä yhteistyötä kansallisten viranomaisten ja Euroopan komission kanssa, jotta </w:t>
            </w:r>
            <w:r>
              <w:t xml:space="preserve"> </w:t>
            </w:r>
            <w:r>
              <w:rPr>
                <w:b/>
                <w:i/>
              </w:rPr>
              <w:t>i) ongelman ratkaisemiseen osoitetaan riittävästi resursseja, ii) analysoidaan lääkepulan syitä ja korjataan ne, mukaan lukien valmistusteollisuus, toimitusketju, jakeluhaasteet ja sisämarkkinoiden esteet tai kansallinen protektionismi sekä eurooppalaisten lääkkeiden tuotannon tarve, iii) laaditaan valmiussuunnitelmia, joilla varmistetaan keskeytymätön saatavuus potilaille, mukaan lukien kiireellisten tapausten priorisointi;</w:t>
            </w:r>
            <w:r>
              <w:t xml:space="preserve"> </w:t>
            </w:r>
            <w:r>
              <w:rPr>
                <w:b/>
                <w:i/>
              </w:rPr>
              <w:t>korostaa, että välittömät ja koordinoidut toimet ovat olennaisen tärkeitä, jotta estetään hoidon viivästyminen, vältetään potilaiden hoidon tulosten heikkeneminen ja varmistetaan yleinen luottamus eurooppalaiseen terveydenhuoltojärjestelmään;</w:t>
            </w:r>
            <w:r>
              <w:t xml:space="preserve"> </w:t>
            </w:r>
            <w:r>
              <w:rPr>
                <w:b/>
                <w:i/>
              </w:rPr>
              <w:t>kehottaa EMAa osoittamaan talousarviostaan sisäisiä lisäresursseja tämän tavoitteen saavuttamiseen;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104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104.</w:t>
            </w:r>
            <w:r>
              <w:tab/>
            </w:r>
            <w:r>
              <w:t>panee merkille tilintarkastustuomioistuimen kolme huomautusta, jotka koskivat hankintoihin liittyviä sääntöjenvastaisuuksia EEA:ssa, mukaan lukien</w:t>
            </w:r>
          </w:p>
        </w:tc>
        <w:tc>
          <w:tcPr>
            <w:tcW w:w="4876" w:type="dxa"/>
            <w:tcBorders>
              <w:top w:val="nil"/>
              <w:left w:val="nil"/>
              <w:bottom w:val="nil"/>
              <w:right w:val="nil"/>
            </w:tcBorders>
          </w:tcPr>
          <w:p>
            <w:pPr>
              <w:pStyle w:val="Normal6a"/>
            </w:pPr>
            <w:r>
              <w:t>104.</w:t>
            </w:r>
            <w:r>
              <w:tab/>
            </w:r>
            <w:r>
              <w:t xml:space="preserve">panee merkille tilintarkastustuomioistuimen kolme huomautusta, jotka koskivat hankintoihin liittyviä sääntöjenvastaisuuksia EEA:ssa, mukaan lukien </w:t>
            </w:r>
            <w:r>
              <w:rPr>
                <w:b/>
                <w:i/>
              </w:rPr>
              <w:t>ruokala-ja ateriapalveluja koskevan sopimuksen nojalla suoritetut sääntöjenvastaiset maksut (6 514 euron kulujen korvaus ilman laskua ja hintojen korottaminen 34 prosenttia indeksointimekanismia korkeammiksi),</w:t>
            </w:r>
            <w:r>
              <w:t xml:space="preserve"> </w:t>
            </w:r>
            <w:r>
              <w:rPr>
                <w:b/>
                <w:i/>
              </w:rPr>
              <w:t>sisäisen asiantuntijakokousjärjestelmän käyttö vaadittujen tilauslomakkeiden sijaan, mikä esti kumulatiivisten menojen asianmukaisen seurannan ja aiheutti riskin sopimuksen enimmäismäärän ylittymisestä,</w:t>
            </w:r>
            <w:r>
              <w:t xml:space="preserve"> </w:t>
            </w:r>
            <w:r>
              <w:rPr>
                <w:b/>
                <w:i/>
              </w:rPr>
              <w:t>ja sopimustyypin täsmentämättä jättäminen 731 000 euron arvoisessa IT-konsulttipalveluja koskevassa sopimuksessa, mikä on varainhoitoasetuksen liitteen I vastaista;</w:t>
            </w:r>
            <w:r>
              <w:t xml:space="preserve"> </w:t>
            </w:r>
            <w:r>
              <w:rPr>
                <w:b/>
                <w:i/>
              </w:rPr>
              <w:t>panee merkille viraston selitykset ja sitoumukset vahvistaa menettelyjä ja varmistaa sääntöjen noudattaminen jatkossa;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104 kohta – 1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ruokala- ja ateriapalveluja koskevan puitesopimuksen nojalla suoritetut sääntöjenvastaiset maksut, 6 514 euron kulujen korvaus ilman keskukselle osoitettua laskua varainhoitoasetuksen 111 artiklan 2 kohdan vastaisesti ja lounashintojen korottaminen 34 prosenttia sovittua indeksointimekanismia korkeammiksi;</w:t>
            </w:r>
            <w:r>
              <w:t xml:space="preserve"> </w:t>
            </w:r>
            <w:r>
              <w:rPr>
                <w:b/>
                <w:i/>
              </w:rPr>
              <w:t>panee merkille keskuksen vastauksen, jossa se toteaa, että kyse oli yksittäistapauksista, menettelyjä on sittemmin selvennetty ja vahvistettu ja hinnankorotus johtui poikkeuksellisesta inflaatiotilanteesta;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104 kohta – 2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sisäisen asiantuntijakokousjärjestelmän käyttö ateriapalvelujen tilaamiseen puitesopimuksen mukaisten tilauslomakkeiden sijaan, mikä esti kumulatiivisten menojen luotettavan seurannan ja aiheutti riskin sopimuksen enimmäismäärän ylittymisestä varainhoitoasetuksen 111 artiklan 1 ja 3 kohdan vastaisesti;</w:t>
            </w:r>
            <w:r>
              <w:t xml:space="preserve"> </w:t>
            </w:r>
            <w:r>
              <w:rPr>
                <w:b/>
                <w:i/>
              </w:rPr>
              <w:t>panee merkille EEA:n vastauksen, jonka mukaan asiantuntijakokousjärjestelmä tarjoaa sujuvan valvontaprosessin ja se aikoo muuttaa puitesopimusta vastaavasti;</w:t>
            </w:r>
            <w:r>
              <w:t xml:space="preserve"> </w:t>
            </w:r>
            <w:r>
              <w:rPr>
                <w:b/>
                <w:i/>
              </w:rPr>
              <w:t>korostaa, että tilintarkastustuomioistuimen mainitsemien ongelmien ottamiseksi kaikilta osin huomioon asiantuntijakokousjärjestelmä olisi integroitava kirjanpitojärjestelmään, jotta voidaan varmistaa, että kaikista ateriapalvelutilauksista luodaan automaattisesti oikeudellisesti velvoittavia sitoumuksia;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104 kohta – 3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sopimustyyppi:</w:t>
            </w:r>
            <w:r>
              <w:t xml:space="preserve"> </w:t>
            </w:r>
            <w:r>
              <w:rPr>
                <w:b/>
                <w:i/>
              </w:rPr>
              <w:t>panee merkille, että EEA ei täsmentänyt erillissopimuksen tyyppiä (kiinteä vai aika- ja resurssiperusteinen hinta) 731 000 euron arvoisessa IT-konsulttipalveluja koskevassa sopimuksessa, mikä on varainhoitoasetuksen liitteessä I olevan 1.1 kohdan vastaista ja minkä vuoksi sopimuksen kokonaissummaa ei ollut mahdollista täsmäyttää konsulttikohtaisten hintojen kanssa;</w:t>
            </w:r>
            <w:r>
              <w:t xml:space="preserve"> </w:t>
            </w:r>
            <w:r>
              <w:rPr>
                <w:b/>
                <w:i/>
              </w:rPr>
              <w:t>panee merkille EEA:n selityksen, jossa se toteaa, että pois jättämisellä ei ollut taloudellisia vaikutuksia ja että keskus sitoutuu varmistamaan, että tieto sisältyy kaikkiin tuleviin sopimuksiin;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104 kohta – 3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sopimustyyppi: </w:t>
            </w:r>
            <w:r>
              <w:rPr>
                <w:b/>
                <w:i/>
              </w:rPr>
              <w:t>panee merkille</w:t>
            </w:r>
            <w:r>
              <w:t>, että EEA ei täsmentänyt erillissopimuksen tyyppiä (kiinteä vai aika- ja resurssiperusteinen hinta) 731 000 euron arvoisessa IT-konsulttipalveluja koskevassa sopimuksessa, mikä on varainhoitoasetuksen liitteessä I olevan 1.1 kohdan vastaista ja minkä vuoksi sopimuksen kokonaissummaa ei ollut mahdollista täsmäyttää konsulttikohtaisten hintojen kanssa; panee merkille EEA:n selityksen, jossa se toteaa, että pois jättämisellä ei ollut taloudellisia vaikutuksia ja että keskus sitoutuu varmistamaan, että tieto sisältyy kaikkiin tuleviin sopimuksiin;</w:t>
            </w:r>
          </w:p>
        </w:tc>
        <w:tc>
          <w:tcPr>
            <w:tcW w:w="4876" w:type="dxa"/>
            <w:tcBorders>
              <w:top w:val="nil"/>
              <w:left w:val="nil"/>
              <w:bottom w:val="nil"/>
              <w:right w:val="nil"/>
            </w:tcBorders>
          </w:tcPr>
          <w:p>
            <w:pPr>
              <w:pStyle w:val="Normal6a"/>
            </w:pPr>
            <w:r>
              <w:rPr>
                <w:b/>
                <w:i/>
              </w:rPr>
              <w:t>–</w:t>
            </w:r>
            <w:r>
              <w:tab/>
            </w:r>
            <w:r>
              <w:t xml:space="preserve">sopimustyyppi: </w:t>
            </w:r>
            <w:r>
              <w:rPr>
                <w:b/>
                <w:i/>
              </w:rPr>
              <w:t>pitää valitettavana</w:t>
            </w:r>
            <w:r>
              <w:t xml:space="preserve">, että EEA ei täsmentänyt erillissopimuksen tyyppiä (kiinteä vai aika- ja resurssiperusteinen hinta) 731 000 euron arvoisessa IT-konsulttipalveluja koskevassa sopimuksessa, mikä on varainhoitoasetuksen liitteessä I olevan 1.1 kohdan vastaista ja minkä vuoksi sopimuksen kokonaissummaa ei ollut mahdollista täsmäyttää konsulttikohtaisten hintojen kanssa; panee merkille EEA:n selityksen, jossa se toteaa, että pois jättämisellä ei ollut taloudellisia vaikutuksia ja että keskus sitoutuu varmistamaan, että tieto sisältyy kaikkiin tuleviin sopimuksiin; </w:t>
            </w:r>
            <w:r>
              <w:rPr>
                <w:b/>
                <w:i/>
              </w:rPr>
              <w:t>kehottaa kiireellisesti parantamaan virastojen oikeudellisten yksikköjen ja hankintayksikköjen ammatillisia valmiuksia, jotta vältetään kyseisten virheiden toistuminen ja siten julkisen varainkäytön vaarantaminen;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104 a.</w:t>
            </w:r>
            <w:r>
              <w:tab/>
            </w:r>
            <w:r>
              <w:rPr>
                <w:b/>
                <w:i/>
              </w:rPr>
              <w:t>korostaa, että monet EEA:n julkaisut ilmentävät sellaista ideologista lähestymistapaa vihreän kehityksen ohjelmaan, joka saattaa vaikuttaa suhteettomasti EU:n maatalouteen ja teollisuuteen, ja kehottaa virastoa asettamaan etusijalle ehdottoman tieteellisen lähestymistavan, johon ei liity poliittista aktivismia;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105.</w:t>
            </w:r>
            <w:r>
              <w:tab/>
            </w:r>
            <w:r>
              <w:t>panee merkille tilintarkastustuomioistuimen huomautuksen, jonka mukaan ECHA teki IT-infrastruktuuripalveluja koskevan erillissopimuksen, jonka arvo oli 8,1 miljoonaa euroa, mikä oli 1,3 miljoonaa euroa enemmän kuin mitä tulojen ja menojen hyväksyjä oli valtuutettu hyväksymään; panee merkille viraston selityksen, jonka mukaan sopimus perustui ei-sitoviin arvioihin palvelumääristä vuotuisten määrärahojen rajoissa ja tosiasialliset talousarviositoumukset eivät ylittäneet valtuutuksen rajoja; kehottaa ECHAa varmistamaan, että taloudelliset valtuutukset ja sopimussitoumukset on sovitettu selkeästi yhteen;</w:t>
            </w:r>
          </w:p>
        </w:tc>
        <w:tc>
          <w:tcPr>
            <w:tcW w:w="4876" w:type="dxa"/>
            <w:tcBorders>
              <w:top w:val="nil"/>
              <w:left w:val="nil"/>
              <w:bottom w:val="nil"/>
              <w:right w:val="nil"/>
            </w:tcBorders>
          </w:tcPr>
          <w:p>
            <w:pPr>
              <w:pStyle w:val="Normal6a"/>
            </w:pPr>
            <w:r>
              <w:t>105.</w:t>
            </w:r>
            <w:r>
              <w:tab/>
            </w:r>
            <w:r>
              <w:t xml:space="preserve">panee merkille tilintarkastustuomioistuimen huomautuksen, jonka mukaan ECHA teki IT-infrastruktuuripalveluja koskevan erillissopimuksen, jonka arvo oli 8,1 miljoonaa euroa, mikä oli 1,3 miljoonaa euroa enemmän kuin mitä tulojen ja menojen hyväksyjä oli valtuutettu hyväksymään; panee merkille viraston selityksen, jonka mukaan sopimus perustui ei-sitoviin arvioihin palvelumääristä vuotuisten määrärahojen rajoissa ja tosiasialliset talousarviositoumukset eivät ylittäneet valtuutuksen rajoja; kehottaa ECHAa varmistamaan, että taloudelliset valtuutukset ja sopimussitoumukset on sovitettu selkeästi yhteen; </w:t>
            </w:r>
            <w:r>
              <w:rPr>
                <w:b/>
                <w:i/>
              </w:rPr>
              <w:t>kehottaa virastoa ottamaan käyttöön tehostettuja ennakoivan seurannan mekanismeja sellaisia ulkopuolisia toimeksisaajia varten, jotka osallistuvat sääntelyä koskevaa päätöksentekoa käsittelevään viraston työhön;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106.</w:t>
            </w:r>
            <w:r>
              <w:tab/>
            </w:r>
            <w:r>
              <w:t>kehottaa kiinnittämään huomiota useiden kansalaisyhteiskunnan organisaatioiden esiin tuomaan huoleen mahdollisesta ammatillisesta eturistiriidasta Ramboll Deutschland GmbH:n tapauksessa ja toteaa, että kyseessä on konsulttiyritys, joka on aiemmin tehnyt ECHAlle teknisiä tutkimuksia ja samalla tarjonnut palveluja teollisuuden sidosryhmille, jotka pyrkivät vaikuttamaan tuleviin PFAS-aineita koskeviin rajoituksiin; panee merkille organisaatioiden väitteen, jonka mukaan Rambollin samanaikaiset toimet olisivat voineet vaarantaa varainhoitoasetuksen 2 artiklan 56 alakohdassa ja 143 artiklan 1 kohdan ensimmäisen alakohdan d alakohdassa asetetun edellytyksen puolueettomuudesta;</w:t>
            </w:r>
          </w:p>
        </w:tc>
        <w:tc>
          <w:tcPr>
            <w:tcW w:w="4876" w:type="dxa"/>
            <w:tcBorders>
              <w:top w:val="nil"/>
              <w:left w:val="nil"/>
              <w:bottom w:val="nil"/>
              <w:right w:val="nil"/>
            </w:tcBorders>
          </w:tcPr>
          <w:p>
            <w:pPr>
              <w:pStyle w:val="Normal6a"/>
            </w:pPr>
            <w:r>
              <w:t>106.</w:t>
            </w:r>
            <w:r>
              <w:tab/>
            </w:r>
            <w:r>
              <w:t xml:space="preserve">kehottaa kiinnittämään huomiota useiden kansalaisyhteiskunnan organisaatioiden esiin tuomaan huoleen mahdollisesta ammatillisesta eturistiriidasta Ramboll Deutschland GmbH:n tapauksessa ja toteaa, että kyseessä on konsulttiyritys, joka on aiemmin tehnyt ECHAlle teknisiä tutkimuksia ja samalla tarjonnut palveluja teollisuuden sidosryhmille, jotka pyrkivät vaikuttamaan tuleviin PFAS-aineita koskeviin rajoituksiin; </w:t>
            </w:r>
            <w:r>
              <w:rPr>
                <w:b/>
                <w:i/>
              </w:rPr>
              <w:t>korostaa, että asiantuntijaneuvonnan rakenteissa olisi varmistettava tasapainoinen tieteellisen, teollisen ja kansalaisyhteiskuntaa koskevan asiantuntemuksen edustus legitimiteetin ja näyttöön perustuvan päätöksenteon vahvistamiseksi;</w:t>
            </w:r>
            <w:r>
              <w:t xml:space="preserve"> panee merkille organisaatioiden väitteen, jonka mukaan Rambollin samanaikaiset toimet olisivat voineet vaarantaa varainhoitoasetuksen 2 artiklan 56 alakohdassa ja 143 artiklan 1 kohdan ensimmäisen alakohdan d alakohdassa asetetun edellytyksen puolueettomuudesta; </w:t>
            </w:r>
            <w:r>
              <w:rPr>
                <w:b/>
                <w:i/>
              </w:rPr>
              <w:t>korostaa, että moitteettoman varainhoidon periaate edellyttää viraston varmistavan, että hankinnat ja sopimusten täytäntöönpano toteutetaan siten, että säilytetään institutionaalinen puolueettomuus ja yleinen luottamus;</w:t>
            </w:r>
            <w:r>
              <w:t xml:space="preserve"> </w:t>
            </w:r>
            <w:r>
              <w:rPr>
                <w:b/>
                <w:i/>
              </w:rPr>
              <w:t>toteaa, että eturistiriidaksi koettu tilanne voi vaikuttaa unionin rahoittamien toimien uskottavuuteen, vaikka asiassa ei olisi tehty menettelyvirhettä;</w:t>
            </w:r>
            <w:r>
              <w:t xml:space="preserve"> </w:t>
            </w:r>
            <w:r>
              <w:rPr>
                <w:b/>
                <w:i/>
              </w:rPr>
              <w:t>kehottaa tehostamaan suojatoimia, joilla puututaan sekä todellisiin että näennäisiin riskeihin;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panee kuitenkin merkille ECHAn selvennyksen siitä, että Ramboll Deutschland teki virastolle työtä PFAS-aineiden parissa vuosina 2020–2021 ennen konsulttiyrityksen yhteistyötä teollisuuden kanssa vuonna 2022 ja että sopimuksen tekohetkellä tehtiin eturistiriitoja koskevat arvioinnit ECHAn menettelyjen mukaisesti; panee lisäksi merkille, että nykyisen vuoden 2024 puitesopimuksen aikana Ramboll ei ole jättänyt tarjouksia erillissopimuksista; suhtautuu myönteisesti ECHAn lausuntoon, jonka mukaan se suoritti yksityiskohtaisen sisäisen arvioinnin vastauksena asiakirjoihin tutustumista koskeviin pyyntöihin eikä havainnut käsittelemättömiä eturistiriitoja; painottaa </w:t>
            </w:r>
            <w:r>
              <w:rPr>
                <w:b/>
                <w:i/>
              </w:rPr>
              <w:t>silti, että on tärkeää</w:t>
            </w:r>
            <w:r>
              <w:t xml:space="preserve"> varmistaa luotettavat</w:t>
            </w:r>
            <w:r>
              <w:rPr>
                <w:b/>
                <w:i/>
              </w:rPr>
              <w:t>,</w:t>
            </w:r>
            <w:r>
              <w:t xml:space="preserve"> ennakoivat </w:t>
            </w:r>
            <w:r>
              <w:rPr>
                <w:b/>
                <w:i/>
              </w:rPr>
              <w:t>ja tulevaisuuteen suuntautuvat eturistiriitoja koskevat tarkastukset kaikkien ulkoisten toimeksisaajien osalta, erityisesti niiden, jotka osallistuvat arkaluonteisiin sääntelypäätöksiin vaikuttavaan tekniseen työhön</w:t>
            </w:r>
            <w:r>
              <w:t xml:space="preserve">; </w:t>
            </w:r>
            <w:r>
              <w:rPr>
                <w:b/>
                <w:i/>
              </w:rPr>
              <w:t>on huolissaan siitä, että joihinkin kansalaisjärjestöjen ja komission välisiin sopimuksiin sisältyi työohjelmakohtia, joilla pyrittiin heikentämään ECHAn työtä ja Euroopan parlamentin asiaankuuluvien valiokuntien päätöksentekoprosessia;</w:t>
            </w:r>
            <w:r>
              <w:t xml:space="preserve"> </w:t>
            </w:r>
            <w:r>
              <w:rPr>
                <w:b/>
                <w:i/>
              </w:rPr>
              <w:t>korostaa, että asiantuntijaryhmissä olisi oltava tasapuolisesti jäseniä eri aloilta, kuten yksityiseltä sektorilta, tiedealalta ja kansalaisyhteiskunnasta, jotta niissä olisi edustettuina erilaisia kykyjä ja näkemyksiä;</w:t>
            </w:r>
          </w:p>
        </w:tc>
        <w:tc>
          <w:tcPr>
            <w:tcW w:w="4876" w:type="dxa"/>
            <w:tcBorders>
              <w:top w:val="nil"/>
              <w:left w:val="nil"/>
              <w:bottom w:val="nil"/>
              <w:right w:val="nil"/>
            </w:tcBorders>
          </w:tcPr>
          <w:p>
            <w:pPr>
              <w:pStyle w:val="Normal6a"/>
            </w:pPr>
            <w:r>
              <w:t>107.</w:t>
            </w:r>
            <w:r>
              <w:tab/>
            </w:r>
            <w:r>
              <w:t>panee kuitenkin merkille ECHAn selvennyksen siitä, että Ramboll Deutschland teki virastolle työtä PFAS-aineiden parissa vuosina 2020–2021 ennen konsulttiyrityksen yhteistyötä teollisuuden kanssa vuonna 2022 ja että sopimuksen tekohetkellä tehtiin eturistiriitoja koskevat arvioinnit ECHAn menettelyjen mukaisesti; panee lisäksi merkille, että nykyisen vuoden 2024 puitesopimuksen aikana Ramboll ei ole jättänyt tarjouksia erillissopimuksista; suhtautuu myönteisesti ECHAn lausuntoon, jonka mukaan se suoritti yksityiskohtaisen sisäisen arvioinnin vastauksena asiakirjoihin tutustumista koskeviin pyyntöihin eikä havainnut käsittelemättömiä eturistiriitoja; painottaa </w:t>
            </w:r>
            <w:r>
              <w:rPr>
                <w:b/>
                <w:i/>
              </w:rPr>
              <w:t>tarvetta</w:t>
            </w:r>
            <w:r>
              <w:t xml:space="preserve"> varmistaa </w:t>
            </w:r>
            <w:r>
              <w:rPr>
                <w:b/>
                <w:i/>
              </w:rPr>
              <w:t>erityisen</w:t>
            </w:r>
            <w:r>
              <w:t xml:space="preserve"> luotettavat </w:t>
            </w:r>
            <w:r>
              <w:rPr>
                <w:b/>
                <w:i/>
              </w:rPr>
              <w:t>ja</w:t>
            </w:r>
            <w:r>
              <w:t xml:space="preserve"> ennakoivat </w:t>
            </w:r>
            <w:r>
              <w:rPr>
                <w:b/>
                <w:i/>
              </w:rPr>
              <w:t>menettelyt eturistiriitariskien ehkäisemiseksi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panee kuitenkin merkille ECHAn selvennyksen siitä, että Ramboll Deutschland teki virastolle työtä PFAS-aineiden parissa vuosina 2020–2021 ennen konsulttiyrityksen yhteistyötä teollisuuden kanssa vuonna 2022 ja että sopimuksen tekohetkellä tehtiin eturistiriitoja koskevat arvioinnit ECHAn menettelyjen mukaisesti; panee lisäksi merkille, että nykyisen vuoden 2024 puitesopimuksen aikana Ramboll ei ole jättänyt tarjouksia erillissopimuksista; suhtautuu myönteisesti ECHAn lausuntoon, jonka mukaan se suoritti yksityiskohtaisen sisäisen arvioinnin vastauksena asiakirjoihin tutustumista koskeviin pyyntöihin eikä havainnut käsittelemättömiä eturistiriitoja; painottaa silti, että on tärkeää varmistaa luotettavat, ennakoivat ja tulevaisuuteen suuntautuvat eturistiriitoja koskevat tarkastukset kaikkien ulkoisten toimeksisaajien osalta, erityisesti niiden, jotka osallistuvat arkaluonteisiin sääntelypäätöksiin vaikuttavaan tekniseen työhön; </w:t>
            </w:r>
            <w:r>
              <w:rPr>
                <w:b/>
                <w:i/>
              </w:rPr>
              <w:t>on huolissaan siitä, että joihinkin kansalaisjärjestöjen ja komission välisiin sopimuksiin sisältyi työohjelmakohtia, joilla pyrittiin heikentämään ECHAn työtä ja Euroopan parlamentin asiaankuuluvien valiokuntien päätöksentekoprosessia;</w:t>
            </w:r>
            <w:r>
              <w:t xml:space="preserve"> korostaa, että asiantuntijaryhmissä olisi oltava tasapuolisesti jäseniä eri aloilta, kuten yksityiseltä sektorilta, tiedealalta ja kansalaisyhteiskunnasta, jotta niissä olisi edustettuina erilaisia kykyjä ja näkemyksiä;</w:t>
            </w:r>
          </w:p>
        </w:tc>
        <w:tc>
          <w:tcPr>
            <w:tcW w:w="4876" w:type="dxa"/>
            <w:tcBorders>
              <w:top w:val="nil"/>
              <w:left w:val="nil"/>
              <w:bottom w:val="nil"/>
              <w:right w:val="nil"/>
            </w:tcBorders>
          </w:tcPr>
          <w:p>
            <w:pPr>
              <w:pStyle w:val="Normal6a"/>
            </w:pPr>
            <w:r>
              <w:t>107.</w:t>
            </w:r>
            <w:r>
              <w:tab/>
            </w:r>
            <w:r>
              <w:t xml:space="preserve">panee kuitenkin merkille ECHAn selvennyksen siitä, että Ramboll Deutschland teki virastolle työtä PFAS-aineiden parissa vuosina 2020–2021 ennen konsulttiyrityksen yhteistyötä teollisuuden kanssa vuonna 2022 ja että sopimuksen tekohetkellä tehtiin eturistiriitoja koskevat arvioinnit ECHAn menettelyjen mukaisesti; panee lisäksi merkille, että nykyisen vuoden 2024 puitesopimuksen aikana Ramboll ei ole jättänyt tarjouksia erillissopimuksista; suhtautuu myönteisesti ECHAn lausuntoon, jonka mukaan se suoritti yksityiskohtaisen sisäisen arvioinnin vastauksena asiakirjoihin tutustumista koskeviin pyyntöihin eikä havainnut käsittelemättömiä eturistiriitoja; painottaa silti, että on tärkeää varmistaa luotettavat, ennakoivat ja tulevaisuuteen suuntautuvat eturistiriitoja koskevat tarkastukset kaikkien ulkoisten toimeksisaajien osalta, erityisesti niiden, jotka osallistuvat arkaluonteisiin sääntelypäätöksiin vaikuttavaan tekniseen työhön; korostaa, että asiantuntijaryhmissä olisi oltava tasapuolisesti jäseniä eri aloilta, kuten yksityiseltä sektorilta, tiedealalta ja kansalaisyhteiskunnasta, jotta niissä olisi edustettuina erilaisia kykyjä ja näkemyksiä; </w:t>
            </w:r>
            <w:r>
              <w:rPr>
                <w:b/>
                <w:i/>
              </w:rPr>
              <w:t>kehottaa virastoa sisällyttämään laajempaan sisäisen valvonnan ja riskinhallinnan kehykseensä toimeksisaajien riippumattomuustarkastukset;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panee kuitenkin merkille ECHAn selvennyksen siitä, että Ramboll Deutschland teki virastolle työtä PFAS-aineiden parissa vuosina 2020–2021 ennen konsulttiyrityksen yhteistyötä teollisuuden kanssa vuonna 2022 ja että sopimuksen tekohetkellä tehtiin eturistiriitoja koskevat arvioinnit ECHAn menettelyjen mukaisesti; panee lisäksi merkille, että nykyisen vuoden 2024 puitesopimuksen aikana Ramboll ei ole jättänyt tarjouksia erillissopimuksista; suhtautuu myönteisesti ECHAn lausuntoon, jonka mukaan se suoritti yksityiskohtaisen sisäisen arvioinnin vastauksena asiakirjoihin tutustumista koskeviin pyyntöihin eikä havainnut käsittelemättömiä eturistiriitoja; painottaa silti, että on tärkeää varmistaa luotettavat, ennakoivat ja tulevaisuuteen suuntautuvat eturistiriitoja koskevat tarkastukset kaikkien ulkoisten toimeksisaajien osalta, erityisesti niiden, jotka osallistuvat arkaluonteisiin sääntelypäätöksiin vaikuttavaan tekniseen työhön; on </w:t>
            </w:r>
            <w:r>
              <w:rPr>
                <w:b/>
                <w:i/>
              </w:rPr>
              <w:t>huolissaan</w:t>
            </w:r>
            <w:r>
              <w:t xml:space="preserve"> siitä, että joihinkin kansalaisjärjestöjen ja komission välisiin sopimuksiin sisältyi työohjelmakohtia, joilla pyrittiin heikentämään ECHAn työtä ja Euroopan parlamentin asiaankuuluvien valiokuntien päätöksentekoprosessia; korostaa, että asiantuntijaryhmissä olisi oltava tasapuolisesti jäseniä eri aloilta, kuten yksityiseltä sektorilta, tiedealalta ja kansalaisyhteiskunnasta, jotta niissä olisi edustettuina erilaisia kykyjä ja näkemyksiä;</w:t>
            </w:r>
          </w:p>
        </w:tc>
        <w:tc>
          <w:tcPr>
            <w:tcW w:w="4876" w:type="dxa"/>
            <w:tcBorders>
              <w:top w:val="nil"/>
              <w:left w:val="nil"/>
              <w:bottom w:val="nil"/>
              <w:right w:val="nil"/>
            </w:tcBorders>
          </w:tcPr>
          <w:p>
            <w:pPr>
              <w:pStyle w:val="Normal6a"/>
            </w:pPr>
            <w:r>
              <w:t>107.</w:t>
            </w:r>
            <w:r>
              <w:tab/>
            </w:r>
            <w:r>
              <w:t xml:space="preserve">panee kuitenkin merkille ECHAn selvennyksen siitä, että Ramboll Deutschland teki virastolle työtä PFAS-aineiden parissa vuosina 2020–2021 ennen konsulttiyrityksen yhteistyötä teollisuuden kanssa vuonna 2022 ja että sopimuksen tekohetkellä tehtiin eturistiriitoja koskevat arvioinnit ECHAn menettelyjen mukaisesti; panee lisäksi merkille, että nykyisen vuoden 2024 puitesopimuksen aikana Ramboll ei ole jättänyt tarjouksia erillissopimuksista; suhtautuu myönteisesti ECHAn lausuntoon, jonka mukaan se suoritti yksityiskohtaisen sisäisen arvioinnin vastauksena asiakirjoihin tutustumista koskeviin pyyntöihin eikä havainnut käsittelemättömiä eturistiriitoja; painottaa silti, että on tärkeää varmistaa luotettavat, ennakoivat ja tulevaisuuteen suuntautuvat eturistiriitoja koskevat tarkastukset kaikkien ulkoisten toimeksisaajien osalta, erityisesti niiden, jotka osallistuvat arkaluonteisiin sääntelypäätöksiin vaikuttavaan tekniseen työhön; on </w:t>
            </w:r>
            <w:r>
              <w:rPr>
                <w:b/>
                <w:i/>
              </w:rPr>
              <w:t>tyrmistynyt</w:t>
            </w:r>
            <w:r>
              <w:t xml:space="preserve"> siitä, että joihinkin kansalaisjärjestöjen ja komission välisiin sopimuksiin sisältyi työohjelmakohtia, joilla pyrittiin heikentämään ECHAn työtä ja Euroopan parlamentin asiaankuuluvien valiokuntien päätöksentekoprosessia</w:t>
            </w:r>
            <w:r>
              <w:rPr>
                <w:b/>
                <w:i/>
              </w:rPr>
              <w:t>, mikä on jälleen kerran osoitus komission – jonka toiminnan rahoittavat jäsenvaltioiden veronmaksajat – puuttumisesta asioihin päätösten ohjailemiseksi ideologisen lähestymistapansa mukaisesti demokraattisen lainsäädäntöprosessin kustannuksella</w:t>
            </w:r>
            <w:r>
              <w:t>; korostaa, että asiantuntijaryhmissä olisi oltava tasapuolisesti jäseniä eri aloilta, kuten yksityiseltä sektorilta, tiedealalta ja kansalaisyhteiskunnasta, jotta niissä olisi edustettuina erilaisia kykyjä ja näkemyksiä;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panee kuitenkin merkille ECHAn selvennyksen siitä, että Ramboll Deutschland teki virastolle työtä PFAS-aineiden parissa vuosina 2020–2021 ennen konsulttiyrityksen yhteistyötä teollisuuden kanssa vuonna 2022 ja että sopimuksen tekohetkellä tehtiin eturistiriitoja koskevat arvioinnit ECHAn menettelyjen mukaisesti; panee lisäksi merkille, että nykyisen vuoden 2024 puitesopimuksen aikana Ramboll ei ole jättänyt tarjouksia erillissopimuksista; suhtautuu myönteisesti ECHAn lausuntoon, jonka mukaan se suoritti yksityiskohtaisen sisäisen arvioinnin vastauksena asiakirjoihin tutustumista koskeviin pyyntöihin eikä havainnut käsittelemättömiä eturistiriitoja; painottaa silti, että on tärkeää varmistaa luotettavat, ennakoivat ja tulevaisuuteen suuntautuvat eturistiriitoja koskevat tarkastukset kaikkien ulkoisten toimeksisaajien osalta, erityisesti niiden, jotka osallistuvat arkaluonteisiin sääntelypäätöksiin vaikuttavaan tekniseen työhön; on huolissaan siitä, että joihinkin kansalaisjärjestöjen ja komission välisiin sopimuksiin sisältyi työohjelmakohtia, joilla pyrittiin heikentämään ECHAn työtä ja Euroopan parlamentin asiaankuuluvien valiokuntien päätöksentekoprosessia; korostaa, että asiantuntijaryhmissä olisi oltava tasapuolisesti jäseniä eri aloilta, kuten yksityiseltä sektorilta, tiedealalta ja kansalaisyhteiskunnasta, jotta niissä olisi edustettuina erilaisia kykyjä ja näkemyksiä;</w:t>
            </w:r>
          </w:p>
        </w:tc>
        <w:tc>
          <w:tcPr>
            <w:tcW w:w="4876" w:type="dxa"/>
            <w:tcBorders>
              <w:top w:val="nil"/>
              <w:left w:val="nil"/>
              <w:bottom w:val="nil"/>
              <w:right w:val="nil"/>
            </w:tcBorders>
          </w:tcPr>
          <w:p>
            <w:pPr>
              <w:pStyle w:val="Normal6a"/>
            </w:pPr>
            <w:r>
              <w:t>107.</w:t>
            </w:r>
            <w:r>
              <w:tab/>
            </w:r>
            <w:r>
              <w:t xml:space="preserve">panee kuitenkin merkille ECHAn selvennyksen siitä, että Ramboll Deutschland teki virastolle työtä PFAS-aineiden parissa vuosina 2020–2021 ennen konsulttiyrityksen yhteistyötä teollisuuden kanssa vuonna 2022 ja että sopimuksen tekohetkellä tehtiin eturistiriitoja koskevat arvioinnit ECHAn menettelyjen mukaisesti; panee lisäksi merkille, että nykyisen vuoden 2024 puitesopimuksen aikana Ramboll ei ole jättänyt tarjouksia erillissopimuksista; suhtautuu myönteisesti ECHAn lausuntoon, jonka mukaan se suoritti yksityiskohtaisen sisäisen arvioinnin vastauksena asiakirjoihin tutustumista koskeviin pyyntöihin eikä havainnut käsittelemättömiä eturistiriitoja; painottaa silti, että on tärkeää varmistaa luotettavat, ennakoivat ja tulevaisuuteen suuntautuvat eturistiriitoja koskevat tarkastukset kaikkien ulkoisten toimeksisaajien osalta, erityisesti niiden, jotka osallistuvat arkaluonteisiin sääntelypäätöksiin vaikuttavaan tekniseen työhön; on huolissaan siitä, että joihinkin kansalaisjärjestöjen ja komission välisiin sopimuksiin sisältyi työohjelmakohtia, joilla pyrittiin heikentämään ECHAn työtä ja Euroopan parlamentin asiaankuuluvien valiokuntien päätöksentekoprosessia; </w:t>
            </w:r>
            <w:r>
              <w:rPr>
                <w:b/>
                <w:i/>
              </w:rPr>
              <w:t>kehottaa komissiota varmistamaan tällaisten sopimusten täyden avoimuuden ja soveltamaan kansalaisjärjestöjen rahoittamiin toimiin, joilla pyritään vaikuttamaan sääntelyn tai lainsäädäntömenettelyjen tuloksiin, yhtä tiukkoja valvonta- ja julkistamisvaatimuksia kuin kaikkien muiden sidosryhmien toimiin;</w:t>
            </w:r>
            <w:r>
              <w:t xml:space="preserve"> korostaa, että asiantuntijaryhmissä olisi oltava tasapuolisesti jäseniä eri aloilta, kuten yksityiseltä sektorilta, tiedealalta ja kansalaisyhteiskunnasta, jotta niissä olisi edustettuina erilaisia kykyjä ja näkemyksiä;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107 a.</w:t>
            </w:r>
            <w:r>
              <w:tab/>
            </w:r>
            <w:r>
              <w:rPr>
                <w:b/>
                <w:i/>
              </w:rPr>
              <w:t>painottaa, että ECHAn lausunnoilla on välitön vaikutus maatalouden, maatalouselintarviketeollisuuden, muoviteollisuuden ja EU:n kemianteollisuuden kaltaisiin strategisiin aloihin;</w:t>
            </w:r>
            <w:r>
              <w:t xml:space="preserve"> </w:t>
            </w:r>
            <w:r>
              <w:rPr>
                <w:b/>
                <w:i/>
              </w:rPr>
              <w:t>katsoo, että sen lausuntojen ei pidä johtaa eurooppalaisia yrityksiä ja erityisesti pk-yrityksiä heikentävään sääntelyinflaatioon eikä järjestelmällisiin kieltoihin, joissa ei oteta huomioon teollisuuden todellista tilannetta ja kansainvälistä kilpailua;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rPr>
                <w:b/>
                <w:i/>
              </w:rPr>
              <w:t>muistuttaa, että ACERin rakenteellista tukeutumista tilapäistyöntekijöihin koskevan tilintarkastustuomioistuimen huomautuksen käsittely on ollut kesken vuodesta 2019 ja että tilapäistyöntekijät hoitavat virastossa edelleen pitkäaikaisia tehtäviä, jotka normaalisti kuuluisivat suoraan palkatulle henkilöstölle;</w:t>
            </w:r>
            <w:r>
              <w:t xml:space="preserve"> panee </w:t>
            </w:r>
            <w:r>
              <w:rPr>
                <w:b/>
                <w:i/>
              </w:rPr>
              <w:t>merkille, että vaikka tilapäistyöntekijöiden määrä väheni 18:sta 16:een vuosina 2023–2024, tilanne jatkui samana, ja että ACER aikoo teettää osan näistä tehtävistä alihankintana;</w:t>
            </w:r>
            <w:r>
              <w:t xml:space="preserve"> </w:t>
            </w:r>
            <w:r>
              <w:rPr>
                <w:b/>
                <w:i/>
              </w:rPr>
              <w:t>panee merkille viraston kyselylomakkeessa antamat vastaukset, joiden mukaan laaja ulkoistaminen on tarpeen riittämättömien sisäisten resurssien ja erityisasiantuntemuksen vuoksi;</w:t>
            </w:r>
            <w:r>
              <w:t xml:space="preserve"> </w:t>
            </w:r>
            <w:r>
              <w:rPr>
                <w:b/>
                <w:i/>
              </w:rPr>
              <w:t>panee merkille, että ACER ulkoistaa monenlaisia toimintoja, myös energia-alan sääntelyyn, oikeudellisiin palveluihin, tapahtumien järjestämiseen ja erilaisiin yleispalveluihin liittyvää pitkälle erikoistunutta konsultointia ja tutkimusta, mutta merkittävin riippuvuus koskee IT-alaa, jolla viraston järjestelmien suunnittelusta, kehittämisestä, käyttöönotosta, tuesta, ylläpidosta ja turvallisuudesta vastaavat suurelta osin ulkoiset palveluntarjoajat;</w:t>
            </w:r>
            <w:r>
              <w:t xml:space="preserve"> </w:t>
            </w:r>
            <w:r>
              <w:rPr>
                <w:b/>
                <w:i/>
              </w:rPr>
              <w:t>korostaa tässä yhteydessä, että IT-palveluja tarjoaa ACERille yli 100 ulkopuolista IT-asiantuntijaa (jotka eivät välttämättä ole kokoaikaisia), kun sisäisen IT-henkilöstön määrä on vain 17, mikä synnyttää merkittävän rakenteellisen epäsuhdan;</w:t>
            </w:r>
            <w:r>
              <w:t xml:space="preserve"> </w:t>
            </w:r>
            <w:r>
              <w:rPr>
                <w:b/>
                <w:i/>
              </w:rPr>
              <w:t>panee lisäksi</w:t>
            </w:r>
            <w:r>
              <w:t xml:space="preserve"> merkille, että ACERin </w:t>
            </w:r>
            <w:r>
              <w:rPr>
                <w:b/>
                <w:i/>
              </w:rPr>
              <w:t>mukaan komissio suositti nimenomaisesti tätä ulkoistamismallia viraston henkilöstötaulukon rajallisuuden ja resurssirajoitteiden vuoksi</w:t>
            </w:r>
            <w:r>
              <w:t xml:space="preserve">; korostaa </w:t>
            </w:r>
            <w:r>
              <w:rPr>
                <w:b/>
                <w:i/>
              </w:rPr>
              <w:t>kuitenkin, että tällainen jatkuva riippuvuus ulkoisista palveluntarjoajista keskeisten tietoteknisten valmiuksien osalta yhdistettynä jatkuvaan tilapäistyöntekijöiden käyttöön vakituisten tehtävien hoitamisessa herättää huolta</w:t>
            </w:r>
            <w:r>
              <w:t xml:space="preserve"> tietämyksen </w:t>
            </w:r>
            <w:r>
              <w:rPr>
                <w:b/>
                <w:i/>
              </w:rPr>
              <w:t>säilyttämisestä,</w:t>
            </w:r>
            <w:r>
              <w:t xml:space="preserve"> toiminnan </w:t>
            </w:r>
            <w:r>
              <w:rPr>
                <w:b/>
                <w:i/>
              </w:rPr>
              <w:t>jatkuvuudesta ja pitkän aikavälin institutionaalisista valmiuksista</w:t>
            </w:r>
            <w:r>
              <w:t>;</w:t>
            </w:r>
          </w:p>
        </w:tc>
        <w:tc>
          <w:tcPr>
            <w:tcW w:w="4876" w:type="dxa"/>
            <w:tcBorders>
              <w:top w:val="nil"/>
              <w:left w:val="nil"/>
              <w:bottom w:val="nil"/>
              <w:right w:val="nil"/>
            </w:tcBorders>
          </w:tcPr>
          <w:p>
            <w:pPr>
              <w:pStyle w:val="Normal6a"/>
            </w:pPr>
            <w:r>
              <w:t>111.</w:t>
            </w:r>
            <w:r>
              <w:tab/>
            </w:r>
            <w:r>
              <w:t xml:space="preserve">panee merkille, että ACERin </w:t>
            </w:r>
            <w:r>
              <w:rPr>
                <w:b/>
                <w:i/>
              </w:rPr>
              <w:t>ulkoistamismallista on tullut huomattavan laaja erityisesti IT-alalla, jolla virasto tukeutuu valtaosin ulkoisiin palveluntarjoajiin;</w:t>
            </w:r>
            <w:r>
              <w:t xml:space="preserve"> </w:t>
            </w:r>
            <w:r>
              <w:rPr>
                <w:b/>
                <w:i/>
              </w:rPr>
              <w:t>katsoo, että tätä komission alun perin suosittelemaa mallia olisi nyt arvioitava uudelleen sen aiheuttamien rakenteellisten riskien valossa</w:t>
            </w:r>
            <w:r>
              <w:t>; korostaa</w:t>
            </w:r>
            <w:r>
              <w:rPr>
                <w:b/>
                <w:i/>
              </w:rPr>
              <w:t>, että suuret tietotekniset riippuvuudet on korjattava kiireellisesti, jotta voidaan turvata</w:t>
            </w:r>
            <w:r>
              <w:t xml:space="preserve"> tietämyksen </w:t>
            </w:r>
            <w:r>
              <w:rPr>
                <w:b/>
                <w:i/>
              </w:rPr>
              <w:t>säilyttäminen ja</w:t>
            </w:r>
            <w:r>
              <w:t xml:space="preserve"> toiminnan </w:t>
            </w:r>
            <w:r>
              <w:rPr>
                <w:b/>
                <w:i/>
              </w:rPr>
              <w:t>jatkuvuus;</w:t>
            </w:r>
            <w:r>
              <w:t xml:space="preserve"> </w:t>
            </w:r>
            <w:r>
              <w:rPr>
                <w:b/>
                <w:i/>
              </w:rPr>
              <w:t>pyytää komissiota ja ACERia tiedottamaan vastuuvapauden myöntävälle viranomaiselle toteutetuista korjaavista toimenpiteistä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111 a.</w:t>
            </w:r>
            <w:r>
              <w:tab/>
            </w:r>
            <w:r>
              <w:rPr>
                <w:b/>
                <w:i/>
              </w:rPr>
              <w:t>pitää valitettavana ACERin vuoden 2024 määrärahojen 17,26 prosentin lisäystä vuoteen 2023 verrattuna, sillä se oli tehoton tai jopa haitallinen erityisesti siksi, että hiilivoimaloita, jotka ovat lähtökohtaisesti saastuttavia, on avattu uudelleen energiatoimitusten vakauden vähimmäistason varmistamiseksi;</w:t>
            </w:r>
            <w:r>
              <w:t xml:space="preserve"> </w:t>
            </w:r>
            <w:r>
              <w:rPr>
                <w:b/>
                <w:i/>
              </w:rPr>
              <w:t>pitää valitettavana, että virasto ei ole pysäyttänyt energiakustannusten nousua pyrkimällä luomaan vaihtoehtoisen hinnoittelujärjestelmän eurooppalaisten kuluttajien etujen suojelemiseksi;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panee merkille, että EIT muutti vuonna 2023 avustussopimustensa rakennetta niin, että avustukset ovat vuotuisten sijasta monivuotisia; kehottaa kiinnittämään huomiota siihen, että muutos vaikuttaa laillisuutta ja sääntöjenmukaisuutta koskevaan tilintarkastustuomioistuimen arviointiin, joka voidaan tehdä vasta väli- ja loppumaksujen yhteydessä; panee merkille, että vuonna 2024 EIT maksoi 412 miljoonaa euroa monivuotisiin sopimuksiin liittyviä ennakkomaksuja, mikä on 92,9 prosenttia kyseisen vuoden maksujen kokonaismäärästä; panee merkille, että näiden maksujen laillisuus ja sääntöjenmukaisuus arvioidaan tulevina vuosina;</w:t>
            </w:r>
          </w:p>
        </w:tc>
        <w:tc>
          <w:tcPr>
            <w:tcW w:w="4876" w:type="dxa"/>
            <w:tcBorders>
              <w:top w:val="nil"/>
              <w:left w:val="nil"/>
              <w:bottom w:val="nil"/>
              <w:right w:val="nil"/>
            </w:tcBorders>
          </w:tcPr>
          <w:p>
            <w:pPr>
              <w:pStyle w:val="Normal6a"/>
            </w:pPr>
            <w:r>
              <w:t>120.</w:t>
            </w:r>
            <w:r>
              <w:tab/>
            </w:r>
            <w:r>
              <w:t xml:space="preserve">panee merkille, että EIT muutti vuonna 2023 avustussopimustensa rakennetta niin, että avustukset ovat vuotuisten sijasta monivuotisia; kehottaa kiinnittämään huomiota siihen, että muutos vaikuttaa laillisuutta ja sääntöjenmukaisuutta koskevaan tilintarkastustuomioistuimen arviointiin, joka voidaan tehdä vasta väli- ja loppumaksujen yhteydessä; panee merkille, että vuonna 2024 EIT maksoi 412 miljoonaa euroa monivuotisiin sopimuksiin liittyviä ennakkomaksuja, mikä on 92,9 prosenttia kyseisen vuoden maksujen kokonaismäärästä; panee merkille, että näiden maksujen laillisuus ja sääntöjenmukaisuus arvioidaan tulevina vuosina; </w:t>
            </w:r>
            <w:r>
              <w:rPr>
                <w:b/>
                <w:i/>
              </w:rPr>
              <w:t>korostaa, että näin suuri ennakkomaksujen osuus edellyttää tehokkaampia seuranta- ja valvontamekanismeja, jotta lievennetään riskiä tulevista rahoitusoikaisuista tai takaisinperinnöistä;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124 kohta – 1 luetelmakohta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riittämättömät henkilöresurssit: panee merkille, että tilintarkastustuomioistuin ja komission sisäinen tarkastus ovat todenneet tämän riskin ja tuoneet esiin henkilöstövajeesta johtuvia sääntöjenvastaisuuksia; kehottaa </w:t>
            </w:r>
            <w:r>
              <w:rPr>
                <w:b/>
                <w:i/>
              </w:rPr>
              <w:t>kasvattamaan henkilöstömäärää ja lisäämään rahoitusta tämän mukaisesti</w:t>
            </w:r>
            <w:r>
              <w:t>;</w:t>
            </w:r>
          </w:p>
        </w:tc>
        <w:tc>
          <w:tcPr>
            <w:tcW w:w="4876" w:type="dxa"/>
            <w:tcBorders>
              <w:top w:val="nil"/>
              <w:left w:val="nil"/>
              <w:bottom w:val="nil"/>
              <w:right w:val="nil"/>
            </w:tcBorders>
          </w:tcPr>
          <w:p>
            <w:pPr>
              <w:pStyle w:val="Normal6a"/>
            </w:pPr>
            <w:r>
              <w:rPr>
                <w:b/>
                <w:i/>
              </w:rPr>
              <w:t>–</w:t>
            </w:r>
            <w:r>
              <w:tab/>
            </w:r>
            <w:r>
              <w:t xml:space="preserve">riittämättömät henkilöresurssit: panee merkille, että tilintarkastustuomioistuin ja komission sisäinen tarkastus ovat todenneet tämän riskin ja tuoneet esiin henkilöstövajeesta johtuvia sääntöjenvastaisuuksia; kehottaa </w:t>
            </w:r>
            <w:r>
              <w:rPr>
                <w:b/>
                <w:i/>
              </w:rPr>
              <w:t>EIT:tä esittämään yksityiskohtaisen henkilöstötarpeiden arvioinnin, jossa pyydetyt lisävirat tai -toimet on yhdistetty erityisiin toiminnan tavoitteisiin ja odotettuihin tuloksiin, ennen henkilöstömäärärahojen lisäämisen hyväksymistä</w:t>
            </w:r>
            <w:r>
              <w:t xml:space="preserve">; </w:t>
            </w:r>
            <w:r>
              <w:rPr>
                <w:b/>
                <w:i/>
              </w:rPr>
              <w:t>toteaa, että vastuuvapauden myöntävä viranomainen ei voi hyväksyä avoimia resurssipyyntöjä, joissa ei osoiteta selkeästi, miten lisähenkilöstö auttaa parantamaan tuloksellisuutta ja vähentämään sääntöjenvastaisuuksien määrää;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127 a.</w:t>
            </w:r>
            <w:r>
              <w:tab/>
            </w:r>
            <w:r>
              <w:rPr>
                <w:b/>
                <w:i/>
              </w:rPr>
              <w:t>panee merkille EUSPAn strategisen roolin EU:n avaruusohjelman keskeisenä pilarina unionin teollisen perustan, kilpailukyvyn ja innovoinnin vahvistamisessa;</w:t>
            </w:r>
            <w:r>
              <w:t xml:space="preserve"> </w:t>
            </w:r>
            <w:r>
              <w:rPr>
                <w:b/>
                <w:i/>
              </w:rPr>
              <w:t>kehottaa komissiota varmistamaan seuraavan monivuotisen rahoituskehyksen valmistelussa, että EUSPAlla on riittävät valtuudet ja resurssit vahvistaa suorituskykyään ja toimitusvalmiuksiaan unionin strategisen autonomian ja suvereniteetin tukemiseksi, muun muassa EU:n avaruussäädöksen mukaisten uusien tehtävien suorittamisen avulla;</w:t>
            </w:r>
            <w:r>
              <w:t xml:space="preserve"> </w:t>
            </w:r>
            <w:r>
              <w:rPr>
                <w:b/>
                <w:i/>
              </w:rPr>
              <w:t>korostaa, että on tärkeää asettaa etusijalle eurooppalaiset hankinnat aloilla, jotka ovat ratkaisevan tärkeitä unionin häiriönsietokyvyn, turvallisuuden ja teknologisen riippumattomuuden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128</w:t>
    </w:r>
    <w:r>
      <w:fldChar w:fldCharType="end"/>
    </w:r>
    <w:r>
      <w:t>/</w:t>
    </w:r>
    <w:r>
      <w:fldChar w:fldCharType="begin"/>
    </w:r>
    <w:r>
      <w:instrText xml:space="preserve"> NUMPAGES </w:instrText>
    </w:r>
    <w:r>
      <w:fldChar w:fldCharType="separate"/>
    </w:r>
    <w:r>
      <w:t>128</w:t>
    </w:r>
    <w:r>
      <w:fldChar w:fldCharType="end"/>
    </w:r>
    <w:r>
      <w:tab/>
    </w:r>
    <w:r>
      <w:rPr>
        <w:rStyle w:val="HideTWBExt"/>
      </w:rPr>
      <w:t>&lt;PathFdR&gt;</w:t>
    </w:r>
    <w:r>
      <w:t>AM\1336258FI.docx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AM\1336258FI.docx</w:t>
    </w:r>
    <w:r>
      <w:rPr>
        <w:rStyle w:val="HideTWBExt"/>
      </w:rPr>
      <w:t>&lt;/PathFdR&gt;</w:t>
    </w:r>
    <w:r>
      <w:tab/>
    </w:r>
    <w:r>
      <w:fldChar w:fldCharType="begin"/>
    </w:r>
    <w:r>
      <w:instrText xml:space="preserve"> PAGE </w:instrText>
    </w:r>
    <w:r>
      <w:fldChar w:fldCharType="separate"/>
    </w:r>
    <w:r>
      <w:t>127</w:t>
    </w:r>
    <w:r>
      <w:fldChar w:fldCharType="end"/>
    </w:r>
    <w:r>
      <w:t>/</w:t>
    </w:r>
    <w:r>
      <w:fldChar w:fldCharType="begin"/>
    </w:r>
    <w:r>
      <w:instrText xml:space="preserve"> NUMPAGES </w:instrText>
    </w:r>
    <w:r>
      <w:fldChar w:fldCharType="separate"/>
    </w:r>
    <w:r>
      <w:t>128</w:t>
    </w:r>
    <w:r>
      <w:fldChar w:fldCharType="end"/>
    </w:r>
    <w:r>
      <w:tab/>
    </w:r>
    <w:r>
      <w:t>PE</w:t>
    </w:r>
    <w:r>
      <w:rPr>
        <w:rStyle w:val="HideTWBExt"/>
      </w:rPr>
      <w:t>&lt;NoPE&gt;</w:t>
    </w:r>
    <w:r>
      <w:t>784.141</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AM\1336258FI.docx</w:t>
    </w:r>
    <w:r>
      <w:rPr>
        <w:rStyle w:val="HideTWBExt"/>
      </w:rPr>
      <w:t>&lt;/PathFdR&gt;</w:t>
    </w:r>
    <w:r>
      <w:tab/>
    </w:r>
    <w:r>
      <w:tab/>
    </w:r>
    <w:r>
      <w:t>PE</w:t>
    </w:r>
    <w:r>
      <w:rPr>
        <w:rStyle w:val="HideTWBExt"/>
      </w:rPr>
      <w:t>&lt;NoPE&gt;</w:t>
    </w:r>
    <w:r>
      <w:t>784.141</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128</Pages>
  <Words>24718</Words>
  <Characters>213252</Characters>
  <Application>Microsoft Office Word</Application>
  <DocSecurity>0</DocSecurity>
  <Lines>1</Lines>
  <Paragraphs>1592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398963</vt:lpwstr>
  </property>
  <property fmtid="{D5CDD505-2E9C-101B-9397-08002B2CF9AE}" pid="7" name="dmxml.render.traceId">
    <vt:lpwstr>69a824dfdd9f381d6bbae3e3a6546bfa</vt:lpwstr>
  </property>
  <property fmtid="{D5CDD505-2E9C-101B-9397-08002B2CF9AE}" pid="8" name="FooterPath">
    <vt:lpwstr>AM\1336258FI.docx</vt:lpwstr>
  </property>
  <property fmtid="{D5CDD505-2E9C-101B-9397-08002B2CF9AE}" pid="9" name="PE Number">
    <vt:lpwstr>784.141</vt:lpwstr>
  </property>
  <property fmtid="{D5CDD505-2E9C-101B-9397-08002B2CF9AE}" pid="10" name="UID">
    <vt:lpwstr>eu.europa.europarl-DIN1-2026-0000040745_01.01-fi-01.00_text-xml</vt:lpwstr>
  </property>
</Properties>
</file>