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D5F6D" w:rsidRPr="00641BDE" w14:paraId="09875420" w14:textId="77777777">
        <w:trPr>
          <w:trHeight w:hRule="exact" w:val="1417"/>
          <w:jc w:val="center"/>
        </w:trPr>
        <w:tc>
          <w:tcPr>
            <w:tcW w:w="6804" w:type="dxa"/>
            <w:tcBorders>
              <w:top w:val="nil"/>
              <w:left w:val="nil"/>
              <w:bottom w:val="nil"/>
              <w:right w:val="nil"/>
            </w:tcBorders>
            <w:vAlign w:val="center"/>
          </w:tcPr>
          <w:p w14:paraId="30591788" w14:textId="77777777" w:rsidR="00F432EA" w:rsidRPr="00641BDE" w:rsidRDefault="00824F86">
            <w:pPr>
              <w:pStyle w:val="EPName"/>
            </w:pPr>
            <w:r w:rsidRPr="00641BDE">
              <w:t>Parlament Europejski</w:t>
            </w:r>
          </w:p>
          <w:p w14:paraId="64E89B30" w14:textId="77777777" w:rsidR="00F432EA" w:rsidRPr="00641BDE" w:rsidRDefault="00824F86">
            <w:pPr>
              <w:pStyle w:val="EPTerm"/>
            </w:pPr>
            <w:r w:rsidRPr="00641BDE">
              <w:t>2024-2029</w:t>
            </w:r>
          </w:p>
        </w:tc>
        <w:tc>
          <w:tcPr>
            <w:tcW w:w="2268" w:type="dxa"/>
            <w:tcBorders>
              <w:top w:val="nil"/>
              <w:left w:val="nil"/>
              <w:bottom w:val="nil"/>
              <w:right w:val="nil"/>
            </w:tcBorders>
          </w:tcPr>
          <w:p w14:paraId="4A967806" w14:textId="71DBA208" w:rsidR="00F432EA" w:rsidRPr="00641BDE" w:rsidRDefault="00456199">
            <w:pPr>
              <w:pStyle w:val="EPLogo"/>
            </w:pPr>
            <w:r w:rsidRPr="00641BDE">
              <w:rPr>
                <w:noProof/>
              </w:rPr>
              <w:drawing>
                <wp:inline distT="0" distB="0" distL="0" distR="0" wp14:anchorId="498D1AF1" wp14:editId="6E3286AD">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7B31037" w14:textId="77777777" w:rsidR="00F432EA" w:rsidRPr="00641BDE" w:rsidRDefault="00824F86">
      <w:pPr>
        <w:pStyle w:val="LineTop"/>
      </w:pPr>
      <w:r w:rsidRPr="00641BDE">
        <w:t xml:space="preserve"> </w:t>
      </w:r>
    </w:p>
    <w:p w14:paraId="1B81D77D" w14:textId="77777777" w:rsidR="00F432EA" w:rsidRPr="00641BDE" w:rsidRDefault="00824F86">
      <w:pPr>
        <w:pStyle w:val="EPBody"/>
      </w:pPr>
      <w:r w:rsidRPr="00641BDE">
        <w:rPr>
          <w:rStyle w:val="HideTWBExt"/>
          <w:rFonts w:eastAsia="Times New Roman"/>
          <w:i w:val="0"/>
        </w:rPr>
        <w:t>&lt;Commission&gt;</w:t>
      </w:r>
      <w:r w:rsidRPr="00641BDE">
        <w:rPr>
          <w:rStyle w:val="HideTWBInt"/>
          <w:i w:val="0"/>
        </w:rPr>
        <w:t>{CONT}</w:t>
      </w:r>
      <w:r w:rsidRPr="00641BDE">
        <w:t>Komisja Kontroli Budżetowej</w:t>
      </w:r>
      <w:r w:rsidRPr="00641BDE">
        <w:rPr>
          <w:rStyle w:val="HideTWBExt"/>
          <w:rFonts w:eastAsia="Times New Roman"/>
          <w:i w:val="0"/>
        </w:rPr>
        <w:t>&lt;/Commission&gt;</w:t>
      </w:r>
    </w:p>
    <w:p w14:paraId="5F349127" w14:textId="77777777" w:rsidR="00F432EA" w:rsidRPr="00641BDE" w:rsidRDefault="00824F86">
      <w:pPr>
        <w:pStyle w:val="LineBottom"/>
      </w:pPr>
      <w:r w:rsidRPr="00641BDE">
        <w:t xml:space="preserve"> </w:t>
      </w:r>
    </w:p>
    <w:p w14:paraId="7EB16E97" w14:textId="77777777" w:rsidR="00F432EA" w:rsidRPr="00641BDE" w:rsidRDefault="00824F86">
      <w:pPr>
        <w:pStyle w:val="CoverReference"/>
      </w:pPr>
      <w:r w:rsidRPr="00641BDE">
        <w:rPr>
          <w:rStyle w:val="HideTWBExt"/>
          <w:rFonts w:eastAsia="Times New Roman"/>
          <w:b w:val="0"/>
        </w:rPr>
        <w:t>&lt;RefProc&gt;</w:t>
      </w:r>
      <w:r w:rsidRPr="00641BDE">
        <w:t>2025/2156</w:t>
      </w:r>
      <w:r w:rsidRPr="00641BDE">
        <w:rPr>
          <w:rStyle w:val="HideTWBExt"/>
          <w:rFonts w:eastAsia="Times New Roman"/>
          <w:b w:val="0"/>
        </w:rPr>
        <w:t>&lt;/RefProc&gt;&lt;RefTypeProc&gt;</w:t>
      </w:r>
      <w:r w:rsidRPr="00641BDE">
        <w:t>(DEC)</w:t>
      </w:r>
      <w:r w:rsidRPr="00641BDE">
        <w:rPr>
          <w:rStyle w:val="HideTWBExt"/>
          <w:rFonts w:eastAsia="Times New Roman"/>
          <w:b w:val="0"/>
        </w:rPr>
        <w:t>&lt;/RefTypeProc&gt;</w:t>
      </w:r>
    </w:p>
    <w:p w14:paraId="77EC867F" w14:textId="77777777" w:rsidR="00F432EA" w:rsidRPr="00641BDE" w:rsidRDefault="00824F86">
      <w:pPr>
        <w:pStyle w:val="CoverDate"/>
      </w:pPr>
      <w:r w:rsidRPr="00641BDE">
        <w:rPr>
          <w:rStyle w:val="HideTWBExt"/>
        </w:rPr>
        <w:t>&lt;Date&gt;</w:t>
      </w:r>
      <w:r w:rsidRPr="00641BDE">
        <w:rPr>
          <w:rStyle w:val="HideTWBInt"/>
        </w:rPr>
        <w:t>{19/02/2026}</w:t>
      </w:r>
      <w:proofErr w:type="gramStart"/>
      <w:r w:rsidRPr="00641BDE">
        <w:t>19.2.2026</w:t>
      </w:r>
      <w:proofErr w:type="gramEnd"/>
      <w:r w:rsidRPr="00641BDE">
        <w:rPr>
          <w:rStyle w:val="HideTWBExt"/>
        </w:rPr>
        <w:t>&lt;/Date&gt;</w:t>
      </w:r>
    </w:p>
    <w:p w14:paraId="47F0A8DA" w14:textId="77777777" w:rsidR="00F432EA" w:rsidRPr="00641BDE" w:rsidRDefault="00824F86">
      <w:pPr>
        <w:pStyle w:val="CoverDocType"/>
      </w:pPr>
      <w:r w:rsidRPr="00641BDE">
        <w:rPr>
          <w:rStyle w:val="HideTWBExt"/>
          <w:b w:val="0"/>
        </w:rPr>
        <w:t>&lt;TypeAM&gt;</w:t>
      </w:r>
      <w:r w:rsidRPr="00641BDE">
        <w:t>POPRAWKI</w:t>
      </w:r>
      <w:r w:rsidRPr="00641BDE">
        <w:rPr>
          <w:rStyle w:val="HideTWBExt"/>
          <w:b w:val="0"/>
        </w:rPr>
        <w:t>&lt;/TypeAM&gt;</w:t>
      </w:r>
    </w:p>
    <w:p w14:paraId="768A90A1" w14:textId="77777777" w:rsidR="00F432EA" w:rsidRPr="00641BDE" w:rsidRDefault="00824F86">
      <w:pPr>
        <w:pStyle w:val="CoverDocType24a"/>
      </w:pPr>
      <w:r w:rsidRPr="00641BDE">
        <w:rPr>
          <w:rStyle w:val="HideTWBExt"/>
          <w:rFonts w:eastAsia="Times New Roman"/>
          <w:b w:val="0"/>
        </w:rPr>
        <w:t>&lt;RangeAM&gt;</w:t>
      </w:r>
      <w:r w:rsidRPr="00641BDE">
        <w:t>1 - 174</w:t>
      </w:r>
      <w:r w:rsidRPr="00641BDE">
        <w:rPr>
          <w:rStyle w:val="HideTWBExt"/>
          <w:rFonts w:eastAsia="Times New Roman"/>
          <w:b w:val="0"/>
        </w:rPr>
        <w:t>&lt;/RangeAM&gt;</w:t>
      </w:r>
    </w:p>
    <w:p w14:paraId="3CDB5DBC" w14:textId="77777777" w:rsidR="00F432EA" w:rsidRPr="00641BDE" w:rsidRDefault="00824F86">
      <w:pPr>
        <w:pStyle w:val="CoverBold"/>
      </w:pPr>
      <w:r w:rsidRPr="00641BDE">
        <w:rPr>
          <w:rStyle w:val="HideTWBExt"/>
          <w:b w:val="0"/>
        </w:rPr>
        <w:t>&lt;TitreType&gt;</w:t>
      </w:r>
      <w:r w:rsidRPr="00641BDE">
        <w:t>Projekt sprawozdania</w:t>
      </w:r>
      <w:r w:rsidRPr="00641BDE">
        <w:rPr>
          <w:rStyle w:val="HideTWBExt"/>
          <w:b w:val="0"/>
        </w:rPr>
        <w:t>&lt;/TitreType&gt;</w:t>
      </w:r>
    </w:p>
    <w:p w14:paraId="46A7C8D8" w14:textId="77777777" w:rsidR="00F432EA" w:rsidRPr="00641BDE" w:rsidRDefault="00824F86">
      <w:pPr>
        <w:pStyle w:val="CoverBold"/>
      </w:pPr>
      <w:r w:rsidRPr="00641BDE">
        <w:rPr>
          <w:rStyle w:val="HideTWBExt"/>
          <w:b w:val="0"/>
        </w:rPr>
        <w:t>&lt;Rapporteur&gt;</w:t>
      </w:r>
      <w:r w:rsidRPr="00641BDE">
        <w:t xml:space="preserve">Monika </w:t>
      </w:r>
      <w:proofErr w:type="spellStart"/>
      <w:r w:rsidRPr="00641BDE">
        <w:t>Hohlmeier</w:t>
      </w:r>
      <w:proofErr w:type="spellEnd"/>
      <w:r w:rsidRPr="00641BDE">
        <w:rPr>
          <w:rStyle w:val="HideTWBExt"/>
          <w:b w:val="0"/>
        </w:rPr>
        <w:t>&lt;/Rapporteur&gt;</w:t>
      </w:r>
    </w:p>
    <w:p w14:paraId="2DD0CE40" w14:textId="77777777" w:rsidR="00F432EA" w:rsidRPr="00641BDE" w:rsidRDefault="00824F86">
      <w:pPr>
        <w:pStyle w:val="CoverNormal24a"/>
      </w:pPr>
      <w:r w:rsidRPr="00641BDE">
        <w:rPr>
          <w:rStyle w:val="HideTWBExt"/>
        </w:rPr>
        <w:t>&lt;DocRefPE&gt;</w:t>
      </w:r>
      <w:r w:rsidRPr="00641BDE">
        <w:t>(PE776.806v01-00)</w:t>
      </w:r>
      <w:r w:rsidRPr="00641BDE">
        <w:rPr>
          <w:rStyle w:val="HideTWBExt"/>
        </w:rPr>
        <w:t>&lt;/DocRefPE&gt;</w:t>
      </w:r>
    </w:p>
    <w:p w14:paraId="3E85478A" w14:textId="77777777" w:rsidR="00F432EA" w:rsidRPr="00641BDE" w:rsidRDefault="00824F86">
      <w:pPr>
        <w:pStyle w:val="CoverNormal"/>
      </w:pPr>
      <w:r w:rsidRPr="00641BDE">
        <w:rPr>
          <w:rStyle w:val="HideTWBExt"/>
        </w:rPr>
        <w:t>&lt;Titre&gt;</w:t>
      </w:r>
      <w:r w:rsidRPr="00641BDE">
        <w:t>Absolutorium za rok 2024: budżet ogólny UE – agencje</w:t>
      </w:r>
      <w:r w:rsidRPr="00641BDE">
        <w:rPr>
          <w:rStyle w:val="HideTWBExt"/>
        </w:rPr>
        <w:t>&lt;/Titre&gt;</w:t>
      </w:r>
    </w:p>
    <w:p w14:paraId="1A164E41" w14:textId="77777777" w:rsidR="00F432EA" w:rsidRPr="00641BDE" w:rsidRDefault="00824F86">
      <w:pPr>
        <w:pStyle w:val="CoverNormal24a"/>
      </w:pPr>
      <w:r w:rsidRPr="00641BDE">
        <w:rPr>
          <w:rStyle w:val="HideTWBExt"/>
        </w:rPr>
        <w:t>&lt;DocRef&gt;</w:t>
      </w:r>
      <w:r w:rsidRPr="00641BDE">
        <w:t>(2025/2156(DEC))</w:t>
      </w:r>
      <w:r w:rsidRPr="00641BDE">
        <w:rPr>
          <w:rStyle w:val="HideTWBExt"/>
        </w:rPr>
        <w:t>&lt;/DocRef&gt;</w:t>
      </w:r>
    </w:p>
    <w:p w14:paraId="64C4D446" w14:textId="77777777" w:rsidR="00F432EA" w:rsidRPr="00641BDE" w:rsidRDefault="00824F86">
      <w:r w:rsidRPr="00641BDE">
        <w:br w:type="page"/>
      </w:r>
      <w:proofErr w:type="spellStart"/>
      <w:r w:rsidRPr="00641BDE">
        <w:lastRenderedPageBreak/>
        <w:t>AM_Com_NonLegReportAM_Com_LegReport</w:t>
      </w:r>
      <w:proofErr w:type="spellEnd"/>
    </w:p>
    <w:p w14:paraId="56EA5D15" w14:textId="475801A2" w:rsidR="001D5F6D" w:rsidRPr="00641BDE" w:rsidRDefault="00824F86" w:rsidP="001D5F6D">
      <w:pPr>
        <w:pStyle w:val="AmNumberTabs"/>
      </w:pPr>
      <w:r w:rsidRPr="00641BDE">
        <w:br w:type="page"/>
      </w:r>
      <w:r w:rsidR="001D5F6D" w:rsidRPr="00641BDE">
        <w:rPr>
          <w:rStyle w:val="HideTWBExt"/>
          <w:b w:val="0"/>
        </w:rPr>
        <w:lastRenderedPageBreak/>
        <w:t>&lt;RepeatBlock-Amend&gt;</w:t>
      </w:r>
      <w:r w:rsidRPr="00641BDE">
        <w:rPr>
          <w:rStyle w:val="HideTWBExt"/>
          <w:b w:val="0"/>
        </w:rPr>
        <w:t>&lt;Amend&gt;</w:t>
      </w:r>
      <w:r w:rsidR="001D5F6D" w:rsidRPr="00641BDE">
        <w:t>Poprawka</w:t>
      </w:r>
      <w:r w:rsidR="001D5F6D" w:rsidRPr="00641BDE">
        <w:tab/>
      </w:r>
      <w:r w:rsidR="001D5F6D" w:rsidRPr="00641BDE">
        <w:tab/>
      </w:r>
      <w:r w:rsidR="001D5F6D" w:rsidRPr="00641BDE">
        <w:rPr>
          <w:rStyle w:val="HideTWBExt"/>
          <w:b w:val="0"/>
        </w:rPr>
        <w:t>&lt;NumAm&gt;</w:t>
      </w:r>
      <w:r w:rsidR="001D5F6D" w:rsidRPr="00641BDE">
        <w:t>1</w:t>
      </w:r>
      <w:r w:rsidR="001D5F6D" w:rsidRPr="00641BDE">
        <w:rPr>
          <w:rStyle w:val="HideTWBExt"/>
          <w:b w:val="0"/>
        </w:rPr>
        <w:t>&lt;/NumAm&gt;</w:t>
      </w:r>
    </w:p>
    <w:p w14:paraId="7801E144"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7B2BEA75"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5ECE74FA" w14:textId="77777777" w:rsidR="001D5F6D" w:rsidRPr="00641BDE" w:rsidRDefault="001D5F6D" w:rsidP="001D5F6D">
      <w:pPr>
        <w:pStyle w:val="NormalBold"/>
      </w:pPr>
      <w:r w:rsidRPr="00641BDE">
        <w:rPr>
          <w:rStyle w:val="HideTWBExt"/>
          <w:b w:val="0"/>
        </w:rPr>
        <w:t>&lt;/RepeatBlock-By&gt;</w:t>
      </w:r>
    </w:p>
    <w:p w14:paraId="316A790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CB10190" w14:textId="77777777" w:rsidR="001D5F6D" w:rsidRPr="00641BDE" w:rsidRDefault="001D5F6D" w:rsidP="001D5F6D">
      <w:pPr>
        <w:pStyle w:val="NormalBold"/>
      </w:pPr>
      <w:r w:rsidRPr="00641BDE">
        <w:rPr>
          <w:rStyle w:val="HideTWBExt"/>
          <w:b w:val="0"/>
        </w:rPr>
        <w:t>&lt;Article&gt;</w:t>
      </w:r>
      <w:r w:rsidRPr="00641BDE">
        <w:t>Motyw A</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AFAB6A9" w14:textId="77777777" w:rsidTr="007C1C97">
        <w:trPr>
          <w:trHeight w:hRule="exact" w:val="240"/>
          <w:jc w:val="center"/>
        </w:trPr>
        <w:tc>
          <w:tcPr>
            <w:tcW w:w="9752" w:type="dxa"/>
            <w:gridSpan w:val="2"/>
            <w:tcBorders>
              <w:top w:val="nil"/>
              <w:left w:val="nil"/>
              <w:bottom w:val="nil"/>
              <w:right w:val="nil"/>
            </w:tcBorders>
          </w:tcPr>
          <w:p w14:paraId="0D95E83A" w14:textId="77777777" w:rsidR="001D5F6D" w:rsidRPr="00641BDE" w:rsidRDefault="001D5F6D" w:rsidP="007C1C97"/>
        </w:tc>
      </w:tr>
      <w:tr w:rsidR="001D5F6D" w:rsidRPr="00641BDE" w14:paraId="288245B6" w14:textId="77777777" w:rsidTr="007C1C97">
        <w:trPr>
          <w:trHeight w:val="240"/>
          <w:jc w:val="center"/>
        </w:trPr>
        <w:tc>
          <w:tcPr>
            <w:tcW w:w="4876" w:type="dxa"/>
            <w:tcBorders>
              <w:top w:val="nil"/>
              <w:left w:val="nil"/>
              <w:bottom w:val="nil"/>
              <w:right w:val="nil"/>
            </w:tcBorders>
          </w:tcPr>
          <w:p w14:paraId="0F3E571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59F3A09" w14:textId="77777777" w:rsidR="001D5F6D" w:rsidRPr="00641BDE" w:rsidRDefault="001D5F6D" w:rsidP="007C1C97">
            <w:pPr>
              <w:pStyle w:val="AmColumnHeading"/>
            </w:pPr>
            <w:r w:rsidRPr="00641BDE">
              <w:t>Poprawka</w:t>
            </w:r>
          </w:p>
        </w:tc>
      </w:tr>
      <w:tr w:rsidR="001D5F6D" w:rsidRPr="00641BDE" w14:paraId="472CF6C5" w14:textId="77777777" w:rsidTr="007C1C97">
        <w:trPr>
          <w:jc w:val="center"/>
        </w:trPr>
        <w:tc>
          <w:tcPr>
            <w:tcW w:w="4876" w:type="dxa"/>
            <w:tcBorders>
              <w:top w:val="nil"/>
              <w:left w:val="nil"/>
              <w:bottom w:val="nil"/>
              <w:right w:val="nil"/>
            </w:tcBorders>
          </w:tcPr>
          <w:p w14:paraId="28B913D0" w14:textId="77777777" w:rsidR="001D5F6D" w:rsidRPr="00641BDE" w:rsidRDefault="001D5F6D" w:rsidP="007C1C97">
            <w:pPr>
              <w:pStyle w:val="Normal6a"/>
            </w:pPr>
            <w:r w:rsidRPr="00641BDE">
              <w:t>A.</w:t>
            </w:r>
            <w:r w:rsidRPr="00641BDE">
              <w:tab/>
              <w:t>mając na uwadze, że unijne agencje zdecentralizowane, agencje wykonawcze oraz inne organy stanowią odrębne podmioty prawne ustanowione w celu wykonywania określonych zadań technicznych, naukowych lub zarządczych, które pomagają instytucjom Unii w opracowywaniu i wdrażaniu polityk; mając na uwadze, że ich siedziby zlokalizowane są w różnych państwach członkowskich, a agencje wywierają duży wpływ w obszarach o istotnym znaczeniu w codziennym życiu obywateli Unii, np. w dziedzinie zdrowia, bezpieczeństwa, wolności i sprawiedliwości;</w:t>
            </w:r>
          </w:p>
        </w:tc>
        <w:tc>
          <w:tcPr>
            <w:tcW w:w="4876" w:type="dxa"/>
            <w:tcBorders>
              <w:top w:val="nil"/>
              <w:left w:val="nil"/>
              <w:bottom w:val="nil"/>
              <w:right w:val="nil"/>
            </w:tcBorders>
          </w:tcPr>
          <w:p w14:paraId="5F39CAFB" w14:textId="77777777" w:rsidR="001D5F6D" w:rsidRPr="00641BDE" w:rsidRDefault="001D5F6D" w:rsidP="007C1C97">
            <w:pPr>
              <w:pStyle w:val="Normal6a"/>
            </w:pPr>
            <w:r w:rsidRPr="00641BDE">
              <w:t>A.</w:t>
            </w:r>
            <w:r w:rsidRPr="00641BDE">
              <w:tab/>
              <w:t xml:space="preserve">mając na uwadze, że unijne agencje zdecentralizowane, agencje wykonawcze oraz inne organy stanowią odrębne podmioty prawne ustanowione w celu wykonywania określonych zadań technicznych, naukowych lub zarządczych, które pomagają instytucjom Unii w opracowywaniu i wdrażaniu polityk; mając na uwadze, że ich siedziby zlokalizowane są w różnych państwach członkowskich, a agencje wywierają duży wpływ w obszarach o istotnym znaczeniu w codziennym życiu obywateli Unii, np. w dziedzinie zdrowia, bezpieczeństwa, wolności i sprawiedliwości; </w:t>
            </w:r>
            <w:r w:rsidRPr="00641BDE">
              <w:rPr>
                <w:b/>
                <w:i/>
              </w:rPr>
              <w:t>mając na uwadze, że procedura udzielania absolutorium nie jest jedynie technicznym działaniem księgowym, ale podstawowym instrumentem demokratycznej rozliczalności, za pomocą którego Parlament ocenia, czy organy Unii działają zgodnie z wartościami Unii, prawami podstawowymi i zasadami należytego zarządzania finansami;</w:t>
            </w:r>
          </w:p>
        </w:tc>
      </w:tr>
    </w:tbl>
    <w:p w14:paraId="2303B983"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60F0972D" w14:textId="77777777" w:rsidR="001D5F6D" w:rsidRPr="00641BDE" w:rsidRDefault="001D5F6D" w:rsidP="001D5F6D">
      <w:r w:rsidRPr="00641BDE">
        <w:rPr>
          <w:rStyle w:val="HideTWBExt"/>
        </w:rPr>
        <w:t>&lt;/Amend&gt;</w:t>
      </w:r>
    </w:p>
    <w:p w14:paraId="35B8CAB2"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2</w:t>
      </w:r>
      <w:r w:rsidRPr="00641BDE">
        <w:rPr>
          <w:rStyle w:val="HideTWBExt"/>
          <w:b w:val="0"/>
        </w:rPr>
        <w:t>&lt;/NumAm&gt;</w:t>
      </w:r>
    </w:p>
    <w:p w14:paraId="0D44D5B3"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24C6EEFF" w14:textId="77777777" w:rsidR="001D5F6D" w:rsidRPr="00641BDE" w:rsidRDefault="001D5F6D" w:rsidP="001D5F6D">
      <w:pPr>
        <w:pStyle w:val="NormalBold"/>
      </w:pPr>
      <w:r w:rsidRPr="00641BDE">
        <w:rPr>
          <w:rStyle w:val="HideTWBExt"/>
          <w:b w:val="0"/>
        </w:rPr>
        <w:t>&lt;/RepeatBlock-By&gt;</w:t>
      </w:r>
    </w:p>
    <w:p w14:paraId="7ECB849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0AAEB39" w14:textId="77777777" w:rsidR="001D5F6D" w:rsidRPr="00641BDE" w:rsidRDefault="001D5F6D" w:rsidP="001D5F6D">
      <w:pPr>
        <w:pStyle w:val="NormalBold"/>
      </w:pPr>
      <w:r w:rsidRPr="00641BDE">
        <w:rPr>
          <w:rStyle w:val="HideTWBExt"/>
          <w:b w:val="0"/>
        </w:rPr>
        <w:t>&lt;Article&gt;</w:t>
      </w:r>
      <w:r w:rsidRPr="00641BDE">
        <w:t xml:space="preserve">Motyw A </w:t>
      </w:r>
      <w:proofErr w:type="spellStart"/>
      <w:r w:rsidRPr="00641BDE">
        <w:t>a</w:t>
      </w:r>
      <w:proofErr w:type="spellEnd"/>
      <w:r w:rsidRPr="00641BDE">
        <w:t xml:space="preserve">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D5336CA" w14:textId="77777777" w:rsidTr="007C1C97">
        <w:trPr>
          <w:trHeight w:hRule="exact" w:val="240"/>
          <w:jc w:val="center"/>
        </w:trPr>
        <w:tc>
          <w:tcPr>
            <w:tcW w:w="9752" w:type="dxa"/>
            <w:gridSpan w:val="2"/>
            <w:tcBorders>
              <w:top w:val="nil"/>
              <w:left w:val="nil"/>
              <w:bottom w:val="nil"/>
              <w:right w:val="nil"/>
            </w:tcBorders>
          </w:tcPr>
          <w:p w14:paraId="180EDD79" w14:textId="77777777" w:rsidR="001D5F6D" w:rsidRPr="00641BDE" w:rsidRDefault="001D5F6D" w:rsidP="007C1C97"/>
        </w:tc>
      </w:tr>
      <w:tr w:rsidR="001D5F6D" w:rsidRPr="00641BDE" w14:paraId="01F25DAC" w14:textId="77777777" w:rsidTr="007C1C97">
        <w:trPr>
          <w:trHeight w:val="240"/>
          <w:jc w:val="center"/>
        </w:trPr>
        <w:tc>
          <w:tcPr>
            <w:tcW w:w="4876" w:type="dxa"/>
            <w:tcBorders>
              <w:top w:val="nil"/>
              <w:left w:val="nil"/>
              <w:bottom w:val="nil"/>
              <w:right w:val="nil"/>
            </w:tcBorders>
          </w:tcPr>
          <w:p w14:paraId="4C698FF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8C4D37F" w14:textId="77777777" w:rsidR="001D5F6D" w:rsidRPr="00641BDE" w:rsidRDefault="001D5F6D" w:rsidP="007C1C97">
            <w:pPr>
              <w:pStyle w:val="AmColumnHeading"/>
            </w:pPr>
            <w:r w:rsidRPr="00641BDE">
              <w:t>Poprawka</w:t>
            </w:r>
          </w:p>
        </w:tc>
      </w:tr>
      <w:tr w:rsidR="001D5F6D" w:rsidRPr="00641BDE" w14:paraId="06AE3A4A" w14:textId="77777777" w:rsidTr="007C1C97">
        <w:trPr>
          <w:jc w:val="center"/>
        </w:trPr>
        <w:tc>
          <w:tcPr>
            <w:tcW w:w="4876" w:type="dxa"/>
            <w:tcBorders>
              <w:top w:val="nil"/>
              <w:left w:val="nil"/>
              <w:bottom w:val="nil"/>
              <w:right w:val="nil"/>
            </w:tcBorders>
          </w:tcPr>
          <w:p w14:paraId="4A003B3E" w14:textId="77777777" w:rsidR="001D5F6D" w:rsidRPr="00641BDE" w:rsidRDefault="001D5F6D" w:rsidP="007C1C97">
            <w:pPr>
              <w:pStyle w:val="Normal6a"/>
            </w:pPr>
          </w:p>
        </w:tc>
        <w:tc>
          <w:tcPr>
            <w:tcW w:w="4876" w:type="dxa"/>
            <w:tcBorders>
              <w:top w:val="nil"/>
              <w:left w:val="nil"/>
              <w:bottom w:val="nil"/>
              <w:right w:val="nil"/>
            </w:tcBorders>
          </w:tcPr>
          <w:p w14:paraId="05ED965E" w14:textId="77777777" w:rsidR="001D5F6D" w:rsidRPr="00641BDE" w:rsidRDefault="001D5F6D" w:rsidP="007C1C97">
            <w:pPr>
              <w:pStyle w:val="Normal6a"/>
            </w:pPr>
            <w:r w:rsidRPr="00641BDE">
              <w:rPr>
                <w:b/>
                <w:i/>
              </w:rPr>
              <w:t>Aa.</w:t>
            </w:r>
            <w:r w:rsidRPr="00641BDE">
              <w:tab/>
            </w:r>
            <w:r w:rsidRPr="00641BDE">
              <w:rPr>
                <w:b/>
                <w:i/>
              </w:rPr>
              <w:t xml:space="preserve">mając na uwadze, że niektóre agencje nie mierzą w wystarczającym </w:t>
            </w:r>
            <w:r w:rsidRPr="00641BDE">
              <w:rPr>
                <w:b/>
                <w:i/>
              </w:rPr>
              <w:lastRenderedPageBreak/>
              <w:t>stopniu wpływu swoich opinii na gospodarkę lub zatrudnienie w Europie, ponieważ ich wpływ jest czasami negatywny;</w:t>
            </w:r>
          </w:p>
        </w:tc>
      </w:tr>
    </w:tbl>
    <w:p w14:paraId="64FEEDD1" w14:textId="77777777" w:rsidR="001D5F6D" w:rsidRPr="00641BDE" w:rsidRDefault="001D5F6D" w:rsidP="001D5F6D">
      <w:pPr>
        <w:pStyle w:val="AmOrLang"/>
      </w:pPr>
      <w:r w:rsidRPr="00641BDE">
        <w:lastRenderedPageBreak/>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22F648F6" w14:textId="77777777" w:rsidR="001D5F6D" w:rsidRPr="00641BDE" w:rsidRDefault="001D5F6D" w:rsidP="001D5F6D">
      <w:r w:rsidRPr="00641BDE">
        <w:rPr>
          <w:rStyle w:val="HideTWBExt"/>
        </w:rPr>
        <w:t>&lt;/Amend&gt;</w:t>
      </w:r>
    </w:p>
    <w:p w14:paraId="580CB601"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3</w:t>
      </w:r>
      <w:r w:rsidRPr="00641BDE">
        <w:rPr>
          <w:rStyle w:val="HideTWBExt"/>
          <w:b w:val="0"/>
        </w:rPr>
        <w:t>&lt;/NumAm&gt;</w:t>
      </w:r>
    </w:p>
    <w:p w14:paraId="7AAF37F9"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2F035613" w14:textId="77777777" w:rsidR="001D5F6D" w:rsidRPr="00641BDE" w:rsidRDefault="001D5F6D" w:rsidP="001D5F6D">
      <w:pPr>
        <w:pStyle w:val="NormalBold"/>
      </w:pPr>
      <w:r w:rsidRPr="00641BDE">
        <w:rPr>
          <w:rStyle w:val="HideTWBExt"/>
          <w:b w:val="0"/>
        </w:rPr>
        <w:t>&lt;/RepeatBlock-By&gt;</w:t>
      </w:r>
    </w:p>
    <w:p w14:paraId="2E09F23E"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E9EF81C" w14:textId="77777777" w:rsidR="001D5F6D" w:rsidRPr="00641BDE" w:rsidRDefault="001D5F6D" w:rsidP="001D5F6D">
      <w:pPr>
        <w:pStyle w:val="NormalBold"/>
      </w:pPr>
      <w:r w:rsidRPr="00641BDE">
        <w:rPr>
          <w:rStyle w:val="HideTWBExt"/>
          <w:b w:val="0"/>
        </w:rPr>
        <w:t>&lt;Article&gt;</w:t>
      </w:r>
      <w:r w:rsidRPr="00641BDE">
        <w:t>Motyw B</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703A35F" w14:textId="77777777" w:rsidTr="007C1C97">
        <w:trPr>
          <w:trHeight w:hRule="exact" w:val="240"/>
          <w:jc w:val="center"/>
        </w:trPr>
        <w:tc>
          <w:tcPr>
            <w:tcW w:w="9752" w:type="dxa"/>
            <w:gridSpan w:val="2"/>
            <w:tcBorders>
              <w:top w:val="nil"/>
              <w:left w:val="nil"/>
              <w:bottom w:val="nil"/>
              <w:right w:val="nil"/>
            </w:tcBorders>
          </w:tcPr>
          <w:p w14:paraId="43A11DDE" w14:textId="77777777" w:rsidR="001D5F6D" w:rsidRPr="00641BDE" w:rsidRDefault="001D5F6D" w:rsidP="007C1C97"/>
        </w:tc>
      </w:tr>
      <w:tr w:rsidR="001D5F6D" w:rsidRPr="00641BDE" w14:paraId="56BAEDE4" w14:textId="77777777" w:rsidTr="007C1C97">
        <w:trPr>
          <w:trHeight w:val="240"/>
          <w:jc w:val="center"/>
        </w:trPr>
        <w:tc>
          <w:tcPr>
            <w:tcW w:w="4876" w:type="dxa"/>
            <w:tcBorders>
              <w:top w:val="nil"/>
              <w:left w:val="nil"/>
              <w:bottom w:val="nil"/>
              <w:right w:val="nil"/>
            </w:tcBorders>
          </w:tcPr>
          <w:p w14:paraId="019F1F3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07C9708" w14:textId="77777777" w:rsidR="001D5F6D" w:rsidRPr="00641BDE" w:rsidRDefault="001D5F6D" w:rsidP="007C1C97">
            <w:pPr>
              <w:pStyle w:val="AmColumnHeading"/>
            </w:pPr>
            <w:r w:rsidRPr="00641BDE">
              <w:t>Poprawka</w:t>
            </w:r>
          </w:p>
        </w:tc>
      </w:tr>
      <w:tr w:rsidR="001D5F6D" w:rsidRPr="00641BDE" w14:paraId="79D4F43A" w14:textId="77777777" w:rsidTr="007C1C97">
        <w:trPr>
          <w:jc w:val="center"/>
        </w:trPr>
        <w:tc>
          <w:tcPr>
            <w:tcW w:w="4876" w:type="dxa"/>
            <w:tcBorders>
              <w:top w:val="nil"/>
              <w:left w:val="nil"/>
              <w:bottom w:val="nil"/>
              <w:right w:val="nil"/>
            </w:tcBorders>
          </w:tcPr>
          <w:p w14:paraId="5C451CEB" w14:textId="77777777" w:rsidR="001D5F6D" w:rsidRPr="00641BDE" w:rsidRDefault="001D5F6D" w:rsidP="007C1C97">
            <w:pPr>
              <w:pStyle w:val="Normal6a"/>
            </w:pPr>
            <w:r w:rsidRPr="00641BDE">
              <w:t>B.</w:t>
            </w:r>
            <w:r w:rsidRPr="00641BDE">
              <w:tab/>
            </w:r>
            <w:r w:rsidRPr="00641BDE">
              <w:rPr>
                <w:b/>
                <w:i/>
              </w:rPr>
              <w:t>mając na uwadze</w:t>
            </w:r>
            <w:r w:rsidRPr="00641BDE">
              <w:t xml:space="preserve">, że zgodnie z art. 268 rozporządzenia (UE, </w:t>
            </w:r>
            <w:proofErr w:type="spellStart"/>
            <w:r w:rsidRPr="00641BDE">
              <w:t>Euratom</w:t>
            </w:r>
            <w:proofErr w:type="spellEnd"/>
            <w:r w:rsidRPr="00641BDE">
              <w:t xml:space="preserve">) 2024/2509 oraz art. 3 załącznika V do Regulaminu Parlamentu Europejskiego w niniejszej rezolucji przedstawiono, w odniesieniu do każdego organu, o którym mowa w art. 70 rozporządzenia (UE, </w:t>
            </w:r>
            <w:proofErr w:type="spellStart"/>
            <w:r w:rsidRPr="00641BDE">
              <w:t>Euratom</w:t>
            </w:r>
            <w:proofErr w:type="spellEnd"/>
            <w:r w:rsidRPr="00641BDE">
              <w:t>) 2024/2509, oraz w odniesieniu do Agencji Dostaw Euratomu, uwagi przekrojowe towarzyszące decyzjom o absolutorium;</w:t>
            </w:r>
          </w:p>
        </w:tc>
        <w:tc>
          <w:tcPr>
            <w:tcW w:w="4876" w:type="dxa"/>
            <w:tcBorders>
              <w:top w:val="nil"/>
              <w:left w:val="nil"/>
              <w:bottom w:val="nil"/>
              <w:right w:val="nil"/>
            </w:tcBorders>
          </w:tcPr>
          <w:p w14:paraId="62733C16" w14:textId="77777777" w:rsidR="001D5F6D" w:rsidRPr="00641BDE" w:rsidRDefault="001D5F6D" w:rsidP="007C1C97">
            <w:pPr>
              <w:pStyle w:val="Normal6a"/>
            </w:pPr>
            <w:r w:rsidRPr="00641BDE">
              <w:t>B.</w:t>
            </w:r>
            <w:r w:rsidRPr="00641BDE">
              <w:tab/>
            </w:r>
            <w:r w:rsidRPr="00641BDE">
              <w:rPr>
                <w:b/>
                <w:i/>
              </w:rPr>
              <w:t>ubolewa</w:t>
            </w:r>
            <w:r w:rsidRPr="00641BDE">
              <w:t xml:space="preserve">, że zgodnie z art. 268 rozporządzenia (UE, </w:t>
            </w:r>
            <w:proofErr w:type="spellStart"/>
            <w:r w:rsidRPr="00641BDE">
              <w:t>Euratom</w:t>
            </w:r>
            <w:proofErr w:type="spellEnd"/>
            <w:r w:rsidRPr="00641BDE">
              <w:t xml:space="preserve">) 2024/2509 oraz art. 3 załącznika V do Regulaminu Parlamentu Europejskiego w niniejszej rezolucji przedstawiono, w odniesieniu do każdego organu, o którym mowa w art. 70 rozporządzenia (UE, </w:t>
            </w:r>
            <w:proofErr w:type="spellStart"/>
            <w:r w:rsidRPr="00641BDE">
              <w:t>Euratom</w:t>
            </w:r>
            <w:proofErr w:type="spellEnd"/>
            <w:r w:rsidRPr="00641BDE">
              <w:t>) 2024/2509, oraz w odniesieniu do Agencji Dostaw Euratomu, uwagi przekrojowe towarzyszące decyzjom o absolutorium</w:t>
            </w:r>
            <w:r w:rsidRPr="00641BDE">
              <w:rPr>
                <w:b/>
                <w:i/>
              </w:rPr>
              <w:t>, co uniemożliwia indywidualne rozpatrzenie każdego absolutorium oraz zidentyfikowanie i wskazanie kwestii, które są dla niego specyficzne, a także wypowiedzenie się na temat każdego z nich, co zniekształca ostateczny wynik głosowania nad niniejszą rezolucją</w:t>
            </w:r>
            <w:r w:rsidRPr="00641BDE">
              <w:t xml:space="preserve">; </w:t>
            </w:r>
            <w:r w:rsidRPr="00641BDE">
              <w:rPr>
                <w:b/>
                <w:i/>
              </w:rPr>
              <w:t>apeluje o powrót do indywidualnego rozpatrywania absolutoriów zarówno w Komisji Kontroli Budżetowej, jak i w komisjach opiniodawczych;</w:t>
            </w:r>
          </w:p>
        </w:tc>
      </w:tr>
    </w:tbl>
    <w:p w14:paraId="79AA45E9"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1448EAC4" w14:textId="77777777" w:rsidR="001D5F6D" w:rsidRPr="00641BDE" w:rsidRDefault="001D5F6D" w:rsidP="001D5F6D">
      <w:r w:rsidRPr="00641BDE">
        <w:rPr>
          <w:rStyle w:val="HideTWBExt"/>
        </w:rPr>
        <w:t>&lt;/Amend&gt;</w:t>
      </w:r>
    </w:p>
    <w:p w14:paraId="23612AAD"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4</w:t>
      </w:r>
      <w:r w:rsidRPr="00641BDE">
        <w:rPr>
          <w:rStyle w:val="HideTWBExt"/>
          <w:b w:val="0"/>
        </w:rPr>
        <w:t>&lt;/NumAm&gt;</w:t>
      </w:r>
    </w:p>
    <w:p w14:paraId="61AF0457"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rPr>
          <w:rStyle w:val="HideTWBExt"/>
          <w:b w:val="0"/>
        </w:rPr>
        <w:t>&lt;/Members&gt;</w:t>
      </w:r>
    </w:p>
    <w:p w14:paraId="1246611D" w14:textId="77777777" w:rsidR="001D5F6D" w:rsidRPr="00641BDE" w:rsidRDefault="001D5F6D" w:rsidP="001D5F6D">
      <w:pPr>
        <w:pStyle w:val="NormalBold"/>
      </w:pPr>
      <w:r w:rsidRPr="00641BDE">
        <w:rPr>
          <w:rStyle w:val="HideTWBExt"/>
          <w:b w:val="0"/>
        </w:rPr>
        <w:t>&lt;/RepeatBlock-By&gt;</w:t>
      </w:r>
    </w:p>
    <w:p w14:paraId="31085167"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727BB47" w14:textId="77777777" w:rsidR="001D5F6D" w:rsidRPr="00641BDE" w:rsidRDefault="001D5F6D" w:rsidP="001D5F6D">
      <w:pPr>
        <w:pStyle w:val="NormalBold"/>
      </w:pPr>
      <w:r w:rsidRPr="00641BDE">
        <w:rPr>
          <w:rStyle w:val="HideTWBExt"/>
          <w:b w:val="0"/>
        </w:rPr>
        <w:t>&lt;Article&gt;</w:t>
      </w:r>
      <w:r w:rsidRPr="00641BDE">
        <w:t>Motyw C</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73D175F" w14:textId="77777777" w:rsidTr="007C1C97">
        <w:trPr>
          <w:trHeight w:hRule="exact" w:val="240"/>
          <w:jc w:val="center"/>
        </w:trPr>
        <w:tc>
          <w:tcPr>
            <w:tcW w:w="9752" w:type="dxa"/>
            <w:gridSpan w:val="2"/>
            <w:tcBorders>
              <w:top w:val="nil"/>
              <w:left w:val="nil"/>
              <w:bottom w:val="nil"/>
              <w:right w:val="nil"/>
            </w:tcBorders>
          </w:tcPr>
          <w:p w14:paraId="3A486AFC" w14:textId="77777777" w:rsidR="001D5F6D" w:rsidRPr="00641BDE" w:rsidRDefault="001D5F6D" w:rsidP="007C1C97"/>
        </w:tc>
      </w:tr>
      <w:tr w:rsidR="001D5F6D" w:rsidRPr="00641BDE" w14:paraId="5C97AAD6" w14:textId="77777777" w:rsidTr="007C1C97">
        <w:trPr>
          <w:trHeight w:val="240"/>
          <w:jc w:val="center"/>
        </w:trPr>
        <w:tc>
          <w:tcPr>
            <w:tcW w:w="4876" w:type="dxa"/>
            <w:tcBorders>
              <w:top w:val="nil"/>
              <w:left w:val="nil"/>
              <w:bottom w:val="nil"/>
              <w:right w:val="nil"/>
            </w:tcBorders>
          </w:tcPr>
          <w:p w14:paraId="4DB6587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76D064D" w14:textId="77777777" w:rsidR="001D5F6D" w:rsidRPr="00641BDE" w:rsidRDefault="001D5F6D" w:rsidP="007C1C97">
            <w:pPr>
              <w:pStyle w:val="AmColumnHeading"/>
            </w:pPr>
            <w:r w:rsidRPr="00641BDE">
              <w:t>Poprawka</w:t>
            </w:r>
          </w:p>
        </w:tc>
      </w:tr>
      <w:tr w:rsidR="001D5F6D" w:rsidRPr="00641BDE" w14:paraId="4B0E3863" w14:textId="77777777" w:rsidTr="007C1C97">
        <w:trPr>
          <w:jc w:val="center"/>
        </w:trPr>
        <w:tc>
          <w:tcPr>
            <w:tcW w:w="4876" w:type="dxa"/>
            <w:tcBorders>
              <w:top w:val="nil"/>
              <w:left w:val="nil"/>
              <w:bottom w:val="nil"/>
              <w:right w:val="nil"/>
            </w:tcBorders>
          </w:tcPr>
          <w:p w14:paraId="4181BF0A" w14:textId="77777777" w:rsidR="001D5F6D" w:rsidRPr="00641BDE" w:rsidRDefault="001D5F6D" w:rsidP="007C1C97">
            <w:pPr>
              <w:pStyle w:val="Normal6a"/>
            </w:pPr>
            <w:r w:rsidRPr="00641BDE">
              <w:t>C.</w:t>
            </w:r>
            <w:r w:rsidRPr="00641BDE">
              <w:tab/>
              <w:t>mając na uwadze, że agencje zdecentralizowane oraz Agencja Dostaw Euratomu powinny skupić się na zadaniach o wyraźnej europejskiej wartości dodanej, a organizacja takich zadań powinna być zoptymalizowana, aby – w interesie unijnych podatników – uniknąć powielania działań;</w:t>
            </w:r>
          </w:p>
        </w:tc>
        <w:tc>
          <w:tcPr>
            <w:tcW w:w="4876" w:type="dxa"/>
            <w:tcBorders>
              <w:top w:val="nil"/>
              <w:left w:val="nil"/>
              <w:bottom w:val="nil"/>
              <w:right w:val="nil"/>
            </w:tcBorders>
          </w:tcPr>
          <w:p w14:paraId="298AC0AB" w14:textId="77777777" w:rsidR="001D5F6D" w:rsidRPr="00641BDE" w:rsidRDefault="001D5F6D" w:rsidP="007C1C97">
            <w:pPr>
              <w:pStyle w:val="Normal6a"/>
            </w:pPr>
            <w:r w:rsidRPr="00641BDE">
              <w:t>C.</w:t>
            </w:r>
            <w:r w:rsidRPr="00641BDE">
              <w:tab/>
              <w:t>mając na uwadze, że agencje zdecentralizowane oraz Agencja Dostaw Euratomu powinny skupić się na zadaniach o wyraźnej europejskiej wartości dodanej, a organizacja takich zadań powinna być zoptymalizowana, aby – w interesie unijnych podatników – uniknąć powielania działań</w:t>
            </w:r>
            <w:r w:rsidRPr="00641BDE">
              <w:rPr>
                <w:b/>
                <w:i/>
              </w:rPr>
              <w:t>, w szczególności w dziedzinie zdrowia (przypadek mandatu Europejskiego Centrum ds. Zapobiegania i Kontroli Chorób, którego kompetencje pokrywają się z kompetencjami Urzędu Komisji Europejskiej ds. Gotowości i Reagowania na Stany Zagrożenia Zdrowia) lub szkoleń i warunków pracy (</w:t>
            </w:r>
            <w:proofErr w:type="spellStart"/>
            <w:r w:rsidRPr="00641BDE">
              <w:rPr>
                <w:b/>
                <w:i/>
              </w:rPr>
              <w:t>Cedefop</w:t>
            </w:r>
            <w:proofErr w:type="spellEnd"/>
            <w:r w:rsidRPr="00641BDE">
              <w:rPr>
                <w:b/>
                <w:i/>
              </w:rPr>
              <w:t xml:space="preserve">, ETF, EU-OSHA, </w:t>
            </w:r>
            <w:proofErr w:type="spellStart"/>
            <w:r w:rsidRPr="00641BDE">
              <w:rPr>
                <w:b/>
                <w:i/>
              </w:rPr>
              <w:t>Eurofound</w:t>
            </w:r>
            <w:proofErr w:type="spellEnd"/>
            <w:r w:rsidRPr="00641BDE">
              <w:rPr>
                <w:b/>
                <w:i/>
              </w:rPr>
              <w:t>)</w:t>
            </w:r>
            <w:r w:rsidRPr="00641BDE">
              <w:t>;</w:t>
            </w:r>
          </w:p>
        </w:tc>
      </w:tr>
    </w:tbl>
    <w:p w14:paraId="7B9606C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458DFD51" w14:textId="77777777" w:rsidR="001D5F6D" w:rsidRPr="00641BDE" w:rsidRDefault="001D5F6D" w:rsidP="001D5F6D">
      <w:r w:rsidRPr="00641BDE">
        <w:rPr>
          <w:rStyle w:val="HideTWBExt"/>
        </w:rPr>
        <w:t>&lt;/Amend&gt;</w:t>
      </w:r>
    </w:p>
    <w:p w14:paraId="13A5BEB5"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5</w:t>
      </w:r>
      <w:r w:rsidRPr="00641BDE">
        <w:rPr>
          <w:rStyle w:val="HideTWBExt"/>
          <w:b w:val="0"/>
        </w:rPr>
        <w:t>&lt;/NumAm&gt;</w:t>
      </w:r>
    </w:p>
    <w:p w14:paraId="5891D748"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6DFCC177" w14:textId="77777777" w:rsidR="001D5F6D" w:rsidRPr="00641BDE" w:rsidRDefault="001D5F6D" w:rsidP="001D5F6D">
      <w:pPr>
        <w:pStyle w:val="NormalBold"/>
      </w:pPr>
      <w:r w:rsidRPr="00641BDE">
        <w:rPr>
          <w:rStyle w:val="HideTWBExt"/>
          <w:b w:val="0"/>
        </w:rPr>
        <w:t>&lt;/RepeatBlock-By&gt;</w:t>
      </w:r>
    </w:p>
    <w:p w14:paraId="1496EA0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C9D6C8D" w14:textId="77777777" w:rsidR="001D5F6D" w:rsidRPr="00641BDE" w:rsidRDefault="001D5F6D" w:rsidP="001D5F6D">
      <w:pPr>
        <w:pStyle w:val="NormalBold"/>
      </w:pPr>
      <w:r w:rsidRPr="00641BDE">
        <w:rPr>
          <w:rStyle w:val="HideTWBExt"/>
          <w:b w:val="0"/>
        </w:rPr>
        <w:t>&lt;Article&gt;</w:t>
      </w:r>
      <w:r w:rsidRPr="00641BDE">
        <w:t>Motyw G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CE7031A" w14:textId="77777777" w:rsidTr="007C1C97">
        <w:trPr>
          <w:trHeight w:hRule="exact" w:val="240"/>
          <w:jc w:val="center"/>
        </w:trPr>
        <w:tc>
          <w:tcPr>
            <w:tcW w:w="9752" w:type="dxa"/>
            <w:gridSpan w:val="2"/>
            <w:tcBorders>
              <w:top w:val="nil"/>
              <w:left w:val="nil"/>
              <w:bottom w:val="nil"/>
              <w:right w:val="nil"/>
            </w:tcBorders>
          </w:tcPr>
          <w:p w14:paraId="3E5A6525" w14:textId="77777777" w:rsidR="001D5F6D" w:rsidRPr="00641BDE" w:rsidRDefault="001D5F6D" w:rsidP="007C1C97"/>
        </w:tc>
      </w:tr>
      <w:tr w:rsidR="001D5F6D" w:rsidRPr="00641BDE" w14:paraId="3120B719" w14:textId="77777777" w:rsidTr="007C1C97">
        <w:trPr>
          <w:trHeight w:val="240"/>
          <w:jc w:val="center"/>
        </w:trPr>
        <w:tc>
          <w:tcPr>
            <w:tcW w:w="4876" w:type="dxa"/>
            <w:tcBorders>
              <w:top w:val="nil"/>
              <w:left w:val="nil"/>
              <w:bottom w:val="nil"/>
              <w:right w:val="nil"/>
            </w:tcBorders>
          </w:tcPr>
          <w:p w14:paraId="356EBAF0"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4064F64" w14:textId="77777777" w:rsidR="001D5F6D" w:rsidRPr="00641BDE" w:rsidRDefault="001D5F6D" w:rsidP="007C1C97">
            <w:pPr>
              <w:pStyle w:val="AmColumnHeading"/>
            </w:pPr>
            <w:r w:rsidRPr="00641BDE">
              <w:t>Poprawka</w:t>
            </w:r>
          </w:p>
        </w:tc>
      </w:tr>
      <w:tr w:rsidR="001D5F6D" w:rsidRPr="00641BDE" w14:paraId="2F268DBD" w14:textId="77777777" w:rsidTr="007C1C97">
        <w:trPr>
          <w:jc w:val="center"/>
        </w:trPr>
        <w:tc>
          <w:tcPr>
            <w:tcW w:w="4876" w:type="dxa"/>
            <w:tcBorders>
              <w:top w:val="nil"/>
              <w:left w:val="nil"/>
              <w:bottom w:val="nil"/>
              <w:right w:val="nil"/>
            </w:tcBorders>
          </w:tcPr>
          <w:p w14:paraId="4F1D1904" w14:textId="77777777" w:rsidR="001D5F6D" w:rsidRPr="00641BDE" w:rsidRDefault="001D5F6D" w:rsidP="007C1C97">
            <w:pPr>
              <w:pStyle w:val="Normal6a"/>
            </w:pPr>
          </w:p>
        </w:tc>
        <w:tc>
          <w:tcPr>
            <w:tcW w:w="4876" w:type="dxa"/>
            <w:tcBorders>
              <w:top w:val="nil"/>
              <w:left w:val="nil"/>
              <w:bottom w:val="nil"/>
              <w:right w:val="nil"/>
            </w:tcBorders>
          </w:tcPr>
          <w:p w14:paraId="2A558D9D" w14:textId="77777777" w:rsidR="001D5F6D" w:rsidRPr="00641BDE" w:rsidRDefault="001D5F6D" w:rsidP="007C1C97">
            <w:pPr>
              <w:pStyle w:val="Normal6a"/>
            </w:pPr>
            <w:r w:rsidRPr="00641BDE">
              <w:rPr>
                <w:b/>
                <w:i/>
              </w:rPr>
              <w:t>Ga.</w:t>
            </w:r>
            <w:r w:rsidRPr="00641BDE">
              <w:tab/>
            </w:r>
            <w:r w:rsidRPr="00641BDE">
              <w:rPr>
                <w:b/>
                <w:i/>
              </w:rPr>
              <w:t>mając na uwadze, że w odniesieniu do roku budżetowego 2024 Trybunał Obrachunkowy wydał opinie bez zastrzeżeń w odniesieniu do prawie wszystkich agencji; mając na uwadze, że utrzymanie wysokich standardów należytego zarządzania finansami, skutecznych systemów kontroli wewnętrznej oraz dyscypliny budżetowej nadal ma zasadnicze znaczenie dla zapewniania właściwego i przejrzystego wykorzystania środków unijnych oraz dla zwiększania zaufania obywateli do instytucji Unii;</w:t>
            </w:r>
          </w:p>
        </w:tc>
      </w:tr>
    </w:tbl>
    <w:p w14:paraId="75184CF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04EBB76" w14:textId="77777777" w:rsidR="001D5F6D" w:rsidRPr="00641BDE" w:rsidRDefault="001D5F6D" w:rsidP="001D5F6D">
      <w:r w:rsidRPr="00641BDE">
        <w:rPr>
          <w:rStyle w:val="HideTWBExt"/>
        </w:rPr>
        <w:t>&lt;/Amend&gt;</w:t>
      </w:r>
    </w:p>
    <w:p w14:paraId="40B06BD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6</w:t>
      </w:r>
      <w:r w:rsidRPr="00641BDE">
        <w:rPr>
          <w:rStyle w:val="HideTWBExt"/>
          <w:b w:val="0"/>
        </w:rPr>
        <w:t>&lt;/NumAm&gt;</w:t>
      </w:r>
    </w:p>
    <w:p w14:paraId="4B269E7A"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239A9A12" w14:textId="77777777" w:rsidR="001D5F6D" w:rsidRPr="00641BDE" w:rsidRDefault="001D5F6D" w:rsidP="001D5F6D">
      <w:pPr>
        <w:pStyle w:val="NormalBold"/>
      </w:pPr>
      <w:r w:rsidRPr="00641BDE">
        <w:rPr>
          <w:rStyle w:val="HideTWBExt"/>
          <w:b w:val="0"/>
        </w:rPr>
        <w:t>&lt;/RepeatBlock-By&gt;</w:t>
      </w:r>
    </w:p>
    <w:p w14:paraId="7D155FA7"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80395EF" w14:textId="77777777" w:rsidR="001D5F6D" w:rsidRPr="00641BDE" w:rsidRDefault="001D5F6D" w:rsidP="001D5F6D">
      <w:pPr>
        <w:pStyle w:val="NormalBold"/>
      </w:pPr>
      <w:r w:rsidRPr="00641BDE">
        <w:rPr>
          <w:rStyle w:val="HideTWBExt"/>
          <w:b w:val="0"/>
        </w:rPr>
        <w:t>&lt;Article&gt;</w:t>
      </w:r>
      <w:r w:rsidRPr="00641BDE">
        <w:t>Motyw G b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00F085D" w14:textId="77777777" w:rsidTr="007C1C97">
        <w:trPr>
          <w:trHeight w:hRule="exact" w:val="240"/>
          <w:jc w:val="center"/>
        </w:trPr>
        <w:tc>
          <w:tcPr>
            <w:tcW w:w="9752" w:type="dxa"/>
            <w:gridSpan w:val="2"/>
            <w:tcBorders>
              <w:top w:val="nil"/>
              <w:left w:val="nil"/>
              <w:bottom w:val="nil"/>
              <w:right w:val="nil"/>
            </w:tcBorders>
          </w:tcPr>
          <w:p w14:paraId="7C9BCCDC" w14:textId="77777777" w:rsidR="001D5F6D" w:rsidRPr="00641BDE" w:rsidRDefault="001D5F6D" w:rsidP="007C1C97"/>
        </w:tc>
      </w:tr>
      <w:tr w:rsidR="001D5F6D" w:rsidRPr="00641BDE" w14:paraId="0B5151D0" w14:textId="77777777" w:rsidTr="007C1C97">
        <w:trPr>
          <w:trHeight w:val="240"/>
          <w:jc w:val="center"/>
        </w:trPr>
        <w:tc>
          <w:tcPr>
            <w:tcW w:w="4876" w:type="dxa"/>
            <w:tcBorders>
              <w:top w:val="nil"/>
              <w:left w:val="nil"/>
              <w:bottom w:val="nil"/>
              <w:right w:val="nil"/>
            </w:tcBorders>
          </w:tcPr>
          <w:p w14:paraId="5BC095C0"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63DC8E9" w14:textId="77777777" w:rsidR="001D5F6D" w:rsidRPr="00641BDE" w:rsidRDefault="001D5F6D" w:rsidP="007C1C97">
            <w:pPr>
              <w:pStyle w:val="AmColumnHeading"/>
            </w:pPr>
            <w:r w:rsidRPr="00641BDE">
              <w:t>Poprawka</w:t>
            </w:r>
          </w:p>
        </w:tc>
      </w:tr>
      <w:tr w:rsidR="001D5F6D" w:rsidRPr="00641BDE" w14:paraId="4F99B1D6" w14:textId="77777777" w:rsidTr="007C1C97">
        <w:trPr>
          <w:jc w:val="center"/>
        </w:trPr>
        <w:tc>
          <w:tcPr>
            <w:tcW w:w="4876" w:type="dxa"/>
            <w:tcBorders>
              <w:top w:val="nil"/>
              <w:left w:val="nil"/>
              <w:bottom w:val="nil"/>
              <w:right w:val="nil"/>
            </w:tcBorders>
          </w:tcPr>
          <w:p w14:paraId="49BC50C2" w14:textId="77777777" w:rsidR="001D5F6D" w:rsidRPr="00641BDE" w:rsidRDefault="001D5F6D" w:rsidP="007C1C97">
            <w:pPr>
              <w:pStyle w:val="Normal6a"/>
            </w:pPr>
          </w:p>
        </w:tc>
        <w:tc>
          <w:tcPr>
            <w:tcW w:w="4876" w:type="dxa"/>
            <w:tcBorders>
              <w:top w:val="nil"/>
              <w:left w:val="nil"/>
              <w:bottom w:val="nil"/>
              <w:right w:val="nil"/>
            </w:tcBorders>
          </w:tcPr>
          <w:p w14:paraId="58730528" w14:textId="77777777" w:rsidR="001D5F6D" w:rsidRPr="00641BDE" w:rsidRDefault="001D5F6D" w:rsidP="007C1C97">
            <w:pPr>
              <w:pStyle w:val="Normal6a"/>
            </w:pPr>
            <w:proofErr w:type="spellStart"/>
            <w:r w:rsidRPr="00641BDE">
              <w:rPr>
                <w:b/>
                <w:i/>
              </w:rPr>
              <w:t>Gb</w:t>
            </w:r>
            <w:proofErr w:type="spellEnd"/>
            <w:r w:rsidRPr="00641BDE">
              <w:rPr>
                <w:b/>
                <w:i/>
              </w:rPr>
              <w:t>.</w:t>
            </w:r>
            <w:r w:rsidRPr="00641BDE">
              <w:tab/>
            </w:r>
            <w:r w:rsidRPr="00641BDE">
              <w:rPr>
                <w:b/>
                <w:i/>
              </w:rPr>
              <w:t>mając na uwadze, że w ostatnich latach agencje Unii mają coraz szerszy zakres obowiązków; mając na uwadze, że odpowiednie i przewidywalne zasoby, w połączeniu z solidnymi strukturami zarządzania i jasnymi mechanizmami rozliczalności, są niezbędne, aby umożliwić agencjom skuteczne wykonywanie ich mandatów i chronić wiarygodność Unii;</w:t>
            </w:r>
          </w:p>
        </w:tc>
      </w:tr>
    </w:tbl>
    <w:p w14:paraId="56484492"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D7B691C" w14:textId="77777777" w:rsidR="001D5F6D" w:rsidRPr="00641BDE" w:rsidRDefault="001D5F6D" w:rsidP="001D5F6D">
      <w:r w:rsidRPr="00641BDE">
        <w:rPr>
          <w:rStyle w:val="HideTWBExt"/>
        </w:rPr>
        <w:t>&lt;/Amend&gt;</w:t>
      </w:r>
    </w:p>
    <w:p w14:paraId="535137B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7</w:t>
      </w:r>
      <w:r w:rsidRPr="00641BDE">
        <w:rPr>
          <w:rStyle w:val="HideTWBExt"/>
          <w:b w:val="0"/>
        </w:rPr>
        <w:t>&lt;/NumAm&gt;</w:t>
      </w:r>
    </w:p>
    <w:p w14:paraId="6DD40927"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7A6FFF8C" w14:textId="77777777" w:rsidR="001D5F6D" w:rsidRPr="00641BDE" w:rsidRDefault="001D5F6D" w:rsidP="001D5F6D">
      <w:pPr>
        <w:pStyle w:val="NormalBold"/>
      </w:pPr>
      <w:r w:rsidRPr="00641BDE">
        <w:rPr>
          <w:rStyle w:val="HideTWBExt"/>
          <w:b w:val="0"/>
        </w:rPr>
        <w:t>&lt;/RepeatBlock-By&gt;</w:t>
      </w:r>
    </w:p>
    <w:p w14:paraId="35AB8AB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0F5FEEE" w14:textId="77777777" w:rsidR="001D5F6D" w:rsidRPr="00641BDE" w:rsidRDefault="001D5F6D" w:rsidP="001D5F6D">
      <w:pPr>
        <w:pStyle w:val="NormalBold"/>
      </w:pPr>
      <w:r w:rsidRPr="00641BDE">
        <w:rPr>
          <w:rStyle w:val="HideTWBExt"/>
          <w:b w:val="0"/>
        </w:rPr>
        <w:t>&lt;Article&gt;</w:t>
      </w:r>
      <w:r w:rsidRPr="00641BDE">
        <w:t>Motyw G c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891677E" w14:textId="77777777" w:rsidTr="007C1C97">
        <w:trPr>
          <w:trHeight w:hRule="exact" w:val="240"/>
          <w:jc w:val="center"/>
        </w:trPr>
        <w:tc>
          <w:tcPr>
            <w:tcW w:w="9752" w:type="dxa"/>
            <w:gridSpan w:val="2"/>
            <w:tcBorders>
              <w:top w:val="nil"/>
              <w:left w:val="nil"/>
              <w:bottom w:val="nil"/>
              <w:right w:val="nil"/>
            </w:tcBorders>
          </w:tcPr>
          <w:p w14:paraId="48419F84" w14:textId="77777777" w:rsidR="001D5F6D" w:rsidRPr="00641BDE" w:rsidRDefault="001D5F6D" w:rsidP="007C1C97"/>
        </w:tc>
      </w:tr>
      <w:tr w:rsidR="001D5F6D" w:rsidRPr="00641BDE" w14:paraId="75CF12DD" w14:textId="77777777" w:rsidTr="007C1C97">
        <w:trPr>
          <w:trHeight w:val="240"/>
          <w:jc w:val="center"/>
        </w:trPr>
        <w:tc>
          <w:tcPr>
            <w:tcW w:w="4876" w:type="dxa"/>
            <w:tcBorders>
              <w:top w:val="nil"/>
              <w:left w:val="nil"/>
              <w:bottom w:val="nil"/>
              <w:right w:val="nil"/>
            </w:tcBorders>
          </w:tcPr>
          <w:p w14:paraId="1D3C0CC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3C27354" w14:textId="77777777" w:rsidR="001D5F6D" w:rsidRPr="00641BDE" w:rsidRDefault="001D5F6D" w:rsidP="007C1C97">
            <w:pPr>
              <w:pStyle w:val="AmColumnHeading"/>
            </w:pPr>
            <w:r w:rsidRPr="00641BDE">
              <w:t>Poprawka</w:t>
            </w:r>
          </w:p>
        </w:tc>
      </w:tr>
      <w:tr w:rsidR="001D5F6D" w:rsidRPr="00641BDE" w14:paraId="244FB581" w14:textId="77777777" w:rsidTr="007C1C97">
        <w:trPr>
          <w:jc w:val="center"/>
        </w:trPr>
        <w:tc>
          <w:tcPr>
            <w:tcW w:w="4876" w:type="dxa"/>
            <w:tcBorders>
              <w:top w:val="nil"/>
              <w:left w:val="nil"/>
              <w:bottom w:val="nil"/>
              <w:right w:val="nil"/>
            </w:tcBorders>
          </w:tcPr>
          <w:p w14:paraId="24138EB7" w14:textId="77777777" w:rsidR="001D5F6D" w:rsidRPr="00641BDE" w:rsidRDefault="001D5F6D" w:rsidP="007C1C97">
            <w:pPr>
              <w:pStyle w:val="Normal6a"/>
            </w:pPr>
          </w:p>
        </w:tc>
        <w:tc>
          <w:tcPr>
            <w:tcW w:w="4876" w:type="dxa"/>
            <w:tcBorders>
              <w:top w:val="nil"/>
              <w:left w:val="nil"/>
              <w:bottom w:val="nil"/>
              <w:right w:val="nil"/>
            </w:tcBorders>
          </w:tcPr>
          <w:p w14:paraId="1D56C1A6" w14:textId="77777777" w:rsidR="001D5F6D" w:rsidRPr="00641BDE" w:rsidRDefault="001D5F6D" w:rsidP="007C1C97">
            <w:pPr>
              <w:pStyle w:val="Normal6a"/>
            </w:pPr>
            <w:proofErr w:type="spellStart"/>
            <w:r w:rsidRPr="00641BDE">
              <w:rPr>
                <w:b/>
                <w:i/>
              </w:rPr>
              <w:t>Gc</w:t>
            </w:r>
            <w:proofErr w:type="spellEnd"/>
            <w:r w:rsidRPr="00641BDE">
              <w:rPr>
                <w:b/>
                <w:i/>
              </w:rPr>
              <w:t>.</w:t>
            </w:r>
            <w:r w:rsidRPr="00641BDE">
              <w:tab/>
            </w:r>
            <w:r w:rsidRPr="00641BDE">
              <w:rPr>
                <w:b/>
                <w:i/>
              </w:rPr>
              <w:t xml:space="preserve">mając na uwadze, że incydent </w:t>
            </w:r>
            <w:proofErr w:type="spellStart"/>
            <w:r w:rsidRPr="00641BDE">
              <w:rPr>
                <w:b/>
                <w:i/>
              </w:rPr>
              <w:t>cyberbezpieczeństwa</w:t>
            </w:r>
            <w:proofErr w:type="spellEnd"/>
            <w:r w:rsidRPr="00641BDE">
              <w:rPr>
                <w:b/>
                <w:i/>
              </w:rPr>
              <w:t xml:space="preserve">, który dotknął jedną z agencji w 2024 r., świadczy o podatności organów Unii przetwarzających dane wrażliwe; mając na uwadze, że wzmocnienie </w:t>
            </w:r>
            <w:proofErr w:type="spellStart"/>
            <w:r w:rsidRPr="00641BDE">
              <w:rPr>
                <w:b/>
                <w:i/>
              </w:rPr>
              <w:t>cyberbezpieczeństwa</w:t>
            </w:r>
            <w:proofErr w:type="spellEnd"/>
            <w:r w:rsidRPr="00641BDE">
              <w:rPr>
                <w:b/>
                <w:i/>
              </w:rPr>
              <w:t>, planowania ciągłości działania i systemów kontroli wewnętrznej należy traktować jako priorytet horyzontalny we wszystkich agencjach;</w:t>
            </w:r>
          </w:p>
        </w:tc>
      </w:tr>
    </w:tbl>
    <w:p w14:paraId="20F2D22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E761105" w14:textId="77777777" w:rsidR="001D5F6D" w:rsidRPr="00641BDE" w:rsidRDefault="001D5F6D" w:rsidP="001D5F6D">
      <w:r w:rsidRPr="00641BDE">
        <w:rPr>
          <w:rStyle w:val="HideTWBExt"/>
        </w:rPr>
        <w:t>&lt;/Amend&gt;</w:t>
      </w:r>
    </w:p>
    <w:p w14:paraId="018EA437"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8</w:t>
      </w:r>
      <w:r w:rsidRPr="00641BDE">
        <w:rPr>
          <w:rStyle w:val="HideTWBExt"/>
          <w:b w:val="0"/>
        </w:rPr>
        <w:t>&lt;/NumAm&gt;</w:t>
      </w:r>
    </w:p>
    <w:p w14:paraId="583E7AD1"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6FFA7D8A" w14:textId="77777777" w:rsidR="001D5F6D" w:rsidRPr="00641BDE" w:rsidRDefault="001D5F6D" w:rsidP="001D5F6D">
      <w:pPr>
        <w:pStyle w:val="NormalBold"/>
      </w:pPr>
      <w:r w:rsidRPr="00641BDE">
        <w:rPr>
          <w:rStyle w:val="HideTWBExt"/>
          <w:b w:val="0"/>
        </w:rPr>
        <w:t>&lt;/RepeatBlock-By&gt;</w:t>
      </w:r>
    </w:p>
    <w:p w14:paraId="77AF05B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07B8E4F" w14:textId="77777777" w:rsidR="001D5F6D" w:rsidRPr="00641BDE" w:rsidRDefault="001D5F6D" w:rsidP="001D5F6D">
      <w:pPr>
        <w:pStyle w:val="NormalBold"/>
      </w:pPr>
      <w:r w:rsidRPr="00641BDE">
        <w:rPr>
          <w:rStyle w:val="HideTWBExt"/>
          <w:b w:val="0"/>
        </w:rPr>
        <w:t>&lt;Article&gt;</w:t>
      </w:r>
      <w:r w:rsidRPr="00641BDE">
        <w:t>Ustęp 1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3AB2080" w14:textId="77777777" w:rsidTr="007C1C97">
        <w:trPr>
          <w:trHeight w:hRule="exact" w:val="240"/>
          <w:jc w:val="center"/>
        </w:trPr>
        <w:tc>
          <w:tcPr>
            <w:tcW w:w="9752" w:type="dxa"/>
            <w:gridSpan w:val="2"/>
            <w:tcBorders>
              <w:top w:val="nil"/>
              <w:left w:val="nil"/>
              <w:bottom w:val="nil"/>
              <w:right w:val="nil"/>
            </w:tcBorders>
          </w:tcPr>
          <w:p w14:paraId="6F0F292A" w14:textId="77777777" w:rsidR="001D5F6D" w:rsidRPr="00641BDE" w:rsidRDefault="001D5F6D" w:rsidP="007C1C97"/>
        </w:tc>
      </w:tr>
      <w:tr w:rsidR="001D5F6D" w:rsidRPr="00641BDE" w14:paraId="2DB17680" w14:textId="77777777" w:rsidTr="007C1C97">
        <w:trPr>
          <w:trHeight w:val="240"/>
          <w:jc w:val="center"/>
        </w:trPr>
        <w:tc>
          <w:tcPr>
            <w:tcW w:w="4876" w:type="dxa"/>
            <w:tcBorders>
              <w:top w:val="nil"/>
              <w:left w:val="nil"/>
              <w:bottom w:val="nil"/>
              <w:right w:val="nil"/>
            </w:tcBorders>
          </w:tcPr>
          <w:p w14:paraId="470AAC3C"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F7E5C8C" w14:textId="77777777" w:rsidR="001D5F6D" w:rsidRPr="00641BDE" w:rsidRDefault="001D5F6D" w:rsidP="007C1C97">
            <w:pPr>
              <w:pStyle w:val="AmColumnHeading"/>
            </w:pPr>
            <w:r w:rsidRPr="00641BDE">
              <w:t>Poprawka</w:t>
            </w:r>
          </w:p>
        </w:tc>
      </w:tr>
      <w:tr w:rsidR="001D5F6D" w:rsidRPr="00641BDE" w14:paraId="1B07B293" w14:textId="77777777" w:rsidTr="007C1C97">
        <w:trPr>
          <w:jc w:val="center"/>
        </w:trPr>
        <w:tc>
          <w:tcPr>
            <w:tcW w:w="4876" w:type="dxa"/>
            <w:tcBorders>
              <w:top w:val="nil"/>
              <w:left w:val="nil"/>
              <w:bottom w:val="nil"/>
              <w:right w:val="nil"/>
            </w:tcBorders>
          </w:tcPr>
          <w:p w14:paraId="0C1BC7EC" w14:textId="77777777" w:rsidR="001D5F6D" w:rsidRPr="00641BDE" w:rsidRDefault="001D5F6D" w:rsidP="007C1C97">
            <w:pPr>
              <w:pStyle w:val="Normal6a"/>
            </w:pPr>
          </w:p>
        </w:tc>
        <w:tc>
          <w:tcPr>
            <w:tcW w:w="4876" w:type="dxa"/>
            <w:tcBorders>
              <w:top w:val="nil"/>
              <w:left w:val="nil"/>
              <w:bottom w:val="nil"/>
              <w:right w:val="nil"/>
            </w:tcBorders>
          </w:tcPr>
          <w:p w14:paraId="20D15DC9" w14:textId="77777777" w:rsidR="001D5F6D" w:rsidRPr="00641BDE" w:rsidRDefault="001D5F6D" w:rsidP="007C1C97">
            <w:pPr>
              <w:pStyle w:val="Normal6a"/>
            </w:pPr>
            <w:r w:rsidRPr="00641BDE">
              <w:rPr>
                <w:b/>
                <w:i/>
              </w:rPr>
              <w:t>1a.</w:t>
            </w:r>
            <w:r w:rsidRPr="00641BDE">
              <w:tab/>
            </w:r>
            <w:r w:rsidRPr="00641BDE">
              <w:rPr>
                <w:b/>
                <w:i/>
              </w:rPr>
              <w:t>wyraża głębokie zaniepokojenie rosnącym zadłużeniem UE i kosztami finansowania zewnętrznego; zauważa, że zgodnie z rocznym sprawozdaniem Europejskiego Trybunału Obrachunkowego niespłacone pożyczki zaciągnięte przez UE mogą przekroczyć 900 mld EUR do 2027 r., co stanowi prawie dziesięciokrotność poziomu z 2020 r. przed wprowadzeniem pakietu na rzecz odbudowy w ramach NGEU; ostrzega, że rosnące koszty finansowania zewnętrznego stanowią zagrożenie dla przyszłych budżetów i ograniczają przestrzeń fiskalną dla nowych priorytetów; podkreśla zatem, że ta bezprecedensowa presja fiskalna wymaga rygorystycznego poszukiwania oszczędności we wszystkich agencjach UE; wzywa Komisję i sieć agencji UE do przedstawienia planu strukturalnej redukcji kosztów w celu wykazania odpowiedzialności instytucjonalnej w czasach wysokiego długu publicznego;</w:t>
            </w:r>
          </w:p>
        </w:tc>
      </w:tr>
    </w:tbl>
    <w:p w14:paraId="115A80F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812CCE9" w14:textId="77777777" w:rsidR="001D5F6D" w:rsidRPr="00641BDE" w:rsidRDefault="001D5F6D" w:rsidP="001D5F6D">
      <w:r w:rsidRPr="00641BDE">
        <w:rPr>
          <w:rStyle w:val="HideTWBExt"/>
        </w:rPr>
        <w:t>&lt;/Amend&gt;</w:t>
      </w:r>
    </w:p>
    <w:p w14:paraId="38895677"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9</w:t>
      </w:r>
      <w:r w:rsidRPr="00641BDE">
        <w:rPr>
          <w:rStyle w:val="HideTWBExt"/>
          <w:b w:val="0"/>
        </w:rPr>
        <w:t>&lt;/NumAm&gt;</w:t>
      </w:r>
    </w:p>
    <w:p w14:paraId="07C6DDF0"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733CF755" w14:textId="77777777" w:rsidR="001D5F6D" w:rsidRPr="00641BDE" w:rsidRDefault="001D5F6D" w:rsidP="001D5F6D">
      <w:pPr>
        <w:pStyle w:val="NormalBold"/>
      </w:pPr>
      <w:r w:rsidRPr="00641BDE">
        <w:rPr>
          <w:rStyle w:val="HideTWBExt"/>
          <w:b w:val="0"/>
        </w:rPr>
        <w:t>&lt;/RepeatBlock-By&gt;</w:t>
      </w:r>
    </w:p>
    <w:p w14:paraId="04E96C1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9E4A412" w14:textId="77777777" w:rsidR="001D5F6D" w:rsidRPr="00641BDE" w:rsidRDefault="001D5F6D" w:rsidP="001D5F6D">
      <w:pPr>
        <w:pStyle w:val="NormalBold"/>
      </w:pPr>
      <w:r w:rsidRPr="00641BDE">
        <w:rPr>
          <w:rStyle w:val="HideTWBExt"/>
          <w:b w:val="0"/>
        </w:rPr>
        <w:t>&lt;Article&gt;</w:t>
      </w:r>
      <w:r w:rsidRPr="00641BDE">
        <w:t>Ustęp 2</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8704576" w14:textId="77777777" w:rsidTr="007C1C97">
        <w:trPr>
          <w:trHeight w:hRule="exact" w:val="240"/>
          <w:jc w:val="center"/>
        </w:trPr>
        <w:tc>
          <w:tcPr>
            <w:tcW w:w="9752" w:type="dxa"/>
            <w:gridSpan w:val="2"/>
            <w:tcBorders>
              <w:top w:val="nil"/>
              <w:left w:val="nil"/>
              <w:bottom w:val="nil"/>
              <w:right w:val="nil"/>
            </w:tcBorders>
          </w:tcPr>
          <w:p w14:paraId="237707BB" w14:textId="77777777" w:rsidR="001D5F6D" w:rsidRPr="00641BDE" w:rsidRDefault="001D5F6D" w:rsidP="007C1C97"/>
        </w:tc>
      </w:tr>
      <w:tr w:rsidR="001D5F6D" w:rsidRPr="00641BDE" w14:paraId="5287FC90" w14:textId="77777777" w:rsidTr="007C1C97">
        <w:trPr>
          <w:trHeight w:val="240"/>
          <w:jc w:val="center"/>
        </w:trPr>
        <w:tc>
          <w:tcPr>
            <w:tcW w:w="4876" w:type="dxa"/>
            <w:tcBorders>
              <w:top w:val="nil"/>
              <w:left w:val="nil"/>
              <w:bottom w:val="nil"/>
              <w:right w:val="nil"/>
            </w:tcBorders>
          </w:tcPr>
          <w:p w14:paraId="7625800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7AC92CA" w14:textId="77777777" w:rsidR="001D5F6D" w:rsidRPr="00641BDE" w:rsidRDefault="001D5F6D" w:rsidP="007C1C97">
            <w:pPr>
              <w:pStyle w:val="AmColumnHeading"/>
            </w:pPr>
            <w:r w:rsidRPr="00641BDE">
              <w:t>Poprawka</w:t>
            </w:r>
          </w:p>
        </w:tc>
      </w:tr>
      <w:tr w:rsidR="001D5F6D" w:rsidRPr="00641BDE" w14:paraId="4B5AD8DD" w14:textId="77777777" w:rsidTr="007C1C97">
        <w:trPr>
          <w:jc w:val="center"/>
        </w:trPr>
        <w:tc>
          <w:tcPr>
            <w:tcW w:w="4876" w:type="dxa"/>
            <w:tcBorders>
              <w:top w:val="nil"/>
              <w:left w:val="nil"/>
              <w:bottom w:val="nil"/>
              <w:right w:val="nil"/>
            </w:tcBorders>
          </w:tcPr>
          <w:p w14:paraId="45F10E75" w14:textId="77777777" w:rsidR="001D5F6D" w:rsidRPr="00641BDE" w:rsidRDefault="001D5F6D" w:rsidP="007C1C97">
            <w:pPr>
              <w:pStyle w:val="Normal6a"/>
            </w:pPr>
            <w:r w:rsidRPr="00641BDE">
              <w:t>2.</w:t>
            </w:r>
            <w:r w:rsidRPr="00641BDE">
              <w:tab/>
              <w:t xml:space="preserve">zwraca uwagę, że chociaż ustanawianie agencji UE lub rozszerzanie ich działalności ma na celu zwiększenie zdolności Unii, </w:t>
            </w:r>
            <w:r w:rsidRPr="00641BDE">
              <w:rPr>
                <w:b/>
                <w:i/>
              </w:rPr>
              <w:t>kluczowe znaczenie ma zapewnienie</w:t>
            </w:r>
            <w:r w:rsidRPr="00641BDE">
              <w:t>, aby proces ten opierał się na gruntownych ocenach</w:t>
            </w:r>
            <w:r w:rsidRPr="00641BDE">
              <w:rPr>
                <w:b/>
                <w:i/>
              </w:rPr>
              <w:t>,</w:t>
            </w:r>
            <w:r w:rsidRPr="00641BDE">
              <w:t xml:space="preserve"> ocenach skutków </w:t>
            </w:r>
            <w:r w:rsidRPr="00641BDE">
              <w:rPr>
                <w:b/>
                <w:i/>
              </w:rPr>
              <w:t>i wyraźnym wykazaniu wartości dodanej</w:t>
            </w:r>
            <w:r w:rsidRPr="00641BDE">
              <w:t>,</w:t>
            </w:r>
            <w:r w:rsidRPr="00641BDE">
              <w:rPr>
                <w:b/>
                <w:i/>
              </w:rPr>
              <w:t xml:space="preserve"> aby można było wyciągnąć wnioski i w razie potrzeby rozważyć zakończenie mandatu; podkreśla, że podejście to nie tylko zapewniłoby lepsze uregulowania prawne, ale również zwiększyłoby</w:t>
            </w:r>
            <w:r w:rsidRPr="00641BDE">
              <w:t xml:space="preserve"> skuteczność, rozliczalność, przejrzystość i spójność otoczenia instytucjonalnego Unii;</w:t>
            </w:r>
          </w:p>
        </w:tc>
        <w:tc>
          <w:tcPr>
            <w:tcW w:w="4876" w:type="dxa"/>
            <w:tcBorders>
              <w:top w:val="nil"/>
              <w:left w:val="nil"/>
              <w:bottom w:val="nil"/>
              <w:right w:val="nil"/>
            </w:tcBorders>
          </w:tcPr>
          <w:p w14:paraId="4BC478CB" w14:textId="77777777" w:rsidR="001D5F6D" w:rsidRPr="00641BDE" w:rsidRDefault="001D5F6D" w:rsidP="007C1C97">
            <w:pPr>
              <w:pStyle w:val="Normal6a"/>
            </w:pPr>
            <w:r w:rsidRPr="00641BDE">
              <w:t>2.</w:t>
            </w:r>
            <w:r w:rsidRPr="00641BDE">
              <w:tab/>
              <w:t xml:space="preserve">zwraca uwagę, że chociaż ustanawianie agencji UE lub rozszerzanie ich działalności ma na celu zwiększenie zdolności Unii, </w:t>
            </w:r>
            <w:r w:rsidRPr="00641BDE">
              <w:rPr>
                <w:b/>
                <w:i/>
              </w:rPr>
              <w:t>ważne jest dopilnowanie</w:t>
            </w:r>
            <w:r w:rsidRPr="00641BDE">
              <w:t xml:space="preserve">, aby proces ten opierał się na gruntownych ocenach </w:t>
            </w:r>
            <w:r w:rsidRPr="00641BDE">
              <w:rPr>
                <w:b/>
                <w:i/>
              </w:rPr>
              <w:t>i</w:t>
            </w:r>
            <w:r w:rsidRPr="00641BDE">
              <w:t xml:space="preserve"> ocenach skutków, </w:t>
            </w:r>
            <w:r w:rsidRPr="00641BDE">
              <w:rPr>
                <w:b/>
                <w:i/>
              </w:rPr>
              <w:t>co pozwoli zwiększyć</w:t>
            </w:r>
            <w:r w:rsidRPr="00641BDE">
              <w:t xml:space="preserve"> skuteczność, rozliczalność, przejrzystość i spójność otoczenia instytucjonalnego Unii;</w:t>
            </w:r>
          </w:p>
        </w:tc>
      </w:tr>
    </w:tbl>
    <w:p w14:paraId="773E7D4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35A3689" w14:textId="77777777" w:rsidR="001D5F6D" w:rsidRPr="00641BDE" w:rsidRDefault="001D5F6D" w:rsidP="001D5F6D">
      <w:r w:rsidRPr="00641BDE">
        <w:rPr>
          <w:rStyle w:val="HideTWBExt"/>
        </w:rPr>
        <w:t>&lt;/Amend&gt;</w:t>
      </w:r>
    </w:p>
    <w:p w14:paraId="6CDDB03D"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10</w:t>
      </w:r>
      <w:r w:rsidRPr="00641BDE">
        <w:rPr>
          <w:rStyle w:val="HideTWBExt"/>
          <w:b w:val="0"/>
        </w:rPr>
        <w:t>&lt;/NumAm&gt;</w:t>
      </w:r>
    </w:p>
    <w:p w14:paraId="0FBEFE30"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2D2A2BD0" w14:textId="77777777" w:rsidR="001D5F6D" w:rsidRPr="00641BDE" w:rsidRDefault="001D5F6D" w:rsidP="001D5F6D">
      <w:pPr>
        <w:pStyle w:val="NormalBold"/>
      </w:pPr>
      <w:r w:rsidRPr="00641BDE">
        <w:rPr>
          <w:rStyle w:val="HideTWBExt"/>
          <w:b w:val="0"/>
        </w:rPr>
        <w:t>&lt;/RepeatBlock-By&gt;</w:t>
      </w:r>
    </w:p>
    <w:p w14:paraId="45DFA321"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F81F74A" w14:textId="77777777" w:rsidR="001D5F6D" w:rsidRPr="00641BDE" w:rsidRDefault="001D5F6D" w:rsidP="001D5F6D">
      <w:pPr>
        <w:pStyle w:val="NormalBold"/>
      </w:pPr>
      <w:r w:rsidRPr="00641BDE">
        <w:rPr>
          <w:rStyle w:val="HideTWBExt"/>
          <w:b w:val="0"/>
        </w:rPr>
        <w:t>&lt;Article&gt;</w:t>
      </w:r>
      <w:r w:rsidRPr="00641BDE">
        <w:t>Ustęp 2</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8CF962B" w14:textId="77777777" w:rsidTr="007C1C97">
        <w:trPr>
          <w:trHeight w:hRule="exact" w:val="240"/>
          <w:jc w:val="center"/>
        </w:trPr>
        <w:tc>
          <w:tcPr>
            <w:tcW w:w="9752" w:type="dxa"/>
            <w:gridSpan w:val="2"/>
            <w:tcBorders>
              <w:top w:val="nil"/>
              <w:left w:val="nil"/>
              <w:bottom w:val="nil"/>
              <w:right w:val="nil"/>
            </w:tcBorders>
          </w:tcPr>
          <w:p w14:paraId="27F8A49B" w14:textId="77777777" w:rsidR="001D5F6D" w:rsidRPr="00641BDE" w:rsidRDefault="001D5F6D" w:rsidP="007C1C97"/>
        </w:tc>
      </w:tr>
      <w:tr w:rsidR="001D5F6D" w:rsidRPr="00641BDE" w14:paraId="056003AF" w14:textId="77777777" w:rsidTr="007C1C97">
        <w:trPr>
          <w:trHeight w:val="240"/>
          <w:jc w:val="center"/>
        </w:trPr>
        <w:tc>
          <w:tcPr>
            <w:tcW w:w="4876" w:type="dxa"/>
            <w:tcBorders>
              <w:top w:val="nil"/>
              <w:left w:val="nil"/>
              <w:bottom w:val="nil"/>
              <w:right w:val="nil"/>
            </w:tcBorders>
          </w:tcPr>
          <w:p w14:paraId="1EC0AA8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05A5AF3" w14:textId="77777777" w:rsidR="001D5F6D" w:rsidRPr="00641BDE" w:rsidRDefault="001D5F6D" w:rsidP="007C1C97">
            <w:pPr>
              <w:pStyle w:val="AmColumnHeading"/>
            </w:pPr>
            <w:r w:rsidRPr="00641BDE">
              <w:t>Poprawka</w:t>
            </w:r>
          </w:p>
        </w:tc>
      </w:tr>
      <w:tr w:rsidR="001D5F6D" w:rsidRPr="00641BDE" w14:paraId="01032EE4" w14:textId="77777777" w:rsidTr="007C1C97">
        <w:trPr>
          <w:jc w:val="center"/>
        </w:trPr>
        <w:tc>
          <w:tcPr>
            <w:tcW w:w="4876" w:type="dxa"/>
            <w:tcBorders>
              <w:top w:val="nil"/>
              <w:left w:val="nil"/>
              <w:bottom w:val="nil"/>
              <w:right w:val="nil"/>
            </w:tcBorders>
          </w:tcPr>
          <w:p w14:paraId="4F79F729" w14:textId="77777777" w:rsidR="001D5F6D" w:rsidRPr="00641BDE" w:rsidRDefault="001D5F6D" w:rsidP="007C1C97">
            <w:pPr>
              <w:pStyle w:val="Normal6a"/>
            </w:pPr>
            <w:r w:rsidRPr="00641BDE">
              <w:t>2.</w:t>
            </w:r>
            <w:r w:rsidRPr="00641BDE">
              <w:tab/>
              <w:t xml:space="preserve">zwraca uwagę, że chociaż ustanawianie agencji UE lub rozszerzanie ich działalności ma na celu zwiększenie zdolności Unii, kluczowe znaczenie ma zapewnienie, aby proces ten opierał się na gruntownych ocenach, ocenach skutków i wyraźnym wykazaniu wartości dodanej, aby można było wyciągnąć wnioski i w razie potrzeby </w:t>
            </w:r>
            <w:r w:rsidRPr="00641BDE">
              <w:rPr>
                <w:b/>
                <w:i/>
              </w:rPr>
              <w:t>rozważyć zakończenie mandatu</w:t>
            </w:r>
            <w:r w:rsidRPr="00641BDE">
              <w:t>; podkreśla, że podejście to nie tylko zapewniłoby lepsze uregulowania prawne, ale również zwiększyłoby skuteczność, rozliczalność, przejrzystość i spójność otoczenia instytucjonalnego Unii;</w:t>
            </w:r>
          </w:p>
        </w:tc>
        <w:tc>
          <w:tcPr>
            <w:tcW w:w="4876" w:type="dxa"/>
            <w:tcBorders>
              <w:top w:val="nil"/>
              <w:left w:val="nil"/>
              <w:bottom w:val="nil"/>
              <w:right w:val="nil"/>
            </w:tcBorders>
          </w:tcPr>
          <w:p w14:paraId="150BCEA4" w14:textId="77777777" w:rsidR="001D5F6D" w:rsidRPr="00641BDE" w:rsidRDefault="001D5F6D" w:rsidP="007C1C97">
            <w:pPr>
              <w:pStyle w:val="Normal6a"/>
            </w:pPr>
            <w:r w:rsidRPr="00641BDE">
              <w:t>2.</w:t>
            </w:r>
            <w:r w:rsidRPr="00641BDE">
              <w:tab/>
              <w:t xml:space="preserve">zwraca uwagę, że chociaż ustanawianie agencji UE lub rozszerzanie ich działalności ma na celu zwiększenie zdolności Unii, kluczowe znaczenie ma zapewnienie, aby proces ten opierał się na gruntownych ocenach, ocenach skutków i wyraźnym wykazaniu wartości dodanej, aby można było wyciągnąć wnioski i w razie potrzeby </w:t>
            </w:r>
            <w:r w:rsidRPr="00641BDE">
              <w:rPr>
                <w:b/>
                <w:i/>
              </w:rPr>
              <w:t>zakończyć ich mandat, w szczególności w przypadkach powielania lub nakładania się kompetencji</w:t>
            </w:r>
            <w:r w:rsidRPr="00641BDE">
              <w:t>; podkreśla, że podejście to nie tylko zapewniłoby lepsze uregulowania prawne, ale również zwiększyłoby skuteczność, rozliczalność, przejrzystość i spójność otoczenia instytucjonalnego Unii;</w:t>
            </w:r>
          </w:p>
        </w:tc>
      </w:tr>
    </w:tbl>
    <w:p w14:paraId="722A94FA"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66A224D8" w14:textId="77777777" w:rsidR="001D5F6D" w:rsidRPr="00641BDE" w:rsidRDefault="001D5F6D" w:rsidP="001D5F6D">
      <w:r w:rsidRPr="00641BDE">
        <w:rPr>
          <w:rStyle w:val="HideTWBExt"/>
        </w:rPr>
        <w:t>&lt;/Amend&gt;</w:t>
      </w:r>
    </w:p>
    <w:p w14:paraId="43760B7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11</w:t>
      </w:r>
      <w:r w:rsidRPr="00641BDE">
        <w:rPr>
          <w:rStyle w:val="HideTWBExt"/>
          <w:b w:val="0"/>
        </w:rPr>
        <w:t>&lt;/NumAm&gt;</w:t>
      </w:r>
    </w:p>
    <w:p w14:paraId="22A3686B"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71E99893"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298F3916" w14:textId="77777777" w:rsidR="001D5F6D" w:rsidRPr="00641BDE" w:rsidRDefault="001D5F6D" w:rsidP="001D5F6D">
      <w:pPr>
        <w:pStyle w:val="NormalBold"/>
      </w:pPr>
      <w:r w:rsidRPr="00641BDE">
        <w:rPr>
          <w:rStyle w:val="HideTWBExt"/>
          <w:b w:val="0"/>
        </w:rPr>
        <w:t>&lt;/RepeatBlock-By&gt;</w:t>
      </w:r>
    </w:p>
    <w:p w14:paraId="768DDA3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AF9F016" w14:textId="77777777" w:rsidR="001D5F6D" w:rsidRPr="00641BDE" w:rsidRDefault="001D5F6D" w:rsidP="001D5F6D">
      <w:pPr>
        <w:pStyle w:val="NormalBold"/>
      </w:pPr>
      <w:r w:rsidRPr="00641BDE">
        <w:rPr>
          <w:rStyle w:val="HideTWBExt"/>
          <w:b w:val="0"/>
        </w:rPr>
        <w:t>&lt;Article&gt;</w:t>
      </w:r>
      <w:r w:rsidRPr="00641BDE">
        <w:t>Ustęp 2</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91B27E1" w14:textId="77777777" w:rsidTr="007C1C97">
        <w:trPr>
          <w:trHeight w:hRule="exact" w:val="240"/>
          <w:jc w:val="center"/>
        </w:trPr>
        <w:tc>
          <w:tcPr>
            <w:tcW w:w="9752" w:type="dxa"/>
            <w:gridSpan w:val="2"/>
            <w:tcBorders>
              <w:top w:val="nil"/>
              <w:left w:val="nil"/>
              <w:bottom w:val="nil"/>
              <w:right w:val="nil"/>
            </w:tcBorders>
          </w:tcPr>
          <w:p w14:paraId="217C5024" w14:textId="77777777" w:rsidR="001D5F6D" w:rsidRPr="00641BDE" w:rsidRDefault="001D5F6D" w:rsidP="007C1C97"/>
        </w:tc>
      </w:tr>
      <w:tr w:rsidR="001D5F6D" w:rsidRPr="00641BDE" w14:paraId="22BF248D" w14:textId="77777777" w:rsidTr="007C1C97">
        <w:trPr>
          <w:trHeight w:val="240"/>
          <w:jc w:val="center"/>
        </w:trPr>
        <w:tc>
          <w:tcPr>
            <w:tcW w:w="4876" w:type="dxa"/>
            <w:tcBorders>
              <w:top w:val="nil"/>
              <w:left w:val="nil"/>
              <w:bottom w:val="nil"/>
              <w:right w:val="nil"/>
            </w:tcBorders>
          </w:tcPr>
          <w:p w14:paraId="61D5C26C"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0908159" w14:textId="77777777" w:rsidR="001D5F6D" w:rsidRPr="00641BDE" w:rsidRDefault="001D5F6D" w:rsidP="007C1C97">
            <w:pPr>
              <w:pStyle w:val="AmColumnHeading"/>
            </w:pPr>
            <w:r w:rsidRPr="00641BDE">
              <w:t>Poprawka</w:t>
            </w:r>
          </w:p>
        </w:tc>
      </w:tr>
      <w:tr w:rsidR="001D5F6D" w:rsidRPr="00641BDE" w14:paraId="36789CB9" w14:textId="77777777" w:rsidTr="007C1C97">
        <w:trPr>
          <w:jc w:val="center"/>
        </w:trPr>
        <w:tc>
          <w:tcPr>
            <w:tcW w:w="4876" w:type="dxa"/>
            <w:tcBorders>
              <w:top w:val="nil"/>
              <w:left w:val="nil"/>
              <w:bottom w:val="nil"/>
              <w:right w:val="nil"/>
            </w:tcBorders>
          </w:tcPr>
          <w:p w14:paraId="19E9FA4F" w14:textId="77777777" w:rsidR="001D5F6D" w:rsidRPr="00641BDE" w:rsidRDefault="001D5F6D" w:rsidP="007C1C97">
            <w:pPr>
              <w:pStyle w:val="Normal6a"/>
            </w:pPr>
            <w:r w:rsidRPr="00641BDE">
              <w:t>2.</w:t>
            </w:r>
            <w:r w:rsidRPr="00641BDE">
              <w:tab/>
              <w:t>zwraca uwagę, że chociaż ustanawianie agencji UE lub rozszerzanie ich działalności ma na celu zwiększenie zdolności Unii, kluczowe znaczenie ma zapewnienie, aby proces ten opierał się na gruntownych ocenach, ocenach skutków i wyraźnym wykazaniu wartości dodanej, aby można było wyciągnąć wnioski i w razie potrzeby rozważyć zakończenie mandatu; podkreśla, że podejście to nie tylko zapewniłoby lepsze uregulowania prawne, ale również zwiększyłoby skuteczność, rozliczalność, przejrzystość i spójność otoczenia instytucjonalnego Unii;</w:t>
            </w:r>
          </w:p>
        </w:tc>
        <w:tc>
          <w:tcPr>
            <w:tcW w:w="4876" w:type="dxa"/>
            <w:tcBorders>
              <w:top w:val="nil"/>
              <w:left w:val="nil"/>
              <w:bottom w:val="nil"/>
              <w:right w:val="nil"/>
            </w:tcBorders>
          </w:tcPr>
          <w:p w14:paraId="40346E4F" w14:textId="77777777" w:rsidR="001D5F6D" w:rsidRPr="00641BDE" w:rsidRDefault="001D5F6D" w:rsidP="007C1C97">
            <w:pPr>
              <w:pStyle w:val="Normal6a"/>
            </w:pPr>
            <w:r w:rsidRPr="00641BDE">
              <w:t>2.</w:t>
            </w:r>
            <w:r w:rsidRPr="00641BDE">
              <w:tab/>
              <w:t xml:space="preserve">zwraca uwagę, że chociaż ustanawianie agencji UE lub rozszerzanie ich działalności ma na celu zwiększenie zdolności Unii, kluczowe znaczenie ma zapewnienie, aby proces ten opierał się na gruntownych ocenach, ocenach skutków i wyraźnym wykazaniu wartości dodanej, aby można było wyciągnąć wnioski i w razie potrzeby rozważyć zakończenie mandatu; podkreśla, że podejście to nie tylko zapewniłoby lepsze uregulowania prawne, ale również zwiększyłoby skuteczność, rozliczalność, przejrzystość i spójność otoczenia instytucjonalnego Unii; </w:t>
            </w:r>
            <w:r w:rsidRPr="00641BDE">
              <w:rPr>
                <w:b/>
                <w:i/>
              </w:rPr>
              <w:t>podkreśla, że wszelkie rozważania dotyczące łączenia, konsolidacji lub zakończenia mandatów agencji muszą opierać się na kompleksowej ocenie politycznej obejmującej demokratyczną rozliczalność, niezależność, wpływ na prawa podstawowe i wartość dodaną, a nie wyłącznie na względach budżetowych lub efektywności;</w:t>
            </w:r>
          </w:p>
        </w:tc>
      </w:tr>
    </w:tbl>
    <w:p w14:paraId="4C213EB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271018D" w14:textId="77777777" w:rsidR="001D5F6D" w:rsidRPr="00641BDE" w:rsidRDefault="001D5F6D" w:rsidP="001D5F6D">
      <w:r w:rsidRPr="00641BDE">
        <w:rPr>
          <w:rStyle w:val="HideTWBExt"/>
        </w:rPr>
        <w:t>&lt;/Amend&gt;</w:t>
      </w:r>
    </w:p>
    <w:p w14:paraId="18EE410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12</w:t>
      </w:r>
      <w:r w:rsidRPr="00641BDE">
        <w:rPr>
          <w:rStyle w:val="HideTWBExt"/>
          <w:b w:val="0"/>
        </w:rPr>
        <w:t>&lt;/NumAm&gt;</w:t>
      </w:r>
    </w:p>
    <w:p w14:paraId="0740DF71"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xml:space="preserve">, </w:t>
      </w:r>
      <w:proofErr w:type="spellStart"/>
      <w:r w:rsidRPr="00641BDE">
        <w:t>Şerban</w:t>
      </w:r>
      <w:proofErr w:type="spellEnd"/>
      <w:r w:rsidRPr="00641BDE">
        <w:t xml:space="preserve"> </w:t>
      </w:r>
      <w:proofErr w:type="spellStart"/>
      <w:r w:rsidRPr="00641BDE">
        <w:t>Dimitrie</w:t>
      </w:r>
      <w:proofErr w:type="spellEnd"/>
      <w:r w:rsidRPr="00641BDE">
        <w:t xml:space="preserve"> </w:t>
      </w:r>
      <w:proofErr w:type="spellStart"/>
      <w:r w:rsidRPr="00641BDE">
        <w:t>Sturdza</w:t>
      </w:r>
      <w:proofErr w:type="spellEnd"/>
      <w:r w:rsidRPr="00641BDE">
        <w:t>, Joachim Stanisław Brudziński</w:t>
      </w:r>
      <w:r w:rsidRPr="00641BDE">
        <w:rPr>
          <w:rStyle w:val="HideTWBExt"/>
          <w:b w:val="0"/>
        </w:rPr>
        <w:t>&lt;/Members&gt;</w:t>
      </w:r>
    </w:p>
    <w:p w14:paraId="5EC8B33D" w14:textId="77777777" w:rsidR="001D5F6D" w:rsidRPr="00641BDE" w:rsidRDefault="001D5F6D" w:rsidP="001D5F6D">
      <w:pPr>
        <w:pStyle w:val="NormalBold"/>
      </w:pPr>
      <w:r w:rsidRPr="00641BDE">
        <w:rPr>
          <w:rStyle w:val="HideTWBExt"/>
          <w:b w:val="0"/>
        </w:rPr>
        <w:t>&lt;/RepeatBlock-By&gt;</w:t>
      </w:r>
    </w:p>
    <w:p w14:paraId="5491060C"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AA1E0DC" w14:textId="77777777" w:rsidR="001D5F6D" w:rsidRPr="00641BDE" w:rsidRDefault="001D5F6D" w:rsidP="001D5F6D">
      <w:pPr>
        <w:pStyle w:val="NormalBold"/>
      </w:pPr>
      <w:r w:rsidRPr="00641BDE">
        <w:rPr>
          <w:rStyle w:val="HideTWBExt"/>
          <w:b w:val="0"/>
        </w:rPr>
        <w:t>&lt;Article&gt;</w:t>
      </w:r>
      <w:r w:rsidRPr="00641BDE">
        <w:t>Ustęp 2</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616B771" w14:textId="77777777" w:rsidTr="007C1C97">
        <w:trPr>
          <w:trHeight w:hRule="exact" w:val="240"/>
          <w:jc w:val="center"/>
        </w:trPr>
        <w:tc>
          <w:tcPr>
            <w:tcW w:w="9752" w:type="dxa"/>
            <w:gridSpan w:val="2"/>
            <w:tcBorders>
              <w:top w:val="nil"/>
              <w:left w:val="nil"/>
              <w:bottom w:val="nil"/>
              <w:right w:val="nil"/>
            </w:tcBorders>
          </w:tcPr>
          <w:p w14:paraId="0F3C4459" w14:textId="77777777" w:rsidR="001D5F6D" w:rsidRPr="00641BDE" w:rsidRDefault="001D5F6D" w:rsidP="007C1C97"/>
        </w:tc>
      </w:tr>
      <w:tr w:rsidR="001D5F6D" w:rsidRPr="00641BDE" w14:paraId="162F0769" w14:textId="77777777" w:rsidTr="007C1C97">
        <w:trPr>
          <w:trHeight w:val="240"/>
          <w:jc w:val="center"/>
        </w:trPr>
        <w:tc>
          <w:tcPr>
            <w:tcW w:w="4876" w:type="dxa"/>
            <w:tcBorders>
              <w:top w:val="nil"/>
              <w:left w:val="nil"/>
              <w:bottom w:val="nil"/>
              <w:right w:val="nil"/>
            </w:tcBorders>
          </w:tcPr>
          <w:p w14:paraId="00882ADE"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2E13EB3" w14:textId="77777777" w:rsidR="001D5F6D" w:rsidRPr="00641BDE" w:rsidRDefault="001D5F6D" w:rsidP="007C1C97">
            <w:pPr>
              <w:pStyle w:val="AmColumnHeading"/>
            </w:pPr>
            <w:r w:rsidRPr="00641BDE">
              <w:t>Poprawka</w:t>
            </w:r>
          </w:p>
        </w:tc>
      </w:tr>
      <w:tr w:rsidR="001D5F6D" w:rsidRPr="00641BDE" w14:paraId="1CB0FA41" w14:textId="77777777" w:rsidTr="007C1C97">
        <w:trPr>
          <w:jc w:val="center"/>
        </w:trPr>
        <w:tc>
          <w:tcPr>
            <w:tcW w:w="4876" w:type="dxa"/>
            <w:tcBorders>
              <w:top w:val="nil"/>
              <w:left w:val="nil"/>
              <w:bottom w:val="nil"/>
              <w:right w:val="nil"/>
            </w:tcBorders>
          </w:tcPr>
          <w:p w14:paraId="253C16D5" w14:textId="77777777" w:rsidR="001D5F6D" w:rsidRPr="00641BDE" w:rsidRDefault="001D5F6D" w:rsidP="007C1C97">
            <w:pPr>
              <w:pStyle w:val="Normal6a"/>
            </w:pPr>
            <w:r w:rsidRPr="00641BDE">
              <w:t>2.</w:t>
            </w:r>
            <w:r w:rsidRPr="00641BDE">
              <w:tab/>
              <w:t>zwraca uwagę, że chociaż ustanawianie agencji UE lub rozszerzanie ich działalności ma na celu zwiększenie zdolności Unii, kluczowe znaczenie ma zapewnienie, aby proces ten opierał się na gruntownych ocenach, ocenach skutków i wyraźnym wykazaniu wartości dodanej, aby można było wyciągnąć wnioski i w razie potrzeby rozważyć zakończenie mandatu; podkreśla, że podejście to nie tylko zapewniłoby lepsze uregulowania prawne, ale również zwiększyłoby skuteczność, rozliczalność, przejrzystość i spójność otoczenia instytucjonalnego Unii;</w:t>
            </w:r>
          </w:p>
        </w:tc>
        <w:tc>
          <w:tcPr>
            <w:tcW w:w="4876" w:type="dxa"/>
            <w:tcBorders>
              <w:top w:val="nil"/>
              <w:left w:val="nil"/>
              <w:bottom w:val="nil"/>
              <w:right w:val="nil"/>
            </w:tcBorders>
          </w:tcPr>
          <w:p w14:paraId="0D449FBE" w14:textId="77777777" w:rsidR="001D5F6D" w:rsidRPr="00641BDE" w:rsidRDefault="001D5F6D" w:rsidP="007C1C97">
            <w:pPr>
              <w:pStyle w:val="Normal6a"/>
            </w:pPr>
            <w:r w:rsidRPr="00641BDE">
              <w:t>2.</w:t>
            </w:r>
            <w:r w:rsidRPr="00641BDE">
              <w:tab/>
              <w:t>zwraca uwagę, że chociaż ustanawianie agencji UE lub rozszerzanie ich działalności ma na celu zwiększenie zdolności Unii, kluczowe znaczenie ma zapewnienie, aby proces ten opierał się na gruntownych ocenach</w:t>
            </w:r>
            <w:r w:rsidRPr="00641BDE">
              <w:rPr>
                <w:b/>
                <w:i/>
              </w:rPr>
              <w:t>, rygorystycznych analizach kosztów i korzyści</w:t>
            </w:r>
            <w:r w:rsidRPr="00641BDE">
              <w:t xml:space="preserve">, ocenach skutków i wyraźnym wykazaniu wartości dodanej, aby można było wyciągnąć wnioski i w razie potrzeby rozważyć zakończenie mandatu; podkreśla, że podejście to nie tylko zapewniłoby lepsze uregulowania prawne, ale również zwiększyłoby skuteczność, rozliczalność, przejrzystość i spójność otoczenia instytucjonalnego Unii; </w:t>
            </w:r>
            <w:r w:rsidRPr="00641BDE">
              <w:rPr>
                <w:b/>
                <w:i/>
              </w:rPr>
              <w:t>podkreśla, że działania finansowane przez UE powinny być oceniane ściśle na podstawie oczekiwanego zwrotu i wymiernych skutków, zgodnie z zasadami oszczędności, wydajności i efektywności;</w:t>
            </w:r>
          </w:p>
        </w:tc>
      </w:tr>
    </w:tbl>
    <w:p w14:paraId="4C7D509D"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E8A73AE" w14:textId="77777777" w:rsidR="001D5F6D" w:rsidRPr="00641BDE" w:rsidRDefault="001D5F6D" w:rsidP="001D5F6D">
      <w:r w:rsidRPr="00641BDE">
        <w:rPr>
          <w:rStyle w:val="HideTWBExt"/>
        </w:rPr>
        <w:t>&lt;/Amend&gt;</w:t>
      </w:r>
    </w:p>
    <w:p w14:paraId="081DC19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13</w:t>
      </w:r>
      <w:r w:rsidRPr="00641BDE">
        <w:rPr>
          <w:rStyle w:val="HideTWBExt"/>
          <w:b w:val="0"/>
        </w:rPr>
        <w:t>&lt;/NumAm&gt;</w:t>
      </w:r>
    </w:p>
    <w:p w14:paraId="7897CF7C"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72FFB2E4"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567ED5EE" w14:textId="77777777" w:rsidR="001D5F6D" w:rsidRPr="00641BDE" w:rsidRDefault="001D5F6D" w:rsidP="001D5F6D">
      <w:pPr>
        <w:pStyle w:val="NormalBold"/>
      </w:pPr>
      <w:r w:rsidRPr="00641BDE">
        <w:rPr>
          <w:rStyle w:val="HideTWBExt"/>
          <w:b w:val="0"/>
        </w:rPr>
        <w:t>&lt;/RepeatBlock-By&gt;</w:t>
      </w:r>
    </w:p>
    <w:p w14:paraId="5AE1E41A"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6F88EB7" w14:textId="77777777" w:rsidR="001D5F6D" w:rsidRPr="00641BDE" w:rsidRDefault="001D5F6D" w:rsidP="001D5F6D">
      <w:pPr>
        <w:pStyle w:val="NormalBold"/>
      </w:pPr>
      <w:r w:rsidRPr="00641BDE">
        <w:rPr>
          <w:rStyle w:val="HideTWBExt"/>
          <w:b w:val="0"/>
        </w:rPr>
        <w:t>&lt;Article&gt;</w:t>
      </w:r>
      <w:r w:rsidRPr="00641BDE">
        <w:t>Ustęp 2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D6CDADB" w14:textId="77777777" w:rsidTr="007C1C97">
        <w:trPr>
          <w:trHeight w:hRule="exact" w:val="240"/>
          <w:jc w:val="center"/>
        </w:trPr>
        <w:tc>
          <w:tcPr>
            <w:tcW w:w="9752" w:type="dxa"/>
            <w:gridSpan w:val="2"/>
            <w:tcBorders>
              <w:top w:val="nil"/>
              <w:left w:val="nil"/>
              <w:bottom w:val="nil"/>
              <w:right w:val="nil"/>
            </w:tcBorders>
          </w:tcPr>
          <w:p w14:paraId="2887D115" w14:textId="77777777" w:rsidR="001D5F6D" w:rsidRPr="00641BDE" w:rsidRDefault="001D5F6D" w:rsidP="007C1C97"/>
        </w:tc>
      </w:tr>
      <w:tr w:rsidR="001D5F6D" w:rsidRPr="00641BDE" w14:paraId="61E8DA2A" w14:textId="77777777" w:rsidTr="007C1C97">
        <w:trPr>
          <w:trHeight w:val="240"/>
          <w:jc w:val="center"/>
        </w:trPr>
        <w:tc>
          <w:tcPr>
            <w:tcW w:w="4876" w:type="dxa"/>
            <w:tcBorders>
              <w:top w:val="nil"/>
              <w:left w:val="nil"/>
              <w:bottom w:val="nil"/>
              <w:right w:val="nil"/>
            </w:tcBorders>
          </w:tcPr>
          <w:p w14:paraId="541507A8"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5D39ADD" w14:textId="77777777" w:rsidR="001D5F6D" w:rsidRPr="00641BDE" w:rsidRDefault="001D5F6D" w:rsidP="007C1C97">
            <w:pPr>
              <w:pStyle w:val="AmColumnHeading"/>
            </w:pPr>
            <w:r w:rsidRPr="00641BDE">
              <w:t>Poprawka</w:t>
            </w:r>
          </w:p>
        </w:tc>
      </w:tr>
      <w:tr w:rsidR="001D5F6D" w:rsidRPr="00641BDE" w14:paraId="70841309" w14:textId="77777777" w:rsidTr="007C1C97">
        <w:trPr>
          <w:jc w:val="center"/>
        </w:trPr>
        <w:tc>
          <w:tcPr>
            <w:tcW w:w="4876" w:type="dxa"/>
            <w:tcBorders>
              <w:top w:val="nil"/>
              <w:left w:val="nil"/>
              <w:bottom w:val="nil"/>
              <w:right w:val="nil"/>
            </w:tcBorders>
          </w:tcPr>
          <w:p w14:paraId="3D065AD8" w14:textId="77777777" w:rsidR="001D5F6D" w:rsidRPr="00641BDE" w:rsidRDefault="001D5F6D" w:rsidP="007C1C97">
            <w:pPr>
              <w:pStyle w:val="Normal6a"/>
            </w:pPr>
          </w:p>
        </w:tc>
        <w:tc>
          <w:tcPr>
            <w:tcW w:w="4876" w:type="dxa"/>
            <w:tcBorders>
              <w:top w:val="nil"/>
              <w:left w:val="nil"/>
              <w:bottom w:val="nil"/>
              <w:right w:val="nil"/>
            </w:tcBorders>
          </w:tcPr>
          <w:p w14:paraId="37D7E54A" w14:textId="77777777" w:rsidR="001D5F6D" w:rsidRPr="00641BDE" w:rsidRDefault="001D5F6D" w:rsidP="007C1C97">
            <w:pPr>
              <w:pStyle w:val="Normal6a"/>
            </w:pPr>
            <w:r w:rsidRPr="00641BDE">
              <w:rPr>
                <w:b/>
                <w:i/>
              </w:rPr>
              <w:t>2a.</w:t>
            </w:r>
            <w:r w:rsidRPr="00641BDE">
              <w:tab/>
            </w:r>
            <w:r w:rsidRPr="00641BDE">
              <w:rPr>
                <w:b/>
                <w:i/>
              </w:rPr>
              <w:t>podkreśla, że przejrzystość jest nie tylko obowiązkiem przestrzegania przepisów, lecz także warunkiem wstępnym zaufania publicznego do agencji, które mają znaczne uprawnienia regulacyjne lub operacyjne; wzywa agencje do proaktywnego publikowania kluczowych dokumentów, w tym decyzji zarządu, umów nieopatrzonych klauzulą poufności i wyników oceny, w sposób terminowy i przyjazny dla użytkownika;</w:t>
            </w:r>
          </w:p>
        </w:tc>
      </w:tr>
    </w:tbl>
    <w:p w14:paraId="15DB213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29689B6" w14:textId="77777777" w:rsidR="001D5F6D" w:rsidRPr="00641BDE" w:rsidRDefault="001D5F6D" w:rsidP="001D5F6D">
      <w:r w:rsidRPr="00641BDE">
        <w:rPr>
          <w:rStyle w:val="HideTWBExt"/>
        </w:rPr>
        <w:t>&lt;/Amend&gt;</w:t>
      </w:r>
    </w:p>
    <w:p w14:paraId="23BA98D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14</w:t>
      </w:r>
      <w:r w:rsidRPr="00641BDE">
        <w:rPr>
          <w:rStyle w:val="HideTWBExt"/>
          <w:b w:val="0"/>
        </w:rPr>
        <w:t>&lt;/NumAm&gt;</w:t>
      </w:r>
    </w:p>
    <w:p w14:paraId="4887761B"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0FCAD482" w14:textId="77777777" w:rsidR="001D5F6D" w:rsidRPr="00641BDE" w:rsidRDefault="001D5F6D" w:rsidP="001D5F6D">
      <w:pPr>
        <w:pStyle w:val="NormalBold"/>
      </w:pPr>
      <w:r w:rsidRPr="00641BDE">
        <w:rPr>
          <w:rStyle w:val="HideTWBExt"/>
          <w:b w:val="0"/>
        </w:rPr>
        <w:t>&lt;/RepeatBlock-By&gt;</w:t>
      </w:r>
    </w:p>
    <w:p w14:paraId="73474BE0"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136C99D" w14:textId="77777777" w:rsidR="001D5F6D" w:rsidRPr="00641BDE" w:rsidRDefault="001D5F6D" w:rsidP="001D5F6D">
      <w:pPr>
        <w:pStyle w:val="NormalBold"/>
      </w:pPr>
      <w:r w:rsidRPr="00641BDE">
        <w:rPr>
          <w:rStyle w:val="HideTWBExt"/>
          <w:b w:val="0"/>
        </w:rPr>
        <w:t>&lt;Article&gt;</w:t>
      </w:r>
      <w:r w:rsidRPr="00641BDE">
        <w:t>Ustęp 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4B8DCFD" w14:textId="77777777" w:rsidTr="007C1C97">
        <w:trPr>
          <w:trHeight w:hRule="exact" w:val="240"/>
          <w:jc w:val="center"/>
        </w:trPr>
        <w:tc>
          <w:tcPr>
            <w:tcW w:w="9752" w:type="dxa"/>
            <w:gridSpan w:val="2"/>
            <w:tcBorders>
              <w:top w:val="nil"/>
              <w:left w:val="nil"/>
              <w:bottom w:val="nil"/>
              <w:right w:val="nil"/>
            </w:tcBorders>
          </w:tcPr>
          <w:p w14:paraId="7DE13B9C" w14:textId="77777777" w:rsidR="001D5F6D" w:rsidRPr="00641BDE" w:rsidRDefault="001D5F6D" w:rsidP="007C1C97"/>
        </w:tc>
      </w:tr>
      <w:tr w:rsidR="001D5F6D" w:rsidRPr="00641BDE" w14:paraId="0387F23F" w14:textId="77777777" w:rsidTr="007C1C97">
        <w:trPr>
          <w:trHeight w:val="240"/>
          <w:jc w:val="center"/>
        </w:trPr>
        <w:tc>
          <w:tcPr>
            <w:tcW w:w="4876" w:type="dxa"/>
            <w:tcBorders>
              <w:top w:val="nil"/>
              <w:left w:val="nil"/>
              <w:bottom w:val="nil"/>
              <w:right w:val="nil"/>
            </w:tcBorders>
          </w:tcPr>
          <w:p w14:paraId="03029F92"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6B0465C" w14:textId="77777777" w:rsidR="001D5F6D" w:rsidRPr="00641BDE" w:rsidRDefault="001D5F6D" w:rsidP="007C1C97">
            <w:pPr>
              <w:pStyle w:val="AmColumnHeading"/>
            </w:pPr>
            <w:r w:rsidRPr="00641BDE">
              <w:t>Poprawka</w:t>
            </w:r>
          </w:p>
        </w:tc>
      </w:tr>
      <w:tr w:rsidR="001D5F6D" w:rsidRPr="00641BDE" w14:paraId="7C923265" w14:textId="77777777" w:rsidTr="007C1C97">
        <w:trPr>
          <w:jc w:val="center"/>
        </w:trPr>
        <w:tc>
          <w:tcPr>
            <w:tcW w:w="4876" w:type="dxa"/>
            <w:tcBorders>
              <w:top w:val="nil"/>
              <w:left w:val="nil"/>
              <w:bottom w:val="nil"/>
              <w:right w:val="nil"/>
            </w:tcBorders>
          </w:tcPr>
          <w:p w14:paraId="1165158F" w14:textId="77777777" w:rsidR="001D5F6D" w:rsidRPr="00641BDE" w:rsidRDefault="001D5F6D" w:rsidP="007C1C97">
            <w:pPr>
              <w:pStyle w:val="Normal6a"/>
            </w:pPr>
            <w:r w:rsidRPr="00641BDE">
              <w:t>3.</w:t>
            </w:r>
            <w:r w:rsidRPr="00641BDE">
              <w:tab/>
              <w:t>przypomina, że zgodnie z pkt. 60 wspólnego podejścia każda agencja powinna być poddawana ocenie co pięć lat; wzywa Komisję do zbadania dalszych synergii i konsolidacji działań oraz możliwego łączenia agencji prowadzących komplementarne działania, takich jak agencje w dziedzinie edukacji i szkoleń, aby zapewnić efektywność kosztową i usprawnić funkcje agencji, w tym przez ewentualne przeglądy mandatów w przypadkach, w których występują nieefektywność lub powielanie zadań; zachęca do stosowania w razie potrzeby klauzuli wygaśnięcia/klauzuli przeglądowej w celu utrzymania skuteczności i zapewnienia optymalnego wykorzystania zasobów; uważa, że efektywność budżetowa ma kluczowe znaczenie dla funkcjonowania agencji; przypomina w tym kontekście zalecenie Trybunału zawarte w sprawozdaniu specjalnym 22/2020</w:t>
            </w:r>
            <w:r w:rsidRPr="00641BDE">
              <w:rPr>
                <w:vertAlign w:val="superscript"/>
              </w:rPr>
              <w:t>2</w:t>
            </w:r>
            <w:r w:rsidRPr="00641BDE">
              <w:t>, w którym zaleca się Komisji zwiększenie stosowania przekrojowych ocen agencji w kontekście przeprowadzanych przez Komisję kontroli adekwatności poszczególnych obszarów polityki;</w:t>
            </w:r>
          </w:p>
        </w:tc>
        <w:tc>
          <w:tcPr>
            <w:tcW w:w="4876" w:type="dxa"/>
            <w:tcBorders>
              <w:top w:val="nil"/>
              <w:left w:val="nil"/>
              <w:bottom w:val="nil"/>
              <w:right w:val="nil"/>
            </w:tcBorders>
          </w:tcPr>
          <w:p w14:paraId="6DF8CB0A" w14:textId="77777777" w:rsidR="001D5F6D" w:rsidRPr="00641BDE" w:rsidRDefault="001D5F6D" w:rsidP="007C1C97">
            <w:pPr>
              <w:pStyle w:val="Normal6a"/>
            </w:pPr>
            <w:r w:rsidRPr="00641BDE">
              <w:t>3.</w:t>
            </w:r>
            <w:r w:rsidRPr="00641BDE">
              <w:tab/>
              <w:t>przypomina, że zgodnie z pkt. 60 wspólnego podejścia każda agencja powinna być poddawana ocenie co pięć lat; wzywa Komisję do zbadania dalszych synergii i konsolidacji działań oraz możliwego łączenia agencji prowadzących komplementarne działania, takich jak agencje w dziedzinie edukacji i szkoleń, aby zapewnić efektywność kosztową i usprawnić funkcje agencji, w tym przez ewentualne przeglądy mandatów w przypadkach, w których występują nieefektywność lub powielanie zadań</w:t>
            </w:r>
            <w:r w:rsidRPr="00641BDE">
              <w:rPr>
                <w:b/>
                <w:i/>
              </w:rPr>
              <w:t>; nalega, aby zgodnie z zasadami proporcjonalności, efektywności i odpowiedzialności budżetowej wszystkie agencje Unii podlegały ograniczonym w czasie mandatom i okresowym przeglądom wyników; podkreśla, że agencje, których cele założycielskie zostały osiągnięte lub które nie pełnią już wyjątkowej i zasadniczej funkcji w ramach Unii, należy bez zbędnej zwłoki objąć postępowaniem wygaszającym; wzywa Komisję do corocznego przedstawiania szczegółowego przeglądu dalszej przydatności każdej agencji, wraz z zaleceniem zamknięcia agencji lub ograniczenia jej mandatu, w przypadku gdy pierwotna misja została zakończona lub stwierdzono redundancję instytucjonalną</w:t>
            </w:r>
            <w:r w:rsidRPr="00641BDE">
              <w:t>; zachęca do stosowania w razie potrzeby klauzuli wygaśnięcia/klauzuli przeglądowej w celu utrzymania skuteczności i zapewnienia optymalnego wykorzystania zasobów; uważa, że efektywność budżetowa ma kluczowe znaczenie dla funkcjonowania agencji; przypomina w tym kontekście zalecenie Trybunału zawarte w sprawozdaniu specjalnym 22/2020</w:t>
            </w:r>
            <w:r w:rsidRPr="00641BDE">
              <w:rPr>
                <w:vertAlign w:val="superscript"/>
              </w:rPr>
              <w:t>2</w:t>
            </w:r>
            <w:r w:rsidRPr="00641BDE">
              <w:t xml:space="preserve">, w którym zaleca się Komisji zwiększenie stosowania przekrojowych ocen agencji w kontekście przeprowadzanych przez Komisję kontroli adekwatności poszczególnych obszarów polityki; </w:t>
            </w:r>
            <w:r w:rsidRPr="00641BDE">
              <w:rPr>
                <w:b/>
                <w:i/>
              </w:rPr>
              <w:t>podkreśla, że w sprawozdaniu specjalnym Trybunału 22/2020 stwierdzono, iż agencje składają sprawozdania ze swojej działalności, ale ich rzeczywisty wkład w politykę UE nie jest jasno mierzony ani wyjaśniany opinii publicznej; wzywa Komisję do niezwłocznego podjęcia działań w związku z tym ustaleniem;</w:t>
            </w:r>
          </w:p>
        </w:tc>
      </w:tr>
      <w:tr w:rsidR="001D5F6D" w:rsidRPr="00641BDE" w14:paraId="234EEDE2" w14:textId="77777777" w:rsidTr="007C1C97">
        <w:trPr>
          <w:jc w:val="center"/>
        </w:trPr>
        <w:tc>
          <w:tcPr>
            <w:tcW w:w="4876" w:type="dxa"/>
            <w:tcBorders>
              <w:top w:val="nil"/>
              <w:left w:val="nil"/>
              <w:bottom w:val="nil"/>
              <w:right w:val="nil"/>
            </w:tcBorders>
          </w:tcPr>
          <w:p w14:paraId="0FA43EF6" w14:textId="77777777" w:rsidR="001D5F6D" w:rsidRPr="00641BDE" w:rsidRDefault="001D5F6D" w:rsidP="007C1C97">
            <w:pPr>
              <w:pStyle w:val="Normal6a"/>
            </w:pPr>
            <w:r w:rsidRPr="00641BDE">
              <w:rPr>
                <w:b/>
                <w:i/>
              </w:rPr>
              <w:t>_________________</w:t>
            </w:r>
          </w:p>
        </w:tc>
        <w:tc>
          <w:tcPr>
            <w:tcW w:w="4876" w:type="dxa"/>
            <w:tcBorders>
              <w:top w:val="nil"/>
              <w:left w:val="nil"/>
              <w:bottom w:val="nil"/>
              <w:right w:val="nil"/>
            </w:tcBorders>
          </w:tcPr>
          <w:p w14:paraId="2B1016FF" w14:textId="77777777" w:rsidR="001D5F6D" w:rsidRPr="00641BDE" w:rsidRDefault="001D5F6D" w:rsidP="007C1C97">
            <w:pPr>
              <w:pStyle w:val="Normal6a"/>
            </w:pPr>
            <w:r w:rsidRPr="00641BDE">
              <w:rPr>
                <w:b/>
                <w:i/>
              </w:rPr>
              <w:t>_________________</w:t>
            </w:r>
          </w:p>
        </w:tc>
      </w:tr>
      <w:tr w:rsidR="001D5F6D" w:rsidRPr="00641BDE" w14:paraId="55E98BC7" w14:textId="77777777" w:rsidTr="007C1C97">
        <w:trPr>
          <w:jc w:val="center"/>
        </w:trPr>
        <w:tc>
          <w:tcPr>
            <w:tcW w:w="4876" w:type="dxa"/>
            <w:tcBorders>
              <w:top w:val="nil"/>
              <w:left w:val="nil"/>
              <w:bottom w:val="nil"/>
              <w:right w:val="nil"/>
            </w:tcBorders>
          </w:tcPr>
          <w:p w14:paraId="2608C840" w14:textId="77777777" w:rsidR="001D5F6D" w:rsidRPr="00641BDE" w:rsidRDefault="001D5F6D" w:rsidP="007C1C97">
            <w:pPr>
              <w:pStyle w:val="Normal6a"/>
            </w:pPr>
            <w:r w:rsidRPr="00641BDE">
              <w:rPr>
                <w:vertAlign w:val="superscript"/>
              </w:rPr>
              <w:t>2</w:t>
            </w:r>
            <w:r w:rsidRPr="00641BDE">
              <w:t xml:space="preserve"> „Przyszłość agencji UE – istnieją możliwości, by zwiększyć elastyczność i zacieśnić współpracę”, https://op.europa.eu/webpub/eca/special-reports/agencies-performance-audit-22-2020/pl/.</w:t>
            </w:r>
          </w:p>
        </w:tc>
        <w:tc>
          <w:tcPr>
            <w:tcW w:w="4876" w:type="dxa"/>
            <w:tcBorders>
              <w:top w:val="nil"/>
              <w:left w:val="nil"/>
              <w:bottom w:val="nil"/>
              <w:right w:val="nil"/>
            </w:tcBorders>
          </w:tcPr>
          <w:p w14:paraId="39F70E3A" w14:textId="77777777" w:rsidR="001D5F6D" w:rsidRPr="00641BDE" w:rsidRDefault="001D5F6D" w:rsidP="007C1C97">
            <w:pPr>
              <w:pStyle w:val="Normal6a"/>
            </w:pPr>
            <w:r w:rsidRPr="00641BDE">
              <w:rPr>
                <w:vertAlign w:val="superscript"/>
              </w:rPr>
              <w:t>2</w:t>
            </w:r>
            <w:r w:rsidRPr="00641BDE">
              <w:t xml:space="preserve"> „Przyszłość agencji UE – istnieją możliwości, by zwiększyć elastyczność i zacieśnić współpracę”, https://op.europa.eu/webpub/eca/special-reports/agencies-performance-audit-22-2020/pl/.</w:t>
            </w:r>
          </w:p>
        </w:tc>
      </w:tr>
    </w:tbl>
    <w:p w14:paraId="7BA440C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675643A5" w14:textId="77777777" w:rsidR="001D5F6D" w:rsidRPr="00641BDE" w:rsidRDefault="001D5F6D" w:rsidP="001D5F6D">
      <w:r w:rsidRPr="00641BDE">
        <w:rPr>
          <w:rStyle w:val="HideTWBExt"/>
        </w:rPr>
        <w:t>&lt;/Amend&gt;</w:t>
      </w:r>
    </w:p>
    <w:p w14:paraId="7AE16C1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15</w:t>
      </w:r>
      <w:r w:rsidRPr="00641BDE">
        <w:rPr>
          <w:rStyle w:val="HideTWBExt"/>
          <w:b w:val="0"/>
        </w:rPr>
        <w:t>&lt;/NumAm&gt;</w:t>
      </w:r>
    </w:p>
    <w:p w14:paraId="34FDDED8"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0A5AC86F" w14:textId="77777777" w:rsidR="001D5F6D" w:rsidRPr="00641BDE" w:rsidRDefault="001D5F6D" w:rsidP="001D5F6D">
      <w:pPr>
        <w:pStyle w:val="NormalBold"/>
      </w:pPr>
      <w:r w:rsidRPr="00641BDE">
        <w:rPr>
          <w:rStyle w:val="HideTWBExt"/>
          <w:b w:val="0"/>
        </w:rPr>
        <w:t>&lt;/RepeatBlock-By&gt;</w:t>
      </w:r>
    </w:p>
    <w:p w14:paraId="57C7F42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CEDA3D4" w14:textId="77777777" w:rsidR="001D5F6D" w:rsidRPr="00641BDE" w:rsidRDefault="001D5F6D" w:rsidP="001D5F6D">
      <w:pPr>
        <w:pStyle w:val="NormalBold"/>
      </w:pPr>
      <w:r w:rsidRPr="00641BDE">
        <w:rPr>
          <w:rStyle w:val="HideTWBExt"/>
          <w:b w:val="0"/>
        </w:rPr>
        <w:t>&lt;Article&gt;</w:t>
      </w:r>
      <w:r w:rsidRPr="00641BDE">
        <w:t>Ustęp 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DDFEE72" w14:textId="77777777" w:rsidTr="007C1C97">
        <w:trPr>
          <w:trHeight w:hRule="exact" w:val="240"/>
          <w:jc w:val="center"/>
        </w:trPr>
        <w:tc>
          <w:tcPr>
            <w:tcW w:w="9752" w:type="dxa"/>
            <w:gridSpan w:val="2"/>
            <w:tcBorders>
              <w:top w:val="nil"/>
              <w:left w:val="nil"/>
              <w:bottom w:val="nil"/>
              <w:right w:val="nil"/>
            </w:tcBorders>
          </w:tcPr>
          <w:p w14:paraId="33B2CFF0" w14:textId="77777777" w:rsidR="001D5F6D" w:rsidRPr="00641BDE" w:rsidRDefault="001D5F6D" w:rsidP="007C1C97"/>
        </w:tc>
      </w:tr>
      <w:tr w:rsidR="001D5F6D" w:rsidRPr="00641BDE" w14:paraId="6EA34D14" w14:textId="77777777" w:rsidTr="007C1C97">
        <w:trPr>
          <w:trHeight w:val="240"/>
          <w:jc w:val="center"/>
        </w:trPr>
        <w:tc>
          <w:tcPr>
            <w:tcW w:w="4876" w:type="dxa"/>
            <w:tcBorders>
              <w:top w:val="nil"/>
              <w:left w:val="nil"/>
              <w:bottom w:val="nil"/>
              <w:right w:val="nil"/>
            </w:tcBorders>
          </w:tcPr>
          <w:p w14:paraId="42CB7776"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2B2C103" w14:textId="77777777" w:rsidR="001D5F6D" w:rsidRPr="00641BDE" w:rsidRDefault="001D5F6D" w:rsidP="007C1C97">
            <w:pPr>
              <w:pStyle w:val="AmColumnHeading"/>
            </w:pPr>
            <w:r w:rsidRPr="00641BDE">
              <w:t>Poprawka</w:t>
            </w:r>
          </w:p>
        </w:tc>
      </w:tr>
      <w:tr w:rsidR="001D5F6D" w:rsidRPr="00641BDE" w14:paraId="2B887F0E" w14:textId="77777777" w:rsidTr="007C1C97">
        <w:trPr>
          <w:jc w:val="center"/>
        </w:trPr>
        <w:tc>
          <w:tcPr>
            <w:tcW w:w="4876" w:type="dxa"/>
            <w:tcBorders>
              <w:top w:val="nil"/>
              <w:left w:val="nil"/>
              <w:bottom w:val="nil"/>
              <w:right w:val="nil"/>
            </w:tcBorders>
          </w:tcPr>
          <w:p w14:paraId="09D0F2ED" w14:textId="77777777" w:rsidR="001D5F6D" w:rsidRPr="00641BDE" w:rsidRDefault="001D5F6D" w:rsidP="007C1C97">
            <w:pPr>
              <w:pStyle w:val="Normal6a"/>
            </w:pPr>
            <w:r w:rsidRPr="00641BDE">
              <w:t>3.</w:t>
            </w:r>
            <w:r w:rsidRPr="00641BDE">
              <w:tab/>
              <w:t>przypomina, że zgodnie z pkt</w:t>
            </w:r>
            <w:r w:rsidRPr="00641BDE">
              <w:rPr>
                <w:b/>
                <w:i/>
              </w:rPr>
              <w:t>.</w:t>
            </w:r>
            <w:r w:rsidRPr="00641BDE">
              <w:t> 60 wspólnego podejścia każda agencja powinna być poddawana ocenie co pięć lat; wzywa Komisję do zbadania dalszych synergii i konsolidacji działań oraz możliwego łączenia agencji prowadzących komplementarne działania, takich jak agencje w dziedzinie edukacji i szkoleń, aby zapewnić efektywność kosztową i usprawnić funkcje agencji, w tym przez ewentualne przeglądy mandatów w przypadkach, w których występują nieefektywność lub powielanie zadań; zachęca do stosowania w razie potrzeby klauzuli wygaśnięcia/klauzuli przeglądowej w celu utrzymania skuteczności i zapewnienia optymalnego wykorzystania zasobów; uważa, że efektywność budżetowa ma kluczowe znaczenie dla funkcjonowania agencji; przypomina w tym kontekście zalecenie Trybunału zawarte w sprawozdaniu specjalnym 22/2020</w:t>
            </w:r>
            <w:r w:rsidRPr="00641BDE">
              <w:rPr>
                <w:vertAlign w:val="superscript"/>
              </w:rPr>
              <w:t>2</w:t>
            </w:r>
            <w:r w:rsidRPr="00641BDE">
              <w:t>, w którym zaleca się Komisji zwiększenie stosowania przekrojowych ocen agencji w kontekście przeprowadzanych przez Komisję kontroli adekwatności poszczególnych obszarów polityki;</w:t>
            </w:r>
          </w:p>
        </w:tc>
        <w:tc>
          <w:tcPr>
            <w:tcW w:w="4876" w:type="dxa"/>
            <w:tcBorders>
              <w:top w:val="nil"/>
              <w:left w:val="nil"/>
              <w:bottom w:val="nil"/>
              <w:right w:val="nil"/>
            </w:tcBorders>
          </w:tcPr>
          <w:p w14:paraId="30042EE9" w14:textId="77777777" w:rsidR="001D5F6D" w:rsidRPr="00641BDE" w:rsidRDefault="001D5F6D" w:rsidP="007C1C97">
            <w:pPr>
              <w:pStyle w:val="Normal6a"/>
            </w:pPr>
            <w:r w:rsidRPr="00641BDE">
              <w:t>3.</w:t>
            </w:r>
            <w:r w:rsidRPr="00641BDE">
              <w:tab/>
              <w:t>przypomina, że zgodnie z pkt 60 wspólnego podejścia każda agencja powinna być poddawana ocenie co pięć lat; wzywa Komisję do zbadania</w:t>
            </w:r>
            <w:r w:rsidRPr="00641BDE">
              <w:rPr>
                <w:b/>
                <w:i/>
              </w:rPr>
              <w:t>, w szczególności na podstawie sprawozdań Europejskiego Trybunału Obrachunkowego,</w:t>
            </w:r>
            <w:r w:rsidRPr="00641BDE">
              <w:t xml:space="preserve"> dalszych synergii i konsolidacji działań oraz możliwego łączenia agencji prowadzących komplementarne działania, takich jak agencje w dziedzinie edukacji i szkoleń, aby zapewnić efektywność kosztową i usprawnić funkcje agencji, w tym przez ewentualne przeglądy mandatów w przypadkach, w których występują nieefektywność lub powielanie zadań; zachęca do stosowania w razie potrzeby klauzuli wygaśnięcia/klauzuli przeglądowej w celu utrzymania skuteczności i zapewnienia optymalnego wykorzystania zasobów; uważa, że efektywność budżetowa ma kluczowe znaczenie dla funkcjonowania agencji; przypomina w tym kontekście zalecenie Trybunału zawarte w sprawozdaniu specjalnym 22/2020</w:t>
            </w:r>
            <w:r w:rsidRPr="00641BDE">
              <w:rPr>
                <w:vertAlign w:val="superscript"/>
              </w:rPr>
              <w:t>2</w:t>
            </w:r>
            <w:r w:rsidRPr="00641BDE">
              <w:t>, w którym zaleca się Komisji zwiększenie stosowania przekrojowych ocen agencji w kontekście przeprowadzanych przez Komisję kontroli adekwatności poszczególnych obszarów polityki;</w:t>
            </w:r>
          </w:p>
        </w:tc>
      </w:tr>
      <w:tr w:rsidR="001D5F6D" w:rsidRPr="00641BDE" w14:paraId="5CEB9C64" w14:textId="77777777" w:rsidTr="007C1C97">
        <w:trPr>
          <w:jc w:val="center"/>
        </w:trPr>
        <w:tc>
          <w:tcPr>
            <w:tcW w:w="4876" w:type="dxa"/>
            <w:tcBorders>
              <w:top w:val="nil"/>
              <w:left w:val="nil"/>
              <w:bottom w:val="nil"/>
              <w:right w:val="nil"/>
            </w:tcBorders>
          </w:tcPr>
          <w:p w14:paraId="2E7F10D5" w14:textId="77777777" w:rsidR="001D5F6D" w:rsidRPr="00641BDE" w:rsidRDefault="001D5F6D" w:rsidP="007C1C97">
            <w:pPr>
              <w:pStyle w:val="Normal6a"/>
            </w:pPr>
            <w:r w:rsidRPr="00641BDE">
              <w:rPr>
                <w:b/>
                <w:i/>
              </w:rPr>
              <w:t>_________________</w:t>
            </w:r>
          </w:p>
        </w:tc>
        <w:tc>
          <w:tcPr>
            <w:tcW w:w="4876" w:type="dxa"/>
            <w:tcBorders>
              <w:top w:val="nil"/>
              <w:left w:val="nil"/>
              <w:bottom w:val="nil"/>
              <w:right w:val="nil"/>
            </w:tcBorders>
          </w:tcPr>
          <w:p w14:paraId="5BB57F90" w14:textId="77777777" w:rsidR="001D5F6D" w:rsidRPr="00641BDE" w:rsidRDefault="001D5F6D" w:rsidP="007C1C97">
            <w:pPr>
              <w:pStyle w:val="Normal6a"/>
            </w:pPr>
            <w:r w:rsidRPr="00641BDE">
              <w:rPr>
                <w:b/>
                <w:i/>
              </w:rPr>
              <w:t>_________________</w:t>
            </w:r>
          </w:p>
        </w:tc>
      </w:tr>
      <w:tr w:rsidR="001D5F6D" w:rsidRPr="00641BDE" w14:paraId="160987C8" w14:textId="77777777" w:rsidTr="007C1C97">
        <w:trPr>
          <w:jc w:val="center"/>
        </w:trPr>
        <w:tc>
          <w:tcPr>
            <w:tcW w:w="4876" w:type="dxa"/>
            <w:tcBorders>
              <w:top w:val="nil"/>
              <w:left w:val="nil"/>
              <w:bottom w:val="nil"/>
              <w:right w:val="nil"/>
            </w:tcBorders>
          </w:tcPr>
          <w:p w14:paraId="55DB8371" w14:textId="77777777" w:rsidR="001D5F6D" w:rsidRPr="00641BDE" w:rsidRDefault="001D5F6D" w:rsidP="007C1C97">
            <w:pPr>
              <w:pStyle w:val="Normal6a"/>
            </w:pPr>
            <w:r w:rsidRPr="00641BDE">
              <w:rPr>
                <w:vertAlign w:val="superscript"/>
              </w:rPr>
              <w:t>2</w:t>
            </w:r>
            <w:r w:rsidRPr="00641BDE">
              <w:t xml:space="preserve"> „Przyszłość agencji UE – istnieją możliwości, by zwiększyć elastyczność i zacieśnić współpracę”, https://op.europa.eu/webpub/eca/special-reports/agencies-performance-audit-22-2020/pl/.</w:t>
            </w:r>
          </w:p>
        </w:tc>
        <w:tc>
          <w:tcPr>
            <w:tcW w:w="4876" w:type="dxa"/>
            <w:tcBorders>
              <w:top w:val="nil"/>
              <w:left w:val="nil"/>
              <w:bottom w:val="nil"/>
              <w:right w:val="nil"/>
            </w:tcBorders>
          </w:tcPr>
          <w:p w14:paraId="614E5B18" w14:textId="77777777" w:rsidR="001D5F6D" w:rsidRPr="00641BDE" w:rsidRDefault="001D5F6D" w:rsidP="007C1C97">
            <w:pPr>
              <w:pStyle w:val="Normal6a"/>
            </w:pPr>
            <w:r w:rsidRPr="00641BDE">
              <w:rPr>
                <w:vertAlign w:val="superscript"/>
              </w:rPr>
              <w:t>2</w:t>
            </w:r>
            <w:r w:rsidRPr="00641BDE">
              <w:t xml:space="preserve"> „Przyszłość agencji UE – istnieją możliwości, by zwiększyć elastyczność i zacieśnić współpracę”, https://op.europa.eu/webpub/eca/special-reports/agencies-performance-audit-22-2020/pl/.</w:t>
            </w:r>
          </w:p>
        </w:tc>
      </w:tr>
    </w:tbl>
    <w:p w14:paraId="06AAB1E4"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5D772E13" w14:textId="77777777" w:rsidR="001D5F6D" w:rsidRPr="00641BDE" w:rsidRDefault="001D5F6D" w:rsidP="001D5F6D">
      <w:r w:rsidRPr="00641BDE">
        <w:rPr>
          <w:rStyle w:val="HideTWBExt"/>
        </w:rPr>
        <w:t>&lt;/Amend&gt;</w:t>
      </w:r>
    </w:p>
    <w:p w14:paraId="4AB30A27"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16</w:t>
      </w:r>
      <w:r w:rsidRPr="00641BDE">
        <w:rPr>
          <w:rStyle w:val="HideTWBExt"/>
          <w:b w:val="0"/>
        </w:rPr>
        <w:t>&lt;/NumAm&gt;</w:t>
      </w:r>
    </w:p>
    <w:p w14:paraId="51996816"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rPr>
          <w:rStyle w:val="HideTWBExt"/>
          <w:b w:val="0"/>
        </w:rPr>
        <w:t>&lt;/Members&gt;</w:t>
      </w:r>
    </w:p>
    <w:p w14:paraId="053AFFBE" w14:textId="77777777" w:rsidR="001D5F6D" w:rsidRPr="00641BDE" w:rsidRDefault="001D5F6D" w:rsidP="001D5F6D">
      <w:pPr>
        <w:pStyle w:val="NormalBold"/>
      </w:pPr>
      <w:r w:rsidRPr="00641BDE">
        <w:rPr>
          <w:rStyle w:val="HideTWBExt"/>
          <w:b w:val="0"/>
        </w:rPr>
        <w:t>&lt;/RepeatBlock-By&gt;</w:t>
      </w:r>
    </w:p>
    <w:p w14:paraId="4371D724"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15765FC" w14:textId="77777777" w:rsidR="001D5F6D" w:rsidRPr="00641BDE" w:rsidRDefault="001D5F6D" w:rsidP="001D5F6D">
      <w:pPr>
        <w:pStyle w:val="NormalBold"/>
      </w:pPr>
      <w:r w:rsidRPr="00641BDE">
        <w:rPr>
          <w:rStyle w:val="HideTWBExt"/>
          <w:b w:val="0"/>
        </w:rPr>
        <w:t>&lt;Article&gt;</w:t>
      </w:r>
      <w:r w:rsidRPr="00641BDE">
        <w:t>Ustęp 3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86A3DC8" w14:textId="77777777" w:rsidTr="007C1C97">
        <w:trPr>
          <w:trHeight w:hRule="exact" w:val="240"/>
          <w:jc w:val="center"/>
        </w:trPr>
        <w:tc>
          <w:tcPr>
            <w:tcW w:w="9752" w:type="dxa"/>
            <w:gridSpan w:val="2"/>
            <w:tcBorders>
              <w:top w:val="nil"/>
              <w:left w:val="nil"/>
              <w:bottom w:val="nil"/>
              <w:right w:val="nil"/>
            </w:tcBorders>
          </w:tcPr>
          <w:p w14:paraId="10F0293A" w14:textId="77777777" w:rsidR="001D5F6D" w:rsidRPr="00641BDE" w:rsidRDefault="001D5F6D" w:rsidP="007C1C97"/>
        </w:tc>
      </w:tr>
      <w:tr w:rsidR="001D5F6D" w:rsidRPr="00641BDE" w14:paraId="3186C9A7" w14:textId="77777777" w:rsidTr="007C1C97">
        <w:trPr>
          <w:trHeight w:val="240"/>
          <w:jc w:val="center"/>
        </w:trPr>
        <w:tc>
          <w:tcPr>
            <w:tcW w:w="4876" w:type="dxa"/>
            <w:tcBorders>
              <w:top w:val="nil"/>
              <w:left w:val="nil"/>
              <w:bottom w:val="nil"/>
              <w:right w:val="nil"/>
            </w:tcBorders>
          </w:tcPr>
          <w:p w14:paraId="4ED11156"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592F326" w14:textId="77777777" w:rsidR="001D5F6D" w:rsidRPr="00641BDE" w:rsidRDefault="001D5F6D" w:rsidP="007C1C97">
            <w:pPr>
              <w:pStyle w:val="AmColumnHeading"/>
            </w:pPr>
            <w:r w:rsidRPr="00641BDE">
              <w:t>Poprawka</w:t>
            </w:r>
          </w:p>
        </w:tc>
      </w:tr>
      <w:tr w:rsidR="001D5F6D" w:rsidRPr="00641BDE" w14:paraId="7099A87D" w14:textId="77777777" w:rsidTr="007C1C97">
        <w:trPr>
          <w:jc w:val="center"/>
        </w:trPr>
        <w:tc>
          <w:tcPr>
            <w:tcW w:w="4876" w:type="dxa"/>
            <w:tcBorders>
              <w:top w:val="nil"/>
              <w:left w:val="nil"/>
              <w:bottom w:val="nil"/>
              <w:right w:val="nil"/>
            </w:tcBorders>
          </w:tcPr>
          <w:p w14:paraId="1AF2E523" w14:textId="77777777" w:rsidR="001D5F6D" w:rsidRPr="00641BDE" w:rsidRDefault="001D5F6D" w:rsidP="007C1C97">
            <w:pPr>
              <w:pStyle w:val="Normal6a"/>
            </w:pPr>
          </w:p>
        </w:tc>
        <w:tc>
          <w:tcPr>
            <w:tcW w:w="4876" w:type="dxa"/>
            <w:tcBorders>
              <w:top w:val="nil"/>
              <w:left w:val="nil"/>
              <w:bottom w:val="nil"/>
              <w:right w:val="nil"/>
            </w:tcBorders>
          </w:tcPr>
          <w:p w14:paraId="734D1E8B" w14:textId="77777777" w:rsidR="001D5F6D" w:rsidRPr="00641BDE" w:rsidRDefault="001D5F6D" w:rsidP="007C1C97">
            <w:pPr>
              <w:pStyle w:val="Normal6a"/>
            </w:pPr>
            <w:r w:rsidRPr="00641BDE">
              <w:rPr>
                <w:b/>
                <w:i/>
              </w:rPr>
              <w:t>3a.</w:t>
            </w:r>
            <w:r w:rsidRPr="00641BDE">
              <w:tab/>
            </w:r>
            <w:r w:rsidRPr="00641BDE">
              <w:rPr>
                <w:b/>
                <w:i/>
              </w:rPr>
              <w:t>podkreśla, że 33 zdecentralizowane agencje objęte niniejszą rezolucją zarządzają łącznym budżetem w wysokości ponad 4,1 mld EUR ze środków publicznych; podkreśla, że chociaż w ramach procedury udzielania absolutorium odpowiednio weryfikuje się zgodność z obowiązującymi przepisami, Parlament musi również systematycznie oceniać rzeczywisty wpływ tych agencji na obywateli i podatników; zauważa, że – jak podkreślił Trybunał w sprawozdaniu specjalnym 22/2020 – agencje składają obszerne sprawozdania ze swoich działań, ale ich wymierny wkład w realizację celów polityki Unii pozostaje niewystarczająco wykazany; uważa, że każda agencja powinna być zobowiązana do składania rocznych sprawozdań na temat ograniczonego zestawu wymiernych wskaźników wyników i oddziaływania bezpośrednio związanych z jej mandatem założycielskim, obejmujących w stosownych przypadkach takie obszary, jak: wyniki w zakresie zdrowia publicznego, skuteczność bezpieczeństwa granic, produkty innowacji lub wyniki egzekwowania przepisów; wzywa sieć agencji UE (EUAN) do opracowania, we współpracy z Europejskim Trybunałem Obrachunkowym, wspólnych ram pomiaru wyników i oddziaływania, opartych na kompasie wyników, obejmującym rozróżnienie wkładów, produktów, efektów i skutków, oraz do przedstawienia tych ram organowi udzielającemu absolutorium do końca 2026 r., tak aby Parlament i podatnicy mogli ocenić konkretne rezultaty w odniesieniu do wydanych zasobów;</w:t>
            </w:r>
          </w:p>
        </w:tc>
      </w:tr>
    </w:tbl>
    <w:p w14:paraId="51E1B62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B14C70F" w14:textId="77777777" w:rsidR="001D5F6D" w:rsidRPr="00641BDE" w:rsidRDefault="001D5F6D" w:rsidP="001D5F6D">
      <w:r w:rsidRPr="00641BDE">
        <w:rPr>
          <w:rStyle w:val="HideTWBExt"/>
        </w:rPr>
        <w:t>&lt;/Amend&gt;</w:t>
      </w:r>
    </w:p>
    <w:p w14:paraId="53FFD2C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17</w:t>
      </w:r>
      <w:r w:rsidRPr="00641BDE">
        <w:rPr>
          <w:rStyle w:val="HideTWBExt"/>
          <w:b w:val="0"/>
        </w:rPr>
        <w:t>&lt;/NumAm&gt;</w:t>
      </w:r>
    </w:p>
    <w:p w14:paraId="1846C9A8" w14:textId="77777777" w:rsidR="001D5F6D" w:rsidRPr="00641BDE" w:rsidRDefault="001D5F6D" w:rsidP="001D5F6D">
      <w:pPr>
        <w:pStyle w:val="NormalBold"/>
      </w:pPr>
      <w:r w:rsidRPr="00641BDE">
        <w:rPr>
          <w:rStyle w:val="HideTWBExt"/>
          <w:b w:val="0"/>
        </w:rPr>
        <w:t>&lt;RepeatBlock-By&gt;&lt;Members&gt;</w:t>
      </w:r>
      <w:proofErr w:type="spellStart"/>
      <w:r w:rsidRPr="00641BDE">
        <w:t>Tamás</w:t>
      </w:r>
      <w:proofErr w:type="spellEnd"/>
      <w:r w:rsidRPr="00641BDE">
        <w:t xml:space="preserve"> </w:t>
      </w:r>
      <w:proofErr w:type="spellStart"/>
      <w:r w:rsidRPr="00641BDE">
        <w:t>Deutsch</w:t>
      </w:r>
      <w:proofErr w:type="spellEnd"/>
      <w:r w:rsidRPr="00641BDE">
        <w:rPr>
          <w:rStyle w:val="HideTWBExt"/>
          <w:b w:val="0"/>
        </w:rPr>
        <w:t>&lt;/Members&gt;</w:t>
      </w:r>
    </w:p>
    <w:p w14:paraId="6EB2FAEF" w14:textId="77777777" w:rsidR="001D5F6D" w:rsidRPr="00641BDE" w:rsidRDefault="001D5F6D" w:rsidP="001D5F6D">
      <w:pPr>
        <w:pStyle w:val="NormalBold"/>
      </w:pPr>
      <w:r w:rsidRPr="00641BDE">
        <w:rPr>
          <w:rStyle w:val="HideTWBExt"/>
          <w:b w:val="0"/>
        </w:rPr>
        <w:t>&lt;/RepeatBlock-By&gt;</w:t>
      </w:r>
    </w:p>
    <w:p w14:paraId="635198E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C6406AC" w14:textId="77777777" w:rsidR="001D5F6D" w:rsidRPr="00641BDE" w:rsidRDefault="001D5F6D" w:rsidP="001D5F6D">
      <w:pPr>
        <w:pStyle w:val="NormalBold"/>
      </w:pPr>
      <w:r w:rsidRPr="00641BDE">
        <w:rPr>
          <w:rStyle w:val="HideTWBExt"/>
          <w:b w:val="0"/>
        </w:rPr>
        <w:t>&lt;Article&gt;</w:t>
      </w:r>
      <w:r w:rsidRPr="00641BDE">
        <w:t>Ustęp 3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3A9975E" w14:textId="77777777" w:rsidTr="007C1C97">
        <w:trPr>
          <w:trHeight w:hRule="exact" w:val="240"/>
          <w:jc w:val="center"/>
        </w:trPr>
        <w:tc>
          <w:tcPr>
            <w:tcW w:w="9752" w:type="dxa"/>
            <w:gridSpan w:val="2"/>
            <w:tcBorders>
              <w:top w:val="nil"/>
              <w:left w:val="nil"/>
              <w:bottom w:val="nil"/>
              <w:right w:val="nil"/>
            </w:tcBorders>
          </w:tcPr>
          <w:p w14:paraId="3460E122" w14:textId="77777777" w:rsidR="001D5F6D" w:rsidRPr="00641BDE" w:rsidRDefault="001D5F6D" w:rsidP="007C1C97"/>
        </w:tc>
      </w:tr>
      <w:tr w:rsidR="001D5F6D" w:rsidRPr="00641BDE" w14:paraId="11F34F15" w14:textId="77777777" w:rsidTr="007C1C97">
        <w:trPr>
          <w:trHeight w:val="240"/>
          <w:jc w:val="center"/>
        </w:trPr>
        <w:tc>
          <w:tcPr>
            <w:tcW w:w="4876" w:type="dxa"/>
            <w:tcBorders>
              <w:top w:val="nil"/>
              <w:left w:val="nil"/>
              <w:bottom w:val="nil"/>
              <w:right w:val="nil"/>
            </w:tcBorders>
          </w:tcPr>
          <w:p w14:paraId="1C20A59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B7DBE1E" w14:textId="77777777" w:rsidR="001D5F6D" w:rsidRPr="00641BDE" w:rsidRDefault="001D5F6D" w:rsidP="007C1C97">
            <w:pPr>
              <w:pStyle w:val="AmColumnHeading"/>
            </w:pPr>
            <w:r w:rsidRPr="00641BDE">
              <w:t>Poprawka</w:t>
            </w:r>
          </w:p>
        </w:tc>
      </w:tr>
      <w:tr w:rsidR="001D5F6D" w:rsidRPr="00641BDE" w14:paraId="126B42EB" w14:textId="77777777" w:rsidTr="007C1C97">
        <w:trPr>
          <w:jc w:val="center"/>
        </w:trPr>
        <w:tc>
          <w:tcPr>
            <w:tcW w:w="4876" w:type="dxa"/>
            <w:tcBorders>
              <w:top w:val="nil"/>
              <w:left w:val="nil"/>
              <w:bottom w:val="nil"/>
              <w:right w:val="nil"/>
            </w:tcBorders>
          </w:tcPr>
          <w:p w14:paraId="3E2D855D" w14:textId="77777777" w:rsidR="001D5F6D" w:rsidRPr="00641BDE" w:rsidRDefault="001D5F6D" w:rsidP="007C1C97">
            <w:pPr>
              <w:pStyle w:val="Normal6a"/>
            </w:pPr>
          </w:p>
        </w:tc>
        <w:tc>
          <w:tcPr>
            <w:tcW w:w="4876" w:type="dxa"/>
            <w:tcBorders>
              <w:top w:val="nil"/>
              <w:left w:val="nil"/>
              <w:bottom w:val="nil"/>
              <w:right w:val="nil"/>
            </w:tcBorders>
          </w:tcPr>
          <w:p w14:paraId="7362051E" w14:textId="77777777" w:rsidR="001D5F6D" w:rsidRPr="00641BDE" w:rsidRDefault="001D5F6D" w:rsidP="007C1C97">
            <w:pPr>
              <w:pStyle w:val="Normal6a"/>
            </w:pPr>
            <w:r w:rsidRPr="00641BDE">
              <w:rPr>
                <w:b/>
                <w:i/>
              </w:rPr>
              <w:t>3a.</w:t>
            </w:r>
            <w:r w:rsidRPr="00641BDE">
              <w:tab/>
            </w:r>
            <w:r w:rsidRPr="00641BDE">
              <w:rPr>
                <w:b/>
                <w:i/>
              </w:rPr>
              <w:t>przypomina, że agencje Unii są ustanawiane, aby realizować jasno określone mandaty i cele polityki; podkreśla, że zgodnie z zasadami należytego zarządzania finansami i proporcjonalności należy regularnie oceniać dalsze istnienie agencji pod kątem celów określonych w momencie jej utworzenia; wzywa Komisję do szerszego stosowania klauzul wygaśnięcia i systematycznych ocen mandatów oraz do zaproponowania zaprzestania działalności, połączenia lub restrukturyzacji agencji, których cele założycielskie zostały wyraźnie osiągnięte lub których wartości dodanej nie można już uzasadnić;</w:t>
            </w:r>
          </w:p>
        </w:tc>
      </w:tr>
    </w:tbl>
    <w:p w14:paraId="37F2DDF4"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B39B666" w14:textId="77777777" w:rsidR="001D5F6D" w:rsidRPr="00641BDE" w:rsidRDefault="001D5F6D" w:rsidP="001D5F6D">
      <w:r w:rsidRPr="00641BDE">
        <w:rPr>
          <w:rStyle w:val="HideTWBExt"/>
        </w:rPr>
        <w:t>&lt;/Amend&gt;</w:t>
      </w:r>
    </w:p>
    <w:p w14:paraId="0664C7B2"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18</w:t>
      </w:r>
      <w:r w:rsidRPr="00641BDE">
        <w:rPr>
          <w:rStyle w:val="HideTWBExt"/>
          <w:b w:val="0"/>
        </w:rPr>
        <w:t>&lt;/NumAm&gt;</w:t>
      </w:r>
    </w:p>
    <w:p w14:paraId="634DBC85"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384637BF" w14:textId="77777777" w:rsidR="001D5F6D" w:rsidRPr="00641BDE" w:rsidRDefault="001D5F6D" w:rsidP="001D5F6D">
      <w:pPr>
        <w:pStyle w:val="NormalBold"/>
      </w:pPr>
      <w:r w:rsidRPr="00641BDE">
        <w:rPr>
          <w:rStyle w:val="HideTWBExt"/>
          <w:b w:val="0"/>
        </w:rPr>
        <w:t>&lt;/RepeatBlock-By&gt;</w:t>
      </w:r>
    </w:p>
    <w:p w14:paraId="78D576C5"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03A6259" w14:textId="77777777" w:rsidR="001D5F6D" w:rsidRPr="00641BDE" w:rsidRDefault="001D5F6D" w:rsidP="001D5F6D">
      <w:pPr>
        <w:pStyle w:val="NormalBold"/>
      </w:pPr>
      <w:r w:rsidRPr="00641BDE">
        <w:rPr>
          <w:rStyle w:val="HideTWBExt"/>
          <w:b w:val="0"/>
        </w:rPr>
        <w:t>&lt;Article&gt;</w:t>
      </w:r>
      <w:r w:rsidRPr="00641BDE">
        <w:t>Ustęp 3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91677A0" w14:textId="77777777" w:rsidTr="007C1C97">
        <w:trPr>
          <w:trHeight w:hRule="exact" w:val="240"/>
          <w:jc w:val="center"/>
        </w:trPr>
        <w:tc>
          <w:tcPr>
            <w:tcW w:w="9752" w:type="dxa"/>
            <w:gridSpan w:val="2"/>
            <w:tcBorders>
              <w:top w:val="nil"/>
              <w:left w:val="nil"/>
              <w:bottom w:val="nil"/>
              <w:right w:val="nil"/>
            </w:tcBorders>
          </w:tcPr>
          <w:p w14:paraId="4ADBB0B2" w14:textId="77777777" w:rsidR="001D5F6D" w:rsidRPr="00641BDE" w:rsidRDefault="001D5F6D" w:rsidP="007C1C97"/>
        </w:tc>
      </w:tr>
      <w:tr w:rsidR="001D5F6D" w:rsidRPr="00641BDE" w14:paraId="59FE0729" w14:textId="77777777" w:rsidTr="007C1C97">
        <w:trPr>
          <w:trHeight w:val="240"/>
          <w:jc w:val="center"/>
        </w:trPr>
        <w:tc>
          <w:tcPr>
            <w:tcW w:w="4876" w:type="dxa"/>
            <w:tcBorders>
              <w:top w:val="nil"/>
              <w:left w:val="nil"/>
              <w:bottom w:val="nil"/>
              <w:right w:val="nil"/>
            </w:tcBorders>
          </w:tcPr>
          <w:p w14:paraId="1DF8229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3540985" w14:textId="77777777" w:rsidR="001D5F6D" w:rsidRPr="00641BDE" w:rsidRDefault="001D5F6D" w:rsidP="007C1C97">
            <w:pPr>
              <w:pStyle w:val="AmColumnHeading"/>
            </w:pPr>
            <w:r w:rsidRPr="00641BDE">
              <w:t>Poprawka</w:t>
            </w:r>
          </w:p>
        </w:tc>
      </w:tr>
      <w:tr w:rsidR="001D5F6D" w:rsidRPr="00641BDE" w14:paraId="4289AD29" w14:textId="77777777" w:rsidTr="007C1C97">
        <w:trPr>
          <w:jc w:val="center"/>
        </w:trPr>
        <w:tc>
          <w:tcPr>
            <w:tcW w:w="4876" w:type="dxa"/>
            <w:tcBorders>
              <w:top w:val="nil"/>
              <w:left w:val="nil"/>
              <w:bottom w:val="nil"/>
              <w:right w:val="nil"/>
            </w:tcBorders>
          </w:tcPr>
          <w:p w14:paraId="0165938E" w14:textId="77777777" w:rsidR="001D5F6D" w:rsidRPr="00641BDE" w:rsidRDefault="001D5F6D" w:rsidP="007C1C97">
            <w:pPr>
              <w:pStyle w:val="Normal6a"/>
            </w:pPr>
          </w:p>
        </w:tc>
        <w:tc>
          <w:tcPr>
            <w:tcW w:w="4876" w:type="dxa"/>
            <w:tcBorders>
              <w:top w:val="nil"/>
              <w:left w:val="nil"/>
              <w:bottom w:val="nil"/>
              <w:right w:val="nil"/>
            </w:tcBorders>
          </w:tcPr>
          <w:p w14:paraId="30DA5207" w14:textId="77777777" w:rsidR="001D5F6D" w:rsidRPr="00641BDE" w:rsidRDefault="001D5F6D" w:rsidP="007C1C97">
            <w:pPr>
              <w:pStyle w:val="Normal6a"/>
            </w:pPr>
            <w:r w:rsidRPr="00641BDE">
              <w:rPr>
                <w:b/>
                <w:i/>
              </w:rPr>
              <w:t>3a.</w:t>
            </w:r>
            <w:r w:rsidRPr="00641BDE">
              <w:tab/>
            </w:r>
            <w:r w:rsidRPr="00641BDE">
              <w:rPr>
                <w:b/>
                <w:i/>
              </w:rPr>
              <w:t>wzywa ETO do zidentyfikowania agencji, które powielają swoje działania, w celu ich uzasadnienia i zmniejszenia ich liczby, co ostatecznie pozwoli obniżyć koszty i chronić interesy finansowe Unii;</w:t>
            </w:r>
          </w:p>
        </w:tc>
      </w:tr>
    </w:tbl>
    <w:p w14:paraId="36C4E256"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3A2BD6B5" w14:textId="77777777" w:rsidR="001D5F6D" w:rsidRPr="00641BDE" w:rsidRDefault="001D5F6D" w:rsidP="001D5F6D">
      <w:r w:rsidRPr="00641BDE">
        <w:rPr>
          <w:rStyle w:val="HideTWBExt"/>
        </w:rPr>
        <w:t>&lt;/Amend&gt;</w:t>
      </w:r>
    </w:p>
    <w:p w14:paraId="68DFC75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19</w:t>
      </w:r>
      <w:r w:rsidRPr="00641BDE">
        <w:rPr>
          <w:rStyle w:val="HideTWBExt"/>
          <w:b w:val="0"/>
        </w:rPr>
        <w:t>&lt;/NumAm&gt;</w:t>
      </w:r>
    </w:p>
    <w:p w14:paraId="6BEEC3F8"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41E0F4DC"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6E1E67D2" w14:textId="77777777" w:rsidR="001D5F6D" w:rsidRPr="00641BDE" w:rsidRDefault="001D5F6D" w:rsidP="001D5F6D">
      <w:pPr>
        <w:pStyle w:val="NormalBold"/>
      </w:pPr>
      <w:r w:rsidRPr="00641BDE">
        <w:rPr>
          <w:rStyle w:val="HideTWBExt"/>
          <w:b w:val="0"/>
        </w:rPr>
        <w:t>&lt;/RepeatBlock-By&gt;</w:t>
      </w:r>
    </w:p>
    <w:p w14:paraId="1F81E39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5040A51" w14:textId="77777777" w:rsidR="001D5F6D" w:rsidRPr="00641BDE" w:rsidRDefault="001D5F6D" w:rsidP="001D5F6D">
      <w:pPr>
        <w:pStyle w:val="NormalBold"/>
      </w:pPr>
      <w:r w:rsidRPr="00641BDE">
        <w:rPr>
          <w:rStyle w:val="HideTWBExt"/>
          <w:b w:val="0"/>
        </w:rPr>
        <w:t>&lt;Article&gt;</w:t>
      </w:r>
      <w:r w:rsidRPr="00641BDE">
        <w:t>Ustęp 3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9976D43" w14:textId="77777777" w:rsidTr="007C1C97">
        <w:trPr>
          <w:trHeight w:hRule="exact" w:val="240"/>
          <w:jc w:val="center"/>
        </w:trPr>
        <w:tc>
          <w:tcPr>
            <w:tcW w:w="9752" w:type="dxa"/>
            <w:gridSpan w:val="2"/>
            <w:tcBorders>
              <w:top w:val="nil"/>
              <w:left w:val="nil"/>
              <w:bottom w:val="nil"/>
              <w:right w:val="nil"/>
            </w:tcBorders>
          </w:tcPr>
          <w:p w14:paraId="170C9AB2" w14:textId="77777777" w:rsidR="001D5F6D" w:rsidRPr="00641BDE" w:rsidRDefault="001D5F6D" w:rsidP="007C1C97"/>
        </w:tc>
      </w:tr>
      <w:tr w:rsidR="001D5F6D" w:rsidRPr="00641BDE" w14:paraId="5BE35FB4" w14:textId="77777777" w:rsidTr="007C1C97">
        <w:trPr>
          <w:trHeight w:val="240"/>
          <w:jc w:val="center"/>
        </w:trPr>
        <w:tc>
          <w:tcPr>
            <w:tcW w:w="4876" w:type="dxa"/>
            <w:tcBorders>
              <w:top w:val="nil"/>
              <w:left w:val="nil"/>
              <w:bottom w:val="nil"/>
              <w:right w:val="nil"/>
            </w:tcBorders>
          </w:tcPr>
          <w:p w14:paraId="214791F0"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1B65B8F" w14:textId="77777777" w:rsidR="001D5F6D" w:rsidRPr="00641BDE" w:rsidRDefault="001D5F6D" w:rsidP="007C1C97">
            <w:pPr>
              <w:pStyle w:val="AmColumnHeading"/>
            </w:pPr>
            <w:r w:rsidRPr="00641BDE">
              <w:t>Poprawka</w:t>
            </w:r>
          </w:p>
        </w:tc>
      </w:tr>
      <w:tr w:rsidR="001D5F6D" w:rsidRPr="00641BDE" w14:paraId="466305AD" w14:textId="77777777" w:rsidTr="007C1C97">
        <w:trPr>
          <w:jc w:val="center"/>
        </w:trPr>
        <w:tc>
          <w:tcPr>
            <w:tcW w:w="4876" w:type="dxa"/>
            <w:tcBorders>
              <w:top w:val="nil"/>
              <w:left w:val="nil"/>
              <w:bottom w:val="nil"/>
              <w:right w:val="nil"/>
            </w:tcBorders>
          </w:tcPr>
          <w:p w14:paraId="3CDB65AA" w14:textId="77777777" w:rsidR="001D5F6D" w:rsidRPr="00641BDE" w:rsidRDefault="001D5F6D" w:rsidP="007C1C97">
            <w:pPr>
              <w:pStyle w:val="Normal6a"/>
            </w:pPr>
          </w:p>
        </w:tc>
        <w:tc>
          <w:tcPr>
            <w:tcW w:w="4876" w:type="dxa"/>
            <w:tcBorders>
              <w:top w:val="nil"/>
              <w:left w:val="nil"/>
              <w:bottom w:val="nil"/>
              <w:right w:val="nil"/>
            </w:tcBorders>
          </w:tcPr>
          <w:p w14:paraId="47D80C77" w14:textId="77777777" w:rsidR="001D5F6D" w:rsidRPr="00641BDE" w:rsidRDefault="001D5F6D" w:rsidP="007C1C97">
            <w:pPr>
              <w:pStyle w:val="Normal6a"/>
            </w:pPr>
            <w:r w:rsidRPr="00641BDE">
              <w:rPr>
                <w:b/>
                <w:i/>
              </w:rPr>
              <w:t>3a.</w:t>
            </w:r>
            <w:r w:rsidRPr="00641BDE">
              <w:tab/>
            </w:r>
            <w:r w:rsidRPr="00641BDE">
              <w:rPr>
                <w:b/>
                <w:i/>
              </w:rPr>
              <w:t>podkreśla, że poszanowanie praw podstawowych i praworządności stanowi warunek wstępny dobrych wyników i należytego zarządzania finansami; uważa, że agencji, które nie przestrzegają zobowiązań w zakresie praw podstawowych, nie można uznać za osiągające zadowalające wyniki, niezależnie od wskaźników wykonania budżetu;</w:t>
            </w:r>
          </w:p>
        </w:tc>
      </w:tr>
    </w:tbl>
    <w:p w14:paraId="5FDD8C85"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164BFE1" w14:textId="77777777" w:rsidR="001D5F6D" w:rsidRPr="00641BDE" w:rsidRDefault="001D5F6D" w:rsidP="001D5F6D">
      <w:r w:rsidRPr="00641BDE">
        <w:rPr>
          <w:rStyle w:val="HideTWBExt"/>
        </w:rPr>
        <w:t>&lt;/Amend&gt;</w:t>
      </w:r>
    </w:p>
    <w:p w14:paraId="0208810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20</w:t>
      </w:r>
      <w:r w:rsidRPr="00641BDE">
        <w:rPr>
          <w:rStyle w:val="HideTWBExt"/>
          <w:b w:val="0"/>
        </w:rPr>
        <w:t>&lt;/NumAm&gt;</w:t>
      </w:r>
    </w:p>
    <w:p w14:paraId="1B49FB2D"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0035B1D7" w14:textId="77777777" w:rsidR="001D5F6D" w:rsidRPr="00641BDE" w:rsidRDefault="001D5F6D" w:rsidP="001D5F6D">
      <w:pPr>
        <w:pStyle w:val="NormalBold"/>
      </w:pPr>
      <w:r w:rsidRPr="00641BDE">
        <w:rPr>
          <w:rStyle w:val="HideTWBExt"/>
          <w:b w:val="0"/>
        </w:rPr>
        <w:t>&lt;/RepeatBlock-By&gt;</w:t>
      </w:r>
    </w:p>
    <w:p w14:paraId="26F429F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FFAF704" w14:textId="77777777" w:rsidR="001D5F6D" w:rsidRPr="00641BDE" w:rsidRDefault="001D5F6D" w:rsidP="001D5F6D">
      <w:pPr>
        <w:pStyle w:val="NormalBold"/>
      </w:pPr>
      <w:r w:rsidRPr="00641BDE">
        <w:rPr>
          <w:rStyle w:val="HideTWBExt"/>
          <w:b w:val="0"/>
        </w:rPr>
        <w:t>&lt;Article&gt;</w:t>
      </w:r>
      <w:r w:rsidRPr="00641BDE">
        <w:t>Ustęp 4</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2FC8E4B" w14:textId="77777777" w:rsidTr="007C1C97">
        <w:trPr>
          <w:trHeight w:hRule="exact" w:val="240"/>
          <w:jc w:val="center"/>
        </w:trPr>
        <w:tc>
          <w:tcPr>
            <w:tcW w:w="9752" w:type="dxa"/>
            <w:gridSpan w:val="2"/>
            <w:tcBorders>
              <w:top w:val="nil"/>
              <w:left w:val="nil"/>
              <w:bottom w:val="nil"/>
              <w:right w:val="nil"/>
            </w:tcBorders>
          </w:tcPr>
          <w:p w14:paraId="59E36091" w14:textId="77777777" w:rsidR="001D5F6D" w:rsidRPr="00641BDE" w:rsidRDefault="001D5F6D" w:rsidP="007C1C97"/>
        </w:tc>
      </w:tr>
      <w:tr w:rsidR="001D5F6D" w:rsidRPr="00641BDE" w14:paraId="477A7EEF" w14:textId="77777777" w:rsidTr="007C1C97">
        <w:trPr>
          <w:trHeight w:val="240"/>
          <w:jc w:val="center"/>
        </w:trPr>
        <w:tc>
          <w:tcPr>
            <w:tcW w:w="4876" w:type="dxa"/>
            <w:tcBorders>
              <w:top w:val="nil"/>
              <w:left w:val="nil"/>
              <w:bottom w:val="nil"/>
              <w:right w:val="nil"/>
            </w:tcBorders>
          </w:tcPr>
          <w:p w14:paraId="2DEB912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12BC6E8" w14:textId="77777777" w:rsidR="001D5F6D" w:rsidRPr="00641BDE" w:rsidRDefault="001D5F6D" w:rsidP="007C1C97">
            <w:pPr>
              <w:pStyle w:val="AmColumnHeading"/>
            </w:pPr>
            <w:r w:rsidRPr="00641BDE">
              <w:t>Poprawka</w:t>
            </w:r>
          </w:p>
        </w:tc>
      </w:tr>
      <w:tr w:rsidR="001D5F6D" w:rsidRPr="00641BDE" w14:paraId="26200C85" w14:textId="77777777" w:rsidTr="007C1C97">
        <w:trPr>
          <w:jc w:val="center"/>
        </w:trPr>
        <w:tc>
          <w:tcPr>
            <w:tcW w:w="4876" w:type="dxa"/>
            <w:tcBorders>
              <w:top w:val="nil"/>
              <w:left w:val="nil"/>
              <w:bottom w:val="nil"/>
              <w:right w:val="nil"/>
            </w:tcBorders>
          </w:tcPr>
          <w:p w14:paraId="416469B2" w14:textId="77777777" w:rsidR="001D5F6D" w:rsidRPr="00641BDE" w:rsidRDefault="001D5F6D" w:rsidP="007C1C97">
            <w:pPr>
              <w:pStyle w:val="Normal6a"/>
            </w:pPr>
            <w:r w:rsidRPr="00641BDE">
              <w:t>4.</w:t>
            </w:r>
            <w:r w:rsidRPr="00641BDE">
              <w:tab/>
              <w:t xml:space="preserve">podkreśla znaczenie procedury udzielania absolutorium, która jest nie tylko obowiązkiem wynikającym z traktatów, lecz także sprzyja przejrzystości, rozliczalności oraz otwartemu dialogowi na temat finansów Unii; uważa, że praktyka udzielania absolutorium </w:t>
            </w:r>
            <w:r w:rsidRPr="00641BDE">
              <w:rPr>
                <w:b/>
                <w:i/>
              </w:rPr>
              <w:t>wyłącznie przez organ wewnętrzny</w:t>
            </w:r>
            <w:r w:rsidRPr="00641BDE">
              <w:t xml:space="preserve">, </w:t>
            </w:r>
            <w:r w:rsidRPr="00641BDE">
              <w:rPr>
                <w:b/>
                <w:bCs/>
                <w:i/>
                <w:iCs/>
              </w:rPr>
              <w:t>stosowana przez</w:t>
            </w:r>
            <w:r w:rsidRPr="00641BDE">
              <w:t xml:space="preserve"> agencje takie jak Urząd Unii Europejskiej ds. Własności Intelektualnej (EUIPO), Wspólnotowy Urząd Ochrony Odmian Roślin (CPVO) oraz Jednolita Rada ds. Restrukturyzacji i Uporządkowanej Likwidacji (SRB), </w:t>
            </w:r>
            <w:r w:rsidRPr="00641BDE">
              <w:rPr>
                <w:b/>
                <w:i/>
              </w:rPr>
              <w:t>rodzi potencjalne konflikty interesów lub skutkuje niewystarczającą oceną</w:t>
            </w:r>
            <w:r w:rsidRPr="00641BDE">
              <w:t xml:space="preserve"> i </w:t>
            </w:r>
            <w:r w:rsidRPr="00641BDE">
              <w:rPr>
                <w:b/>
                <w:bCs/>
                <w:i/>
                <w:iCs/>
              </w:rPr>
              <w:t>kontrolą</w:t>
            </w:r>
            <w:r w:rsidRPr="00641BDE">
              <w:t xml:space="preserve">, </w:t>
            </w:r>
            <w:r w:rsidRPr="00641BDE">
              <w:rPr>
                <w:b/>
                <w:i/>
              </w:rPr>
              <w:t>podczas gdy absolutorium udzielane przez Parlament zwiększa</w:t>
            </w:r>
            <w:r w:rsidRPr="00641BDE">
              <w:t xml:space="preserve"> przejrzystość i publiczną rozliczalność; </w:t>
            </w:r>
            <w:r w:rsidRPr="00641BDE">
              <w:rPr>
                <w:b/>
                <w:i/>
              </w:rPr>
              <w:t>uważa, że ten wyższy standard powinien mieć jednolite zastosowanie do wszystkich organów związanych z Unią, niezależnie od ich modelu finansowania, i</w:t>
            </w:r>
            <w:r w:rsidRPr="00641BDE">
              <w:t xml:space="preserve"> przypomina wspólne podejście w odniesieniu do w pełni samofinansujących się agencji (pkt 58), w którym </w:t>
            </w:r>
            <w:r w:rsidRPr="00641BDE">
              <w:rPr>
                <w:b/>
                <w:bCs/>
                <w:i/>
                <w:iCs/>
              </w:rPr>
              <w:t>wzywa</w:t>
            </w:r>
            <w:r w:rsidRPr="00641BDE">
              <w:t xml:space="preserve"> się </w:t>
            </w:r>
            <w:r w:rsidRPr="00641BDE">
              <w:rPr>
                <w:b/>
                <w:i/>
              </w:rPr>
              <w:t>do zbadania</w:t>
            </w:r>
            <w:r w:rsidRPr="00641BDE">
              <w:t xml:space="preserve"> mechanizmów demokratycznej rozliczalności obejmujących coroczne sprawozdawanie przedkładane Parlamentowi, Radzie i Komisji, a także uwzględnianie ich zaleceń, aby zapewnić publiczną kontrolę nad agencjami wdrażającymi polityki UE bez </w:t>
            </w:r>
            <w:r w:rsidRPr="00641BDE">
              <w:rPr>
                <w:b/>
                <w:i/>
              </w:rPr>
              <w:t>tradycyjnych procedur</w:t>
            </w:r>
            <w:r w:rsidRPr="00641BDE">
              <w:t xml:space="preserve"> udzielania absolutorium;</w:t>
            </w:r>
          </w:p>
        </w:tc>
        <w:tc>
          <w:tcPr>
            <w:tcW w:w="4876" w:type="dxa"/>
            <w:tcBorders>
              <w:top w:val="nil"/>
              <w:left w:val="nil"/>
              <w:bottom w:val="nil"/>
              <w:right w:val="nil"/>
            </w:tcBorders>
          </w:tcPr>
          <w:p w14:paraId="4437A775" w14:textId="77777777" w:rsidR="001D5F6D" w:rsidRPr="00641BDE" w:rsidRDefault="001D5F6D" w:rsidP="007C1C97">
            <w:pPr>
              <w:pStyle w:val="Normal6a"/>
            </w:pPr>
            <w:r w:rsidRPr="00641BDE">
              <w:t>4.</w:t>
            </w:r>
            <w:r w:rsidRPr="00641BDE">
              <w:tab/>
              <w:t xml:space="preserve">podkreśla znaczenie procedury udzielania absolutorium, która jest nie tylko obowiązkiem wynikającym z traktatów, lecz także sprzyja przejrzystości, rozliczalności oraz otwartemu dialogowi na temat finansów Unii; uważa, że praktyka udzielania absolutorium </w:t>
            </w:r>
            <w:r w:rsidRPr="00641BDE">
              <w:rPr>
                <w:b/>
                <w:i/>
              </w:rPr>
              <w:t>w drodze ustaleń dotyczących zarządzania określonych w aktach ustanawiających</w:t>
            </w:r>
            <w:r w:rsidRPr="00641BDE">
              <w:t xml:space="preserve"> agencje</w:t>
            </w:r>
            <w:r w:rsidRPr="00641BDE">
              <w:rPr>
                <w:b/>
                <w:bCs/>
                <w:i/>
                <w:iCs/>
              </w:rPr>
              <w:t>,</w:t>
            </w:r>
            <w:r w:rsidRPr="00641BDE">
              <w:t xml:space="preserve"> takie jak</w:t>
            </w:r>
            <w:r w:rsidRPr="00641BDE">
              <w:rPr>
                <w:b/>
                <w:bCs/>
                <w:i/>
                <w:iCs/>
              </w:rPr>
              <w:t>:</w:t>
            </w:r>
            <w:r w:rsidRPr="00641BDE">
              <w:t xml:space="preserve"> Urząd Unii Europejskiej ds. Własności Intelektualnej (EUIPO), Wspólnotowy Urząd Ochrony Odmian Roślin (CPVO) oraz Jednolita Rada ds. Restrukturyzacji i Uporządkowanej Likwidacji (SRB), </w:t>
            </w:r>
            <w:r w:rsidRPr="00641BDE">
              <w:rPr>
                <w:b/>
                <w:i/>
              </w:rPr>
              <w:t>odzwierciedla ich szczególne ramy prawne i finansowe oraz zapewnia odpowiednią ocenę</w:t>
            </w:r>
            <w:r w:rsidRPr="00641BDE">
              <w:t xml:space="preserve"> i </w:t>
            </w:r>
            <w:r w:rsidRPr="00641BDE">
              <w:rPr>
                <w:b/>
                <w:i/>
              </w:rPr>
              <w:t>kontrolę</w:t>
            </w:r>
            <w:r w:rsidRPr="00641BDE">
              <w:t xml:space="preserve">, </w:t>
            </w:r>
            <w:r w:rsidRPr="00641BDE">
              <w:rPr>
                <w:b/>
                <w:bCs/>
                <w:i/>
                <w:iCs/>
              </w:rPr>
              <w:t>a jednocześnie wspiera</w:t>
            </w:r>
            <w:r w:rsidRPr="00641BDE">
              <w:t xml:space="preserve"> przejrzystość i publiczną rozliczalność; przypomina wspólne podejście w odniesieniu do w pełni samofinansujących się agencji (pkt 58), w którym </w:t>
            </w:r>
            <w:r w:rsidRPr="00641BDE">
              <w:rPr>
                <w:b/>
                <w:bCs/>
                <w:i/>
                <w:iCs/>
              </w:rPr>
              <w:t>apeluje</w:t>
            </w:r>
            <w:r w:rsidRPr="00641BDE">
              <w:t xml:space="preserve"> się </w:t>
            </w:r>
            <w:r w:rsidRPr="00641BDE">
              <w:rPr>
                <w:b/>
                <w:bCs/>
                <w:i/>
                <w:iCs/>
              </w:rPr>
              <w:t>o zbadanie</w:t>
            </w:r>
            <w:r w:rsidRPr="00641BDE">
              <w:t xml:space="preserve"> mechanizmów demokratycznej rozliczalności</w:t>
            </w:r>
            <w:r w:rsidRPr="00641BDE">
              <w:rPr>
                <w:b/>
                <w:i/>
              </w:rPr>
              <w:t>,</w:t>
            </w:r>
            <w:r w:rsidRPr="00641BDE">
              <w:t xml:space="preserve"> obejmujących coroczne sprawozdawanie przedkładane Parlamentowi, Radzie i Komisji, a także uwzględnianie ich zaleceń, aby zapewnić publiczną kontrolę nad agencjami wdrażającymi polityki UE bez </w:t>
            </w:r>
            <w:r w:rsidRPr="00641BDE">
              <w:rPr>
                <w:b/>
                <w:i/>
              </w:rPr>
              <w:t>uciekania się do budżetu ogólnego UE; uważa, że pożądane jednak byłoby, aby w pełni samofinansujące się agencje, takie jak EUIPO, zostały objęte procedurą</w:t>
            </w:r>
            <w:r w:rsidRPr="00641BDE">
              <w:t xml:space="preserve"> udzielania absolutorium </w:t>
            </w:r>
            <w:r w:rsidRPr="00641BDE">
              <w:rPr>
                <w:b/>
                <w:i/>
              </w:rPr>
              <w:t>mającą zastosowanie do agencji podlegających Komisji Kontroli Budżetowej lub przynajmniej podlegały zwiększonym obowiązkom sprawozdawczym przed Komisją Kontroli Budżetowej</w:t>
            </w:r>
            <w:r w:rsidRPr="00641BDE">
              <w:t>;</w:t>
            </w:r>
          </w:p>
        </w:tc>
      </w:tr>
    </w:tbl>
    <w:p w14:paraId="368D1C1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E7A722B" w14:textId="77777777" w:rsidR="001D5F6D" w:rsidRPr="00641BDE" w:rsidRDefault="001D5F6D" w:rsidP="001D5F6D">
      <w:r w:rsidRPr="00641BDE">
        <w:rPr>
          <w:rStyle w:val="HideTWBExt"/>
        </w:rPr>
        <w:t>&lt;/Amend&gt;</w:t>
      </w:r>
    </w:p>
    <w:p w14:paraId="79405B41"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21</w:t>
      </w:r>
      <w:r w:rsidRPr="00641BDE">
        <w:rPr>
          <w:rStyle w:val="HideTWBExt"/>
          <w:b w:val="0"/>
        </w:rPr>
        <w:t>&lt;/NumAm&gt;</w:t>
      </w:r>
    </w:p>
    <w:p w14:paraId="34F9D535" w14:textId="77777777" w:rsidR="001D5F6D" w:rsidRPr="00641BDE" w:rsidRDefault="001D5F6D" w:rsidP="001D5F6D">
      <w:pPr>
        <w:pStyle w:val="NormalBold"/>
      </w:pPr>
      <w:r w:rsidRPr="00641BDE">
        <w:rPr>
          <w:rStyle w:val="HideTWBExt"/>
          <w:b w:val="0"/>
        </w:rPr>
        <w:t>&lt;RepeatBlock-By&gt;&lt;Members&gt;</w:t>
      </w:r>
      <w:proofErr w:type="spellStart"/>
      <w:r w:rsidRPr="00641BDE">
        <w:t>Maravillas</w:t>
      </w:r>
      <w:proofErr w:type="spellEnd"/>
      <w:r w:rsidRPr="00641BDE">
        <w:t xml:space="preserve"> </w:t>
      </w:r>
      <w:proofErr w:type="spellStart"/>
      <w:r w:rsidRPr="00641BDE">
        <w:t>Abadía</w:t>
      </w:r>
      <w:proofErr w:type="spellEnd"/>
      <w:r w:rsidRPr="00641BDE">
        <w:t xml:space="preserve"> </w:t>
      </w:r>
      <w:proofErr w:type="spellStart"/>
      <w:r w:rsidRPr="00641BDE">
        <w:t>Jover</w:t>
      </w:r>
      <w:proofErr w:type="spellEnd"/>
      <w:r w:rsidRPr="00641BDE">
        <w:t xml:space="preserve">, </w:t>
      </w:r>
      <w:proofErr w:type="spellStart"/>
      <w:r w:rsidRPr="00641BDE">
        <w:t>Adrián</w:t>
      </w:r>
      <w:proofErr w:type="spellEnd"/>
      <w:r w:rsidRPr="00641BDE">
        <w:t xml:space="preserve"> </w:t>
      </w:r>
      <w:proofErr w:type="spellStart"/>
      <w:r w:rsidRPr="00641BDE">
        <w:t>Vázquez</w:t>
      </w:r>
      <w:proofErr w:type="spellEnd"/>
      <w:r w:rsidRPr="00641BDE">
        <w:t xml:space="preserve"> </w:t>
      </w:r>
      <w:proofErr w:type="spellStart"/>
      <w:r w:rsidRPr="00641BDE">
        <w:t>Lázara</w:t>
      </w:r>
      <w:proofErr w:type="spellEnd"/>
      <w:r w:rsidRPr="00641BDE">
        <w:rPr>
          <w:rStyle w:val="HideTWBExt"/>
          <w:b w:val="0"/>
        </w:rPr>
        <w:t>&lt;/Members&gt;</w:t>
      </w:r>
    </w:p>
    <w:p w14:paraId="6F75312F" w14:textId="77777777" w:rsidR="001D5F6D" w:rsidRPr="00641BDE" w:rsidRDefault="001D5F6D" w:rsidP="001D5F6D">
      <w:pPr>
        <w:pStyle w:val="NormalBold"/>
      </w:pPr>
      <w:r w:rsidRPr="00641BDE">
        <w:rPr>
          <w:rStyle w:val="HideTWBExt"/>
          <w:b w:val="0"/>
        </w:rPr>
        <w:t>&lt;/RepeatBlock-By&gt;</w:t>
      </w:r>
    </w:p>
    <w:p w14:paraId="7DECDD98"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2FE0470" w14:textId="77777777" w:rsidR="001D5F6D" w:rsidRPr="00641BDE" w:rsidRDefault="001D5F6D" w:rsidP="001D5F6D">
      <w:pPr>
        <w:pStyle w:val="NormalBold"/>
      </w:pPr>
      <w:r w:rsidRPr="00641BDE">
        <w:rPr>
          <w:rStyle w:val="HideTWBExt"/>
          <w:b w:val="0"/>
        </w:rPr>
        <w:t>&lt;Article&gt;</w:t>
      </w:r>
      <w:r w:rsidRPr="00641BDE">
        <w:t>Ustęp 4</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203DF0A" w14:textId="77777777" w:rsidTr="007C1C97">
        <w:trPr>
          <w:trHeight w:hRule="exact" w:val="240"/>
          <w:jc w:val="center"/>
        </w:trPr>
        <w:tc>
          <w:tcPr>
            <w:tcW w:w="9752" w:type="dxa"/>
            <w:gridSpan w:val="2"/>
            <w:tcBorders>
              <w:top w:val="nil"/>
              <w:left w:val="nil"/>
              <w:bottom w:val="nil"/>
              <w:right w:val="nil"/>
            </w:tcBorders>
          </w:tcPr>
          <w:p w14:paraId="65FCE5AC" w14:textId="77777777" w:rsidR="001D5F6D" w:rsidRPr="00641BDE" w:rsidRDefault="001D5F6D" w:rsidP="007C1C97"/>
        </w:tc>
      </w:tr>
      <w:tr w:rsidR="001D5F6D" w:rsidRPr="00641BDE" w14:paraId="51307BC3" w14:textId="77777777" w:rsidTr="007C1C97">
        <w:trPr>
          <w:trHeight w:val="240"/>
          <w:jc w:val="center"/>
        </w:trPr>
        <w:tc>
          <w:tcPr>
            <w:tcW w:w="4876" w:type="dxa"/>
            <w:tcBorders>
              <w:top w:val="nil"/>
              <w:left w:val="nil"/>
              <w:bottom w:val="nil"/>
              <w:right w:val="nil"/>
            </w:tcBorders>
          </w:tcPr>
          <w:p w14:paraId="59904E2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0135855" w14:textId="77777777" w:rsidR="001D5F6D" w:rsidRPr="00641BDE" w:rsidRDefault="001D5F6D" w:rsidP="007C1C97">
            <w:pPr>
              <w:pStyle w:val="AmColumnHeading"/>
            </w:pPr>
            <w:r w:rsidRPr="00641BDE">
              <w:t>Poprawka</w:t>
            </w:r>
          </w:p>
        </w:tc>
      </w:tr>
      <w:tr w:rsidR="001D5F6D" w:rsidRPr="00641BDE" w14:paraId="5ADC81E5" w14:textId="77777777" w:rsidTr="007C1C97">
        <w:trPr>
          <w:jc w:val="center"/>
        </w:trPr>
        <w:tc>
          <w:tcPr>
            <w:tcW w:w="4876" w:type="dxa"/>
            <w:tcBorders>
              <w:top w:val="nil"/>
              <w:left w:val="nil"/>
              <w:bottom w:val="nil"/>
              <w:right w:val="nil"/>
            </w:tcBorders>
          </w:tcPr>
          <w:p w14:paraId="4C08BB3C" w14:textId="77777777" w:rsidR="001D5F6D" w:rsidRPr="00641BDE" w:rsidRDefault="001D5F6D" w:rsidP="007C1C97">
            <w:pPr>
              <w:pStyle w:val="Normal6a"/>
            </w:pPr>
            <w:r w:rsidRPr="00641BDE">
              <w:t>4.</w:t>
            </w:r>
            <w:r w:rsidRPr="00641BDE">
              <w:tab/>
              <w:t xml:space="preserve">podkreśla znaczenie procedury udzielania absolutorium, która jest nie tylko obowiązkiem wynikającym z traktatów, lecz także sprzyja przejrzystości, rozliczalności oraz otwartemu dialogowi na temat finansów Unii; uważa, że praktyka udzielania absolutorium </w:t>
            </w:r>
            <w:r w:rsidRPr="00641BDE">
              <w:rPr>
                <w:b/>
                <w:i/>
              </w:rPr>
              <w:t>wyłącznie przez organ wewnętrzny</w:t>
            </w:r>
            <w:r w:rsidRPr="00641BDE">
              <w:t xml:space="preserve">, stosowana przez agencje takie jak Urząd Unii Europejskiej ds. Własności Intelektualnej (EUIPO), Wspólnotowy Urząd Ochrony Odmian Roślin (CPVO) oraz Jednolita Rada ds. Restrukturyzacji i Uporządkowanej Likwidacji (SRB), </w:t>
            </w:r>
            <w:r w:rsidRPr="00641BDE">
              <w:rPr>
                <w:b/>
                <w:i/>
              </w:rPr>
              <w:t>rodzi potencjalne konflikty interesów lub skutkuje niewystarczającą oceną</w:t>
            </w:r>
            <w:r w:rsidRPr="00641BDE">
              <w:t xml:space="preserve"> i </w:t>
            </w:r>
            <w:r w:rsidRPr="00641BDE">
              <w:rPr>
                <w:b/>
                <w:bCs/>
                <w:i/>
                <w:iCs/>
              </w:rPr>
              <w:t>kontrolą</w:t>
            </w:r>
            <w:r w:rsidRPr="00641BDE">
              <w:t xml:space="preserve">, </w:t>
            </w:r>
            <w:r w:rsidRPr="00641BDE">
              <w:rPr>
                <w:b/>
                <w:i/>
              </w:rPr>
              <w:t>podczas gdy absolutorium udzielane przez Parlament zwiększa</w:t>
            </w:r>
            <w:r w:rsidRPr="00641BDE">
              <w:t xml:space="preserve"> przejrzystość i publiczną rozliczalność; </w:t>
            </w:r>
            <w:r w:rsidRPr="00641BDE">
              <w:rPr>
                <w:b/>
                <w:i/>
              </w:rPr>
              <w:t>uważa, że ten wyższy standard powinien mieć jednolite zastosowanie do wszystkich organów związanych z Unią, niezależnie od ich modelu finansowania, i</w:t>
            </w:r>
            <w:r w:rsidRPr="00641BDE">
              <w:t xml:space="preserve"> przypomina wspólne podejście w odniesieniu do w pełni samofinansujących się agencji (pkt 58), w którym wzywa się do zbadania mechanizmów demokratycznej rozliczalności obejmujących coroczne sprawozdawanie przedkładane Parlamentowi, Radzie i Komisji, a także uwzględnianie ich zaleceń, aby zapewnić publiczną kontrolę nad agencjami wdrażającymi polityki UE </w:t>
            </w:r>
            <w:r w:rsidRPr="00641BDE">
              <w:rPr>
                <w:b/>
                <w:i/>
              </w:rPr>
              <w:t>bez tradycyjnych procedur udzielania absolutorium</w:t>
            </w:r>
            <w:r w:rsidRPr="00641BDE">
              <w:t>;</w:t>
            </w:r>
          </w:p>
        </w:tc>
        <w:tc>
          <w:tcPr>
            <w:tcW w:w="4876" w:type="dxa"/>
            <w:tcBorders>
              <w:top w:val="nil"/>
              <w:left w:val="nil"/>
              <w:bottom w:val="nil"/>
              <w:right w:val="nil"/>
            </w:tcBorders>
          </w:tcPr>
          <w:p w14:paraId="0603CD02" w14:textId="77777777" w:rsidR="001D5F6D" w:rsidRPr="00641BDE" w:rsidRDefault="001D5F6D" w:rsidP="007C1C97">
            <w:pPr>
              <w:pStyle w:val="Normal6a"/>
            </w:pPr>
            <w:r w:rsidRPr="00641BDE">
              <w:t>4.</w:t>
            </w:r>
            <w:r w:rsidRPr="00641BDE">
              <w:tab/>
              <w:t xml:space="preserve">podkreśla znaczenie procedury udzielania absolutorium, która jest nie tylko obowiązkiem wynikającym z traktatów, lecz także sprzyja przejrzystości, rozliczalności oraz otwartemu dialogowi na temat finansów Unii; uważa, że praktyka udzielania absolutorium, stosowana przez agencje </w:t>
            </w:r>
            <w:r w:rsidRPr="00641BDE">
              <w:rPr>
                <w:b/>
                <w:i/>
              </w:rPr>
              <w:t>w drodze ustaleń dotyczących zarządzania określonych w aktach ustanawiających agencje,</w:t>
            </w:r>
            <w:r w:rsidRPr="00641BDE">
              <w:t xml:space="preserve"> takie jak</w:t>
            </w:r>
            <w:r w:rsidRPr="00641BDE">
              <w:rPr>
                <w:b/>
                <w:bCs/>
                <w:i/>
                <w:iCs/>
              </w:rPr>
              <w:t>:</w:t>
            </w:r>
            <w:r w:rsidRPr="00641BDE">
              <w:t xml:space="preserve"> Urząd Unii Europejskiej ds. Własności Intelektualnej (EUIPO), Wspólnotowy Urząd Ochrony Odmian Roślin (CPVO) oraz Jednolita Rada ds. Restrukturyzacji i Uporządkowanej Likwidacji (SRB), </w:t>
            </w:r>
            <w:r w:rsidRPr="00641BDE">
              <w:rPr>
                <w:b/>
                <w:i/>
              </w:rPr>
              <w:t>odzwierciedla ich szczególne ramy prawne i finansowe oraz zapewnia odpowiednią ocenę</w:t>
            </w:r>
            <w:r w:rsidRPr="00641BDE">
              <w:t xml:space="preserve"> i </w:t>
            </w:r>
            <w:r w:rsidRPr="00641BDE">
              <w:rPr>
                <w:b/>
                <w:i/>
              </w:rPr>
              <w:t>kontrolę</w:t>
            </w:r>
            <w:r w:rsidRPr="00641BDE">
              <w:t xml:space="preserve">, </w:t>
            </w:r>
            <w:r w:rsidRPr="00641BDE">
              <w:rPr>
                <w:b/>
                <w:bCs/>
                <w:i/>
                <w:iCs/>
              </w:rPr>
              <w:t>a jednocześnie wspiera</w:t>
            </w:r>
            <w:r w:rsidRPr="00641BDE">
              <w:t xml:space="preserve"> przejrzystość i publiczną rozliczalność; przypomina wspólne podejście w odniesieniu do w pełni samofinansujących się agencji (pkt 58), w którym wzywa się do zbadania mechanizmów demokratycznej rozliczalności obejmujących coroczne sprawozdawanie przedkładane Parlamentowi, Radzie i Komisji, a także uwzględnianie ich zaleceń, aby zapewnić publiczną kontrolę nad agencjami wdrażającymi polityki UE;</w:t>
            </w:r>
          </w:p>
        </w:tc>
      </w:tr>
    </w:tbl>
    <w:p w14:paraId="5870028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C1F1604" w14:textId="77777777" w:rsidR="001D5F6D" w:rsidRPr="00641BDE" w:rsidRDefault="001D5F6D" w:rsidP="001D5F6D">
      <w:r w:rsidRPr="00641BDE">
        <w:rPr>
          <w:rStyle w:val="HideTWBExt"/>
        </w:rPr>
        <w:t>&lt;/Amend&gt;</w:t>
      </w:r>
    </w:p>
    <w:p w14:paraId="15F90FEB"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22</w:t>
      </w:r>
      <w:r w:rsidRPr="00641BDE">
        <w:rPr>
          <w:rStyle w:val="HideTWBExt"/>
          <w:b w:val="0"/>
        </w:rPr>
        <w:t>&lt;/NumAm&gt;</w:t>
      </w:r>
    </w:p>
    <w:p w14:paraId="0EE45ED3" w14:textId="77777777" w:rsidR="001D5F6D" w:rsidRPr="00641BDE" w:rsidRDefault="001D5F6D" w:rsidP="001D5F6D">
      <w:pPr>
        <w:pStyle w:val="NormalBold"/>
      </w:pPr>
      <w:r w:rsidRPr="00641BDE">
        <w:rPr>
          <w:rStyle w:val="HideTWBExt"/>
          <w:b w:val="0"/>
        </w:rPr>
        <w:t>&lt;RepeatBlock-By&gt;&lt;Members&gt;</w:t>
      </w:r>
      <w:proofErr w:type="spellStart"/>
      <w:r w:rsidRPr="00641BDE">
        <w:t>Tamás</w:t>
      </w:r>
      <w:proofErr w:type="spellEnd"/>
      <w:r w:rsidRPr="00641BDE">
        <w:t xml:space="preserve"> </w:t>
      </w:r>
      <w:proofErr w:type="spellStart"/>
      <w:r w:rsidRPr="00641BDE">
        <w:t>Deutsch</w:t>
      </w:r>
      <w:proofErr w:type="spellEnd"/>
      <w:r w:rsidRPr="00641BDE">
        <w:rPr>
          <w:rStyle w:val="HideTWBExt"/>
          <w:b w:val="0"/>
        </w:rPr>
        <w:t>&lt;/Members&gt;</w:t>
      </w:r>
    </w:p>
    <w:p w14:paraId="6A168952" w14:textId="77777777" w:rsidR="001D5F6D" w:rsidRPr="00641BDE" w:rsidRDefault="001D5F6D" w:rsidP="001D5F6D">
      <w:pPr>
        <w:pStyle w:val="NormalBold"/>
      </w:pPr>
      <w:r w:rsidRPr="00641BDE">
        <w:rPr>
          <w:rStyle w:val="HideTWBExt"/>
          <w:b w:val="0"/>
        </w:rPr>
        <w:t>&lt;/RepeatBlock-By&gt;</w:t>
      </w:r>
    </w:p>
    <w:p w14:paraId="7D9F0DFA"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9E829A7" w14:textId="77777777" w:rsidR="001D5F6D" w:rsidRPr="00641BDE" w:rsidRDefault="001D5F6D" w:rsidP="001D5F6D">
      <w:pPr>
        <w:pStyle w:val="NormalBold"/>
      </w:pPr>
      <w:r w:rsidRPr="00641BDE">
        <w:rPr>
          <w:rStyle w:val="HideTWBExt"/>
          <w:b w:val="0"/>
        </w:rPr>
        <w:t>&lt;Article&gt;</w:t>
      </w:r>
      <w:r w:rsidRPr="00641BDE">
        <w:t>Ustęp 4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DB5469F" w14:textId="77777777" w:rsidTr="007C1C97">
        <w:trPr>
          <w:trHeight w:hRule="exact" w:val="240"/>
          <w:jc w:val="center"/>
        </w:trPr>
        <w:tc>
          <w:tcPr>
            <w:tcW w:w="9752" w:type="dxa"/>
            <w:gridSpan w:val="2"/>
            <w:tcBorders>
              <w:top w:val="nil"/>
              <w:left w:val="nil"/>
              <w:bottom w:val="nil"/>
              <w:right w:val="nil"/>
            </w:tcBorders>
          </w:tcPr>
          <w:p w14:paraId="3A92D2FF" w14:textId="77777777" w:rsidR="001D5F6D" w:rsidRPr="00641BDE" w:rsidRDefault="001D5F6D" w:rsidP="007C1C97"/>
        </w:tc>
      </w:tr>
      <w:tr w:rsidR="001D5F6D" w:rsidRPr="00641BDE" w14:paraId="49F64A40" w14:textId="77777777" w:rsidTr="007C1C97">
        <w:trPr>
          <w:trHeight w:val="240"/>
          <w:jc w:val="center"/>
        </w:trPr>
        <w:tc>
          <w:tcPr>
            <w:tcW w:w="4876" w:type="dxa"/>
            <w:tcBorders>
              <w:top w:val="nil"/>
              <w:left w:val="nil"/>
              <w:bottom w:val="nil"/>
              <w:right w:val="nil"/>
            </w:tcBorders>
          </w:tcPr>
          <w:p w14:paraId="1E630E4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9270BA3" w14:textId="77777777" w:rsidR="001D5F6D" w:rsidRPr="00641BDE" w:rsidRDefault="001D5F6D" w:rsidP="007C1C97">
            <w:pPr>
              <w:pStyle w:val="AmColumnHeading"/>
            </w:pPr>
            <w:r w:rsidRPr="00641BDE">
              <w:t>Poprawka</w:t>
            </w:r>
          </w:p>
        </w:tc>
      </w:tr>
      <w:tr w:rsidR="001D5F6D" w:rsidRPr="00641BDE" w14:paraId="4CF3153A" w14:textId="77777777" w:rsidTr="007C1C97">
        <w:trPr>
          <w:jc w:val="center"/>
        </w:trPr>
        <w:tc>
          <w:tcPr>
            <w:tcW w:w="4876" w:type="dxa"/>
            <w:tcBorders>
              <w:top w:val="nil"/>
              <w:left w:val="nil"/>
              <w:bottom w:val="nil"/>
              <w:right w:val="nil"/>
            </w:tcBorders>
          </w:tcPr>
          <w:p w14:paraId="088B5185" w14:textId="77777777" w:rsidR="001D5F6D" w:rsidRPr="00641BDE" w:rsidRDefault="001D5F6D" w:rsidP="007C1C97">
            <w:pPr>
              <w:pStyle w:val="Normal6a"/>
            </w:pPr>
          </w:p>
        </w:tc>
        <w:tc>
          <w:tcPr>
            <w:tcW w:w="4876" w:type="dxa"/>
            <w:tcBorders>
              <w:top w:val="nil"/>
              <w:left w:val="nil"/>
              <w:bottom w:val="nil"/>
              <w:right w:val="nil"/>
            </w:tcBorders>
          </w:tcPr>
          <w:p w14:paraId="63C30DBE" w14:textId="77777777" w:rsidR="001D5F6D" w:rsidRPr="00641BDE" w:rsidRDefault="001D5F6D" w:rsidP="007C1C97">
            <w:pPr>
              <w:pStyle w:val="Normal6a"/>
            </w:pPr>
            <w:r w:rsidRPr="00641BDE">
              <w:rPr>
                <w:b/>
                <w:i/>
              </w:rPr>
              <w:t>4a.</w:t>
            </w:r>
            <w:r w:rsidRPr="00641BDE">
              <w:tab/>
            </w:r>
            <w:r w:rsidRPr="00641BDE">
              <w:rPr>
                <w:b/>
                <w:i/>
              </w:rPr>
              <w:t>przypomina, że praworządność ma zastosowanie w równym stopniu do instytucji, organów, urzędów i agencji Unii, aby zagwarantować, że są one związane tymi samymi zasadami przejrzystości, rozliczalności i legalności, których wymaga się od państw członkowskich;</w:t>
            </w:r>
          </w:p>
        </w:tc>
      </w:tr>
    </w:tbl>
    <w:p w14:paraId="24823EC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3AFBABA" w14:textId="77777777" w:rsidR="001D5F6D" w:rsidRPr="00641BDE" w:rsidRDefault="001D5F6D" w:rsidP="001D5F6D">
      <w:r w:rsidRPr="00641BDE">
        <w:rPr>
          <w:rStyle w:val="HideTWBExt"/>
        </w:rPr>
        <w:t>&lt;/Amend&gt;</w:t>
      </w:r>
    </w:p>
    <w:p w14:paraId="326EC798"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23</w:t>
      </w:r>
      <w:r w:rsidRPr="00641BDE">
        <w:rPr>
          <w:rStyle w:val="HideTWBExt"/>
          <w:b w:val="0"/>
        </w:rPr>
        <w:t>&lt;/NumAm&gt;</w:t>
      </w:r>
    </w:p>
    <w:p w14:paraId="5EEBDB0C"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193F4A7B" w14:textId="77777777" w:rsidR="001D5F6D" w:rsidRPr="00641BDE" w:rsidRDefault="001D5F6D" w:rsidP="001D5F6D">
      <w:pPr>
        <w:pStyle w:val="NormalBold"/>
      </w:pPr>
      <w:r w:rsidRPr="00641BDE">
        <w:rPr>
          <w:rStyle w:val="HideTWBExt"/>
          <w:b w:val="0"/>
        </w:rPr>
        <w:t>&lt;/RepeatBlock-By&gt;</w:t>
      </w:r>
    </w:p>
    <w:p w14:paraId="2C19127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8E671DD" w14:textId="77777777" w:rsidR="001D5F6D" w:rsidRPr="00641BDE" w:rsidRDefault="001D5F6D" w:rsidP="001D5F6D">
      <w:pPr>
        <w:pStyle w:val="NormalBold"/>
      </w:pPr>
      <w:r w:rsidRPr="00641BDE">
        <w:rPr>
          <w:rStyle w:val="HideTWBExt"/>
          <w:b w:val="0"/>
        </w:rPr>
        <w:t>&lt;Article&gt;</w:t>
      </w:r>
      <w:r w:rsidRPr="00641BDE">
        <w:t>Ustęp 5</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DA52F22" w14:textId="77777777" w:rsidTr="007C1C97">
        <w:trPr>
          <w:trHeight w:hRule="exact" w:val="240"/>
          <w:jc w:val="center"/>
        </w:trPr>
        <w:tc>
          <w:tcPr>
            <w:tcW w:w="9752" w:type="dxa"/>
            <w:gridSpan w:val="2"/>
            <w:tcBorders>
              <w:top w:val="nil"/>
              <w:left w:val="nil"/>
              <w:bottom w:val="nil"/>
              <w:right w:val="nil"/>
            </w:tcBorders>
          </w:tcPr>
          <w:p w14:paraId="1BAB172F" w14:textId="77777777" w:rsidR="001D5F6D" w:rsidRPr="00641BDE" w:rsidRDefault="001D5F6D" w:rsidP="007C1C97"/>
        </w:tc>
      </w:tr>
      <w:tr w:rsidR="001D5F6D" w:rsidRPr="00641BDE" w14:paraId="776E1DBF" w14:textId="77777777" w:rsidTr="007C1C97">
        <w:trPr>
          <w:trHeight w:val="240"/>
          <w:jc w:val="center"/>
        </w:trPr>
        <w:tc>
          <w:tcPr>
            <w:tcW w:w="4876" w:type="dxa"/>
            <w:tcBorders>
              <w:top w:val="nil"/>
              <w:left w:val="nil"/>
              <w:bottom w:val="nil"/>
              <w:right w:val="nil"/>
            </w:tcBorders>
          </w:tcPr>
          <w:p w14:paraId="150DE2A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0BCD617" w14:textId="77777777" w:rsidR="001D5F6D" w:rsidRPr="00641BDE" w:rsidRDefault="001D5F6D" w:rsidP="007C1C97">
            <w:pPr>
              <w:pStyle w:val="AmColumnHeading"/>
            </w:pPr>
            <w:r w:rsidRPr="00641BDE">
              <w:t>Poprawka</w:t>
            </w:r>
          </w:p>
        </w:tc>
      </w:tr>
      <w:tr w:rsidR="001D5F6D" w:rsidRPr="00641BDE" w14:paraId="3F51235F" w14:textId="77777777" w:rsidTr="007C1C97">
        <w:trPr>
          <w:jc w:val="center"/>
        </w:trPr>
        <w:tc>
          <w:tcPr>
            <w:tcW w:w="4876" w:type="dxa"/>
            <w:tcBorders>
              <w:top w:val="nil"/>
              <w:left w:val="nil"/>
              <w:bottom w:val="nil"/>
              <w:right w:val="nil"/>
            </w:tcBorders>
          </w:tcPr>
          <w:p w14:paraId="56783015" w14:textId="77777777" w:rsidR="001D5F6D" w:rsidRPr="00641BDE" w:rsidRDefault="001D5F6D" w:rsidP="007C1C97">
            <w:pPr>
              <w:pStyle w:val="Normal6a"/>
            </w:pPr>
            <w:r w:rsidRPr="00641BDE">
              <w:t>5.</w:t>
            </w:r>
            <w:r w:rsidRPr="00641BDE">
              <w:tab/>
              <w:t xml:space="preserve">z niepokojem zauważa, że na przestrzeni lat unijnym agencjom zdecentralizowanym powierzano rosnącą liczbę zadań na mocy zmienionych rozporządzeń, nowych przepisów lub porozumień o poziomie usług oraz umów o przyznanie wkładu zawieranych z Komisją, często bez odpowiadających temu zasobów strukturalnych lub stałych stanowisk; podkreśla, że ten powtarzający się schemat powoduje presję operacyjną, która z kolei może przyczyniać się do słabości w zarządzaniu budżetem i rosnącej strukturalnej zależności od zewnętrznych wykonawców, zwłaszcza w dziedzinie technologii informacyjno-komunikacyjnych (ICT), </w:t>
            </w:r>
            <w:proofErr w:type="spellStart"/>
            <w:r w:rsidRPr="00641BDE">
              <w:t>cyberbezpieczeństwa</w:t>
            </w:r>
            <w:proofErr w:type="spellEnd"/>
            <w:r w:rsidRPr="00641BDE">
              <w:t xml:space="preserve"> i innych funkcji umożliwiających prowadzenie działalności operacyjnej; </w:t>
            </w:r>
            <w:r w:rsidRPr="00641BDE">
              <w:rPr>
                <w:b/>
                <w:i/>
              </w:rPr>
              <w:t>ostrzega</w:t>
            </w:r>
            <w:r w:rsidRPr="00641BDE">
              <w:t xml:space="preserve">, że </w:t>
            </w:r>
            <w:r w:rsidRPr="00641BDE">
              <w:rPr>
                <w:b/>
                <w:bCs/>
                <w:i/>
                <w:iCs/>
              </w:rPr>
              <w:t>taka długoterminowa</w:t>
            </w:r>
            <w:r w:rsidRPr="00641BDE">
              <w:t xml:space="preserve"> zależność </w:t>
            </w:r>
            <w:r w:rsidRPr="00641BDE">
              <w:rPr>
                <w:b/>
                <w:i/>
              </w:rPr>
              <w:t>może podważać zdolność instytucjonalną</w:t>
            </w:r>
            <w:r w:rsidRPr="00641BDE">
              <w:t xml:space="preserve">, </w:t>
            </w:r>
            <w:r w:rsidRPr="00641BDE">
              <w:rPr>
                <w:b/>
                <w:bCs/>
                <w:i/>
                <w:iCs/>
              </w:rPr>
              <w:t>ciągłość</w:t>
            </w:r>
            <w:r w:rsidRPr="00641BDE">
              <w:t xml:space="preserve"> i </w:t>
            </w:r>
            <w:r w:rsidRPr="00641BDE">
              <w:rPr>
                <w:b/>
                <w:bCs/>
                <w:i/>
                <w:iCs/>
              </w:rPr>
              <w:t>utrzymanie wiedzy, a także stwarzać ryzyko strukturalnej zależności od zewnętrznych dostawców oraz ograniczenia</w:t>
            </w:r>
            <w:r w:rsidRPr="00641BDE">
              <w:t xml:space="preserve"> autonomii operacyjnej;</w:t>
            </w:r>
          </w:p>
        </w:tc>
        <w:tc>
          <w:tcPr>
            <w:tcW w:w="4876" w:type="dxa"/>
            <w:tcBorders>
              <w:top w:val="nil"/>
              <w:left w:val="nil"/>
              <w:bottom w:val="nil"/>
              <w:right w:val="nil"/>
            </w:tcBorders>
          </w:tcPr>
          <w:p w14:paraId="5BD96DAB" w14:textId="77777777" w:rsidR="001D5F6D" w:rsidRPr="00641BDE" w:rsidRDefault="001D5F6D" w:rsidP="007C1C97">
            <w:pPr>
              <w:pStyle w:val="Normal6a"/>
            </w:pPr>
            <w:r w:rsidRPr="00641BDE">
              <w:t>5.</w:t>
            </w:r>
            <w:r w:rsidRPr="00641BDE">
              <w:tab/>
              <w:t xml:space="preserve">z niepokojem zauważa, że na przestrzeni lat unijnym agencjom zdecentralizowanym powierzano rosnącą liczbę zadań na mocy zmienionych rozporządzeń, nowych przepisów lub porozumień o poziomie usług oraz umów o przyznanie wkładu zawieranych z Komisją, często bez odpowiadających temu zasobów strukturalnych lub stałych stanowisk; podkreśla, że ten powtarzający się schemat powoduje presję operacyjną, która z kolei może przyczyniać się do słabości w zarządzaniu budżetem i rosnącej strukturalnej zależności od zewnętrznych wykonawców, zwłaszcza w dziedzinie technologii informacyjno-komunikacyjnych (ICT), </w:t>
            </w:r>
            <w:proofErr w:type="spellStart"/>
            <w:r w:rsidRPr="00641BDE">
              <w:t>cyberbezpieczeństwa</w:t>
            </w:r>
            <w:proofErr w:type="spellEnd"/>
            <w:r w:rsidRPr="00641BDE">
              <w:t xml:space="preserve"> i innych funkcji umożliwiających prowadzenie działalności operacyjnej; </w:t>
            </w:r>
            <w:r w:rsidRPr="00641BDE">
              <w:rPr>
                <w:b/>
                <w:bCs/>
                <w:i/>
                <w:iCs/>
              </w:rPr>
              <w:t>zauważa</w:t>
            </w:r>
            <w:r w:rsidRPr="00641BDE">
              <w:t xml:space="preserve">, że </w:t>
            </w:r>
            <w:r w:rsidRPr="00641BDE">
              <w:rPr>
                <w:b/>
                <w:i/>
              </w:rPr>
              <w:t>należy regularnie oceniać długoterminową</w:t>
            </w:r>
            <w:r w:rsidRPr="00641BDE">
              <w:t xml:space="preserve"> zależność </w:t>
            </w:r>
            <w:r w:rsidRPr="00641BDE">
              <w:rPr>
                <w:b/>
                <w:i/>
              </w:rPr>
              <w:t>od dostawców zewnętrznych, aby zapewnić zachowanie zdolności instytucjonalnej</w:t>
            </w:r>
            <w:r w:rsidRPr="00641BDE">
              <w:t xml:space="preserve">, </w:t>
            </w:r>
            <w:r w:rsidRPr="00641BDE">
              <w:rPr>
                <w:b/>
                <w:bCs/>
                <w:i/>
                <w:iCs/>
              </w:rPr>
              <w:t>ciągłości</w:t>
            </w:r>
            <w:r w:rsidRPr="00641BDE">
              <w:t xml:space="preserve"> i autonomii operacyjnej;</w:t>
            </w:r>
          </w:p>
        </w:tc>
      </w:tr>
    </w:tbl>
    <w:p w14:paraId="26C6BCB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142A414" w14:textId="77777777" w:rsidR="001D5F6D" w:rsidRPr="00641BDE" w:rsidRDefault="001D5F6D" w:rsidP="001D5F6D">
      <w:r w:rsidRPr="00641BDE">
        <w:rPr>
          <w:rStyle w:val="HideTWBExt"/>
        </w:rPr>
        <w:t>&lt;/Amend&gt;</w:t>
      </w:r>
    </w:p>
    <w:p w14:paraId="63DC82E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24</w:t>
      </w:r>
      <w:r w:rsidRPr="00641BDE">
        <w:rPr>
          <w:rStyle w:val="HideTWBExt"/>
          <w:b w:val="0"/>
        </w:rPr>
        <w:t>&lt;/NumAm&gt;</w:t>
      </w:r>
    </w:p>
    <w:p w14:paraId="1D9643C4"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28B26F00"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605920B3" w14:textId="77777777" w:rsidR="001D5F6D" w:rsidRPr="00641BDE" w:rsidRDefault="001D5F6D" w:rsidP="001D5F6D">
      <w:pPr>
        <w:pStyle w:val="NormalBold"/>
      </w:pPr>
      <w:r w:rsidRPr="00641BDE">
        <w:rPr>
          <w:rStyle w:val="HideTWBExt"/>
          <w:b w:val="0"/>
        </w:rPr>
        <w:t>&lt;/RepeatBlock-By&gt;</w:t>
      </w:r>
    </w:p>
    <w:p w14:paraId="56485ABA"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0CD7A65" w14:textId="77777777" w:rsidR="001D5F6D" w:rsidRPr="00641BDE" w:rsidRDefault="001D5F6D" w:rsidP="001D5F6D">
      <w:pPr>
        <w:pStyle w:val="NormalBold"/>
      </w:pPr>
      <w:r w:rsidRPr="00641BDE">
        <w:rPr>
          <w:rStyle w:val="HideTWBExt"/>
          <w:b w:val="0"/>
        </w:rPr>
        <w:t>&lt;Article&gt;</w:t>
      </w:r>
      <w:r w:rsidRPr="00641BDE">
        <w:t>Ustęp 5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6C42173" w14:textId="77777777" w:rsidTr="007C1C97">
        <w:trPr>
          <w:trHeight w:hRule="exact" w:val="240"/>
          <w:jc w:val="center"/>
        </w:trPr>
        <w:tc>
          <w:tcPr>
            <w:tcW w:w="9752" w:type="dxa"/>
            <w:gridSpan w:val="2"/>
            <w:tcBorders>
              <w:top w:val="nil"/>
              <w:left w:val="nil"/>
              <w:bottom w:val="nil"/>
              <w:right w:val="nil"/>
            </w:tcBorders>
          </w:tcPr>
          <w:p w14:paraId="55DD52F3" w14:textId="77777777" w:rsidR="001D5F6D" w:rsidRPr="00641BDE" w:rsidRDefault="001D5F6D" w:rsidP="007C1C97"/>
        </w:tc>
      </w:tr>
      <w:tr w:rsidR="001D5F6D" w:rsidRPr="00641BDE" w14:paraId="20ABC681" w14:textId="77777777" w:rsidTr="007C1C97">
        <w:trPr>
          <w:trHeight w:val="240"/>
          <w:jc w:val="center"/>
        </w:trPr>
        <w:tc>
          <w:tcPr>
            <w:tcW w:w="4876" w:type="dxa"/>
            <w:tcBorders>
              <w:top w:val="nil"/>
              <w:left w:val="nil"/>
              <w:bottom w:val="nil"/>
              <w:right w:val="nil"/>
            </w:tcBorders>
          </w:tcPr>
          <w:p w14:paraId="4D44053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5888038" w14:textId="77777777" w:rsidR="001D5F6D" w:rsidRPr="00641BDE" w:rsidRDefault="001D5F6D" w:rsidP="007C1C97">
            <w:pPr>
              <w:pStyle w:val="AmColumnHeading"/>
            </w:pPr>
            <w:r w:rsidRPr="00641BDE">
              <w:t>Poprawka</w:t>
            </w:r>
          </w:p>
        </w:tc>
      </w:tr>
      <w:tr w:rsidR="001D5F6D" w:rsidRPr="00641BDE" w14:paraId="08F07107" w14:textId="77777777" w:rsidTr="007C1C97">
        <w:trPr>
          <w:jc w:val="center"/>
        </w:trPr>
        <w:tc>
          <w:tcPr>
            <w:tcW w:w="4876" w:type="dxa"/>
            <w:tcBorders>
              <w:top w:val="nil"/>
              <w:left w:val="nil"/>
              <w:bottom w:val="nil"/>
              <w:right w:val="nil"/>
            </w:tcBorders>
          </w:tcPr>
          <w:p w14:paraId="78EAF463" w14:textId="77777777" w:rsidR="001D5F6D" w:rsidRPr="00641BDE" w:rsidRDefault="001D5F6D" w:rsidP="007C1C97">
            <w:pPr>
              <w:pStyle w:val="Normal6a"/>
            </w:pPr>
          </w:p>
        </w:tc>
        <w:tc>
          <w:tcPr>
            <w:tcW w:w="4876" w:type="dxa"/>
            <w:tcBorders>
              <w:top w:val="nil"/>
              <w:left w:val="nil"/>
              <w:bottom w:val="nil"/>
              <w:right w:val="nil"/>
            </w:tcBorders>
          </w:tcPr>
          <w:p w14:paraId="68AE7CA3" w14:textId="77777777" w:rsidR="001D5F6D" w:rsidRPr="00641BDE" w:rsidRDefault="001D5F6D" w:rsidP="007C1C97">
            <w:pPr>
              <w:pStyle w:val="Normal6a"/>
            </w:pPr>
            <w:r w:rsidRPr="00641BDE">
              <w:rPr>
                <w:b/>
                <w:i/>
              </w:rPr>
              <w:t>5a.</w:t>
            </w:r>
            <w:r w:rsidRPr="00641BDE">
              <w:tab/>
            </w:r>
            <w:r w:rsidRPr="00641BDE">
              <w:rPr>
                <w:b/>
                <w:i/>
              </w:rPr>
              <w:t>wzywa agencje do zmniejszenia strukturalnej zależności od konsultantów zewnętrznych, w szczególności w odniesieniu do podstawowych funkcji; podkreśla, że nadmierny outsourcing osłabia pamięć instytucjonalną, rozliczalność i opłacalność; wzywa Komisję, by zapewniła agencjom odpowiedni personel do wykonywania ich mandatów we własnym zakresie;</w:t>
            </w:r>
          </w:p>
        </w:tc>
      </w:tr>
    </w:tbl>
    <w:p w14:paraId="0B2CDE0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34E8D21" w14:textId="77777777" w:rsidR="001D5F6D" w:rsidRPr="00641BDE" w:rsidRDefault="001D5F6D" w:rsidP="001D5F6D">
      <w:r w:rsidRPr="00641BDE">
        <w:rPr>
          <w:rStyle w:val="HideTWBExt"/>
        </w:rPr>
        <w:t>&lt;/Amend&gt;</w:t>
      </w:r>
    </w:p>
    <w:p w14:paraId="23D104D0"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25</w:t>
      </w:r>
      <w:r w:rsidRPr="00641BDE">
        <w:rPr>
          <w:rStyle w:val="HideTWBExt"/>
          <w:b w:val="0"/>
        </w:rPr>
        <w:t>&lt;/NumAm&gt;</w:t>
      </w:r>
    </w:p>
    <w:p w14:paraId="24B256DD" w14:textId="77777777" w:rsidR="001D5F6D" w:rsidRPr="00641BDE" w:rsidRDefault="001D5F6D" w:rsidP="001D5F6D">
      <w:pPr>
        <w:pStyle w:val="NormalBold"/>
      </w:pPr>
      <w:r w:rsidRPr="00641BDE">
        <w:rPr>
          <w:rStyle w:val="HideTWBExt"/>
          <w:b w:val="0"/>
        </w:rPr>
        <w:t>&lt;RepeatBlock-By&gt;&lt;Members&gt;</w:t>
      </w:r>
      <w:proofErr w:type="spellStart"/>
      <w:r w:rsidRPr="00641BDE">
        <w:t>Jonas</w:t>
      </w:r>
      <w:proofErr w:type="spellEnd"/>
      <w:r w:rsidRPr="00641BDE">
        <w:t xml:space="preserve"> </w:t>
      </w:r>
      <w:proofErr w:type="spellStart"/>
      <w:r w:rsidRPr="00641BDE">
        <w:t>Sjöstedt</w:t>
      </w:r>
      <w:proofErr w:type="spellEnd"/>
      <w:r w:rsidRPr="00641BDE">
        <w:rPr>
          <w:rStyle w:val="HideTWBExt"/>
          <w:b w:val="0"/>
        </w:rPr>
        <w:t>&lt;/Members&gt;</w:t>
      </w:r>
    </w:p>
    <w:p w14:paraId="68BB11B5" w14:textId="77777777" w:rsidR="001D5F6D" w:rsidRPr="00641BDE" w:rsidRDefault="001D5F6D" w:rsidP="001D5F6D">
      <w:pPr>
        <w:pStyle w:val="NormalBold"/>
      </w:pPr>
      <w:r w:rsidRPr="00641BDE">
        <w:rPr>
          <w:rStyle w:val="HideTWBExt"/>
          <w:b w:val="0"/>
        </w:rPr>
        <w:t>&lt;/RepeatBlock-By&gt;</w:t>
      </w:r>
    </w:p>
    <w:p w14:paraId="6BA33A2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FFAA522" w14:textId="77777777" w:rsidR="001D5F6D" w:rsidRPr="00641BDE" w:rsidRDefault="001D5F6D" w:rsidP="001D5F6D">
      <w:pPr>
        <w:pStyle w:val="NormalBold"/>
      </w:pPr>
      <w:r w:rsidRPr="00641BDE">
        <w:rPr>
          <w:rStyle w:val="HideTWBExt"/>
          <w:b w:val="0"/>
        </w:rPr>
        <w:t>&lt;Article&gt;</w:t>
      </w:r>
      <w:r w:rsidRPr="00641BDE">
        <w:t>Ustęp 5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29C6170" w14:textId="77777777" w:rsidTr="007C1C97">
        <w:trPr>
          <w:trHeight w:hRule="exact" w:val="240"/>
          <w:jc w:val="center"/>
        </w:trPr>
        <w:tc>
          <w:tcPr>
            <w:tcW w:w="9752" w:type="dxa"/>
            <w:gridSpan w:val="2"/>
            <w:tcBorders>
              <w:top w:val="nil"/>
              <w:left w:val="nil"/>
              <w:bottom w:val="nil"/>
              <w:right w:val="nil"/>
            </w:tcBorders>
          </w:tcPr>
          <w:p w14:paraId="7D9E07C1" w14:textId="77777777" w:rsidR="001D5F6D" w:rsidRPr="00641BDE" w:rsidRDefault="001D5F6D" w:rsidP="007C1C97"/>
        </w:tc>
      </w:tr>
      <w:tr w:rsidR="001D5F6D" w:rsidRPr="00641BDE" w14:paraId="5F70C6DD" w14:textId="77777777" w:rsidTr="007C1C97">
        <w:trPr>
          <w:trHeight w:val="240"/>
          <w:jc w:val="center"/>
        </w:trPr>
        <w:tc>
          <w:tcPr>
            <w:tcW w:w="4876" w:type="dxa"/>
            <w:tcBorders>
              <w:top w:val="nil"/>
              <w:left w:val="nil"/>
              <w:bottom w:val="nil"/>
              <w:right w:val="nil"/>
            </w:tcBorders>
          </w:tcPr>
          <w:p w14:paraId="3452D5F0"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8E62044" w14:textId="77777777" w:rsidR="001D5F6D" w:rsidRPr="00641BDE" w:rsidRDefault="001D5F6D" w:rsidP="007C1C97">
            <w:pPr>
              <w:pStyle w:val="AmColumnHeading"/>
            </w:pPr>
            <w:r w:rsidRPr="00641BDE">
              <w:t>Poprawka</w:t>
            </w:r>
          </w:p>
        </w:tc>
      </w:tr>
      <w:tr w:rsidR="001D5F6D" w:rsidRPr="00641BDE" w14:paraId="2BDC94F6" w14:textId="77777777" w:rsidTr="007C1C97">
        <w:trPr>
          <w:jc w:val="center"/>
        </w:trPr>
        <w:tc>
          <w:tcPr>
            <w:tcW w:w="4876" w:type="dxa"/>
            <w:tcBorders>
              <w:top w:val="nil"/>
              <w:left w:val="nil"/>
              <w:bottom w:val="nil"/>
              <w:right w:val="nil"/>
            </w:tcBorders>
          </w:tcPr>
          <w:p w14:paraId="0489F749" w14:textId="77777777" w:rsidR="001D5F6D" w:rsidRPr="00641BDE" w:rsidRDefault="001D5F6D" w:rsidP="007C1C97">
            <w:pPr>
              <w:pStyle w:val="Normal6a"/>
            </w:pPr>
          </w:p>
        </w:tc>
        <w:tc>
          <w:tcPr>
            <w:tcW w:w="4876" w:type="dxa"/>
            <w:tcBorders>
              <w:top w:val="nil"/>
              <w:left w:val="nil"/>
              <w:bottom w:val="nil"/>
              <w:right w:val="nil"/>
            </w:tcBorders>
          </w:tcPr>
          <w:p w14:paraId="3BE06DAF" w14:textId="77777777" w:rsidR="001D5F6D" w:rsidRPr="00641BDE" w:rsidRDefault="001D5F6D" w:rsidP="007C1C97">
            <w:pPr>
              <w:pStyle w:val="Normal6a"/>
            </w:pPr>
            <w:r w:rsidRPr="00641BDE">
              <w:rPr>
                <w:b/>
                <w:i/>
              </w:rPr>
              <w:t>5a.</w:t>
            </w:r>
            <w:r w:rsidRPr="00641BDE">
              <w:tab/>
            </w:r>
            <w:r w:rsidRPr="00641BDE">
              <w:rPr>
                <w:b/>
                <w:i/>
              </w:rPr>
              <w:t xml:space="preserve">zauważa, że korzystanie z usług wykonawców zewnętrznych i podmiotów prywatnych w dziedzinach technologii informacyjno-komunikacyjnych oraz </w:t>
            </w:r>
            <w:proofErr w:type="spellStart"/>
            <w:r w:rsidRPr="00641BDE">
              <w:rPr>
                <w:b/>
                <w:i/>
              </w:rPr>
              <w:t>cyberbezpieczeństwa</w:t>
            </w:r>
            <w:proofErr w:type="spellEnd"/>
            <w:r w:rsidRPr="00641BDE">
              <w:rPr>
                <w:b/>
                <w:i/>
              </w:rPr>
              <w:t xml:space="preserve"> może zagrażać niezależności agencji UE, a jednocześnie osłabiać suwerenność cyfrową UE i integralność osobistą obywateli;</w:t>
            </w:r>
          </w:p>
        </w:tc>
      </w:tr>
    </w:tbl>
    <w:p w14:paraId="484B78A9"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260B653" w14:textId="77777777" w:rsidR="001D5F6D" w:rsidRPr="00641BDE" w:rsidRDefault="001D5F6D" w:rsidP="001D5F6D">
      <w:r w:rsidRPr="00641BDE">
        <w:rPr>
          <w:rStyle w:val="HideTWBExt"/>
        </w:rPr>
        <w:t>&lt;/Amend&gt;</w:t>
      </w:r>
    </w:p>
    <w:p w14:paraId="6075436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26</w:t>
      </w:r>
      <w:r w:rsidRPr="00641BDE">
        <w:rPr>
          <w:rStyle w:val="HideTWBExt"/>
          <w:b w:val="0"/>
        </w:rPr>
        <w:t>&lt;/NumAm&gt;</w:t>
      </w:r>
    </w:p>
    <w:p w14:paraId="0DA8B57F"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1C477725"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7CB28E25" w14:textId="77777777" w:rsidR="001D5F6D" w:rsidRPr="00641BDE" w:rsidRDefault="001D5F6D" w:rsidP="001D5F6D">
      <w:pPr>
        <w:pStyle w:val="NormalBold"/>
      </w:pPr>
      <w:r w:rsidRPr="00641BDE">
        <w:rPr>
          <w:rStyle w:val="HideTWBExt"/>
          <w:b w:val="0"/>
        </w:rPr>
        <w:t>&lt;/RepeatBlock-By&gt;</w:t>
      </w:r>
    </w:p>
    <w:p w14:paraId="69041B1F"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D9173DD" w14:textId="77777777" w:rsidR="001D5F6D" w:rsidRPr="00641BDE" w:rsidRDefault="001D5F6D" w:rsidP="001D5F6D">
      <w:pPr>
        <w:pStyle w:val="NormalBold"/>
      </w:pPr>
      <w:r w:rsidRPr="00641BDE">
        <w:rPr>
          <w:rStyle w:val="HideTWBExt"/>
          <w:b w:val="0"/>
        </w:rPr>
        <w:t>&lt;Article&gt;</w:t>
      </w:r>
      <w:r w:rsidRPr="00641BDE">
        <w:t>Ustęp 5 b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59A8A2E" w14:textId="77777777" w:rsidTr="007C1C97">
        <w:trPr>
          <w:trHeight w:hRule="exact" w:val="240"/>
          <w:jc w:val="center"/>
        </w:trPr>
        <w:tc>
          <w:tcPr>
            <w:tcW w:w="9752" w:type="dxa"/>
            <w:gridSpan w:val="2"/>
            <w:tcBorders>
              <w:top w:val="nil"/>
              <w:left w:val="nil"/>
              <w:bottom w:val="nil"/>
              <w:right w:val="nil"/>
            </w:tcBorders>
          </w:tcPr>
          <w:p w14:paraId="3016CBF0" w14:textId="77777777" w:rsidR="001D5F6D" w:rsidRPr="00641BDE" w:rsidRDefault="001D5F6D" w:rsidP="007C1C97"/>
        </w:tc>
      </w:tr>
      <w:tr w:rsidR="001D5F6D" w:rsidRPr="00641BDE" w14:paraId="6B3C13EB" w14:textId="77777777" w:rsidTr="007C1C97">
        <w:trPr>
          <w:trHeight w:val="240"/>
          <w:jc w:val="center"/>
        </w:trPr>
        <w:tc>
          <w:tcPr>
            <w:tcW w:w="4876" w:type="dxa"/>
            <w:tcBorders>
              <w:top w:val="nil"/>
              <w:left w:val="nil"/>
              <w:bottom w:val="nil"/>
              <w:right w:val="nil"/>
            </w:tcBorders>
          </w:tcPr>
          <w:p w14:paraId="44B3F84D"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74989E6" w14:textId="77777777" w:rsidR="001D5F6D" w:rsidRPr="00641BDE" w:rsidRDefault="001D5F6D" w:rsidP="007C1C97">
            <w:pPr>
              <w:pStyle w:val="AmColumnHeading"/>
            </w:pPr>
            <w:r w:rsidRPr="00641BDE">
              <w:t>Poprawka</w:t>
            </w:r>
          </w:p>
        </w:tc>
      </w:tr>
      <w:tr w:rsidR="001D5F6D" w:rsidRPr="00641BDE" w14:paraId="24441CD4" w14:textId="77777777" w:rsidTr="007C1C97">
        <w:trPr>
          <w:jc w:val="center"/>
        </w:trPr>
        <w:tc>
          <w:tcPr>
            <w:tcW w:w="4876" w:type="dxa"/>
            <w:tcBorders>
              <w:top w:val="nil"/>
              <w:left w:val="nil"/>
              <w:bottom w:val="nil"/>
              <w:right w:val="nil"/>
            </w:tcBorders>
          </w:tcPr>
          <w:p w14:paraId="7AD516A1" w14:textId="77777777" w:rsidR="001D5F6D" w:rsidRPr="00641BDE" w:rsidRDefault="001D5F6D" w:rsidP="007C1C97">
            <w:pPr>
              <w:pStyle w:val="Normal6a"/>
            </w:pPr>
          </w:p>
        </w:tc>
        <w:tc>
          <w:tcPr>
            <w:tcW w:w="4876" w:type="dxa"/>
            <w:tcBorders>
              <w:top w:val="nil"/>
              <w:left w:val="nil"/>
              <w:bottom w:val="nil"/>
              <w:right w:val="nil"/>
            </w:tcBorders>
          </w:tcPr>
          <w:p w14:paraId="5BD20CDB" w14:textId="77777777" w:rsidR="001D5F6D" w:rsidRPr="00641BDE" w:rsidRDefault="001D5F6D" w:rsidP="007C1C97">
            <w:pPr>
              <w:pStyle w:val="Normal6a"/>
            </w:pPr>
            <w:r w:rsidRPr="00641BDE">
              <w:rPr>
                <w:b/>
                <w:i/>
              </w:rPr>
              <w:t>5b.</w:t>
            </w:r>
            <w:r w:rsidRPr="00641BDE">
              <w:tab/>
            </w:r>
            <w:r w:rsidRPr="00641BDE">
              <w:rPr>
                <w:b/>
                <w:i/>
              </w:rPr>
              <w:t>zauważa, że niedociągnięcia w zakresie praworządności w niektórych państwach członkowskich, w tym osłabiona niezależność sądownictwa oraz zdolność w zakresie prowadzenia postępowań przygotowawczych i ścigania przestępstw, mogą podważać ramy współpracy agencji, wiarygodność danych i integralność operacyjną; wzywa Komisję, by oceniła te zagrożenia i zajęła się nimi przy przydzielaniu zadań i zasobów agencjom;</w:t>
            </w:r>
          </w:p>
        </w:tc>
      </w:tr>
    </w:tbl>
    <w:p w14:paraId="6412C0BD"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E78F6B1" w14:textId="77777777" w:rsidR="001D5F6D" w:rsidRPr="00641BDE" w:rsidRDefault="001D5F6D" w:rsidP="001D5F6D">
      <w:r w:rsidRPr="00641BDE">
        <w:rPr>
          <w:rStyle w:val="HideTWBExt"/>
        </w:rPr>
        <w:t>&lt;/Amend&gt;</w:t>
      </w:r>
    </w:p>
    <w:p w14:paraId="7AA296A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27</w:t>
      </w:r>
      <w:r w:rsidRPr="00641BDE">
        <w:rPr>
          <w:rStyle w:val="HideTWBExt"/>
          <w:b w:val="0"/>
        </w:rPr>
        <w:t>&lt;/NumAm&gt;</w:t>
      </w:r>
    </w:p>
    <w:p w14:paraId="4A7B7D68"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7E86E3B5" w14:textId="77777777" w:rsidR="001D5F6D" w:rsidRPr="00641BDE" w:rsidRDefault="001D5F6D" w:rsidP="001D5F6D">
      <w:pPr>
        <w:pStyle w:val="NormalBold"/>
      </w:pPr>
      <w:r w:rsidRPr="00641BDE">
        <w:rPr>
          <w:rStyle w:val="HideTWBExt"/>
          <w:b w:val="0"/>
        </w:rPr>
        <w:t>&lt;/RepeatBlock-By&gt;</w:t>
      </w:r>
    </w:p>
    <w:p w14:paraId="17DA8A4C"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5F83CAF" w14:textId="77777777" w:rsidR="001D5F6D" w:rsidRPr="00641BDE" w:rsidRDefault="001D5F6D" w:rsidP="001D5F6D">
      <w:pPr>
        <w:pStyle w:val="NormalBold"/>
      </w:pPr>
      <w:r w:rsidRPr="00641BDE">
        <w:rPr>
          <w:rStyle w:val="HideTWBExt"/>
          <w:b w:val="0"/>
        </w:rPr>
        <w:t>&lt;Article&gt;</w:t>
      </w:r>
      <w:r w:rsidRPr="00641BDE">
        <w:t>Ustęp 6</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A7C77E7" w14:textId="77777777" w:rsidTr="007C1C97">
        <w:trPr>
          <w:trHeight w:hRule="exact" w:val="240"/>
          <w:jc w:val="center"/>
        </w:trPr>
        <w:tc>
          <w:tcPr>
            <w:tcW w:w="9752" w:type="dxa"/>
            <w:gridSpan w:val="2"/>
            <w:tcBorders>
              <w:top w:val="nil"/>
              <w:left w:val="nil"/>
              <w:bottom w:val="nil"/>
              <w:right w:val="nil"/>
            </w:tcBorders>
          </w:tcPr>
          <w:p w14:paraId="0F3CCC76" w14:textId="77777777" w:rsidR="001D5F6D" w:rsidRPr="00641BDE" w:rsidRDefault="001D5F6D" w:rsidP="007C1C97"/>
        </w:tc>
      </w:tr>
      <w:tr w:rsidR="001D5F6D" w:rsidRPr="00641BDE" w14:paraId="143581E2" w14:textId="77777777" w:rsidTr="007C1C97">
        <w:trPr>
          <w:trHeight w:val="240"/>
          <w:jc w:val="center"/>
        </w:trPr>
        <w:tc>
          <w:tcPr>
            <w:tcW w:w="4876" w:type="dxa"/>
            <w:tcBorders>
              <w:top w:val="nil"/>
              <w:left w:val="nil"/>
              <w:bottom w:val="nil"/>
              <w:right w:val="nil"/>
            </w:tcBorders>
          </w:tcPr>
          <w:p w14:paraId="041092C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ADB2560" w14:textId="77777777" w:rsidR="001D5F6D" w:rsidRPr="00641BDE" w:rsidRDefault="001D5F6D" w:rsidP="007C1C97">
            <w:pPr>
              <w:pStyle w:val="AmColumnHeading"/>
            </w:pPr>
            <w:r w:rsidRPr="00641BDE">
              <w:t>Poprawka</w:t>
            </w:r>
          </w:p>
        </w:tc>
      </w:tr>
      <w:tr w:rsidR="001D5F6D" w:rsidRPr="00641BDE" w14:paraId="6362518E" w14:textId="77777777" w:rsidTr="007C1C97">
        <w:trPr>
          <w:jc w:val="center"/>
        </w:trPr>
        <w:tc>
          <w:tcPr>
            <w:tcW w:w="4876" w:type="dxa"/>
            <w:tcBorders>
              <w:top w:val="nil"/>
              <w:left w:val="nil"/>
              <w:bottom w:val="nil"/>
              <w:right w:val="nil"/>
            </w:tcBorders>
          </w:tcPr>
          <w:p w14:paraId="63C482CE" w14:textId="77777777" w:rsidR="001D5F6D" w:rsidRPr="00641BDE" w:rsidRDefault="001D5F6D" w:rsidP="007C1C97">
            <w:pPr>
              <w:pStyle w:val="Normal6a"/>
            </w:pPr>
            <w:r w:rsidRPr="00641BDE">
              <w:t>6.</w:t>
            </w:r>
            <w:r w:rsidRPr="00641BDE">
              <w:tab/>
              <w:t xml:space="preserve">podkreśla, że przejrzystość, solidne mechanizmy kontroli konfliktu interesów oraz jasne zasady regulujące kontakty z zainteresowanymi stronami stanowią podstawowe zabezpieczenia niezależności, wiarygodności i rozliczalności unijnych agencji zdecentralizowanych; </w:t>
            </w:r>
            <w:r w:rsidRPr="00641BDE">
              <w:rPr>
                <w:b/>
                <w:i/>
              </w:rPr>
              <w:t>zaznacza, że wiele agencji działa w sektorach, w których ścisła współpraca z przemysłem, firmami doradczymi, ekspertami technicznymi, organizacjami pozarządowymi (NGO) lub partnerami zewnętrznymi jest konieczna, jednak nadal występuje ryzyko nieuzasadnionego wpływu, niewyważonych konsultacji lub braku przejrzystości;</w:t>
            </w:r>
            <w:r w:rsidRPr="00641BDE">
              <w:t xml:space="preserve"> podkreśla, że przejrzyste procedury, publiczne ujawnianie informacji o spotkaniach, wyważony i przejrzysty dobór ekspertów oraz ciągła weryfikacja konfliktów interesów są niezbędne, aby decyzje agencji opierały się </w:t>
            </w:r>
            <w:r w:rsidRPr="00641BDE">
              <w:rPr>
                <w:b/>
                <w:i/>
              </w:rPr>
              <w:t>wyłącznie na obiektywnych dowodach oraz</w:t>
            </w:r>
            <w:r w:rsidRPr="00641BDE">
              <w:t xml:space="preserve"> na ogólnym interesie Unii; wzywa wszystkie agencje do ustanowienia i egzekwowania takich środków;</w:t>
            </w:r>
          </w:p>
        </w:tc>
        <w:tc>
          <w:tcPr>
            <w:tcW w:w="4876" w:type="dxa"/>
            <w:tcBorders>
              <w:top w:val="nil"/>
              <w:left w:val="nil"/>
              <w:bottom w:val="nil"/>
              <w:right w:val="nil"/>
            </w:tcBorders>
          </w:tcPr>
          <w:p w14:paraId="04DB1286" w14:textId="77777777" w:rsidR="001D5F6D" w:rsidRPr="00641BDE" w:rsidRDefault="001D5F6D" w:rsidP="007C1C97">
            <w:pPr>
              <w:pStyle w:val="Normal6a"/>
            </w:pPr>
            <w:r w:rsidRPr="00641BDE">
              <w:t>6.</w:t>
            </w:r>
            <w:r w:rsidRPr="00641BDE">
              <w:tab/>
              <w:t>podkreśla, że przejrzystość, solidne mechanizmy kontroli konfliktu interesów oraz jasne zasady regulujące kontakty z zainteresowanymi stronami stanowią podstawowe zabezpieczenia niezależności, wiarygodności i rozliczalności unijnych agencji zdecentralizowanych; podkreśla, że przejrzyste procedury, publiczne ujawnianie informacji o spotkaniach, wyważony i przejrzysty dobór ekspertów oraz ciągła weryfikacja konfliktów interesów są niezbędne, aby decyzje agencji opierały się na ogólnym interesie Unii; wzywa wszystkie agencje do ustanowienia i egzekwowania takich środków;</w:t>
            </w:r>
          </w:p>
        </w:tc>
      </w:tr>
    </w:tbl>
    <w:p w14:paraId="4DDF9B3D"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6534728" w14:textId="77777777" w:rsidR="001D5F6D" w:rsidRPr="00641BDE" w:rsidRDefault="001D5F6D" w:rsidP="001D5F6D">
      <w:r w:rsidRPr="00641BDE">
        <w:rPr>
          <w:rStyle w:val="HideTWBExt"/>
        </w:rPr>
        <w:t>&lt;/Amend&gt;</w:t>
      </w:r>
    </w:p>
    <w:p w14:paraId="3283746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28</w:t>
      </w:r>
      <w:r w:rsidRPr="00641BDE">
        <w:rPr>
          <w:rStyle w:val="HideTWBExt"/>
          <w:b w:val="0"/>
        </w:rPr>
        <w:t>&lt;/NumAm&gt;</w:t>
      </w:r>
    </w:p>
    <w:p w14:paraId="78160FEC"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016DD5E3" w14:textId="77777777" w:rsidR="001D5F6D" w:rsidRPr="00641BDE" w:rsidRDefault="001D5F6D" w:rsidP="001D5F6D">
      <w:pPr>
        <w:pStyle w:val="NormalBold"/>
      </w:pPr>
      <w:r w:rsidRPr="00641BDE">
        <w:rPr>
          <w:rStyle w:val="HideTWBExt"/>
          <w:b w:val="0"/>
        </w:rPr>
        <w:t>&lt;/RepeatBlock-By&gt;</w:t>
      </w:r>
    </w:p>
    <w:p w14:paraId="6DB31065"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988F5F8" w14:textId="77777777" w:rsidR="001D5F6D" w:rsidRPr="00641BDE" w:rsidRDefault="001D5F6D" w:rsidP="001D5F6D">
      <w:pPr>
        <w:pStyle w:val="NormalBold"/>
      </w:pPr>
      <w:r w:rsidRPr="00641BDE">
        <w:rPr>
          <w:rStyle w:val="HideTWBExt"/>
          <w:b w:val="0"/>
        </w:rPr>
        <w:t>&lt;Article&gt;</w:t>
      </w:r>
      <w:r w:rsidRPr="00641BDE">
        <w:t>Ustęp 6</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A8AF546" w14:textId="77777777" w:rsidTr="007C1C97">
        <w:trPr>
          <w:trHeight w:hRule="exact" w:val="240"/>
          <w:jc w:val="center"/>
        </w:trPr>
        <w:tc>
          <w:tcPr>
            <w:tcW w:w="9752" w:type="dxa"/>
            <w:gridSpan w:val="2"/>
            <w:tcBorders>
              <w:top w:val="nil"/>
              <w:left w:val="nil"/>
              <w:bottom w:val="nil"/>
              <w:right w:val="nil"/>
            </w:tcBorders>
          </w:tcPr>
          <w:p w14:paraId="6650F319" w14:textId="77777777" w:rsidR="001D5F6D" w:rsidRPr="00641BDE" w:rsidRDefault="001D5F6D" w:rsidP="007C1C97"/>
        </w:tc>
      </w:tr>
      <w:tr w:rsidR="001D5F6D" w:rsidRPr="00641BDE" w14:paraId="154D4500" w14:textId="77777777" w:rsidTr="007C1C97">
        <w:trPr>
          <w:trHeight w:val="240"/>
          <w:jc w:val="center"/>
        </w:trPr>
        <w:tc>
          <w:tcPr>
            <w:tcW w:w="4876" w:type="dxa"/>
            <w:tcBorders>
              <w:top w:val="nil"/>
              <w:left w:val="nil"/>
              <w:bottom w:val="nil"/>
              <w:right w:val="nil"/>
            </w:tcBorders>
          </w:tcPr>
          <w:p w14:paraId="4FF06D8C"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5A77C02" w14:textId="77777777" w:rsidR="001D5F6D" w:rsidRPr="00641BDE" w:rsidRDefault="001D5F6D" w:rsidP="007C1C97">
            <w:pPr>
              <w:pStyle w:val="AmColumnHeading"/>
            </w:pPr>
            <w:r w:rsidRPr="00641BDE">
              <w:t>Poprawka</w:t>
            </w:r>
          </w:p>
        </w:tc>
      </w:tr>
      <w:tr w:rsidR="001D5F6D" w:rsidRPr="00641BDE" w14:paraId="35089250" w14:textId="77777777" w:rsidTr="007C1C97">
        <w:trPr>
          <w:jc w:val="center"/>
        </w:trPr>
        <w:tc>
          <w:tcPr>
            <w:tcW w:w="4876" w:type="dxa"/>
            <w:tcBorders>
              <w:top w:val="nil"/>
              <w:left w:val="nil"/>
              <w:bottom w:val="nil"/>
              <w:right w:val="nil"/>
            </w:tcBorders>
          </w:tcPr>
          <w:p w14:paraId="505CD688" w14:textId="77777777" w:rsidR="001D5F6D" w:rsidRPr="00641BDE" w:rsidRDefault="001D5F6D" w:rsidP="007C1C97">
            <w:pPr>
              <w:pStyle w:val="Normal6a"/>
            </w:pPr>
            <w:r w:rsidRPr="00641BDE">
              <w:t>6.</w:t>
            </w:r>
            <w:r w:rsidRPr="00641BDE">
              <w:tab/>
              <w:t xml:space="preserve">podkreśla, że przejrzystość, solidne mechanizmy kontroli konfliktu interesów oraz jasne zasady regulujące kontakty z zainteresowanymi stronami stanowią podstawowe zabezpieczenia niezależności, wiarygodności i rozliczalności unijnych agencji zdecentralizowanych; zaznacza, że wiele agencji działa w sektorach, w których ścisła współpraca z przemysłem, firmami doradczymi, ekspertami technicznymi, organizacjami pozarządowymi (NGO) lub partnerami zewnętrznymi jest konieczna, jednak nadal występuje ryzyko nieuzasadnionego wpływu, niewyważonych konsultacji lub braku przejrzystości; podkreśla, że przejrzyste procedury, publiczne ujawnianie informacji o spotkaniach, </w:t>
            </w:r>
            <w:r w:rsidRPr="00641BDE">
              <w:rPr>
                <w:b/>
                <w:i/>
              </w:rPr>
              <w:t>wyważony</w:t>
            </w:r>
            <w:r w:rsidRPr="00641BDE">
              <w:t xml:space="preserve"> i przejrzysty dobór ekspertów oraz ciągła weryfikacja konfliktów interesów są niezbędne, aby decyzje agencji opierały się wyłącznie na obiektywnych dowodach oraz na ogólnym interesie Unii; wzywa wszystkie agencje do ustanowienia i egzekwowania takich środków;</w:t>
            </w:r>
          </w:p>
        </w:tc>
        <w:tc>
          <w:tcPr>
            <w:tcW w:w="4876" w:type="dxa"/>
            <w:tcBorders>
              <w:top w:val="nil"/>
              <w:left w:val="nil"/>
              <w:bottom w:val="nil"/>
              <w:right w:val="nil"/>
            </w:tcBorders>
          </w:tcPr>
          <w:p w14:paraId="149F0ED4" w14:textId="77777777" w:rsidR="001D5F6D" w:rsidRPr="00641BDE" w:rsidRDefault="001D5F6D" w:rsidP="007C1C97">
            <w:pPr>
              <w:pStyle w:val="Normal6a"/>
            </w:pPr>
            <w:r w:rsidRPr="00641BDE">
              <w:t>6.</w:t>
            </w:r>
            <w:r w:rsidRPr="00641BDE">
              <w:tab/>
              <w:t xml:space="preserve">podkreśla, że przejrzystość, solidne mechanizmy kontroli konfliktu interesów oraz jasne zasady regulujące kontakty z zainteresowanymi stronami stanowią podstawowe zabezpieczenia niezależności, wiarygodności i rozliczalności unijnych agencji zdecentralizowanych; zaznacza, że wiele agencji działa w sektorach, w których ścisła współpraca z przemysłem, firmami doradczymi, ekspertami technicznymi, organizacjami pozarządowymi (NGO) lub partnerami zewnętrznymi jest konieczna, jednak nadal występuje ryzyko nieuzasadnionego wpływu, niewyważonych konsultacji lub braku przejrzystości; podkreśla, że przejrzyste procedury, publiczne ujawnianie informacji o spotkaniach, </w:t>
            </w:r>
            <w:r w:rsidRPr="00641BDE">
              <w:rPr>
                <w:b/>
                <w:i/>
              </w:rPr>
              <w:t>uzasadniony</w:t>
            </w:r>
            <w:r w:rsidRPr="00641BDE">
              <w:t xml:space="preserve"> i przejrzysty dobór ekspertów oraz ciągła weryfikacja konfliktów interesów </w:t>
            </w:r>
            <w:r w:rsidRPr="00641BDE">
              <w:rPr>
                <w:b/>
                <w:i/>
              </w:rPr>
              <w:t>kadry kierowniczej najwyższego szczebla, decydentów oraz podmiotów i osób powiązanych z tymi agencjami</w:t>
            </w:r>
            <w:r w:rsidRPr="00641BDE">
              <w:t xml:space="preserve"> są niezbędne, aby decyzje agencji opierały się wyłącznie na obiektywnych dowodach oraz na ogólnym interesie Unii</w:t>
            </w:r>
            <w:r w:rsidRPr="00641BDE">
              <w:rPr>
                <w:b/>
                <w:i/>
              </w:rPr>
              <w:t>, a także aby terminowo monitorować przydzielone środki europejskie</w:t>
            </w:r>
            <w:r w:rsidRPr="00641BDE">
              <w:t>; wzywa wszystkie agencje do ustanowienia i egzekwowania takich środków;</w:t>
            </w:r>
          </w:p>
        </w:tc>
      </w:tr>
    </w:tbl>
    <w:p w14:paraId="24E1E2DA"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08C88C3B" w14:textId="77777777" w:rsidR="001D5F6D" w:rsidRPr="00641BDE" w:rsidRDefault="001D5F6D" w:rsidP="001D5F6D">
      <w:r w:rsidRPr="00641BDE">
        <w:rPr>
          <w:rStyle w:val="HideTWBExt"/>
        </w:rPr>
        <w:t>&lt;/Amend&gt;</w:t>
      </w:r>
    </w:p>
    <w:p w14:paraId="27EACBD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29</w:t>
      </w:r>
      <w:r w:rsidRPr="00641BDE">
        <w:rPr>
          <w:rStyle w:val="HideTWBExt"/>
          <w:b w:val="0"/>
        </w:rPr>
        <w:t>&lt;/NumAm&gt;</w:t>
      </w:r>
    </w:p>
    <w:p w14:paraId="759BEB92"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79A93DC4" w14:textId="77777777" w:rsidR="001D5F6D" w:rsidRPr="00641BDE" w:rsidRDefault="001D5F6D" w:rsidP="001D5F6D">
      <w:pPr>
        <w:pStyle w:val="NormalBold"/>
      </w:pPr>
      <w:r w:rsidRPr="00641BDE">
        <w:rPr>
          <w:rStyle w:val="HideTWBExt"/>
          <w:b w:val="0"/>
        </w:rPr>
        <w:t>&lt;/RepeatBlock-By&gt;</w:t>
      </w:r>
    </w:p>
    <w:p w14:paraId="6CB3809C"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D59DCFA" w14:textId="77777777" w:rsidR="001D5F6D" w:rsidRPr="00641BDE" w:rsidRDefault="001D5F6D" w:rsidP="001D5F6D">
      <w:pPr>
        <w:pStyle w:val="NormalBold"/>
      </w:pPr>
      <w:r w:rsidRPr="00641BDE">
        <w:rPr>
          <w:rStyle w:val="HideTWBExt"/>
          <w:b w:val="0"/>
        </w:rPr>
        <w:t>&lt;Article&gt;</w:t>
      </w:r>
      <w:r w:rsidRPr="00641BDE">
        <w:t>Ustęp 6</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D40DA4F" w14:textId="77777777" w:rsidTr="007C1C97">
        <w:trPr>
          <w:trHeight w:hRule="exact" w:val="240"/>
          <w:jc w:val="center"/>
        </w:trPr>
        <w:tc>
          <w:tcPr>
            <w:tcW w:w="9752" w:type="dxa"/>
            <w:gridSpan w:val="2"/>
            <w:tcBorders>
              <w:top w:val="nil"/>
              <w:left w:val="nil"/>
              <w:bottom w:val="nil"/>
              <w:right w:val="nil"/>
            </w:tcBorders>
          </w:tcPr>
          <w:p w14:paraId="3B7F49D9" w14:textId="77777777" w:rsidR="001D5F6D" w:rsidRPr="00641BDE" w:rsidRDefault="001D5F6D" w:rsidP="007C1C97"/>
        </w:tc>
      </w:tr>
      <w:tr w:rsidR="001D5F6D" w:rsidRPr="00641BDE" w14:paraId="34D0E49D" w14:textId="77777777" w:rsidTr="007C1C97">
        <w:trPr>
          <w:trHeight w:val="240"/>
          <w:jc w:val="center"/>
        </w:trPr>
        <w:tc>
          <w:tcPr>
            <w:tcW w:w="4876" w:type="dxa"/>
            <w:tcBorders>
              <w:top w:val="nil"/>
              <w:left w:val="nil"/>
              <w:bottom w:val="nil"/>
              <w:right w:val="nil"/>
            </w:tcBorders>
          </w:tcPr>
          <w:p w14:paraId="5C03BF52"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6CF9697" w14:textId="77777777" w:rsidR="001D5F6D" w:rsidRPr="00641BDE" w:rsidRDefault="001D5F6D" w:rsidP="007C1C97">
            <w:pPr>
              <w:pStyle w:val="AmColumnHeading"/>
            </w:pPr>
            <w:r w:rsidRPr="00641BDE">
              <w:t>Poprawka</w:t>
            </w:r>
          </w:p>
        </w:tc>
      </w:tr>
      <w:tr w:rsidR="001D5F6D" w:rsidRPr="00641BDE" w14:paraId="7F5F30BB" w14:textId="77777777" w:rsidTr="007C1C97">
        <w:trPr>
          <w:jc w:val="center"/>
        </w:trPr>
        <w:tc>
          <w:tcPr>
            <w:tcW w:w="4876" w:type="dxa"/>
            <w:tcBorders>
              <w:top w:val="nil"/>
              <w:left w:val="nil"/>
              <w:bottom w:val="nil"/>
              <w:right w:val="nil"/>
            </w:tcBorders>
          </w:tcPr>
          <w:p w14:paraId="4CDF38FF" w14:textId="77777777" w:rsidR="001D5F6D" w:rsidRPr="00641BDE" w:rsidRDefault="001D5F6D" w:rsidP="007C1C97">
            <w:pPr>
              <w:pStyle w:val="Normal6a"/>
            </w:pPr>
            <w:r w:rsidRPr="00641BDE">
              <w:t>6.</w:t>
            </w:r>
            <w:r w:rsidRPr="00641BDE">
              <w:tab/>
              <w:t>podkreśla, że przejrzystość, solidne mechanizmy kontroli konfliktu interesów oraz jasne zasady regulujące kontakty z zainteresowanymi stronami stanowią podstawowe zabezpieczenia niezależności, wiarygodności i rozliczalności unijnych agencji zdecentralizowanych; zaznacza, że wiele agencji działa w sektorach, w których ścisła współpraca z przemysłem, firmami doradczymi, ekspertami technicznymi, organizacjami pozarządowymi (NGO) lub partnerami zewnętrznymi jest konieczna, jednak nadal występuje ryzyko nieuzasadnionego wpływu, niewyważonych konsultacji lub braku przejrzystości; podkreśla, że przejrzyste procedury, publiczne ujawnianie informacji o spotkaniach, wyważony i przejrzysty dobór ekspertów oraz ciągła weryfikacja konfliktów interesów są niezbędne, aby decyzje agencji opierały się wyłącznie na obiektywnych dowodach oraz na ogólnym interesie Unii; wzywa wszystkie agencje do ustanowienia i egzekwowania takich środków;</w:t>
            </w:r>
          </w:p>
        </w:tc>
        <w:tc>
          <w:tcPr>
            <w:tcW w:w="4876" w:type="dxa"/>
            <w:tcBorders>
              <w:top w:val="nil"/>
              <w:left w:val="nil"/>
              <w:bottom w:val="nil"/>
              <w:right w:val="nil"/>
            </w:tcBorders>
          </w:tcPr>
          <w:p w14:paraId="2A9A5FF0" w14:textId="77777777" w:rsidR="001D5F6D" w:rsidRPr="00641BDE" w:rsidRDefault="001D5F6D" w:rsidP="007C1C97">
            <w:pPr>
              <w:pStyle w:val="Normal6a"/>
            </w:pPr>
            <w:r w:rsidRPr="00641BDE">
              <w:t>6.</w:t>
            </w:r>
            <w:r w:rsidRPr="00641BDE">
              <w:tab/>
              <w:t xml:space="preserve">podkreśla, że przejrzystość, solidne mechanizmy kontroli konfliktu interesów oraz jasne zasady regulujące kontakty z zainteresowanymi stronami stanowią podstawowe zabezpieczenia niezależności, wiarygodności </w:t>
            </w:r>
            <w:r w:rsidRPr="00641BDE">
              <w:rPr>
                <w:b/>
                <w:i/>
              </w:rPr>
              <w:t>instytucjonalnej</w:t>
            </w:r>
            <w:r w:rsidRPr="00641BDE">
              <w:t xml:space="preserve"> i rozliczalności unijnych agencji zdecentralizowanych</w:t>
            </w:r>
            <w:r w:rsidRPr="00641BDE">
              <w:rPr>
                <w:b/>
                <w:i/>
              </w:rPr>
              <w:t>, a także zaufania publicznego do ich silnego i solidnego funkcjonowania</w:t>
            </w:r>
            <w:r w:rsidRPr="00641BDE">
              <w:t xml:space="preserve">; zaznacza, że wiele agencji działa w sektorach, w których ścisła współpraca z przemysłem, firmami doradczymi, ekspertami technicznymi, organizacjami pozarządowymi (NGO) lub partnerami zewnętrznymi jest konieczna, jednak nadal występuje ryzyko nieuzasadnionego wpływu, niewyważonych konsultacji lub braku przejrzystości; podkreśla, że przejrzyste procedury, publiczne ujawnianie informacji o spotkaniach, wyważony i przejrzysty dobór ekspertów oraz ciągła weryfikacja konfliktów interesów są niezbędne, aby decyzje agencji opierały się wyłącznie na obiektywnych dowodach oraz na ogólnym interesie Unii; wzywa wszystkie agencje do ustanowienia i egzekwowania takich środków; </w:t>
            </w:r>
            <w:r w:rsidRPr="00641BDE">
              <w:rPr>
                <w:b/>
                <w:i/>
              </w:rPr>
              <w:t>wzywa agencje do ustanowienia regularnych niezależnych przeglądów ram dotyczących konfliktu interesów oraz do niezwłocznego wdrożenia środków naprawczych; </w:t>
            </w:r>
          </w:p>
        </w:tc>
      </w:tr>
    </w:tbl>
    <w:p w14:paraId="01DD7F22"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962DEF2" w14:textId="77777777" w:rsidR="001D5F6D" w:rsidRPr="00641BDE" w:rsidRDefault="001D5F6D" w:rsidP="001D5F6D">
      <w:r w:rsidRPr="00641BDE">
        <w:rPr>
          <w:rStyle w:val="HideTWBExt"/>
        </w:rPr>
        <w:t>&lt;/Amend&gt;</w:t>
      </w:r>
    </w:p>
    <w:p w14:paraId="528AC54B"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30</w:t>
      </w:r>
      <w:r w:rsidRPr="00641BDE">
        <w:rPr>
          <w:rStyle w:val="HideTWBExt"/>
          <w:b w:val="0"/>
        </w:rPr>
        <w:t>&lt;/NumAm&gt;</w:t>
      </w:r>
    </w:p>
    <w:p w14:paraId="30BFA17E"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42A3310B"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099D5DC6" w14:textId="77777777" w:rsidR="001D5F6D" w:rsidRPr="00641BDE" w:rsidRDefault="001D5F6D" w:rsidP="001D5F6D">
      <w:pPr>
        <w:pStyle w:val="NormalBold"/>
      </w:pPr>
      <w:r w:rsidRPr="00641BDE">
        <w:rPr>
          <w:rStyle w:val="HideTWBExt"/>
          <w:b w:val="0"/>
        </w:rPr>
        <w:t>&lt;/RepeatBlock-By&gt;</w:t>
      </w:r>
    </w:p>
    <w:p w14:paraId="7523222F"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FE35A2F" w14:textId="77777777" w:rsidR="001D5F6D" w:rsidRPr="00641BDE" w:rsidRDefault="001D5F6D" w:rsidP="001D5F6D">
      <w:pPr>
        <w:pStyle w:val="NormalBold"/>
      </w:pPr>
      <w:r w:rsidRPr="00641BDE">
        <w:rPr>
          <w:rStyle w:val="HideTWBExt"/>
          <w:b w:val="0"/>
        </w:rPr>
        <w:t>&lt;Article&gt;</w:t>
      </w:r>
      <w:r w:rsidRPr="00641BDE">
        <w:t>Ustęp 6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36B24AC" w14:textId="77777777" w:rsidTr="007C1C97">
        <w:trPr>
          <w:trHeight w:hRule="exact" w:val="240"/>
          <w:jc w:val="center"/>
        </w:trPr>
        <w:tc>
          <w:tcPr>
            <w:tcW w:w="9752" w:type="dxa"/>
            <w:gridSpan w:val="2"/>
            <w:tcBorders>
              <w:top w:val="nil"/>
              <w:left w:val="nil"/>
              <w:bottom w:val="nil"/>
              <w:right w:val="nil"/>
            </w:tcBorders>
          </w:tcPr>
          <w:p w14:paraId="3007B9AE" w14:textId="77777777" w:rsidR="001D5F6D" w:rsidRPr="00641BDE" w:rsidRDefault="001D5F6D" w:rsidP="007C1C97"/>
        </w:tc>
      </w:tr>
      <w:tr w:rsidR="001D5F6D" w:rsidRPr="00641BDE" w14:paraId="2A0504F4" w14:textId="77777777" w:rsidTr="007C1C97">
        <w:trPr>
          <w:trHeight w:val="240"/>
          <w:jc w:val="center"/>
        </w:trPr>
        <w:tc>
          <w:tcPr>
            <w:tcW w:w="4876" w:type="dxa"/>
            <w:tcBorders>
              <w:top w:val="nil"/>
              <w:left w:val="nil"/>
              <w:bottom w:val="nil"/>
              <w:right w:val="nil"/>
            </w:tcBorders>
          </w:tcPr>
          <w:p w14:paraId="306AB9DF"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9695C42" w14:textId="77777777" w:rsidR="001D5F6D" w:rsidRPr="00641BDE" w:rsidRDefault="001D5F6D" w:rsidP="007C1C97">
            <w:pPr>
              <w:pStyle w:val="AmColumnHeading"/>
            </w:pPr>
            <w:r w:rsidRPr="00641BDE">
              <w:t>Poprawka</w:t>
            </w:r>
          </w:p>
        </w:tc>
      </w:tr>
      <w:tr w:rsidR="001D5F6D" w:rsidRPr="00641BDE" w14:paraId="1D8B30EC" w14:textId="77777777" w:rsidTr="007C1C97">
        <w:trPr>
          <w:jc w:val="center"/>
        </w:trPr>
        <w:tc>
          <w:tcPr>
            <w:tcW w:w="4876" w:type="dxa"/>
            <w:tcBorders>
              <w:top w:val="nil"/>
              <w:left w:val="nil"/>
              <w:bottom w:val="nil"/>
              <w:right w:val="nil"/>
            </w:tcBorders>
          </w:tcPr>
          <w:p w14:paraId="1D9BC83A" w14:textId="77777777" w:rsidR="001D5F6D" w:rsidRPr="00641BDE" w:rsidRDefault="001D5F6D" w:rsidP="007C1C97">
            <w:pPr>
              <w:pStyle w:val="Normal6a"/>
            </w:pPr>
          </w:p>
        </w:tc>
        <w:tc>
          <w:tcPr>
            <w:tcW w:w="4876" w:type="dxa"/>
            <w:tcBorders>
              <w:top w:val="nil"/>
              <w:left w:val="nil"/>
              <w:bottom w:val="nil"/>
              <w:right w:val="nil"/>
            </w:tcBorders>
          </w:tcPr>
          <w:p w14:paraId="7C5D2CC3" w14:textId="77777777" w:rsidR="001D5F6D" w:rsidRPr="00641BDE" w:rsidRDefault="001D5F6D" w:rsidP="007C1C97">
            <w:pPr>
              <w:pStyle w:val="Normal6a"/>
            </w:pPr>
            <w:r w:rsidRPr="00641BDE">
              <w:rPr>
                <w:b/>
                <w:i/>
              </w:rPr>
              <w:t>6a.</w:t>
            </w:r>
            <w:r w:rsidRPr="00641BDE">
              <w:tab/>
            </w:r>
            <w:r w:rsidRPr="00641BDE">
              <w:rPr>
                <w:b/>
                <w:i/>
              </w:rPr>
              <w:t>podkreśla, że konflikty interesów i efekt „drzwi obrotowych” stwarzają systemowe ryzyko z zakresu ładu korporacyjnego, w szczególności dla agencji ściśle współpracujących z przemysłem; apeluje o bardziej rygorystyczne okresy karencji, proaktywne monitorowanie i pełną przejrzystość interakcji z zainteresowanymi stronami;</w:t>
            </w:r>
          </w:p>
        </w:tc>
      </w:tr>
    </w:tbl>
    <w:p w14:paraId="7FE09FC7"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675E9186" w14:textId="77777777" w:rsidR="001D5F6D" w:rsidRPr="00641BDE" w:rsidRDefault="001D5F6D" w:rsidP="001D5F6D">
      <w:r w:rsidRPr="00641BDE">
        <w:rPr>
          <w:rStyle w:val="HideTWBExt"/>
        </w:rPr>
        <w:t>&lt;/Amend&gt;</w:t>
      </w:r>
    </w:p>
    <w:p w14:paraId="4A818D8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31</w:t>
      </w:r>
      <w:r w:rsidRPr="00641BDE">
        <w:rPr>
          <w:rStyle w:val="HideTWBExt"/>
          <w:b w:val="0"/>
        </w:rPr>
        <w:t>&lt;/NumAm&gt;</w:t>
      </w:r>
    </w:p>
    <w:p w14:paraId="67205793"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5ECC9E2F" w14:textId="77777777" w:rsidR="001D5F6D" w:rsidRPr="00641BDE" w:rsidRDefault="001D5F6D" w:rsidP="001D5F6D">
      <w:pPr>
        <w:pStyle w:val="NormalBold"/>
      </w:pPr>
      <w:r w:rsidRPr="00641BDE">
        <w:rPr>
          <w:rStyle w:val="HideTWBExt"/>
          <w:b w:val="0"/>
        </w:rPr>
        <w:t>&lt;/RepeatBlock-By&gt;</w:t>
      </w:r>
    </w:p>
    <w:p w14:paraId="6ADD4D9C"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6F74006" w14:textId="77777777" w:rsidR="001D5F6D" w:rsidRPr="00641BDE" w:rsidRDefault="001D5F6D" w:rsidP="001D5F6D">
      <w:pPr>
        <w:pStyle w:val="NormalBold"/>
      </w:pPr>
      <w:r w:rsidRPr="00641BDE">
        <w:rPr>
          <w:rStyle w:val="HideTWBExt"/>
          <w:b w:val="0"/>
        </w:rPr>
        <w:t>&lt;Article&gt;</w:t>
      </w:r>
      <w:r w:rsidRPr="00641BDE">
        <w:t>Ustęp 6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CA58935" w14:textId="77777777" w:rsidTr="007C1C97">
        <w:trPr>
          <w:trHeight w:hRule="exact" w:val="240"/>
          <w:jc w:val="center"/>
        </w:trPr>
        <w:tc>
          <w:tcPr>
            <w:tcW w:w="9752" w:type="dxa"/>
            <w:gridSpan w:val="2"/>
            <w:tcBorders>
              <w:top w:val="nil"/>
              <w:left w:val="nil"/>
              <w:bottom w:val="nil"/>
              <w:right w:val="nil"/>
            </w:tcBorders>
          </w:tcPr>
          <w:p w14:paraId="166004D1" w14:textId="77777777" w:rsidR="001D5F6D" w:rsidRPr="00641BDE" w:rsidRDefault="001D5F6D" w:rsidP="007C1C97"/>
        </w:tc>
      </w:tr>
      <w:tr w:rsidR="001D5F6D" w:rsidRPr="00641BDE" w14:paraId="280F0D58" w14:textId="77777777" w:rsidTr="007C1C97">
        <w:trPr>
          <w:trHeight w:val="240"/>
          <w:jc w:val="center"/>
        </w:trPr>
        <w:tc>
          <w:tcPr>
            <w:tcW w:w="4876" w:type="dxa"/>
            <w:tcBorders>
              <w:top w:val="nil"/>
              <w:left w:val="nil"/>
              <w:bottom w:val="nil"/>
              <w:right w:val="nil"/>
            </w:tcBorders>
          </w:tcPr>
          <w:p w14:paraId="758DBACD"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94430C0" w14:textId="77777777" w:rsidR="001D5F6D" w:rsidRPr="00641BDE" w:rsidRDefault="001D5F6D" w:rsidP="007C1C97">
            <w:pPr>
              <w:pStyle w:val="AmColumnHeading"/>
            </w:pPr>
            <w:r w:rsidRPr="00641BDE">
              <w:t>Poprawka</w:t>
            </w:r>
          </w:p>
        </w:tc>
      </w:tr>
      <w:tr w:rsidR="001D5F6D" w:rsidRPr="00641BDE" w14:paraId="6D2A1B77" w14:textId="77777777" w:rsidTr="007C1C97">
        <w:trPr>
          <w:jc w:val="center"/>
        </w:trPr>
        <w:tc>
          <w:tcPr>
            <w:tcW w:w="4876" w:type="dxa"/>
            <w:tcBorders>
              <w:top w:val="nil"/>
              <w:left w:val="nil"/>
              <w:bottom w:val="nil"/>
              <w:right w:val="nil"/>
            </w:tcBorders>
          </w:tcPr>
          <w:p w14:paraId="647FA968" w14:textId="77777777" w:rsidR="001D5F6D" w:rsidRPr="00641BDE" w:rsidRDefault="001D5F6D" w:rsidP="007C1C97">
            <w:pPr>
              <w:pStyle w:val="Normal6a"/>
            </w:pPr>
          </w:p>
        </w:tc>
        <w:tc>
          <w:tcPr>
            <w:tcW w:w="4876" w:type="dxa"/>
            <w:tcBorders>
              <w:top w:val="nil"/>
              <w:left w:val="nil"/>
              <w:bottom w:val="nil"/>
              <w:right w:val="nil"/>
            </w:tcBorders>
          </w:tcPr>
          <w:p w14:paraId="1092DCB7" w14:textId="77777777" w:rsidR="001D5F6D" w:rsidRPr="00641BDE" w:rsidRDefault="001D5F6D" w:rsidP="007C1C97">
            <w:pPr>
              <w:pStyle w:val="Normal6a"/>
            </w:pPr>
            <w:r w:rsidRPr="00641BDE">
              <w:rPr>
                <w:b/>
                <w:i/>
              </w:rPr>
              <w:t>6a.</w:t>
            </w:r>
            <w:r w:rsidRPr="00641BDE">
              <w:tab/>
            </w:r>
            <w:r w:rsidRPr="00641BDE">
              <w:rPr>
                <w:b/>
                <w:i/>
              </w:rPr>
              <w:t xml:space="preserve">zachęca Komisję i sieć agencji UE do propagowania </w:t>
            </w:r>
            <w:proofErr w:type="spellStart"/>
            <w:r w:rsidRPr="00641BDE">
              <w:rPr>
                <w:b/>
                <w:i/>
              </w:rPr>
              <w:t>międzyagencyjnych</w:t>
            </w:r>
            <w:proofErr w:type="spellEnd"/>
            <w:r w:rsidRPr="00641BDE">
              <w:rPr>
                <w:b/>
                <w:i/>
              </w:rPr>
              <w:t xml:space="preserve"> wytycznych i wzajemnego uczenia się w celu podniesienia standardów dobrego zarządzania i poprawy praktyk w zakresie przejrzystości;</w:t>
            </w:r>
          </w:p>
        </w:tc>
      </w:tr>
    </w:tbl>
    <w:p w14:paraId="036C8CE9"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66670AD" w14:textId="77777777" w:rsidR="001D5F6D" w:rsidRPr="00641BDE" w:rsidRDefault="001D5F6D" w:rsidP="001D5F6D">
      <w:r w:rsidRPr="00641BDE">
        <w:rPr>
          <w:rStyle w:val="HideTWBExt"/>
        </w:rPr>
        <w:t>&lt;/Amend&gt;</w:t>
      </w:r>
    </w:p>
    <w:p w14:paraId="4857DE9A"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32</w:t>
      </w:r>
      <w:r w:rsidRPr="00641BDE">
        <w:rPr>
          <w:rStyle w:val="HideTWBExt"/>
          <w:b w:val="0"/>
        </w:rPr>
        <w:t>&lt;/NumAm&gt;</w:t>
      </w:r>
    </w:p>
    <w:p w14:paraId="6E038FE3"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19B3DE6B" w14:textId="77777777" w:rsidR="001D5F6D" w:rsidRPr="00641BDE" w:rsidRDefault="001D5F6D" w:rsidP="001D5F6D">
      <w:pPr>
        <w:pStyle w:val="NormalBold"/>
      </w:pPr>
      <w:r w:rsidRPr="00641BDE">
        <w:rPr>
          <w:rStyle w:val="HideTWBExt"/>
          <w:b w:val="0"/>
        </w:rPr>
        <w:t>&lt;/RepeatBlock-By&gt;</w:t>
      </w:r>
    </w:p>
    <w:p w14:paraId="24687887"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6E49BB9" w14:textId="77777777" w:rsidR="001D5F6D" w:rsidRPr="00641BDE" w:rsidRDefault="001D5F6D" w:rsidP="001D5F6D">
      <w:pPr>
        <w:pStyle w:val="NormalBold"/>
      </w:pPr>
      <w:r w:rsidRPr="00641BDE">
        <w:rPr>
          <w:rStyle w:val="HideTWBExt"/>
          <w:b w:val="0"/>
        </w:rPr>
        <w:t>&lt;Article&gt;</w:t>
      </w:r>
      <w:r w:rsidRPr="00641BDE">
        <w:t>Ustęp 7</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4A46B5C" w14:textId="77777777" w:rsidTr="007C1C97">
        <w:trPr>
          <w:trHeight w:hRule="exact" w:val="240"/>
          <w:jc w:val="center"/>
        </w:trPr>
        <w:tc>
          <w:tcPr>
            <w:tcW w:w="9752" w:type="dxa"/>
            <w:gridSpan w:val="2"/>
            <w:tcBorders>
              <w:top w:val="nil"/>
              <w:left w:val="nil"/>
              <w:bottom w:val="nil"/>
              <w:right w:val="nil"/>
            </w:tcBorders>
          </w:tcPr>
          <w:p w14:paraId="1B36E964" w14:textId="77777777" w:rsidR="001D5F6D" w:rsidRPr="00641BDE" w:rsidRDefault="001D5F6D" w:rsidP="007C1C97"/>
        </w:tc>
      </w:tr>
      <w:tr w:rsidR="001D5F6D" w:rsidRPr="00641BDE" w14:paraId="5E2820A8" w14:textId="77777777" w:rsidTr="007C1C97">
        <w:trPr>
          <w:trHeight w:val="240"/>
          <w:jc w:val="center"/>
        </w:trPr>
        <w:tc>
          <w:tcPr>
            <w:tcW w:w="4876" w:type="dxa"/>
            <w:tcBorders>
              <w:top w:val="nil"/>
              <w:left w:val="nil"/>
              <w:bottom w:val="nil"/>
              <w:right w:val="nil"/>
            </w:tcBorders>
          </w:tcPr>
          <w:p w14:paraId="52B76D9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1F3B9B4" w14:textId="77777777" w:rsidR="001D5F6D" w:rsidRPr="00641BDE" w:rsidRDefault="001D5F6D" w:rsidP="007C1C97">
            <w:pPr>
              <w:pStyle w:val="AmColumnHeading"/>
            </w:pPr>
            <w:r w:rsidRPr="00641BDE">
              <w:t>Poprawka</w:t>
            </w:r>
          </w:p>
        </w:tc>
      </w:tr>
      <w:tr w:rsidR="001D5F6D" w:rsidRPr="00641BDE" w14:paraId="33329EDB" w14:textId="77777777" w:rsidTr="007C1C97">
        <w:trPr>
          <w:jc w:val="center"/>
        </w:trPr>
        <w:tc>
          <w:tcPr>
            <w:tcW w:w="4876" w:type="dxa"/>
            <w:tcBorders>
              <w:top w:val="nil"/>
              <w:left w:val="nil"/>
              <w:bottom w:val="nil"/>
              <w:right w:val="nil"/>
            </w:tcBorders>
          </w:tcPr>
          <w:p w14:paraId="4479A6F2" w14:textId="77777777" w:rsidR="001D5F6D" w:rsidRPr="00641BDE" w:rsidRDefault="001D5F6D" w:rsidP="007C1C97">
            <w:pPr>
              <w:pStyle w:val="Normal6a"/>
            </w:pPr>
            <w:r w:rsidRPr="00641BDE">
              <w:t>7.</w:t>
            </w:r>
            <w:r w:rsidRPr="00641BDE">
              <w:tab/>
              <w:t xml:space="preserve">dostrzega, że stopień narażenia poszczególnych agencji zdecentralizowanych na ryzyko związane z lobbingiem zależy od ich mandatu oraz kontekstu operacyjnego; </w:t>
            </w:r>
            <w:r w:rsidRPr="00641BDE">
              <w:rPr>
                <w:b/>
                <w:i/>
              </w:rPr>
              <w:t>podkreśla</w:t>
            </w:r>
            <w:r w:rsidRPr="00641BDE">
              <w:t xml:space="preserve">, że </w:t>
            </w:r>
            <w:r w:rsidRPr="00641BDE">
              <w:rPr>
                <w:b/>
                <w:bCs/>
                <w:i/>
                <w:iCs/>
              </w:rPr>
              <w:t>obecne</w:t>
            </w:r>
            <w:r w:rsidRPr="00641BDE">
              <w:t xml:space="preserve"> praktyki w zakresie </w:t>
            </w:r>
            <w:r w:rsidRPr="00641BDE">
              <w:rPr>
                <w:b/>
                <w:bCs/>
                <w:i/>
                <w:iCs/>
              </w:rPr>
              <w:t>zapewniania</w:t>
            </w:r>
            <w:r w:rsidRPr="00641BDE">
              <w:t xml:space="preserve"> przejrzystości </w:t>
            </w:r>
            <w:r w:rsidRPr="00641BDE">
              <w:rPr>
                <w:b/>
                <w:i/>
              </w:rPr>
              <w:t>również są zróżnicowane</w:t>
            </w:r>
            <w:r w:rsidRPr="00641BDE">
              <w:t>;</w:t>
            </w:r>
            <w:r w:rsidRPr="00641BDE">
              <w:rPr>
                <w:b/>
                <w:i/>
              </w:rPr>
              <w:t xml:space="preserve"> zauważa na przykład, że </w:t>
            </w:r>
            <w:proofErr w:type="spellStart"/>
            <w:r w:rsidRPr="00641BDE">
              <w:rPr>
                <w:b/>
                <w:i/>
              </w:rPr>
              <w:t>eu</w:t>
            </w:r>
            <w:proofErr w:type="spellEnd"/>
            <w:r w:rsidRPr="00641BDE">
              <w:rPr>
                <w:b/>
                <w:i/>
              </w:rPr>
              <w:t xml:space="preserve">-LISA prowadzi na swojej stronie internetowej odrębny rejestr służący przejrzystości obejmujący wszystkie spotkania kierownictwa wyższego szczebla z podmiotami gospodarczymi, </w:t>
            </w:r>
            <w:proofErr w:type="spellStart"/>
            <w:r w:rsidRPr="00641BDE">
              <w:rPr>
                <w:b/>
                <w:i/>
              </w:rPr>
              <w:t>Frontex</w:t>
            </w:r>
            <w:proofErr w:type="spellEnd"/>
            <w:r w:rsidRPr="00641BDE">
              <w:rPr>
                <w:b/>
                <w:i/>
              </w:rPr>
              <w:t xml:space="preserve"> udostępnia na swojej stronie internetowej rejestr zawierający informacje o spotkaniach związanych w szczególności z zamówieniami publicznymi, natomiast ECHA publikuje informacje o spotkaniach kierownictwa wyższego szczebla z zewnętrznymi organizacjami zainteresowanych stron; jest zdania</w:t>
            </w:r>
            <w:r w:rsidRPr="00641BDE">
              <w:t>, że choć uniwersalny model dla wszystkich nie byłby ani proporcjonalny, ani operacyjnie uzasadniony, ustanowienie wspólnych minimalnych standardów zwiększyłoby spójność</w:t>
            </w:r>
            <w:r w:rsidRPr="00641BDE">
              <w:rPr>
                <w:b/>
                <w:i/>
              </w:rPr>
              <w:t>; odnotowuje odpowiedzi udzielone przez agencje w poprzednim cyklu udzielania absolutorium, w tym zróżnicowany zakres korzystania z rejestru służącego przejrzystości oraz fakt, że kilka agencji wprowadziło już wewnętrzne rejestry służące przejrzystości lub systemy zarządzania konfliktami interesów dostosowane do ich mandatów</w:t>
            </w:r>
            <w:r w:rsidRPr="00641BDE">
              <w:t xml:space="preserve">; wzywa agencje do przyjęcia minimalnych standardów, takich jak stosowanie zasady czworga oczu, jasna strategia kodeksu postępowania obejmująca jednoznaczne zasady zapobiegania konfliktom interesów oraz wdrożenie </w:t>
            </w:r>
            <w:r w:rsidRPr="00641BDE">
              <w:rPr>
                <w:b/>
                <w:i/>
              </w:rPr>
              <w:t>szczegółowych</w:t>
            </w:r>
            <w:r w:rsidRPr="00641BDE">
              <w:t xml:space="preserve"> wewnętrznych rejestrów służących przejrzystości </w:t>
            </w:r>
            <w:r w:rsidRPr="00641BDE">
              <w:rPr>
                <w:b/>
                <w:i/>
              </w:rPr>
              <w:t>o wyraźnie określonych standardach</w:t>
            </w:r>
            <w:r w:rsidRPr="00641BDE">
              <w:t xml:space="preserve"> odzwierciedlających </w:t>
            </w:r>
            <w:r w:rsidRPr="00641BDE">
              <w:rPr>
                <w:b/>
                <w:i/>
              </w:rPr>
              <w:t>mandat agencji</w:t>
            </w:r>
            <w:r w:rsidRPr="00641BDE">
              <w:t xml:space="preserve"> oraz </w:t>
            </w:r>
            <w:r w:rsidRPr="00641BDE">
              <w:rPr>
                <w:b/>
                <w:bCs/>
                <w:i/>
                <w:iCs/>
              </w:rPr>
              <w:t>właściwe</w:t>
            </w:r>
            <w:r w:rsidRPr="00641BDE">
              <w:t xml:space="preserve"> przepisy o ochronie danych; podkreśla, że rejestry </w:t>
            </w:r>
            <w:r w:rsidRPr="00641BDE">
              <w:rPr>
                <w:b/>
                <w:i/>
              </w:rPr>
              <w:t>służące przejrzystości</w:t>
            </w:r>
            <w:r w:rsidRPr="00641BDE">
              <w:t xml:space="preserve"> powinny być dostępne dla audytorów w zależności od przypadku; uważa, że wdrażanie tych rozwiązań powinno mieć charakter stopniowy i </w:t>
            </w:r>
            <w:r w:rsidRPr="00641BDE">
              <w:rPr>
                <w:b/>
                <w:i/>
              </w:rPr>
              <w:t>uwzględniać nowe możliwości cyfrowe</w:t>
            </w:r>
            <w:r w:rsidRPr="00641BDE">
              <w:t xml:space="preserve">, aby uniknąć </w:t>
            </w:r>
            <w:r w:rsidRPr="00641BDE">
              <w:rPr>
                <w:b/>
                <w:i/>
              </w:rPr>
              <w:t>tworzenia dodatkowych</w:t>
            </w:r>
            <w:r w:rsidRPr="00641BDE">
              <w:t xml:space="preserve"> obciążeń administracyjnych </w:t>
            </w:r>
            <w:r w:rsidRPr="00641BDE">
              <w:rPr>
                <w:b/>
                <w:i/>
              </w:rPr>
              <w:t>dla agencji</w:t>
            </w:r>
            <w:r w:rsidRPr="00641BDE">
              <w:t>;</w:t>
            </w:r>
          </w:p>
        </w:tc>
        <w:tc>
          <w:tcPr>
            <w:tcW w:w="4876" w:type="dxa"/>
            <w:tcBorders>
              <w:top w:val="nil"/>
              <w:left w:val="nil"/>
              <w:bottom w:val="nil"/>
              <w:right w:val="nil"/>
            </w:tcBorders>
          </w:tcPr>
          <w:p w14:paraId="0A066A8F" w14:textId="77777777" w:rsidR="001D5F6D" w:rsidRPr="00641BDE" w:rsidRDefault="001D5F6D" w:rsidP="007C1C97">
            <w:pPr>
              <w:pStyle w:val="Normal6a"/>
            </w:pPr>
            <w:r w:rsidRPr="00641BDE">
              <w:t>7.</w:t>
            </w:r>
            <w:r w:rsidRPr="00641BDE">
              <w:tab/>
              <w:t xml:space="preserve">dostrzega, że stopień narażenia poszczególnych agencji zdecentralizowanych na ryzyko związane z lobbingiem zależy od ich mandatu oraz kontekstu operacyjnego; </w:t>
            </w:r>
            <w:r w:rsidRPr="00641BDE">
              <w:rPr>
                <w:b/>
                <w:i/>
              </w:rPr>
              <w:t>zauważa</w:t>
            </w:r>
            <w:r w:rsidRPr="00641BDE">
              <w:t xml:space="preserve">, że </w:t>
            </w:r>
            <w:r w:rsidRPr="00641BDE">
              <w:rPr>
                <w:b/>
                <w:bCs/>
                <w:i/>
                <w:iCs/>
              </w:rPr>
              <w:t>w związku z tym</w:t>
            </w:r>
            <w:r w:rsidRPr="00641BDE">
              <w:t xml:space="preserve"> praktyki w zakresie przejrzystości </w:t>
            </w:r>
            <w:r w:rsidRPr="00641BDE">
              <w:rPr>
                <w:b/>
                <w:i/>
              </w:rPr>
              <w:t>różnią się w poszczególnych agencjach</w:t>
            </w:r>
            <w:r w:rsidRPr="00641BDE">
              <w:t>;</w:t>
            </w:r>
            <w:r w:rsidRPr="00641BDE">
              <w:rPr>
                <w:b/>
                <w:i/>
              </w:rPr>
              <w:t xml:space="preserve"> uważa</w:t>
            </w:r>
            <w:r w:rsidRPr="00641BDE">
              <w:t xml:space="preserve">, że choć uniwersalny model dla wszystkich nie byłby ani proporcjonalny, ani operacyjnie uzasadniony, ustanowienie wspólnych minimalnych standardów zwiększyłoby spójność </w:t>
            </w:r>
            <w:r w:rsidRPr="00641BDE">
              <w:rPr>
                <w:b/>
                <w:i/>
              </w:rPr>
              <w:t>i rozliczalność</w:t>
            </w:r>
            <w:r w:rsidRPr="00641BDE">
              <w:t xml:space="preserve">; wzywa agencje do przyjęcia minimalnych standardów, takich jak stosowanie zasady czworga oczu, jasna strategia kodeksu postępowania obejmująca jednoznaczne zasady zapobiegania konfliktom interesów oraz wdrożenie wewnętrznych rejestrów służących przejrzystości odzwierciedlających </w:t>
            </w:r>
            <w:r w:rsidRPr="00641BDE">
              <w:rPr>
                <w:b/>
                <w:i/>
              </w:rPr>
              <w:t>odpowiednie mandaty</w:t>
            </w:r>
            <w:r w:rsidRPr="00641BDE">
              <w:t xml:space="preserve"> agencji oraz </w:t>
            </w:r>
            <w:r w:rsidRPr="00641BDE">
              <w:rPr>
                <w:b/>
                <w:i/>
              </w:rPr>
              <w:t>mające zastosowanie</w:t>
            </w:r>
            <w:r w:rsidRPr="00641BDE">
              <w:t xml:space="preserve"> przepisy o ochronie danych; podkreśla, że rejestry </w:t>
            </w:r>
            <w:r w:rsidRPr="00641BDE">
              <w:rPr>
                <w:b/>
                <w:i/>
              </w:rPr>
              <w:t>takie</w:t>
            </w:r>
            <w:r w:rsidRPr="00641BDE">
              <w:t xml:space="preserve"> powinny być dostępne dla audytorów w zależności od przypadku; uważa, że wdrażanie tych </w:t>
            </w:r>
            <w:r w:rsidRPr="00641BDE">
              <w:rPr>
                <w:b/>
                <w:i/>
              </w:rPr>
              <w:t>rejestrów</w:t>
            </w:r>
            <w:r w:rsidRPr="00641BDE">
              <w:t xml:space="preserve"> powinno mieć charakter stopniowy i </w:t>
            </w:r>
            <w:r w:rsidRPr="00641BDE">
              <w:rPr>
                <w:b/>
                <w:i/>
              </w:rPr>
              <w:t>obejmować wykorzystanie rozwiązań cyfrowych</w:t>
            </w:r>
            <w:r w:rsidRPr="00641BDE">
              <w:t xml:space="preserve">, aby uniknąć </w:t>
            </w:r>
            <w:r w:rsidRPr="00641BDE">
              <w:rPr>
                <w:b/>
                <w:i/>
              </w:rPr>
              <w:t>niepotrzebnych</w:t>
            </w:r>
            <w:r w:rsidRPr="00641BDE">
              <w:t xml:space="preserve"> obciążeń administracyjnych;</w:t>
            </w:r>
          </w:p>
        </w:tc>
      </w:tr>
    </w:tbl>
    <w:p w14:paraId="38050629"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3CA1B20" w14:textId="77777777" w:rsidR="001D5F6D" w:rsidRPr="00641BDE" w:rsidRDefault="001D5F6D" w:rsidP="001D5F6D">
      <w:r w:rsidRPr="00641BDE">
        <w:rPr>
          <w:rStyle w:val="HideTWBExt"/>
        </w:rPr>
        <w:t>&lt;/Amend&gt;</w:t>
      </w:r>
    </w:p>
    <w:p w14:paraId="1BEF2667"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33</w:t>
      </w:r>
      <w:r w:rsidRPr="00641BDE">
        <w:rPr>
          <w:rStyle w:val="HideTWBExt"/>
          <w:b w:val="0"/>
        </w:rPr>
        <w:t>&lt;/NumAm&gt;</w:t>
      </w:r>
    </w:p>
    <w:p w14:paraId="40A10F9D"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7DE0DDD6"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36AB58D9" w14:textId="77777777" w:rsidR="001D5F6D" w:rsidRPr="00641BDE" w:rsidRDefault="001D5F6D" w:rsidP="001D5F6D">
      <w:pPr>
        <w:pStyle w:val="NormalBold"/>
      </w:pPr>
      <w:r w:rsidRPr="00641BDE">
        <w:rPr>
          <w:rStyle w:val="HideTWBExt"/>
          <w:b w:val="0"/>
        </w:rPr>
        <w:t>&lt;/RepeatBlock-By&gt;</w:t>
      </w:r>
    </w:p>
    <w:p w14:paraId="667C4B48"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960E9D0" w14:textId="77777777" w:rsidR="001D5F6D" w:rsidRPr="00641BDE" w:rsidRDefault="001D5F6D" w:rsidP="001D5F6D">
      <w:pPr>
        <w:pStyle w:val="NormalBold"/>
      </w:pPr>
      <w:r w:rsidRPr="00641BDE">
        <w:rPr>
          <w:rStyle w:val="HideTWBExt"/>
          <w:b w:val="0"/>
        </w:rPr>
        <w:t>&lt;Article&gt;</w:t>
      </w:r>
      <w:r w:rsidRPr="00641BDE">
        <w:t>Ustęp 7</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4C5AE25" w14:textId="77777777" w:rsidTr="007C1C97">
        <w:trPr>
          <w:trHeight w:hRule="exact" w:val="240"/>
          <w:jc w:val="center"/>
        </w:trPr>
        <w:tc>
          <w:tcPr>
            <w:tcW w:w="9752" w:type="dxa"/>
            <w:gridSpan w:val="2"/>
            <w:tcBorders>
              <w:top w:val="nil"/>
              <w:left w:val="nil"/>
              <w:bottom w:val="nil"/>
              <w:right w:val="nil"/>
            </w:tcBorders>
          </w:tcPr>
          <w:p w14:paraId="25F6B68B" w14:textId="77777777" w:rsidR="001D5F6D" w:rsidRPr="00641BDE" w:rsidRDefault="001D5F6D" w:rsidP="007C1C97"/>
        </w:tc>
      </w:tr>
      <w:tr w:rsidR="001D5F6D" w:rsidRPr="00641BDE" w14:paraId="376D2791" w14:textId="77777777" w:rsidTr="007C1C97">
        <w:trPr>
          <w:trHeight w:val="240"/>
          <w:jc w:val="center"/>
        </w:trPr>
        <w:tc>
          <w:tcPr>
            <w:tcW w:w="4876" w:type="dxa"/>
            <w:tcBorders>
              <w:top w:val="nil"/>
              <w:left w:val="nil"/>
              <w:bottom w:val="nil"/>
              <w:right w:val="nil"/>
            </w:tcBorders>
          </w:tcPr>
          <w:p w14:paraId="2EB6650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64EC876" w14:textId="77777777" w:rsidR="001D5F6D" w:rsidRPr="00641BDE" w:rsidRDefault="001D5F6D" w:rsidP="007C1C97">
            <w:pPr>
              <w:pStyle w:val="AmColumnHeading"/>
            </w:pPr>
            <w:r w:rsidRPr="00641BDE">
              <w:t>Poprawka</w:t>
            </w:r>
          </w:p>
        </w:tc>
      </w:tr>
      <w:tr w:rsidR="001D5F6D" w:rsidRPr="00641BDE" w14:paraId="482D5E79" w14:textId="77777777" w:rsidTr="007C1C97">
        <w:trPr>
          <w:jc w:val="center"/>
        </w:trPr>
        <w:tc>
          <w:tcPr>
            <w:tcW w:w="4876" w:type="dxa"/>
            <w:tcBorders>
              <w:top w:val="nil"/>
              <w:left w:val="nil"/>
              <w:bottom w:val="nil"/>
              <w:right w:val="nil"/>
            </w:tcBorders>
          </w:tcPr>
          <w:p w14:paraId="7193B133" w14:textId="77777777" w:rsidR="001D5F6D" w:rsidRPr="00641BDE" w:rsidRDefault="001D5F6D" w:rsidP="007C1C97">
            <w:pPr>
              <w:pStyle w:val="Normal6a"/>
            </w:pPr>
            <w:r w:rsidRPr="00641BDE">
              <w:t>7.</w:t>
            </w:r>
            <w:r w:rsidRPr="00641BDE">
              <w:tab/>
              <w:t xml:space="preserve">dostrzega, że stopień narażenia poszczególnych agencji zdecentralizowanych na ryzyko związane z lobbingiem zależy od ich mandatu oraz kontekstu operacyjnego; podkreśla, że obecne praktyki w zakresie zapewniania przejrzystości również są zróżnicowane; zauważa na przykład, że </w:t>
            </w:r>
            <w:proofErr w:type="spellStart"/>
            <w:r w:rsidRPr="00641BDE">
              <w:t>eu</w:t>
            </w:r>
            <w:proofErr w:type="spellEnd"/>
            <w:r w:rsidRPr="00641BDE">
              <w:t xml:space="preserve">-LISA prowadzi na swojej stronie internetowej odrębny rejestr służący przejrzystości obejmujący wszystkie spotkania kierownictwa wyższego szczebla z podmiotami gospodarczymi, </w:t>
            </w:r>
            <w:proofErr w:type="spellStart"/>
            <w:r w:rsidRPr="00641BDE">
              <w:t>Frontex</w:t>
            </w:r>
            <w:proofErr w:type="spellEnd"/>
            <w:r w:rsidRPr="00641BDE">
              <w:t xml:space="preserve"> udostępnia na swojej stronie internetowej rejestr zawierający informacje o spotkaniach związanych w szczególności z zamówieniami publicznymi, natomiast ECHA publikuje informacje o spotkaniach kierownictwa wyższego szczebla z zewnętrznymi organizacjami zainteresowanych stron; jest zdania, że choć uniwersalny model dla wszystkich nie byłby ani proporcjonalny, ani operacyjnie uzasadniony, ustanowienie wspólnych minimalnych standardów zwiększyłoby spójność; odnotowuje odpowiedzi udzielone przez agencje w poprzednim cyklu udzielania absolutorium, w tym zróżnicowany zakres korzystania z rejestru służącego przejrzystości oraz fakt, że kilka agencji wprowadziło już wewnętrzne rejestry służące przejrzystości lub systemy zarządzania konfliktami interesów dostosowane do ich mandatów; wzywa agencje do przyjęcia minimalnych standardów, takich jak stosowanie zasady czworga oczu, jasna strategia kodeksu postępowania obejmująca jednoznaczne zasady zapobiegania konfliktom interesów oraz wdrożenie szczegółowych wewnętrznych rejestrów służących przejrzystości o wyraźnie określonych standardach odzwierciedlających mandat agencji oraz właściwe przepisy o ochronie danych; podkreśla, że rejestry służące przejrzystości powinny być dostępne dla audytorów w zależności od przypadku; uważa, że wdrażanie tych rozwiązań powinno mieć charakter stopniowy i uwzględniać nowe możliwości cyfrowe, aby uniknąć tworzenia dodatkowych obciążeń administracyjnych dla agencji;</w:t>
            </w:r>
          </w:p>
        </w:tc>
        <w:tc>
          <w:tcPr>
            <w:tcW w:w="4876" w:type="dxa"/>
            <w:tcBorders>
              <w:top w:val="nil"/>
              <w:left w:val="nil"/>
              <w:bottom w:val="nil"/>
              <w:right w:val="nil"/>
            </w:tcBorders>
          </w:tcPr>
          <w:p w14:paraId="4A01F553" w14:textId="77777777" w:rsidR="001D5F6D" w:rsidRPr="00641BDE" w:rsidRDefault="001D5F6D" w:rsidP="007C1C97">
            <w:pPr>
              <w:pStyle w:val="Normal6a"/>
            </w:pPr>
            <w:r w:rsidRPr="00641BDE">
              <w:t>7.</w:t>
            </w:r>
            <w:r w:rsidRPr="00641BDE">
              <w:tab/>
              <w:t xml:space="preserve">dostrzega, że stopień narażenia poszczególnych agencji zdecentralizowanych na ryzyko związane z lobbingiem zależy od ich mandatu oraz kontekstu operacyjnego; podkreśla, że obecne praktyki w zakresie zapewniania przejrzystości również są zróżnicowane; zauważa na przykład, że </w:t>
            </w:r>
            <w:proofErr w:type="spellStart"/>
            <w:r w:rsidRPr="00641BDE">
              <w:t>eu</w:t>
            </w:r>
            <w:proofErr w:type="spellEnd"/>
            <w:r w:rsidRPr="00641BDE">
              <w:t xml:space="preserve">-LISA prowadzi na swojej stronie internetowej odrębny rejestr służący przejrzystości obejmujący wszystkie spotkania kierownictwa wyższego szczebla z podmiotami gospodarczymi, </w:t>
            </w:r>
            <w:proofErr w:type="spellStart"/>
            <w:r w:rsidRPr="00641BDE">
              <w:t>Frontex</w:t>
            </w:r>
            <w:proofErr w:type="spellEnd"/>
            <w:r w:rsidRPr="00641BDE">
              <w:t xml:space="preserve"> udostępnia na swojej stronie internetowej rejestr zawierający informacje o spotkaniach związanych w szczególności z zamówieniami publicznymi, natomiast ECHA publikuje informacje o spotkaniach kierownictwa wyższego szczebla z zewnętrznymi organizacjami zainteresowanych stron; jest zdania, że choć uniwersalny model dla wszystkich nie byłby ani proporcjonalny, ani operacyjnie uzasadniony, ustanowienie wspólnych minimalnych standardów zwiększyłoby spójność; odnotowuje odpowiedzi udzielone przez agencje w poprzednim cyklu udzielania absolutorium, w tym zróżnicowany zakres korzystania z rejestru służącego przejrzystości oraz fakt, że kilka agencji wprowadziło już wewnętrzne rejestry służące przejrzystości lub systemy zarządzania konfliktami interesów dostosowane do ich mandatów; wzywa agencje do przyjęcia minimalnych standardów, takich jak stosowanie zasady czworga oczu, jasna strategia kodeksu postępowania obejmująca jednoznaczne zasady zapobiegania konfliktom interesów oraz wdrożenie szczegółowych wewnętrznych rejestrów służących przejrzystości o wyraźnie określonych standardach odzwierciedlających mandat agencji oraz właściwe przepisy o ochronie danych; podkreśla, że rejestry służące przejrzystości powinny być dostępne dla audytorów w zależności od przypadku; uważa, że wdrażanie tych rozwiązań powinno mieć charakter stopniowy i uwzględniać nowe możliwości cyfrowe, aby uniknąć tworzenia dodatkowych obciążeń administracyjnych dla agencji; </w:t>
            </w:r>
            <w:r w:rsidRPr="00641BDE">
              <w:rPr>
                <w:b/>
                <w:i/>
              </w:rPr>
              <w:t xml:space="preserve">zauważa jednak, że ograniczenie ujawniania informacji służącego przejrzystości we </w:t>
            </w:r>
            <w:proofErr w:type="spellStart"/>
            <w:r w:rsidRPr="00641BDE">
              <w:rPr>
                <w:b/>
                <w:i/>
              </w:rPr>
              <w:t>Fronteksie</w:t>
            </w:r>
            <w:proofErr w:type="spellEnd"/>
            <w:r w:rsidRPr="00641BDE">
              <w:rPr>
                <w:b/>
                <w:i/>
              </w:rPr>
              <w:t xml:space="preserve"> do spotkań związanych z zamówieniami publicznymi nie zapewnia kompleksowej rozliczalności publicznej, zwłaszcza w świetle działań operacyjnych agencji; apeluje o szersze i bardziej proaktywne praktyki w zakresie przejrzystości, w tym o terminowy dostęp do dokumentów i informacji istotnych dla operacyjnego procesu decyzyjnego;</w:t>
            </w:r>
          </w:p>
        </w:tc>
      </w:tr>
    </w:tbl>
    <w:p w14:paraId="0F8E2253"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AC77FE0" w14:textId="77777777" w:rsidR="001D5F6D" w:rsidRPr="00641BDE" w:rsidRDefault="001D5F6D" w:rsidP="001D5F6D">
      <w:r w:rsidRPr="00641BDE">
        <w:rPr>
          <w:rStyle w:val="HideTWBExt"/>
        </w:rPr>
        <w:t>&lt;/Amend&gt;</w:t>
      </w:r>
    </w:p>
    <w:p w14:paraId="29CA15B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34</w:t>
      </w:r>
      <w:r w:rsidRPr="00641BDE">
        <w:rPr>
          <w:rStyle w:val="HideTWBExt"/>
          <w:b w:val="0"/>
        </w:rPr>
        <w:t>&lt;/NumAm&gt;</w:t>
      </w:r>
    </w:p>
    <w:p w14:paraId="48B0DB70"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43DF211E" w14:textId="77777777" w:rsidR="001D5F6D" w:rsidRPr="00641BDE" w:rsidRDefault="001D5F6D" w:rsidP="001D5F6D">
      <w:pPr>
        <w:pStyle w:val="NormalBold"/>
      </w:pPr>
      <w:r w:rsidRPr="00641BDE">
        <w:rPr>
          <w:rStyle w:val="HideTWBExt"/>
          <w:b w:val="0"/>
        </w:rPr>
        <w:t>&lt;/RepeatBlock-By&gt;</w:t>
      </w:r>
    </w:p>
    <w:p w14:paraId="6206560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81F84D1" w14:textId="77777777" w:rsidR="001D5F6D" w:rsidRPr="00641BDE" w:rsidRDefault="001D5F6D" w:rsidP="001D5F6D">
      <w:pPr>
        <w:pStyle w:val="NormalBold"/>
      </w:pPr>
      <w:r w:rsidRPr="00641BDE">
        <w:rPr>
          <w:rStyle w:val="HideTWBExt"/>
          <w:b w:val="0"/>
        </w:rPr>
        <w:t>&lt;Article&gt;</w:t>
      </w:r>
      <w:r w:rsidRPr="00641BDE">
        <w:t>Ustęp 7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740D11A" w14:textId="77777777" w:rsidTr="007C1C97">
        <w:trPr>
          <w:trHeight w:hRule="exact" w:val="240"/>
          <w:jc w:val="center"/>
        </w:trPr>
        <w:tc>
          <w:tcPr>
            <w:tcW w:w="9752" w:type="dxa"/>
            <w:gridSpan w:val="2"/>
            <w:tcBorders>
              <w:top w:val="nil"/>
              <w:left w:val="nil"/>
              <w:bottom w:val="nil"/>
              <w:right w:val="nil"/>
            </w:tcBorders>
          </w:tcPr>
          <w:p w14:paraId="5C370ED4" w14:textId="77777777" w:rsidR="001D5F6D" w:rsidRPr="00641BDE" w:rsidRDefault="001D5F6D" w:rsidP="007C1C97"/>
        </w:tc>
      </w:tr>
      <w:tr w:rsidR="001D5F6D" w:rsidRPr="00641BDE" w14:paraId="779EF851" w14:textId="77777777" w:rsidTr="007C1C97">
        <w:trPr>
          <w:trHeight w:val="240"/>
          <w:jc w:val="center"/>
        </w:trPr>
        <w:tc>
          <w:tcPr>
            <w:tcW w:w="4876" w:type="dxa"/>
            <w:tcBorders>
              <w:top w:val="nil"/>
              <w:left w:val="nil"/>
              <w:bottom w:val="nil"/>
              <w:right w:val="nil"/>
            </w:tcBorders>
          </w:tcPr>
          <w:p w14:paraId="1CA2B67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93F2C9B" w14:textId="77777777" w:rsidR="001D5F6D" w:rsidRPr="00641BDE" w:rsidRDefault="001D5F6D" w:rsidP="007C1C97">
            <w:pPr>
              <w:pStyle w:val="AmColumnHeading"/>
            </w:pPr>
            <w:r w:rsidRPr="00641BDE">
              <w:t>Poprawka</w:t>
            </w:r>
          </w:p>
        </w:tc>
      </w:tr>
      <w:tr w:rsidR="001D5F6D" w:rsidRPr="00641BDE" w14:paraId="6F6C9BDC" w14:textId="77777777" w:rsidTr="007C1C97">
        <w:trPr>
          <w:jc w:val="center"/>
        </w:trPr>
        <w:tc>
          <w:tcPr>
            <w:tcW w:w="4876" w:type="dxa"/>
            <w:tcBorders>
              <w:top w:val="nil"/>
              <w:left w:val="nil"/>
              <w:bottom w:val="nil"/>
              <w:right w:val="nil"/>
            </w:tcBorders>
          </w:tcPr>
          <w:p w14:paraId="28A93C9B" w14:textId="77777777" w:rsidR="001D5F6D" w:rsidRPr="00641BDE" w:rsidRDefault="001D5F6D" w:rsidP="007C1C97">
            <w:pPr>
              <w:pStyle w:val="Normal6a"/>
            </w:pPr>
          </w:p>
        </w:tc>
        <w:tc>
          <w:tcPr>
            <w:tcW w:w="4876" w:type="dxa"/>
            <w:tcBorders>
              <w:top w:val="nil"/>
              <w:left w:val="nil"/>
              <w:bottom w:val="nil"/>
              <w:right w:val="nil"/>
            </w:tcBorders>
          </w:tcPr>
          <w:p w14:paraId="7F86BF7A" w14:textId="77777777" w:rsidR="001D5F6D" w:rsidRPr="00641BDE" w:rsidRDefault="001D5F6D" w:rsidP="007C1C97">
            <w:pPr>
              <w:pStyle w:val="Normal6a"/>
            </w:pPr>
            <w:r w:rsidRPr="00641BDE">
              <w:rPr>
                <w:b/>
                <w:i/>
              </w:rPr>
              <w:t>7a.</w:t>
            </w:r>
            <w:r w:rsidRPr="00641BDE">
              <w:tab/>
            </w:r>
            <w:r w:rsidRPr="00641BDE">
              <w:rPr>
                <w:b/>
                <w:i/>
              </w:rPr>
              <w:t>domaga się pełnej przejrzystości w zakresie kontaktów agencji z aktywistycznymi organizacjami pozarządowymi lub grupami interesów; wzywa agencje, aby systematycznie publikowały wykaz spotkań z rozmówcami nienależącymi do instytucji europejskich ani państw członkowskich oraz otrzymanych wkładów;</w:t>
            </w:r>
          </w:p>
        </w:tc>
      </w:tr>
    </w:tbl>
    <w:p w14:paraId="34A4408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1C4C73C1" w14:textId="77777777" w:rsidR="001D5F6D" w:rsidRPr="00641BDE" w:rsidRDefault="001D5F6D" w:rsidP="001D5F6D">
      <w:r w:rsidRPr="00641BDE">
        <w:rPr>
          <w:rStyle w:val="HideTWBExt"/>
        </w:rPr>
        <w:t>&lt;/Amend&gt;</w:t>
      </w:r>
    </w:p>
    <w:p w14:paraId="01604F72"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35</w:t>
      </w:r>
      <w:r w:rsidRPr="00641BDE">
        <w:rPr>
          <w:rStyle w:val="HideTWBExt"/>
          <w:b w:val="0"/>
        </w:rPr>
        <w:t>&lt;/NumAm&gt;</w:t>
      </w:r>
    </w:p>
    <w:p w14:paraId="66D4870D"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024DF83C" w14:textId="77777777" w:rsidR="001D5F6D" w:rsidRPr="00641BDE" w:rsidRDefault="001D5F6D" w:rsidP="001D5F6D">
      <w:pPr>
        <w:pStyle w:val="NormalBold"/>
      </w:pPr>
      <w:r w:rsidRPr="00641BDE">
        <w:rPr>
          <w:rStyle w:val="HideTWBExt"/>
          <w:b w:val="0"/>
        </w:rPr>
        <w:t>&lt;/RepeatBlock-By&gt;</w:t>
      </w:r>
    </w:p>
    <w:p w14:paraId="0438D411"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32C417C" w14:textId="77777777" w:rsidR="001D5F6D" w:rsidRPr="00641BDE" w:rsidRDefault="001D5F6D" w:rsidP="001D5F6D">
      <w:pPr>
        <w:pStyle w:val="NormalBold"/>
      </w:pPr>
      <w:r w:rsidRPr="00641BDE">
        <w:rPr>
          <w:rStyle w:val="HideTWBExt"/>
          <w:b w:val="0"/>
        </w:rPr>
        <w:t>&lt;Article&gt;</w:t>
      </w:r>
      <w:r w:rsidRPr="00641BDE">
        <w:t>Ustęp 8</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399137D" w14:textId="77777777" w:rsidTr="007C1C97">
        <w:trPr>
          <w:trHeight w:hRule="exact" w:val="240"/>
          <w:jc w:val="center"/>
        </w:trPr>
        <w:tc>
          <w:tcPr>
            <w:tcW w:w="9752" w:type="dxa"/>
            <w:gridSpan w:val="2"/>
            <w:tcBorders>
              <w:top w:val="nil"/>
              <w:left w:val="nil"/>
              <w:bottom w:val="nil"/>
              <w:right w:val="nil"/>
            </w:tcBorders>
          </w:tcPr>
          <w:p w14:paraId="23D8EA16" w14:textId="77777777" w:rsidR="001D5F6D" w:rsidRPr="00641BDE" w:rsidRDefault="001D5F6D" w:rsidP="007C1C97"/>
        </w:tc>
      </w:tr>
      <w:tr w:rsidR="001D5F6D" w:rsidRPr="00641BDE" w14:paraId="306ACBA5" w14:textId="77777777" w:rsidTr="007C1C97">
        <w:trPr>
          <w:trHeight w:val="240"/>
          <w:jc w:val="center"/>
        </w:trPr>
        <w:tc>
          <w:tcPr>
            <w:tcW w:w="4876" w:type="dxa"/>
            <w:tcBorders>
              <w:top w:val="nil"/>
              <w:left w:val="nil"/>
              <w:bottom w:val="nil"/>
              <w:right w:val="nil"/>
            </w:tcBorders>
          </w:tcPr>
          <w:p w14:paraId="328D7B2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8BAC6D5" w14:textId="77777777" w:rsidR="001D5F6D" w:rsidRPr="00641BDE" w:rsidRDefault="001D5F6D" w:rsidP="007C1C97">
            <w:pPr>
              <w:pStyle w:val="AmColumnHeading"/>
            </w:pPr>
            <w:r w:rsidRPr="00641BDE">
              <w:t>Poprawka</w:t>
            </w:r>
          </w:p>
        </w:tc>
      </w:tr>
      <w:tr w:rsidR="001D5F6D" w:rsidRPr="00641BDE" w14:paraId="1CE307B0" w14:textId="77777777" w:rsidTr="007C1C97">
        <w:trPr>
          <w:jc w:val="center"/>
        </w:trPr>
        <w:tc>
          <w:tcPr>
            <w:tcW w:w="4876" w:type="dxa"/>
            <w:tcBorders>
              <w:top w:val="nil"/>
              <w:left w:val="nil"/>
              <w:bottom w:val="nil"/>
              <w:right w:val="nil"/>
            </w:tcBorders>
          </w:tcPr>
          <w:p w14:paraId="0C1352EF" w14:textId="77777777" w:rsidR="001D5F6D" w:rsidRPr="00641BDE" w:rsidRDefault="001D5F6D" w:rsidP="007C1C97">
            <w:pPr>
              <w:pStyle w:val="Normal6a"/>
            </w:pPr>
            <w:r w:rsidRPr="00641BDE">
              <w:t>8.</w:t>
            </w:r>
            <w:r w:rsidRPr="00641BDE">
              <w:tab/>
              <w:t xml:space="preserve">zauważa, że w 2024 r. 33 agencje zdecentralizowane zgłosiły, że zatrudniają ogółem 11 491 pracowników (w porównaniu z 10 580 w 2023 r.), w tym urzędników, pracowników zatrudnionych na czas określony, pracowników kontraktowych i oddelegowanych ekspertów krajowych, co stanowi wzrost o 8,61 % w porównaniu z 2023 r.; </w:t>
            </w:r>
            <w:r w:rsidRPr="00641BDE">
              <w:rPr>
                <w:b/>
                <w:i/>
              </w:rPr>
              <w:t xml:space="preserve">zauważa, że chociaż równowaga płci w zdecentralizowanych agencjach Unii poprawia się, nadal istnieją znaczne dysproporcje; podkreśla, że w niektórych agencjach, takich jak ACER, EASA, ERA, </w:t>
            </w:r>
            <w:proofErr w:type="spellStart"/>
            <w:r w:rsidRPr="00641BDE">
              <w:rPr>
                <w:b/>
                <w:i/>
              </w:rPr>
              <w:t>eu</w:t>
            </w:r>
            <w:proofErr w:type="spellEnd"/>
            <w:r w:rsidRPr="00641BDE">
              <w:rPr>
                <w:b/>
                <w:i/>
              </w:rPr>
              <w:t xml:space="preserve">-LISA i Europol, odsetek mężczyzn wśród pracowników jest wyższy, podczas gdy w agencjach takich jak </w:t>
            </w:r>
            <w:proofErr w:type="spellStart"/>
            <w:r w:rsidRPr="00641BDE">
              <w:rPr>
                <w:b/>
                <w:i/>
              </w:rPr>
              <w:t>CdT</w:t>
            </w:r>
            <w:proofErr w:type="spellEnd"/>
            <w:r w:rsidRPr="00641BDE">
              <w:rPr>
                <w:b/>
                <w:i/>
              </w:rPr>
              <w:t xml:space="preserve">, EFSA, EMA, ETF i </w:t>
            </w:r>
            <w:proofErr w:type="spellStart"/>
            <w:r w:rsidRPr="00641BDE">
              <w:rPr>
                <w:b/>
                <w:i/>
              </w:rPr>
              <w:t>Eurojust</w:t>
            </w:r>
            <w:proofErr w:type="spellEnd"/>
            <w:r w:rsidRPr="00641BDE">
              <w:rPr>
                <w:b/>
                <w:i/>
              </w:rPr>
              <w:t xml:space="preserve"> pracuje więcej kobiet; zauważa, że odsetek ten jest często zależny od sektora, przy czym mężczyźni dominują w rolach związanych z IT oraz egzekwowaniem prawa, natomiast kobiety – w sektorach edukacji i szkoleń oraz opieki zdrowotnej; przypomina, że zobowiązanie Unii do promowania równości płci na stanowiskach kierowniczych nadal nie zostało w pełni zrealizowane; podkreśla, że należy wzmocnić działania Komisji w tym zakresie;</w:t>
            </w:r>
            <w:r w:rsidRPr="00641BDE">
              <w:t xml:space="preserve"> przypomina, że rozporządzenie (EWG, </w:t>
            </w:r>
            <w:proofErr w:type="spellStart"/>
            <w:r w:rsidRPr="00641BDE">
              <w:t>Euratom</w:t>
            </w:r>
            <w:proofErr w:type="spellEnd"/>
            <w:r w:rsidRPr="00641BDE">
              <w:t xml:space="preserve">, </w:t>
            </w:r>
            <w:proofErr w:type="spellStart"/>
            <w:r w:rsidRPr="00641BDE">
              <w:t>EWWiS</w:t>
            </w:r>
            <w:proofErr w:type="spellEnd"/>
            <w:r w:rsidRPr="00641BDE">
              <w:t>) nr 259/68 (regulamin pracowniczy</w:t>
            </w:r>
            <w:r w:rsidRPr="00641BDE">
              <w:rPr>
                <w:vertAlign w:val="superscript"/>
              </w:rPr>
              <w:t>3</w:t>
            </w:r>
            <w:r w:rsidRPr="00641BDE">
              <w:t xml:space="preserve">) stanowi, </w:t>
            </w:r>
            <w:proofErr w:type="spellStart"/>
            <w:r w:rsidRPr="00641BDE">
              <w:rPr>
                <w:b/>
                <w:bCs/>
                <w:i/>
                <w:iCs/>
              </w:rPr>
              <w:t>eż</w:t>
            </w:r>
            <w:proofErr w:type="spellEnd"/>
            <w:r w:rsidRPr="00641BDE">
              <w:t xml:space="preserve"> nabór powinien opierać się również na jak najszerszej równowadze geograficznej państw członkowskich UE; zauważa, że istnieje naturalna tendencja do wyższego odsetka personelu pochodzącego z państwa członkowskiego, w którym znajduje się siedziba agencji; przypomina, że agencje zlokalizowane w krajach o stosunkowo niskim współczynniku korygującym stoją w obliczu ciągłych wyzwań związanych z przyciąganiem wykwalifikowanych i zróżnicowanych geograficznie pracowników;</w:t>
            </w:r>
          </w:p>
        </w:tc>
        <w:tc>
          <w:tcPr>
            <w:tcW w:w="4876" w:type="dxa"/>
            <w:tcBorders>
              <w:top w:val="nil"/>
              <w:left w:val="nil"/>
              <w:bottom w:val="nil"/>
              <w:right w:val="nil"/>
            </w:tcBorders>
          </w:tcPr>
          <w:p w14:paraId="5C615411" w14:textId="77777777" w:rsidR="001D5F6D" w:rsidRPr="00641BDE" w:rsidRDefault="001D5F6D" w:rsidP="007C1C97">
            <w:pPr>
              <w:pStyle w:val="Normal6a"/>
            </w:pPr>
            <w:r w:rsidRPr="00641BDE">
              <w:t>8.</w:t>
            </w:r>
            <w:r w:rsidRPr="00641BDE">
              <w:tab/>
              <w:t xml:space="preserve">zauważa, że w 2024 r. 33 agencje zdecentralizowane zgłosiły, że zatrudniają ogółem 11 491 pracowników (w porównaniu z 10 580 w 2023 r.), w tym urzędników, pracowników zatrudnionych na czas określony, pracowników kontraktowych i oddelegowanych ekspertów krajowych, co stanowi wzrost o 8,61 % w porównaniu z 2023 r.; przypomina, że rozporządzenie (EWG, </w:t>
            </w:r>
            <w:proofErr w:type="spellStart"/>
            <w:r w:rsidRPr="00641BDE">
              <w:t>Euratom</w:t>
            </w:r>
            <w:proofErr w:type="spellEnd"/>
            <w:r w:rsidRPr="00641BDE">
              <w:t xml:space="preserve">, </w:t>
            </w:r>
            <w:proofErr w:type="spellStart"/>
            <w:r w:rsidRPr="00641BDE">
              <w:t>EWWiS</w:t>
            </w:r>
            <w:proofErr w:type="spellEnd"/>
            <w:r w:rsidRPr="00641BDE">
              <w:t>) nr 259/68 (regulamin pracowniczy</w:t>
            </w:r>
            <w:r w:rsidRPr="00641BDE">
              <w:rPr>
                <w:vertAlign w:val="superscript"/>
              </w:rPr>
              <w:t>3</w:t>
            </w:r>
            <w:r w:rsidRPr="00641BDE">
              <w:t xml:space="preserve">) stanowi, </w:t>
            </w:r>
            <w:r w:rsidRPr="00641BDE">
              <w:rPr>
                <w:b/>
                <w:bCs/>
                <w:i/>
                <w:iCs/>
              </w:rPr>
              <w:t>że</w:t>
            </w:r>
            <w:r w:rsidRPr="00641BDE">
              <w:t xml:space="preserve"> nabór powinien opierać się również na </w:t>
            </w:r>
            <w:r w:rsidRPr="00641BDE">
              <w:rPr>
                <w:b/>
                <w:i/>
              </w:rPr>
              <w:t>osiągnięciach oraz</w:t>
            </w:r>
            <w:r w:rsidRPr="00641BDE">
              <w:t xml:space="preserve"> jak najszerszej równowadze geograficznej państw członkowskich UE; zauważa, że istnieje naturalna tendencja do wyższego odsetka personelu pochodzącego z państwa członkowskiego, w którym znajduje się siedziba agencji; przypomina, że agencje zlokalizowane w krajach o stosunkowo niskim współczynniku korygującym stoją w obliczu ciągłych wyzwań związanych z przyciąganiem wykwalifikowanych i zróżnicowanych geograficznie pracowników;</w:t>
            </w:r>
          </w:p>
        </w:tc>
      </w:tr>
      <w:tr w:rsidR="001D5F6D" w:rsidRPr="00641BDE" w14:paraId="58C6FDF9" w14:textId="77777777" w:rsidTr="007C1C97">
        <w:trPr>
          <w:jc w:val="center"/>
        </w:trPr>
        <w:tc>
          <w:tcPr>
            <w:tcW w:w="4876" w:type="dxa"/>
            <w:tcBorders>
              <w:top w:val="nil"/>
              <w:left w:val="nil"/>
              <w:bottom w:val="nil"/>
              <w:right w:val="nil"/>
            </w:tcBorders>
          </w:tcPr>
          <w:p w14:paraId="4CAAB9E9" w14:textId="77777777" w:rsidR="001D5F6D" w:rsidRPr="00641BDE" w:rsidRDefault="001D5F6D" w:rsidP="007C1C97">
            <w:pPr>
              <w:pStyle w:val="Normal6a"/>
            </w:pPr>
            <w:r w:rsidRPr="00641BDE">
              <w:rPr>
                <w:b/>
                <w:i/>
              </w:rPr>
              <w:t>_________________</w:t>
            </w:r>
          </w:p>
        </w:tc>
        <w:tc>
          <w:tcPr>
            <w:tcW w:w="4876" w:type="dxa"/>
            <w:tcBorders>
              <w:top w:val="nil"/>
              <w:left w:val="nil"/>
              <w:bottom w:val="nil"/>
              <w:right w:val="nil"/>
            </w:tcBorders>
          </w:tcPr>
          <w:p w14:paraId="4CAB0AB7" w14:textId="77777777" w:rsidR="001D5F6D" w:rsidRPr="00641BDE" w:rsidRDefault="001D5F6D" w:rsidP="007C1C97">
            <w:pPr>
              <w:pStyle w:val="Normal6a"/>
            </w:pPr>
            <w:r w:rsidRPr="00641BDE">
              <w:rPr>
                <w:b/>
                <w:i/>
              </w:rPr>
              <w:t>_________________</w:t>
            </w:r>
          </w:p>
        </w:tc>
      </w:tr>
      <w:tr w:rsidR="001D5F6D" w:rsidRPr="00641BDE" w14:paraId="044C5FCE" w14:textId="77777777" w:rsidTr="007C1C97">
        <w:trPr>
          <w:jc w:val="center"/>
        </w:trPr>
        <w:tc>
          <w:tcPr>
            <w:tcW w:w="4876" w:type="dxa"/>
            <w:tcBorders>
              <w:top w:val="nil"/>
              <w:left w:val="nil"/>
              <w:bottom w:val="nil"/>
              <w:right w:val="nil"/>
            </w:tcBorders>
          </w:tcPr>
          <w:p w14:paraId="650A1E15" w14:textId="77777777" w:rsidR="001D5F6D" w:rsidRPr="00641BDE" w:rsidRDefault="001D5F6D" w:rsidP="007C1C97">
            <w:pPr>
              <w:pStyle w:val="Normal6a"/>
            </w:pPr>
            <w:r w:rsidRPr="00641BDE">
              <w:rPr>
                <w:vertAlign w:val="superscript"/>
              </w:rPr>
              <w:t>3</w:t>
            </w:r>
            <w:r w:rsidRPr="00641BDE">
              <w:t xml:space="preserve"> Rozporządzenie Rady (EWG, </w:t>
            </w:r>
            <w:proofErr w:type="spellStart"/>
            <w:r w:rsidRPr="00641BDE">
              <w:t>Euratom</w:t>
            </w:r>
            <w:proofErr w:type="spellEnd"/>
            <w:r w:rsidRPr="00641BDE">
              <w:t xml:space="preserve">, </w:t>
            </w:r>
            <w:proofErr w:type="spellStart"/>
            <w:r w:rsidRPr="00641BDE">
              <w:t>EWWiS</w:t>
            </w:r>
            <w:proofErr w:type="spellEnd"/>
            <w:r w:rsidRPr="00641BDE">
              <w:t>) nr 259/68 z dnia 29 lutego 1968 r. ustanawiające regulamin pracowniczy urzędników i warunki zatrudnienia innych pracowników Wspólnot Europejskich oraz ustanawiające specjalne środki stosowane tymczasowo wobec urzędników Komisji (Dz.U. L 56 z </w:t>
            </w:r>
            <w:proofErr w:type="gramStart"/>
            <w:r w:rsidRPr="00641BDE">
              <w:t>4.3.1968</w:t>
            </w:r>
            <w:proofErr w:type="gramEnd"/>
            <w:r w:rsidRPr="00641BDE">
              <w:t>, s. 1, ELI: http://data.europa.eu/eli/reg/1968/259(1)/oj).</w:t>
            </w:r>
          </w:p>
        </w:tc>
        <w:tc>
          <w:tcPr>
            <w:tcW w:w="4876" w:type="dxa"/>
            <w:tcBorders>
              <w:top w:val="nil"/>
              <w:left w:val="nil"/>
              <w:bottom w:val="nil"/>
              <w:right w:val="nil"/>
            </w:tcBorders>
          </w:tcPr>
          <w:p w14:paraId="503109A8" w14:textId="77777777" w:rsidR="001D5F6D" w:rsidRPr="00641BDE" w:rsidRDefault="001D5F6D" w:rsidP="007C1C97">
            <w:pPr>
              <w:pStyle w:val="Normal6a"/>
            </w:pPr>
            <w:r w:rsidRPr="00641BDE">
              <w:rPr>
                <w:vertAlign w:val="superscript"/>
              </w:rPr>
              <w:t>3</w:t>
            </w:r>
            <w:r w:rsidRPr="00641BDE">
              <w:t xml:space="preserve"> Rozporządzenie Rady (EWG, </w:t>
            </w:r>
            <w:proofErr w:type="spellStart"/>
            <w:r w:rsidRPr="00641BDE">
              <w:t>Euratom</w:t>
            </w:r>
            <w:proofErr w:type="spellEnd"/>
            <w:r w:rsidRPr="00641BDE">
              <w:t xml:space="preserve">, </w:t>
            </w:r>
            <w:proofErr w:type="spellStart"/>
            <w:r w:rsidRPr="00641BDE">
              <w:t>EWWiS</w:t>
            </w:r>
            <w:proofErr w:type="spellEnd"/>
            <w:r w:rsidRPr="00641BDE">
              <w:t>) nr 259/68 z dnia 29 lutego 1968 r. ustanawiające regulamin pracowniczy urzędników i warunki zatrudnienia innych pracowników Wspólnot Europejskich oraz ustanawiające specjalne środki stosowane tymczasowo wobec urzędników Komisji (Dz.U. L 56 z </w:t>
            </w:r>
            <w:proofErr w:type="gramStart"/>
            <w:r w:rsidRPr="00641BDE">
              <w:t>4.3.1968</w:t>
            </w:r>
            <w:proofErr w:type="gramEnd"/>
            <w:r w:rsidRPr="00641BDE">
              <w:t>, s. 1, ELI: http://data.europa.eu/eli/reg/1968/259(1)/oj).</w:t>
            </w:r>
          </w:p>
        </w:tc>
      </w:tr>
    </w:tbl>
    <w:p w14:paraId="01041949"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54AC8E2" w14:textId="77777777" w:rsidR="001D5F6D" w:rsidRPr="00641BDE" w:rsidRDefault="001D5F6D" w:rsidP="001D5F6D">
      <w:r w:rsidRPr="00641BDE">
        <w:rPr>
          <w:rStyle w:val="HideTWBExt"/>
        </w:rPr>
        <w:t>&lt;/Amend&gt;</w:t>
      </w:r>
    </w:p>
    <w:p w14:paraId="6A81011B"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36</w:t>
      </w:r>
      <w:r w:rsidRPr="00641BDE">
        <w:rPr>
          <w:rStyle w:val="HideTWBExt"/>
          <w:b w:val="0"/>
        </w:rPr>
        <w:t>&lt;/NumAm&gt;</w:t>
      </w:r>
    </w:p>
    <w:p w14:paraId="72145D18"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12445E54" w14:textId="77777777" w:rsidR="001D5F6D" w:rsidRPr="00641BDE" w:rsidRDefault="001D5F6D" w:rsidP="001D5F6D">
      <w:pPr>
        <w:pStyle w:val="NormalBold"/>
      </w:pPr>
      <w:r w:rsidRPr="00641BDE">
        <w:rPr>
          <w:rStyle w:val="HideTWBExt"/>
          <w:b w:val="0"/>
        </w:rPr>
        <w:t>&lt;/RepeatBlock-By&gt;</w:t>
      </w:r>
    </w:p>
    <w:p w14:paraId="63E372B0"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7B3B04B" w14:textId="77777777" w:rsidR="001D5F6D" w:rsidRPr="00641BDE" w:rsidRDefault="001D5F6D" w:rsidP="001D5F6D">
      <w:pPr>
        <w:pStyle w:val="NormalBold"/>
      </w:pPr>
      <w:r w:rsidRPr="00641BDE">
        <w:rPr>
          <w:rStyle w:val="HideTWBExt"/>
          <w:b w:val="0"/>
        </w:rPr>
        <w:t>&lt;Article&gt;</w:t>
      </w:r>
      <w:r w:rsidRPr="00641BDE">
        <w:t>Ustęp 8</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63222DD" w14:textId="77777777" w:rsidTr="007C1C97">
        <w:trPr>
          <w:trHeight w:hRule="exact" w:val="240"/>
          <w:jc w:val="center"/>
        </w:trPr>
        <w:tc>
          <w:tcPr>
            <w:tcW w:w="9752" w:type="dxa"/>
            <w:gridSpan w:val="2"/>
            <w:tcBorders>
              <w:top w:val="nil"/>
              <w:left w:val="nil"/>
              <w:bottom w:val="nil"/>
              <w:right w:val="nil"/>
            </w:tcBorders>
          </w:tcPr>
          <w:p w14:paraId="337EE55E" w14:textId="77777777" w:rsidR="001D5F6D" w:rsidRPr="00641BDE" w:rsidRDefault="001D5F6D" w:rsidP="007C1C97"/>
        </w:tc>
      </w:tr>
      <w:tr w:rsidR="001D5F6D" w:rsidRPr="00641BDE" w14:paraId="1DE85DC3" w14:textId="77777777" w:rsidTr="007C1C97">
        <w:trPr>
          <w:trHeight w:val="240"/>
          <w:jc w:val="center"/>
        </w:trPr>
        <w:tc>
          <w:tcPr>
            <w:tcW w:w="4876" w:type="dxa"/>
            <w:tcBorders>
              <w:top w:val="nil"/>
              <w:left w:val="nil"/>
              <w:bottom w:val="nil"/>
              <w:right w:val="nil"/>
            </w:tcBorders>
          </w:tcPr>
          <w:p w14:paraId="6C70385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82E93C9" w14:textId="77777777" w:rsidR="001D5F6D" w:rsidRPr="00641BDE" w:rsidRDefault="001D5F6D" w:rsidP="007C1C97">
            <w:pPr>
              <w:pStyle w:val="AmColumnHeading"/>
            </w:pPr>
            <w:r w:rsidRPr="00641BDE">
              <w:t>Poprawka</w:t>
            </w:r>
          </w:p>
        </w:tc>
      </w:tr>
      <w:tr w:rsidR="001D5F6D" w:rsidRPr="00641BDE" w14:paraId="6C96354B" w14:textId="77777777" w:rsidTr="007C1C97">
        <w:trPr>
          <w:jc w:val="center"/>
        </w:trPr>
        <w:tc>
          <w:tcPr>
            <w:tcW w:w="4876" w:type="dxa"/>
            <w:tcBorders>
              <w:top w:val="nil"/>
              <w:left w:val="nil"/>
              <w:bottom w:val="nil"/>
              <w:right w:val="nil"/>
            </w:tcBorders>
          </w:tcPr>
          <w:p w14:paraId="7661D036" w14:textId="77777777" w:rsidR="001D5F6D" w:rsidRPr="00641BDE" w:rsidRDefault="001D5F6D" w:rsidP="007C1C97">
            <w:pPr>
              <w:pStyle w:val="Normal6a"/>
            </w:pPr>
            <w:r w:rsidRPr="00641BDE">
              <w:t>8.</w:t>
            </w:r>
            <w:r w:rsidRPr="00641BDE">
              <w:tab/>
              <w:t xml:space="preserve">zauważa, że w 2024 r. 33 agencje zdecentralizowane zgłosiły, że zatrudniają ogółem 11 491 pracowników (w porównaniu z 10 580 w 2023 r.), w tym urzędników, pracowników zatrudnionych na czas określony, pracowników kontraktowych i oddelegowanych ekspertów krajowych, co stanowi wzrost o 8,61 % w porównaniu z 2023 r.; zauważa, że chociaż równowaga płci w zdecentralizowanych agencjach Unii poprawia się, nadal istnieją znaczne dysproporcje; podkreśla, że w niektórych agencjach, takich jak ACER, EASA, ERA, </w:t>
            </w:r>
            <w:proofErr w:type="spellStart"/>
            <w:r w:rsidRPr="00641BDE">
              <w:t>eu</w:t>
            </w:r>
            <w:proofErr w:type="spellEnd"/>
            <w:r w:rsidRPr="00641BDE">
              <w:t xml:space="preserve">-LISA i Europol, odsetek mężczyzn wśród pracowników jest wyższy, podczas gdy w agencjach takich jak </w:t>
            </w:r>
            <w:proofErr w:type="spellStart"/>
            <w:r w:rsidRPr="00641BDE">
              <w:t>CdT</w:t>
            </w:r>
            <w:proofErr w:type="spellEnd"/>
            <w:r w:rsidRPr="00641BDE">
              <w:t xml:space="preserve">, EFSA, EMA, ETF i </w:t>
            </w:r>
            <w:proofErr w:type="spellStart"/>
            <w:r w:rsidRPr="00641BDE">
              <w:t>Eurojust</w:t>
            </w:r>
            <w:proofErr w:type="spellEnd"/>
            <w:r w:rsidRPr="00641BDE">
              <w:t xml:space="preserve"> pracuje więcej kobiet; </w:t>
            </w:r>
            <w:r w:rsidRPr="00641BDE">
              <w:rPr>
                <w:b/>
                <w:i/>
              </w:rPr>
              <w:t>zauważa, że odsetek ten jest często zależny od sektora, przy czym mężczyźni dominują w rolach związanych z IT oraz egzekwowaniem prawa, natomiast kobiety – w sektorach edukacji i szkoleń oraz opieki zdrowotnej; przypomina</w:t>
            </w:r>
            <w:r w:rsidRPr="00641BDE">
              <w:t xml:space="preserve">, że zobowiązanie Unii do promowania równości płci na stanowiskach kierowniczych nadal nie zostało w pełni zrealizowane; podkreśla, że należy wzmocnić działania Komisji w tym zakresie; przypomina, że rozporządzenie (EWG, </w:t>
            </w:r>
            <w:proofErr w:type="spellStart"/>
            <w:r w:rsidRPr="00641BDE">
              <w:t>Euratom</w:t>
            </w:r>
            <w:proofErr w:type="spellEnd"/>
            <w:r w:rsidRPr="00641BDE">
              <w:t xml:space="preserve">, </w:t>
            </w:r>
            <w:proofErr w:type="spellStart"/>
            <w:r w:rsidRPr="00641BDE">
              <w:t>EWWiS</w:t>
            </w:r>
            <w:proofErr w:type="spellEnd"/>
            <w:r w:rsidRPr="00641BDE">
              <w:t>) nr 259/68 (regulamin pracowniczy</w:t>
            </w:r>
            <w:r w:rsidRPr="00641BDE">
              <w:rPr>
                <w:b/>
                <w:i/>
                <w:vertAlign w:val="superscript"/>
              </w:rPr>
              <w:t>3</w:t>
            </w:r>
            <w:r w:rsidRPr="00641BDE">
              <w:t xml:space="preserve">) stanowi, </w:t>
            </w:r>
            <w:proofErr w:type="spellStart"/>
            <w:r w:rsidRPr="00641BDE">
              <w:rPr>
                <w:b/>
                <w:bCs/>
                <w:i/>
                <w:iCs/>
              </w:rPr>
              <w:t>eż</w:t>
            </w:r>
            <w:proofErr w:type="spellEnd"/>
            <w:r w:rsidRPr="00641BDE">
              <w:t xml:space="preserve"> nabór powinien opierać się również na jak najszerszej równowadze geograficznej państw członkowskich UE; zauważa, że istnieje naturalna tendencja do wyższego odsetka personelu pochodzącego z państwa członkowskiego, w którym znajduje się siedziba agencji; przypomina, że agencje zlokalizowane w krajach o stosunkowo niskim współczynniku korygującym stoją w obliczu ciągłych wyzwań związanych z przyciąganiem wykwalifikowanych i zróżnicowanych geograficznie pracowników;</w:t>
            </w:r>
          </w:p>
        </w:tc>
        <w:tc>
          <w:tcPr>
            <w:tcW w:w="4876" w:type="dxa"/>
            <w:tcBorders>
              <w:top w:val="nil"/>
              <w:left w:val="nil"/>
              <w:bottom w:val="nil"/>
              <w:right w:val="nil"/>
            </w:tcBorders>
          </w:tcPr>
          <w:p w14:paraId="217DA7AC" w14:textId="77777777" w:rsidR="001D5F6D" w:rsidRPr="00641BDE" w:rsidRDefault="001D5F6D" w:rsidP="007C1C97">
            <w:pPr>
              <w:pStyle w:val="Normal6a"/>
            </w:pPr>
            <w:r w:rsidRPr="00641BDE">
              <w:t>8.</w:t>
            </w:r>
            <w:r w:rsidRPr="00641BDE">
              <w:tab/>
              <w:t xml:space="preserve">zauważa, że w 2024 r. 33 agencje zdecentralizowane zgłosiły, że zatrudniają ogółem 11 491 pracowników (w porównaniu z 10 580 w 2023 r.), w tym urzędników, pracowników zatrudnionych na czas określony, pracowników kontraktowych i oddelegowanych ekspertów krajowych, co stanowi wzrost o 8,61 % w porównaniu z 2023 r.; zauważa, że chociaż równowaga płci w zdecentralizowanych agencjach Unii poprawia się, nadal istnieją znaczne dysproporcje; podkreśla, że w niektórych agencjach, takich jak ACER, EASA, ERA, </w:t>
            </w:r>
            <w:proofErr w:type="spellStart"/>
            <w:r w:rsidRPr="00641BDE">
              <w:t>eu</w:t>
            </w:r>
            <w:proofErr w:type="spellEnd"/>
            <w:r w:rsidRPr="00641BDE">
              <w:t xml:space="preserve">-LISA i Europol, odsetek mężczyzn wśród pracowników jest wyższy, podczas gdy w agencjach takich jak </w:t>
            </w:r>
            <w:proofErr w:type="spellStart"/>
            <w:r w:rsidRPr="00641BDE">
              <w:t>CdT</w:t>
            </w:r>
            <w:proofErr w:type="spellEnd"/>
            <w:r w:rsidRPr="00641BDE">
              <w:t xml:space="preserve">, EFSA, EMA, ETF i </w:t>
            </w:r>
            <w:proofErr w:type="spellStart"/>
            <w:r w:rsidRPr="00641BDE">
              <w:t>Eurojust</w:t>
            </w:r>
            <w:proofErr w:type="spellEnd"/>
            <w:r w:rsidRPr="00641BDE">
              <w:t xml:space="preserve"> pracuje więcej kobiet; </w:t>
            </w:r>
            <w:r w:rsidRPr="00641BDE">
              <w:rPr>
                <w:b/>
                <w:i/>
              </w:rPr>
              <w:t>ubolewa</w:t>
            </w:r>
            <w:r w:rsidRPr="00641BDE">
              <w:t xml:space="preserve">, że zobowiązanie Unii do promowania równości płci na stanowiskach kierowniczych nadal nie zostało w pełni zrealizowane; podkreśla, że należy wzmocnić działania Komisji w tym zakresie; przypomina, że rozporządzenie (EWG, </w:t>
            </w:r>
            <w:proofErr w:type="spellStart"/>
            <w:r w:rsidRPr="00641BDE">
              <w:t>Euratom</w:t>
            </w:r>
            <w:proofErr w:type="spellEnd"/>
            <w:r w:rsidRPr="00641BDE">
              <w:t xml:space="preserve">, </w:t>
            </w:r>
            <w:proofErr w:type="spellStart"/>
            <w:r w:rsidRPr="00641BDE">
              <w:t>EWWiS</w:t>
            </w:r>
            <w:proofErr w:type="spellEnd"/>
            <w:r w:rsidRPr="00641BDE">
              <w:t>) nr 259/68 (regulamin pracowniczy</w:t>
            </w:r>
            <w:r w:rsidRPr="00641BDE">
              <w:rPr>
                <w:b/>
                <w:i/>
              </w:rPr>
              <w:t>[1]</w:t>
            </w:r>
            <w:r w:rsidRPr="00641BDE">
              <w:t xml:space="preserve">) stanowi, </w:t>
            </w:r>
            <w:r w:rsidRPr="00641BDE">
              <w:rPr>
                <w:b/>
                <w:bCs/>
                <w:i/>
                <w:iCs/>
              </w:rPr>
              <w:t>że</w:t>
            </w:r>
            <w:r w:rsidRPr="00641BDE">
              <w:t xml:space="preserve"> nabór powinien opierać się na </w:t>
            </w:r>
            <w:r w:rsidRPr="00641BDE">
              <w:rPr>
                <w:b/>
                <w:i/>
              </w:rPr>
              <w:t>obiektywnych, przejrzystych i merytorycznych kryteriach, jak</w:t>
            </w:r>
            <w:r w:rsidRPr="00641BDE">
              <w:t xml:space="preserve"> również na jak najszerszej równowadze geograficznej państw członkowskich UE; zauważa, że istnieje naturalna tendencja do wyższego odsetka personelu pochodzącego z państwa członkowskiego, w którym znajduje się siedziba agencji; przypomina, że agencje zlokalizowane w krajach o stosunkowo niskim współczynniku korygującym stoją w obliczu ciągłych wyzwań związanych z przyciąganiem wykwalifikowanych i zróżnicowanych geograficznie pracowników;</w:t>
            </w:r>
          </w:p>
        </w:tc>
      </w:tr>
      <w:tr w:rsidR="001D5F6D" w:rsidRPr="00641BDE" w14:paraId="0FBA709C" w14:textId="77777777" w:rsidTr="007C1C97">
        <w:trPr>
          <w:jc w:val="center"/>
        </w:trPr>
        <w:tc>
          <w:tcPr>
            <w:tcW w:w="4876" w:type="dxa"/>
            <w:tcBorders>
              <w:top w:val="nil"/>
              <w:left w:val="nil"/>
              <w:bottom w:val="nil"/>
              <w:right w:val="nil"/>
            </w:tcBorders>
          </w:tcPr>
          <w:p w14:paraId="598766D8" w14:textId="77777777" w:rsidR="001D5F6D" w:rsidRPr="00641BDE" w:rsidRDefault="001D5F6D" w:rsidP="007C1C97">
            <w:pPr>
              <w:pStyle w:val="Normal6a"/>
            </w:pPr>
            <w:r w:rsidRPr="00641BDE">
              <w:rPr>
                <w:b/>
                <w:i/>
              </w:rPr>
              <w:t>_________________</w:t>
            </w:r>
          </w:p>
        </w:tc>
        <w:tc>
          <w:tcPr>
            <w:tcW w:w="4876" w:type="dxa"/>
            <w:tcBorders>
              <w:top w:val="nil"/>
              <w:left w:val="nil"/>
              <w:bottom w:val="nil"/>
              <w:right w:val="nil"/>
            </w:tcBorders>
          </w:tcPr>
          <w:p w14:paraId="3A815C30" w14:textId="77777777" w:rsidR="001D5F6D" w:rsidRPr="00641BDE" w:rsidRDefault="001D5F6D" w:rsidP="007C1C97"/>
        </w:tc>
      </w:tr>
      <w:tr w:rsidR="001D5F6D" w:rsidRPr="00641BDE" w14:paraId="4FFE25F1" w14:textId="77777777" w:rsidTr="007C1C97">
        <w:trPr>
          <w:jc w:val="center"/>
        </w:trPr>
        <w:tc>
          <w:tcPr>
            <w:tcW w:w="4876" w:type="dxa"/>
            <w:tcBorders>
              <w:top w:val="nil"/>
              <w:left w:val="nil"/>
              <w:bottom w:val="nil"/>
              <w:right w:val="nil"/>
            </w:tcBorders>
          </w:tcPr>
          <w:p w14:paraId="7E7EDBF9" w14:textId="77777777" w:rsidR="001D5F6D" w:rsidRPr="00641BDE" w:rsidRDefault="001D5F6D" w:rsidP="007C1C97">
            <w:pPr>
              <w:pStyle w:val="Normal6a"/>
            </w:pPr>
            <w:r w:rsidRPr="00641BDE">
              <w:rPr>
                <w:b/>
                <w:i/>
                <w:vertAlign w:val="superscript"/>
              </w:rPr>
              <w:t>3</w:t>
            </w:r>
            <w:r w:rsidRPr="00641BDE">
              <w:t xml:space="preserve"> </w:t>
            </w:r>
            <w:r w:rsidRPr="00641BDE">
              <w:rPr>
                <w:b/>
                <w:i/>
              </w:rPr>
              <w:t xml:space="preserve">Rozporządzenie Rady (EWG, </w:t>
            </w:r>
            <w:proofErr w:type="spellStart"/>
            <w:r w:rsidRPr="00641BDE">
              <w:rPr>
                <w:b/>
                <w:i/>
              </w:rPr>
              <w:t>Euratom</w:t>
            </w:r>
            <w:proofErr w:type="spellEnd"/>
            <w:r w:rsidRPr="00641BDE">
              <w:rPr>
                <w:b/>
                <w:i/>
              </w:rPr>
              <w:t xml:space="preserve">, </w:t>
            </w:r>
            <w:proofErr w:type="spellStart"/>
            <w:r w:rsidRPr="00641BDE">
              <w:rPr>
                <w:b/>
                <w:i/>
              </w:rPr>
              <w:t>EWWiS</w:t>
            </w:r>
            <w:proofErr w:type="spellEnd"/>
            <w:r w:rsidRPr="00641BDE">
              <w:rPr>
                <w:b/>
                <w:i/>
              </w:rPr>
              <w:t>) nr 259/68 z dnia 29 lutego 1968 r. ustanawiające regulamin pracowniczy urzędników i warunki zatrudnienia innych pracowników Wspólnot Europejskich oraz ustanawiające specjalne środki stosowane tymczasowo wobec urzędników Komisji (Dz.U. L 56 z </w:t>
            </w:r>
            <w:proofErr w:type="gramStart"/>
            <w:r w:rsidRPr="00641BDE">
              <w:rPr>
                <w:b/>
                <w:i/>
              </w:rPr>
              <w:t>4.3.1968</w:t>
            </w:r>
            <w:proofErr w:type="gramEnd"/>
            <w:r w:rsidRPr="00641BDE">
              <w:rPr>
                <w:b/>
                <w:i/>
              </w:rPr>
              <w:t>, s. 1, ELI: http://data.europa.eu/eli/reg/1968/259(1)/oj).</w:t>
            </w:r>
          </w:p>
        </w:tc>
        <w:tc>
          <w:tcPr>
            <w:tcW w:w="4876" w:type="dxa"/>
            <w:tcBorders>
              <w:top w:val="nil"/>
              <w:left w:val="nil"/>
              <w:bottom w:val="nil"/>
              <w:right w:val="nil"/>
            </w:tcBorders>
          </w:tcPr>
          <w:p w14:paraId="63C9CE59" w14:textId="77777777" w:rsidR="001D5F6D" w:rsidRPr="00641BDE" w:rsidRDefault="001D5F6D" w:rsidP="007C1C97"/>
        </w:tc>
      </w:tr>
    </w:tbl>
    <w:p w14:paraId="640260D2"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A494310" w14:textId="77777777" w:rsidR="001D5F6D" w:rsidRPr="00641BDE" w:rsidRDefault="001D5F6D" w:rsidP="001D5F6D">
      <w:r w:rsidRPr="00641BDE">
        <w:rPr>
          <w:rStyle w:val="HideTWBExt"/>
        </w:rPr>
        <w:t>&lt;/Amend&gt;</w:t>
      </w:r>
    </w:p>
    <w:p w14:paraId="5CD8AA2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37</w:t>
      </w:r>
      <w:r w:rsidRPr="00641BDE">
        <w:rPr>
          <w:rStyle w:val="HideTWBExt"/>
          <w:b w:val="0"/>
        </w:rPr>
        <w:t>&lt;/NumAm&gt;</w:t>
      </w:r>
    </w:p>
    <w:p w14:paraId="7F04008A"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5795A9B0" w14:textId="77777777" w:rsidR="001D5F6D" w:rsidRPr="00641BDE" w:rsidRDefault="001D5F6D" w:rsidP="001D5F6D">
      <w:pPr>
        <w:pStyle w:val="NormalBold"/>
      </w:pPr>
      <w:r w:rsidRPr="00641BDE">
        <w:rPr>
          <w:rStyle w:val="HideTWBExt"/>
          <w:b w:val="0"/>
        </w:rPr>
        <w:t>&lt;/RepeatBlock-By&gt;</w:t>
      </w:r>
    </w:p>
    <w:p w14:paraId="239BB30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72F270C" w14:textId="77777777" w:rsidR="001D5F6D" w:rsidRPr="00641BDE" w:rsidRDefault="001D5F6D" w:rsidP="001D5F6D">
      <w:pPr>
        <w:pStyle w:val="NormalBold"/>
      </w:pPr>
      <w:r w:rsidRPr="00641BDE">
        <w:rPr>
          <w:rStyle w:val="HideTWBExt"/>
          <w:b w:val="0"/>
        </w:rPr>
        <w:t>&lt;Article&gt;</w:t>
      </w:r>
      <w:r w:rsidRPr="00641BDE">
        <w:t>Ustęp 8</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8C4643C" w14:textId="77777777" w:rsidTr="007C1C97">
        <w:trPr>
          <w:trHeight w:hRule="exact" w:val="240"/>
          <w:jc w:val="center"/>
        </w:trPr>
        <w:tc>
          <w:tcPr>
            <w:tcW w:w="9752" w:type="dxa"/>
            <w:gridSpan w:val="2"/>
            <w:tcBorders>
              <w:top w:val="nil"/>
              <w:left w:val="nil"/>
              <w:bottom w:val="nil"/>
              <w:right w:val="nil"/>
            </w:tcBorders>
          </w:tcPr>
          <w:p w14:paraId="56F9D099" w14:textId="77777777" w:rsidR="001D5F6D" w:rsidRPr="00641BDE" w:rsidRDefault="001D5F6D" w:rsidP="007C1C97"/>
        </w:tc>
      </w:tr>
      <w:tr w:rsidR="001D5F6D" w:rsidRPr="00641BDE" w14:paraId="784CE361" w14:textId="77777777" w:rsidTr="007C1C97">
        <w:trPr>
          <w:trHeight w:val="240"/>
          <w:jc w:val="center"/>
        </w:trPr>
        <w:tc>
          <w:tcPr>
            <w:tcW w:w="4876" w:type="dxa"/>
            <w:tcBorders>
              <w:top w:val="nil"/>
              <w:left w:val="nil"/>
              <w:bottom w:val="nil"/>
              <w:right w:val="nil"/>
            </w:tcBorders>
          </w:tcPr>
          <w:p w14:paraId="314625CB"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B24A7F9" w14:textId="77777777" w:rsidR="001D5F6D" w:rsidRPr="00641BDE" w:rsidRDefault="001D5F6D" w:rsidP="007C1C97">
            <w:pPr>
              <w:pStyle w:val="AmColumnHeading"/>
            </w:pPr>
            <w:r w:rsidRPr="00641BDE">
              <w:t>Poprawka</w:t>
            </w:r>
          </w:p>
        </w:tc>
      </w:tr>
      <w:tr w:rsidR="001D5F6D" w:rsidRPr="00641BDE" w14:paraId="6E48F5F7" w14:textId="77777777" w:rsidTr="007C1C97">
        <w:trPr>
          <w:jc w:val="center"/>
        </w:trPr>
        <w:tc>
          <w:tcPr>
            <w:tcW w:w="4876" w:type="dxa"/>
            <w:tcBorders>
              <w:top w:val="nil"/>
              <w:left w:val="nil"/>
              <w:bottom w:val="nil"/>
              <w:right w:val="nil"/>
            </w:tcBorders>
          </w:tcPr>
          <w:p w14:paraId="38BBFE0B" w14:textId="77777777" w:rsidR="001D5F6D" w:rsidRPr="00641BDE" w:rsidRDefault="001D5F6D" w:rsidP="007C1C97">
            <w:pPr>
              <w:pStyle w:val="Normal6a"/>
            </w:pPr>
            <w:r w:rsidRPr="00641BDE">
              <w:t>8.</w:t>
            </w:r>
            <w:r w:rsidRPr="00641BDE">
              <w:tab/>
              <w:t xml:space="preserve">zauważa, że w 2024 r. 33 agencje zdecentralizowane zgłosiły, że zatrudniają ogółem 11 491 pracowników (w porównaniu z 10 580 w 2023 r.), w tym urzędników, pracowników zatrudnionych na czas określony, pracowników kontraktowych i oddelegowanych ekspertów krajowych, co stanowi wzrost o 8,61 % w porównaniu z 2023 r.; zauważa, że chociaż równowaga płci w zdecentralizowanych agencjach Unii poprawia się, nadal istnieją znaczne dysproporcje; podkreśla, że w niektórych agencjach, takich jak ACER, EASA, ERA, </w:t>
            </w:r>
            <w:proofErr w:type="spellStart"/>
            <w:r w:rsidRPr="00641BDE">
              <w:t>eu</w:t>
            </w:r>
            <w:proofErr w:type="spellEnd"/>
            <w:r w:rsidRPr="00641BDE">
              <w:t xml:space="preserve">-LISA i Europol, odsetek mężczyzn wśród pracowników jest wyższy, podczas gdy w agencjach takich jak </w:t>
            </w:r>
            <w:proofErr w:type="spellStart"/>
            <w:r w:rsidRPr="00641BDE">
              <w:t>CdT</w:t>
            </w:r>
            <w:proofErr w:type="spellEnd"/>
            <w:r w:rsidRPr="00641BDE">
              <w:t xml:space="preserve">, EFSA, EMA, ETF i </w:t>
            </w:r>
            <w:proofErr w:type="spellStart"/>
            <w:r w:rsidRPr="00641BDE">
              <w:t>Eurojust</w:t>
            </w:r>
            <w:proofErr w:type="spellEnd"/>
            <w:r w:rsidRPr="00641BDE">
              <w:t xml:space="preserve"> pracuje więcej kobiet; zauważa, że odsetek ten jest często zależny od sektora, przy czym mężczyźni dominują w rolach związanych z IT oraz egzekwowaniem prawa, natomiast kobiety – w sektorach edukacji i szkoleń oraz opieki zdrowotnej; przypomina, że zobowiązanie Unii do promowania równości płci na stanowiskach kierowniczych nadal nie zostało w pełni zrealizowane; podkreśla, że należy wzmocnić działania Komisji w tym zakresie; przypomina, że rozporządzenie (EWG, </w:t>
            </w:r>
            <w:proofErr w:type="spellStart"/>
            <w:r w:rsidRPr="00641BDE">
              <w:t>Euratom</w:t>
            </w:r>
            <w:proofErr w:type="spellEnd"/>
            <w:r w:rsidRPr="00641BDE">
              <w:t xml:space="preserve">, </w:t>
            </w:r>
            <w:proofErr w:type="spellStart"/>
            <w:r w:rsidRPr="00641BDE">
              <w:t>EWWiS</w:t>
            </w:r>
            <w:proofErr w:type="spellEnd"/>
            <w:r w:rsidRPr="00641BDE">
              <w:t>) nr 259/68 (regulamin pracowniczy</w:t>
            </w:r>
            <w:r w:rsidRPr="00641BDE">
              <w:rPr>
                <w:vertAlign w:val="superscript"/>
              </w:rPr>
              <w:t>3</w:t>
            </w:r>
            <w:r w:rsidRPr="00641BDE">
              <w:t xml:space="preserve">) stanowi, </w:t>
            </w:r>
            <w:proofErr w:type="spellStart"/>
            <w:r w:rsidRPr="00641BDE">
              <w:rPr>
                <w:b/>
                <w:bCs/>
                <w:i/>
                <w:iCs/>
              </w:rPr>
              <w:t>eż</w:t>
            </w:r>
            <w:proofErr w:type="spellEnd"/>
            <w:r w:rsidRPr="00641BDE">
              <w:t xml:space="preserve"> nabór powinien opierać się również na jak najszerszej równowadze geograficznej państw członkowskich UE; zauważa, że istnieje naturalna tendencja do wyższego odsetka personelu pochodzącego z państwa członkowskiego, w którym znajduje się siedziba agencji; przypomina, że agencje zlokalizowane w krajach o stosunkowo niskim współczynniku korygującym stoją w obliczu ciągłych wyzwań związanych z przyciąganiem wykwalifikowanych i zróżnicowanych geograficznie pracowników;</w:t>
            </w:r>
          </w:p>
        </w:tc>
        <w:tc>
          <w:tcPr>
            <w:tcW w:w="4876" w:type="dxa"/>
            <w:tcBorders>
              <w:top w:val="nil"/>
              <w:left w:val="nil"/>
              <w:bottom w:val="nil"/>
              <w:right w:val="nil"/>
            </w:tcBorders>
          </w:tcPr>
          <w:p w14:paraId="1F0DC4F0" w14:textId="77777777" w:rsidR="001D5F6D" w:rsidRPr="00641BDE" w:rsidRDefault="001D5F6D" w:rsidP="007C1C97">
            <w:pPr>
              <w:pStyle w:val="Normal6a"/>
            </w:pPr>
            <w:r w:rsidRPr="00641BDE">
              <w:t>8.</w:t>
            </w:r>
            <w:r w:rsidRPr="00641BDE">
              <w:tab/>
              <w:t xml:space="preserve">zauważa, że w 2024 r. 33 agencje zdecentralizowane zgłosiły, że zatrudniają ogółem 11 491 pracowników (w porównaniu z 10 580 w 2023 r.), w tym urzędników, pracowników zatrudnionych na czas określony, pracowników kontraktowych i oddelegowanych ekspertów krajowych, co stanowi wzrost o 8,61 % w porównaniu z 2023 r.; zauważa, że chociaż równowaga płci w zdecentralizowanych agencjach Unii poprawia się, nadal istnieją znaczne dysproporcje; podkreśla, że w niektórych agencjach, takich jak ACER, EASA, ERA, </w:t>
            </w:r>
            <w:proofErr w:type="spellStart"/>
            <w:r w:rsidRPr="00641BDE">
              <w:t>eu</w:t>
            </w:r>
            <w:proofErr w:type="spellEnd"/>
            <w:r w:rsidRPr="00641BDE">
              <w:t xml:space="preserve">-LISA i Europol, odsetek mężczyzn wśród pracowników jest wyższy, podczas gdy w agencjach takich jak </w:t>
            </w:r>
            <w:proofErr w:type="spellStart"/>
            <w:r w:rsidRPr="00641BDE">
              <w:t>CdT</w:t>
            </w:r>
            <w:proofErr w:type="spellEnd"/>
            <w:r w:rsidRPr="00641BDE">
              <w:t xml:space="preserve">, EFSA, EMA, ETF i </w:t>
            </w:r>
            <w:proofErr w:type="spellStart"/>
            <w:r w:rsidRPr="00641BDE">
              <w:t>Eurojust</w:t>
            </w:r>
            <w:proofErr w:type="spellEnd"/>
            <w:r w:rsidRPr="00641BDE">
              <w:t xml:space="preserve"> pracuje więcej kobiet; zauważa, że odsetek ten jest często zależny od sektora, przy czym mężczyźni dominują w rolach związanych z IT oraz egzekwowaniem prawa, natomiast kobiety – w sektorach edukacji i szkoleń oraz opieki zdrowotnej; przypomina, że zobowiązanie Unii do promowania równości płci na stanowiskach kierowniczych nadal nie zostało w pełni zrealizowane; podkreśla, że należy wzmocnić działania Komisji w tym zakresie; </w:t>
            </w:r>
            <w:r w:rsidRPr="00641BDE">
              <w:rPr>
                <w:b/>
                <w:i/>
              </w:rPr>
              <w:t>wzywa agencje do przyjęcia strategii naprawczych, w tym przejrzystych procedur awansu i ukierunkowanego rozwoju przywództwa mających na celu poprawę równowagi płci;</w:t>
            </w:r>
            <w:r w:rsidRPr="00641BDE">
              <w:t xml:space="preserve"> przypomina, że rozporządzenie (EWG, </w:t>
            </w:r>
            <w:proofErr w:type="spellStart"/>
            <w:r w:rsidRPr="00641BDE">
              <w:t>Euratom</w:t>
            </w:r>
            <w:proofErr w:type="spellEnd"/>
            <w:r w:rsidRPr="00641BDE">
              <w:t xml:space="preserve">, </w:t>
            </w:r>
            <w:proofErr w:type="spellStart"/>
            <w:r w:rsidRPr="00641BDE">
              <w:t>EWWiS</w:t>
            </w:r>
            <w:proofErr w:type="spellEnd"/>
            <w:r w:rsidRPr="00641BDE">
              <w:t>) nr 259/68 (regulamin pracowniczy</w:t>
            </w:r>
            <w:r w:rsidRPr="00641BDE">
              <w:rPr>
                <w:vertAlign w:val="superscript"/>
              </w:rPr>
              <w:t>3</w:t>
            </w:r>
            <w:r w:rsidRPr="00641BDE">
              <w:t xml:space="preserve">) stanowi, </w:t>
            </w:r>
            <w:r w:rsidRPr="00641BDE">
              <w:rPr>
                <w:b/>
                <w:bCs/>
                <w:i/>
                <w:iCs/>
              </w:rPr>
              <w:t>że</w:t>
            </w:r>
            <w:r w:rsidRPr="00641BDE">
              <w:t xml:space="preserve"> nabór powinien opierać się również na jak najszerszej równowadze geograficznej państw członkowskich UE; zauważa, że istnieje naturalna tendencja do wyższego odsetka personelu pochodzącego z państwa członkowskiego, w którym znajduje się siedziba agencji; przypomina, że agencje zlokalizowane w krajach o stosunkowo niskim współczynniku korygującym stoją w obliczu ciągłych wyzwań związanych z przyciąganiem wykwalifikowanych i zróżnicowanych geograficznie pracowników;</w:t>
            </w:r>
          </w:p>
        </w:tc>
      </w:tr>
      <w:tr w:rsidR="001D5F6D" w:rsidRPr="00641BDE" w14:paraId="6B64B3DA" w14:textId="77777777" w:rsidTr="007C1C97">
        <w:trPr>
          <w:jc w:val="center"/>
        </w:trPr>
        <w:tc>
          <w:tcPr>
            <w:tcW w:w="4876" w:type="dxa"/>
            <w:tcBorders>
              <w:top w:val="nil"/>
              <w:left w:val="nil"/>
              <w:bottom w:val="nil"/>
              <w:right w:val="nil"/>
            </w:tcBorders>
          </w:tcPr>
          <w:p w14:paraId="0010E937" w14:textId="77777777" w:rsidR="001D5F6D" w:rsidRPr="00641BDE" w:rsidRDefault="001D5F6D" w:rsidP="007C1C97">
            <w:pPr>
              <w:pStyle w:val="Normal6a"/>
            </w:pPr>
            <w:r w:rsidRPr="00641BDE">
              <w:rPr>
                <w:b/>
                <w:i/>
              </w:rPr>
              <w:t>_________________</w:t>
            </w:r>
          </w:p>
        </w:tc>
        <w:tc>
          <w:tcPr>
            <w:tcW w:w="4876" w:type="dxa"/>
            <w:tcBorders>
              <w:top w:val="nil"/>
              <w:left w:val="nil"/>
              <w:bottom w:val="nil"/>
              <w:right w:val="nil"/>
            </w:tcBorders>
          </w:tcPr>
          <w:p w14:paraId="23CF866C" w14:textId="77777777" w:rsidR="001D5F6D" w:rsidRPr="00641BDE" w:rsidRDefault="001D5F6D" w:rsidP="007C1C97">
            <w:pPr>
              <w:pStyle w:val="Normal6a"/>
            </w:pPr>
            <w:r w:rsidRPr="00641BDE">
              <w:rPr>
                <w:b/>
                <w:i/>
              </w:rPr>
              <w:t>_________________</w:t>
            </w:r>
          </w:p>
        </w:tc>
      </w:tr>
      <w:tr w:rsidR="001D5F6D" w:rsidRPr="00641BDE" w14:paraId="3F155639" w14:textId="77777777" w:rsidTr="007C1C97">
        <w:trPr>
          <w:jc w:val="center"/>
        </w:trPr>
        <w:tc>
          <w:tcPr>
            <w:tcW w:w="4876" w:type="dxa"/>
            <w:tcBorders>
              <w:top w:val="nil"/>
              <w:left w:val="nil"/>
              <w:bottom w:val="nil"/>
              <w:right w:val="nil"/>
            </w:tcBorders>
          </w:tcPr>
          <w:p w14:paraId="115498C6" w14:textId="77777777" w:rsidR="001D5F6D" w:rsidRPr="00641BDE" w:rsidRDefault="001D5F6D" w:rsidP="007C1C97">
            <w:pPr>
              <w:pStyle w:val="Normal6a"/>
            </w:pPr>
            <w:r w:rsidRPr="00641BDE">
              <w:rPr>
                <w:vertAlign w:val="superscript"/>
              </w:rPr>
              <w:t>3</w:t>
            </w:r>
            <w:r w:rsidRPr="00641BDE">
              <w:t xml:space="preserve"> Rozporządzenie Rady (EWG, </w:t>
            </w:r>
            <w:proofErr w:type="spellStart"/>
            <w:r w:rsidRPr="00641BDE">
              <w:t>Euratom</w:t>
            </w:r>
            <w:proofErr w:type="spellEnd"/>
            <w:r w:rsidRPr="00641BDE">
              <w:t xml:space="preserve">, </w:t>
            </w:r>
            <w:proofErr w:type="spellStart"/>
            <w:r w:rsidRPr="00641BDE">
              <w:t>EWWiS</w:t>
            </w:r>
            <w:proofErr w:type="spellEnd"/>
            <w:r w:rsidRPr="00641BDE">
              <w:t>) nr 259/68 z dnia 29 lutego 1968 r. ustanawiające regulamin pracowniczy urzędników i warunki zatrudnienia innych pracowników Wspólnot Europejskich oraz ustanawiające specjalne środki stosowane tymczasowo wobec urzędników Komisji (Dz.U. L 56 z </w:t>
            </w:r>
            <w:proofErr w:type="gramStart"/>
            <w:r w:rsidRPr="00641BDE">
              <w:t>4.3.1968</w:t>
            </w:r>
            <w:proofErr w:type="gramEnd"/>
            <w:r w:rsidRPr="00641BDE">
              <w:t>, s. 1, ELI: http://data.europa.eu/eli/reg/1968/259(1)/oj).</w:t>
            </w:r>
          </w:p>
        </w:tc>
        <w:tc>
          <w:tcPr>
            <w:tcW w:w="4876" w:type="dxa"/>
            <w:tcBorders>
              <w:top w:val="nil"/>
              <w:left w:val="nil"/>
              <w:bottom w:val="nil"/>
              <w:right w:val="nil"/>
            </w:tcBorders>
          </w:tcPr>
          <w:p w14:paraId="7575B107" w14:textId="77777777" w:rsidR="001D5F6D" w:rsidRPr="00641BDE" w:rsidRDefault="001D5F6D" w:rsidP="007C1C97">
            <w:pPr>
              <w:pStyle w:val="Normal6a"/>
            </w:pPr>
            <w:r w:rsidRPr="00641BDE">
              <w:rPr>
                <w:vertAlign w:val="superscript"/>
              </w:rPr>
              <w:t>3</w:t>
            </w:r>
            <w:r w:rsidRPr="00641BDE">
              <w:t xml:space="preserve"> Rozporządzenie Rady (EWG, </w:t>
            </w:r>
            <w:proofErr w:type="spellStart"/>
            <w:r w:rsidRPr="00641BDE">
              <w:t>Euratom</w:t>
            </w:r>
            <w:proofErr w:type="spellEnd"/>
            <w:r w:rsidRPr="00641BDE">
              <w:t xml:space="preserve">, </w:t>
            </w:r>
            <w:proofErr w:type="spellStart"/>
            <w:r w:rsidRPr="00641BDE">
              <w:t>EWWiS</w:t>
            </w:r>
            <w:proofErr w:type="spellEnd"/>
            <w:r w:rsidRPr="00641BDE">
              <w:t>) nr 259/68 z dnia 29 lutego 1968 r. ustanawiające regulamin pracowniczy urzędników i warunki zatrudnienia innych pracowników Wspólnot Europejskich oraz ustanawiające specjalne środki stosowane tymczasowo wobec urzędników Komisji (Dz.U. L 56 z </w:t>
            </w:r>
            <w:proofErr w:type="gramStart"/>
            <w:r w:rsidRPr="00641BDE">
              <w:t>4.3.1968</w:t>
            </w:r>
            <w:proofErr w:type="gramEnd"/>
            <w:r w:rsidRPr="00641BDE">
              <w:t>, s. 1, ELI: http://data.europa.eu/eli/reg/1968/259(1)/oj).</w:t>
            </w:r>
          </w:p>
        </w:tc>
      </w:tr>
    </w:tbl>
    <w:p w14:paraId="3099AC23"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26D95FB" w14:textId="77777777" w:rsidR="001D5F6D" w:rsidRPr="00641BDE" w:rsidRDefault="001D5F6D" w:rsidP="001D5F6D">
      <w:r w:rsidRPr="00641BDE">
        <w:rPr>
          <w:rStyle w:val="HideTWBExt"/>
        </w:rPr>
        <w:t>&lt;/Amend&gt;</w:t>
      </w:r>
    </w:p>
    <w:p w14:paraId="2633CB4B"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38</w:t>
      </w:r>
      <w:r w:rsidRPr="00641BDE">
        <w:rPr>
          <w:rStyle w:val="HideTWBExt"/>
          <w:b w:val="0"/>
        </w:rPr>
        <w:t>&lt;/NumAm&gt;</w:t>
      </w:r>
    </w:p>
    <w:p w14:paraId="2C0ABE7C"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rPr>
          <w:rStyle w:val="HideTWBExt"/>
          <w:b w:val="0"/>
        </w:rPr>
        <w:t>&lt;/Members&gt;</w:t>
      </w:r>
    </w:p>
    <w:p w14:paraId="333A6467" w14:textId="77777777" w:rsidR="001D5F6D" w:rsidRPr="00641BDE" w:rsidRDefault="001D5F6D" w:rsidP="001D5F6D">
      <w:pPr>
        <w:pStyle w:val="NormalBold"/>
      </w:pPr>
      <w:r w:rsidRPr="00641BDE">
        <w:rPr>
          <w:rStyle w:val="HideTWBExt"/>
          <w:b w:val="0"/>
        </w:rPr>
        <w:t>&lt;/RepeatBlock-By&gt;</w:t>
      </w:r>
    </w:p>
    <w:p w14:paraId="622A969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6DFEA29" w14:textId="77777777" w:rsidR="001D5F6D" w:rsidRPr="00641BDE" w:rsidRDefault="001D5F6D" w:rsidP="001D5F6D">
      <w:pPr>
        <w:pStyle w:val="NormalBold"/>
      </w:pPr>
      <w:r w:rsidRPr="00641BDE">
        <w:rPr>
          <w:rStyle w:val="HideTWBExt"/>
          <w:b w:val="0"/>
        </w:rPr>
        <w:t>&lt;Article&gt;</w:t>
      </w:r>
      <w:r w:rsidRPr="00641BDE">
        <w:t>Ustęp 8</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BBBFBD8" w14:textId="77777777" w:rsidTr="007C1C97">
        <w:trPr>
          <w:trHeight w:hRule="exact" w:val="240"/>
          <w:jc w:val="center"/>
        </w:trPr>
        <w:tc>
          <w:tcPr>
            <w:tcW w:w="9752" w:type="dxa"/>
            <w:gridSpan w:val="2"/>
            <w:tcBorders>
              <w:top w:val="nil"/>
              <w:left w:val="nil"/>
              <w:bottom w:val="nil"/>
              <w:right w:val="nil"/>
            </w:tcBorders>
          </w:tcPr>
          <w:p w14:paraId="2726EF6D" w14:textId="77777777" w:rsidR="001D5F6D" w:rsidRPr="00641BDE" w:rsidRDefault="001D5F6D" w:rsidP="007C1C97"/>
        </w:tc>
      </w:tr>
      <w:tr w:rsidR="001D5F6D" w:rsidRPr="00641BDE" w14:paraId="62D535F1" w14:textId="77777777" w:rsidTr="007C1C97">
        <w:trPr>
          <w:trHeight w:val="240"/>
          <w:jc w:val="center"/>
        </w:trPr>
        <w:tc>
          <w:tcPr>
            <w:tcW w:w="4876" w:type="dxa"/>
            <w:tcBorders>
              <w:top w:val="nil"/>
              <w:left w:val="nil"/>
              <w:bottom w:val="nil"/>
              <w:right w:val="nil"/>
            </w:tcBorders>
          </w:tcPr>
          <w:p w14:paraId="15B95FBE"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39AC070" w14:textId="77777777" w:rsidR="001D5F6D" w:rsidRPr="00641BDE" w:rsidRDefault="001D5F6D" w:rsidP="007C1C97">
            <w:pPr>
              <w:pStyle w:val="AmColumnHeading"/>
            </w:pPr>
            <w:r w:rsidRPr="00641BDE">
              <w:t>Poprawka</w:t>
            </w:r>
          </w:p>
        </w:tc>
      </w:tr>
      <w:tr w:rsidR="001D5F6D" w:rsidRPr="00641BDE" w14:paraId="58383797" w14:textId="77777777" w:rsidTr="007C1C97">
        <w:trPr>
          <w:jc w:val="center"/>
        </w:trPr>
        <w:tc>
          <w:tcPr>
            <w:tcW w:w="4876" w:type="dxa"/>
            <w:tcBorders>
              <w:top w:val="nil"/>
              <w:left w:val="nil"/>
              <w:bottom w:val="nil"/>
              <w:right w:val="nil"/>
            </w:tcBorders>
          </w:tcPr>
          <w:p w14:paraId="288353AA" w14:textId="77777777" w:rsidR="001D5F6D" w:rsidRPr="00641BDE" w:rsidRDefault="001D5F6D" w:rsidP="007C1C97">
            <w:pPr>
              <w:pStyle w:val="Normal6a"/>
            </w:pPr>
            <w:r w:rsidRPr="00641BDE">
              <w:t>8.</w:t>
            </w:r>
            <w:r w:rsidRPr="00641BDE">
              <w:tab/>
              <w:t xml:space="preserve">zauważa, że w 2024 r. 33 agencje zdecentralizowane zgłosiły, że zatrudniają ogółem 11 491 pracowników (w porównaniu z 10 580 w 2023 r.), w tym urzędników, pracowników zatrudnionych na czas określony, pracowników kontraktowych i oddelegowanych ekspertów krajowych, co stanowi wzrost o 8,61 % w porównaniu z 2023 r.; zauważa, że chociaż równowaga płci w zdecentralizowanych agencjach Unii poprawia się, nadal istnieją znaczne dysproporcje; podkreśla, że w niektórych agencjach, takich jak ACER, EASA, ERA, </w:t>
            </w:r>
            <w:proofErr w:type="spellStart"/>
            <w:r w:rsidRPr="00641BDE">
              <w:t>eu</w:t>
            </w:r>
            <w:proofErr w:type="spellEnd"/>
            <w:r w:rsidRPr="00641BDE">
              <w:t xml:space="preserve">‑LISA i Europol, odsetek mężczyzn wśród pracowników jest wyższy, podczas gdy w agencjach takich jak </w:t>
            </w:r>
            <w:proofErr w:type="spellStart"/>
            <w:r w:rsidRPr="00641BDE">
              <w:t>CdT</w:t>
            </w:r>
            <w:proofErr w:type="spellEnd"/>
            <w:r w:rsidRPr="00641BDE">
              <w:t xml:space="preserve">, EFSA, EMA, ETF i </w:t>
            </w:r>
            <w:proofErr w:type="spellStart"/>
            <w:r w:rsidRPr="00641BDE">
              <w:t>Eurojust</w:t>
            </w:r>
            <w:proofErr w:type="spellEnd"/>
            <w:r w:rsidRPr="00641BDE">
              <w:t xml:space="preserve"> pracuje więcej kobiet; zauważa, że odsetek ten jest często zależny od sektora, przy czym mężczyźni dominują w rolach związanych z IT oraz egzekwowaniem prawa, natomiast kobiety – w sektorach edukacji i szkoleń oraz opieki zdrowotnej; przypomina, że zobowiązanie Unii do promowania równości płci na stanowiskach kierowniczych nadal nie zostało w pełni zrealizowane; podkreśla, że należy wzmocnić działania Komisji w tym zakresie; przypomina, że rozporządzenie (EWG, </w:t>
            </w:r>
            <w:proofErr w:type="spellStart"/>
            <w:r w:rsidRPr="00641BDE">
              <w:t>Euratom</w:t>
            </w:r>
            <w:proofErr w:type="spellEnd"/>
            <w:r w:rsidRPr="00641BDE">
              <w:t xml:space="preserve">, </w:t>
            </w:r>
            <w:proofErr w:type="spellStart"/>
            <w:r w:rsidRPr="00641BDE">
              <w:t>EWWiS</w:t>
            </w:r>
            <w:proofErr w:type="spellEnd"/>
            <w:r w:rsidRPr="00641BDE">
              <w:t>) nr 259/68 (regulamin pracowniczy</w:t>
            </w:r>
            <w:r w:rsidRPr="00641BDE">
              <w:rPr>
                <w:vertAlign w:val="superscript"/>
              </w:rPr>
              <w:t>3</w:t>
            </w:r>
            <w:r w:rsidRPr="00641BDE">
              <w:t xml:space="preserve">) stanowi, </w:t>
            </w:r>
            <w:proofErr w:type="spellStart"/>
            <w:r w:rsidRPr="00641BDE">
              <w:rPr>
                <w:b/>
                <w:i/>
              </w:rPr>
              <w:t>eż</w:t>
            </w:r>
            <w:proofErr w:type="spellEnd"/>
            <w:r w:rsidRPr="00641BDE">
              <w:t xml:space="preserve"> nabór powinien opierać się również na jak najszerszej równowadze geograficznej państw członkowskich UE; zauważa, że istnieje naturalna tendencja do wyższego odsetka personelu pochodzącego z państwa członkowskiego, w którym znajduje się siedziba agencji; przypomina, że agencje zlokalizowane w krajach o stosunkowo niskim współczynniku korygującym stoją w obliczu ciągłych wyzwań związanych z przyciąganiem wykwalifikowanych i zróżnicowanych geograficznie pracowników;</w:t>
            </w:r>
          </w:p>
        </w:tc>
        <w:tc>
          <w:tcPr>
            <w:tcW w:w="4876" w:type="dxa"/>
            <w:tcBorders>
              <w:top w:val="nil"/>
              <w:left w:val="nil"/>
              <w:bottom w:val="nil"/>
              <w:right w:val="nil"/>
            </w:tcBorders>
          </w:tcPr>
          <w:p w14:paraId="512D76ED" w14:textId="77777777" w:rsidR="001D5F6D" w:rsidRPr="00641BDE" w:rsidRDefault="001D5F6D" w:rsidP="007C1C97">
            <w:pPr>
              <w:pStyle w:val="Normal6a"/>
            </w:pPr>
            <w:r w:rsidRPr="00641BDE">
              <w:t>8.</w:t>
            </w:r>
            <w:r w:rsidRPr="00641BDE">
              <w:tab/>
              <w:t>zauważa, że w 2024 r. 33 agencje zdecentralizowane zgłosiły, że zatrudniają ogółem 11 491 pracowników (w porównaniu z 10 580 w 2023 r.), w tym urzędników, pracowników zatrudnionych na czas określony, pracowników kontraktowych i oddelegowanych ekspertów krajowych, co stanowi wzrost o 8,61 % w porównaniu z 2023 r.</w:t>
            </w:r>
            <w:r w:rsidRPr="00641BDE">
              <w:rPr>
                <w:b/>
                <w:i/>
              </w:rPr>
              <w:t>; ubolewa nad tym znacznym wzrostem prowadzącym do dodatkowych wydatków na personel w sytuacji, gdy Europejczycy borykają się z inflacją i rosnącymi kosztami utrzymania</w:t>
            </w:r>
            <w:r w:rsidRPr="00641BDE">
              <w:t xml:space="preserve">; zauważa, że chociaż równowaga płci w zdecentralizowanych agencjach Unii poprawia się, nadal istnieją znaczne dysproporcje; podkreśla, że w niektórych agencjach, takich jak ACER, EASA, ERA, </w:t>
            </w:r>
            <w:proofErr w:type="spellStart"/>
            <w:r w:rsidRPr="00641BDE">
              <w:t>eu</w:t>
            </w:r>
            <w:proofErr w:type="spellEnd"/>
            <w:r w:rsidRPr="00641BDE">
              <w:t xml:space="preserve">‑LISA i Europol, odsetek mężczyzn wśród pracowników jest wyższy, podczas gdy w agencjach takich jak </w:t>
            </w:r>
            <w:proofErr w:type="spellStart"/>
            <w:r w:rsidRPr="00641BDE">
              <w:t>CdT</w:t>
            </w:r>
            <w:proofErr w:type="spellEnd"/>
            <w:r w:rsidRPr="00641BDE">
              <w:t xml:space="preserve">, EFSA, EMA, ETF i </w:t>
            </w:r>
            <w:proofErr w:type="spellStart"/>
            <w:r w:rsidRPr="00641BDE">
              <w:t>Eurojust</w:t>
            </w:r>
            <w:proofErr w:type="spellEnd"/>
            <w:r w:rsidRPr="00641BDE">
              <w:t xml:space="preserve"> pracuje więcej kobiet; zauważa, że odsetek ten jest często zależny od sektora, przy czym mężczyźni dominują w rolach związanych z IT oraz egzekwowaniem prawa, natomiast kobiety – w sektorach edukacji i szkoleń oraz opieki zdrowotnej; przypomina, że zobowiązanie Unii do promowania równości płci na stanowiskach kierowniczych nadal nie zostało w pełni zrealizowane; podkreśla, że należy wzmocnić działania Komisji w tym zakresie; przypomina, że rozporządzenie (EWG, </w:t>
            </w:r>
            <w:proofErr w:type="spellStart"/>
            <w:r w:rsidRPr="00641BDE">
              <w:t>Euratom</w:t>
            </w:r>
            <w:proofErr w:type="spellEnd"/>
            <w:r w:rsidRPr="00641BDE">
              <w:t xml:space="preserve">, </w:t>
            </w:r>
            <w:proofErr w:type="spellStart"/>
            <w:r w:rsidRPr="00641BDE">
              <w:t>EWWiS</w:t>
            </w:r>
            <w:proofErr w:type="spellEnd"/>
            <w:r w:rsidRPr="00641BDE">
              <w:t>) nr 259/68 (regulamin pracowniczy</w:t>
            </w:r>
            <w:r w:rsidRPr="00641BDE">
              <w:rPr>
                <w:vertAlign w:val="superscript"/>
              </w:rPr>
              <w:t>3</w:t>
            </w:r>
            <w:r w:rsidRPr="00641BDE">
              <w:t xml:space="preserve">) stanowi, </w:t>
            </w:r>
            <w:r w:rsidRPr="00641BDE">
              <w:rPr>
                <w:b/>
                <w:i/>
              </w:rPr>
              <w:t>że</w:t>
            </w:r>
            <w:r w:rsidRPr="00641BDE">
              <w:t xml:space="preserve"> nabór powinien opierać się również na jak najszerszej równowadze geograficznej państw członkowskich UE; zauważa, że istnieje naturalna tendencja do wyższego odsetka personelu pochodzącego z państwa członkowskiego, w którym znajduje się siedziba agencji; przypomina, że agencje zlokalizowane w krajach o stosunkowo niskim współczynniku korygującym stoją w obliczu ciągłych wyzwań związanych z przyciąganiem wykwalifikowanych i zróżnicowanych geograficznie pracowników;</w:t>
            </w:r>
          </w:p>
        </w:tc>
      </w:tr>
      <w:tr w:rsidR="001D5F6D" w:rsidRPr="00641BDE" w14:paraId="659FBB9A" w14:textId="77777777" w:rsidTr="007C1C97">
        <w:trPr>
          <w:jc w:val="center"/>
        </w:trPr>
        <w:tc>
          <w:tcPr>
            <w:tcW w:w="4876" w:type="dxa"/>
            <w:tcBorders>
              <w:top w:val="nil"/>
              <w:left w:val="nil"/>
              <w:bottom w:val="nil"/>
              <w:right w:val="nil"/>
            </w:tcBorders>
          </w:tcPr>
          <w:p w14:paraId="7FB97F5B" w14:textId="77777777" w:rsidR="001D5F6D" w:rsidRPr="00641BDE" w:rsidRDefault="001D5F6D" w:rsidP="007C1C97">
            <w:pPr>
              <w:pStyle w:val="Normal6a"/>
            </w:pPr>
            <w:r w:rsidRPr="00641BDE">
              <w:rPr>
                <w:b/>
                <w:i/>
              </w:rPr>
              <w:t>_________________</w:t>
            </w:r>
          </w:p>
        </w:tc>
        <w:tc>
          <w:tcPr>
            <w:tcW w:w="4876" w:type="dxa"/>
            <w:tcBorders>
              <w:top w:val="nil"/>
              <w:left w:val="nil"/>
              <w:bottom w:val="nil"/>
              <w:right w:val="nil"/>
            </w:tcBorders>
          </w:tcPr>
          <w:p w14:paraId="0A57CEA8" w14:textId="77777777" w:rsidR="001D5F6D" w:rsidRPr="00641BDE" w:rsidRDefault="001D5F6D" w:rsidP="007C1C97">
            <w:pPr>
              <w:pStyle w:val="Normal6a"/>
            </w:pPr>
            <w:r w:rsidRPr="00641BDE">
              <w:rPr>
                <w:b/>
                <w:i/>
              </w:rPr>
              <w:t>_________________</w:t>
            </w:r>
          </w:p>
        </w:tc>
      </w:tr>
      <w:tr w:rsidR="001D5F6D" w:rsidRPr="00641BDE" w14:paraId="7E4CA9ED" w14:textId="77777777" w:rsidTr="007C1C97">
        <w:trPr>
          <w:jc w:val="center"/>
        </w:trPr>
        <w:tc>
          <w:tcPr>
            <w:tcW w:w="4876" w:type="dxa"/>
            <w:tcBorders>
              <w:top w:val="nil"/>
              <w:left w:val="nil"/>
              <w:bottom w:val="nil"/>
              <w:right w:val="nil"/>
            </w:tcBorders>
          </w:tcPr>
          <w:p w14:paraId="3BECE21B" w14:textId="77777777" w:rsidR="001D5F6D" w:rsidRPr="00641BDE" w:rsidRDefault="001D5F6D" w:rsidP="007C1C97">
            <w:pPr>
              <w:pStyle w:val="Normal6a"/>
            </w:pPr>
            <w:r w:rsidRPr="00641BDE">
              <w:rPr>
                <w:vertAlign w:val="superscript"/>
              </w:rPr>
              <w:t>3</w:t>
            </w:r>
            <w:r w:rsidRPr="00641BDE">
              <w:t xml:space="preserve"> Rozporządzenie Rady (EWG, </w:t>
            </w:r>
            <w:proofErr w:type="spellStart"/>
            <w:r w:rsidRPr="00641BDE">
              <w:t>Euratom</w:t>
            </w:r>
            <w:proofErr w:type="spellEnd"/>
            <w:r w:rsidRPr="00641BDE">
              <w:t xml:space="preserve">, </w:t>
            </w:r>
            <w:proofErr w:type="spellStart"/>
            <w:r w:rsidRPr="00641BDE">
              <w:t>EWWiS</w:t>
            </w:r>
            <w:proofErr w:type="spellEnd"/>
            <w:r w:rsidRPr="00641BDE">
              <w:t>) nr 259/68 z dnia 29 lutego 1968 r. ustanawiające regulamin pracowniczy urzędników i warunki zatrudnienia innych pracowników Wspólnot Europejskich oraz ustanawiające specjalne środki stosowane tymczasowo wobec urzędników Komisji (Dz.U. L 56 z </w:t>
            </w:r>
            <w:proofErr w:type="gramStart"/>
            <w:r w:rsidRPr="00641BDE">
              <w:t>4.3.1968</w:t>
            </w:r>
            <w:proofErr w:type="gramEnd"/>
            <w:r w:rsidRPr="00641BDE">
              <w:t>, s. 1, ELI: http://data.europa.eu/eli/reg/1968/259(1)/oj).</w:t>
            </w:r>
          </w:p>
        </w:tc>
        <w:tc>
          <w:tcPr>
            <w:tcW w:w="4876" w:type="dxa"/>
            <w:tcBorders>
              <w:top w:val="nil"/>
              <w:left w:val="nil"/>
              <w:bottom w:val="nil"/>
              <w:right w:val="nil"/>
            </w:tcBorders>
          </w:tcPr>
          <w:p w14:paraId="09AAF383" w14:textId="77777777" w:rsidR="001D5F6D" w:rsidRPr="00641BDE" w:rsidRDefault="001D5F6D" w:rsidP="007C1C97">
            <w:pPr>
              <w:pStyle w:val="Normal6a"/>
            </w:pPr>
            <w:r w:rsidRPr="00641BDE">
              <w:rPr>
                <w:vertAlign w:val="superscript"/>
              </w:rPr>
              <w:t>3</w:t>
            </w:r>
            <w:r w:rsidRPr="00641BDE">
              <w:t xml:space="preserve"> Rozporządzenie Rady (EWG, </w:t>
            </w:r>
            <w:proofErr w:type="spellStart"/>
            <w:r w:rsidRPr="00641BDE">
              <w:t>Euratom</w:t>
            </w:r>
            <w:proofErr w:type="spellEnd"/>
            <w:r w:rsidRPr="00641BDE">
              <w:t xml:space="preserve">, </w:t>
            </w:r>
            <w:proofErr w:type="spellStart"/>
            <w:r w:rsidRPr="00641BDE">
              <w:t>EWWiS</w:t>
            </w:r>
            <w:proofErr w:type="spellEnd"/>
            <w:r w:rsidRPr="00641BDE">
              <w:t>) nr 259/68 z dnia 29 lutego 1968 r. ustanawiające regulamin pracowniczy urzędników i warunki zatrudnienia innych pracowników Wspólnot Europejskich oraz ustanawiające specjalne środki stosowane tymczasowo wobec urzędników Komisji (Dz.U. L 56 z </w:t>
            </w:r>
            <w:proofErr w:type="gramStart"/>
            <w:r w:rsidRPr="00641BDE">
              <w:t>4.3.1968</w:t>
            </w:r>
            <w:proofErr w:type="gramEnd"/>
            <w:r w:rsidRPr="00641BDE">
              <w:t>, s. 1, ELI: http://data.europa.eu/eli/reg/1968/259(1)/oj).</w:t>
            </w:r>
          </w:p>
        </w:tc>
      </w:tr>
    </w:tbl>
    <w:p w14:paraId="5E1FD1E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05C52913" w14:textId="77777777" w:rsidR="001D5F6D" w:rsidRPr="00641BDE" w:rsidRDefault="001D5F6D" w:rsidP="001D5F6D">
      <w:r w:rsidRPr="00641BDE">
        <w:rPr>
          <w:rStyle w:val="HideTWBExt"/>
        </w:rPr>
        <w:t>&lt;/Amend&gt;</w:t>
      </w:r>
    </w:p>
    <w:p w14:paraId="24C39BA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39</w:t>
      </w:r>
      <w:r w:rsidRPr="00641BDE">
        <w:rPr>
          <w:rStyle w:val="HideTWBExt"/>
          <w:b w:val="0"/>
        </w:rPr>
        <w:t>&lt;/NumAm&gt;</w:t>
      </w:r>
    </w:p>
    <w:p w14:paraId="7F38566C"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2F5862E0" w14:textId="77777777" w:rsidR="001D5F6D" w:rsidRPr="00641BDE" w:rsidRDefault="001D5F6D" w:rsidP="001D5F6D">
      <w:pPr>
        <w:pStyle w:val="NormalBold"/>
      </w:pPr>
      <w:r w:rsidRPr="00641BDE">
        <w:rPr>
          <w:rStyle w:val="HideTWBExt"/>
          <w:b w:val="0"/>
        </w:rPr>
        <w:t>&lt;/RepeatBlock-By&gt;</w:t>
      </w:r>
    </w:p>
    <w:p w14:paraId="6CD5E5BE"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4DB96F8" w14:textId="77777777" w:rsidR="001D5F6D" w:rsidRPr="00641BDE" w:rsidRDefault="001D5F6D" w:rsidP="001D5F6D">
      <w:pPr>
        <w:pStyle w:val="NormalBold"/>
      </w:pPr>
      <w:r w:rsidRPr="00641BDE">
        <w:rPr>
          <w:rStyle w:val="HideTWBExt"/>
          <w:b w:val="0"/>
        </w:rPr>
        <w:t>&lt;Article&gt;</w:t>
      </w:r>
      <w:r w:rsidRPr="00641BDE">
        <w:t>Ustęp 8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1957842" w14:textId="77777777" w:rsidTr="007C1C97">
        <w:trPr>
          <w:trHeight w:hRule="exact" w:val="240"/>
          <w:jc w:val="center"/>
        </w:trPr>
        <w:tc>
          <w:tcPr>
            <w:tcW w:w="9752" w:type="dxa"/>
            <w:gridSpan w:val="2"/>
            <w:tcBorders>
              <w:top w:val="nil"/>
              <w:left w:val="nil"/>
              <w:bottom w:val="nil"/>
              <w:right w:val="nil"/>
            </w:tcBorders>
          </w:tcPr>
          <w:p w14:paraId="573B8621" w14:textId="77777777" w:rsidR="001D5F6D" w:rsidRPr="00641BDE" w:rsidRDefault="001D5F6D" w:rsidP="007C1C97"/>
        </w:tc>
      </w:tr>
      <w:tr w:rsidR="001D5F6D" w:rsidRPr="00641BDE" w14:paraId="59BFA87B" w14:textId="77777777" w:rsidTr="007C1C97">
        <w:trPr>
          <w:trHeight w:val="240"/>
          <w:jc w:val="center"/>
        </w:trPr>
        <w:tc>
          <w:tcPr>
            <w:tcW w:w="4876" w:type="dxa"/>
            <w:tcBorders>
              <w:top w:val="nil"/>
              <w:left w:val="nil"/>
              <w:bottom w:val="nil"/>
              <w:right w:val="nil"/>
            </w:tcBorders>
          </w:tcPr>
          <w:p w14:paraId="7E332E66"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C8808A0" w14:textId="77777777" w:rsidR="001D5F6D" w:rsidRPr="00641BDE" w:rsidRDefault="001D5F6D" w:rsidP="007C1C97">
            <w:pPr>
              <w:pStyle w:val="AmColumnHeading"/>
            </w:pPr>
            <w:r w:rsidRPr="00641BDE">
              <w:t>Poprawka</w:t>
            </w:r>
          </w:p>
        </w:tc>
      </w:tr>
      <w:tr w:rsidR="001D5F6D" w:rsidRPr="00641BDE" w14:paraId="08D86AB5" w14:textId="77777777" w:rsidTr="007C1C97">
        <w:trPr>
          <w:jc w:val="center"/>
        </w:trPr>
        <w:tc>
          <w:tcPr>
            <w:tcW w:w="4876" w:type="dxa"/>
            <w:tcBorders>
              <w:top w:val="nil"/>
              <w:left w:val="nil"/>
              <w:bottom w:val="nil"/>
              <w:right w:val="nil"/>
            </w:tcBorders>
          </w:tcPr>
          <w:p w14:paraId="28AF6607" w14:textId="77777777" w:rsidR="001D5F6D" w:rsidRPr="00641BDE" w:rsidRDefault="001D5F6D" w:rsidP="007C1C97">
            <w:pPr>
              <w:pStyle w:val="Normal6a"/>
            </w:pPr>
          </w:p>
        </w:tc>
        <w:tc>
          <w:tcPr>
            <w:tcW w:w="4876" w:type="dxa"/>
            <w:tcBorders>
              <w:top w:val="nil"/>
              <w:left w:val="nil"/>
              <w:bottom w:val="nil"/>
              <w:right w:val="nil"/>
            </w:tcBorders>
          </w:tcPr>
          <w:p w14:paraId="6BE9F13C" w14:textId="77777777" w:rsidR="001D5F6D" w:rsidRPr="00641BDE" w:rsidRDefault="001D5F6D" w:rsidP="007C1C97">
            <w:pPr>
              <w:pStyle w:val="Normal6a"/>
            </w:pPr>
            <w:r w:rsidRPr="00641BDE">
              <w:rPr>
                <w:b/>
                <w:i/>
              </w:rPr>
              <w:t>8a.</w:t>
            </w:r>
            <w:r w:rsidRPr="00641BDE">
              <w:tab/>
            </w:r>
            <w:r w:rsidRPr="00641BDE">
              <w:rPr>
                <w:b/>
                <w:i/>
              </w:rPr>
              <w:t>odnotowuje stały wzrost liczby pracowników zatrudnionych w tych agencjach i apeluje o zwiększenie ich budżetu; przypomina jednak, że wszelkie przyszłe dostosowania finansowania lub personelu muszą opierać się na widocznym wzroście wydajności, przejrzystych wskaźnikach wykonania i mierzalnych wynikach operacyjnych; zaznacza, że zwiększenie zasobów nie powinno prowadzić do rozszerzenia administracyjnego lub powielania funkcji już pełnionych przez organy krajowe; podkreśla potrzebę utrzymania sprawnej i ukierunkowanej na wyniki struktury zgodnej z mandatem każdej agencji na mocy prawa Unii;</w:t>
            </w:r>
          </w:p>
        </w:tc>
      </w:tr>
    </w:tbl>
    <w:p w14:paraId="71826869"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32EC6900" w14:textId="77777777" w:rsidR="001D5F6D" w:rsidRPr="00641BDE" w:rsidRDefault="001D5F6D" w:rsidP="001D5F6D">
      <w:r w:rsidRPr="00641BDE">
        <w:rPr>
          <w:rStyle w:val="HideTWBExt"/>
        </w:rPr>
        <w:t>&lt;/Amend&gt;</w:t>
      </w:r>
    </w:p>
    <w:p w14:paraId="3507810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40</w:t>
      </w:r>
      <w:r w:rsidRPr="00641BDE">
        <w:rPr>
          <w:rStyle w:val="HideTWBExt"/>
          <w:b w:val="0"/>
        </w:rPr>
        <w:t>&lt;/NumAm&gt;</w:t>
      </w:r>
    </w:p>
    <w:p w14:paraId="7BED3876"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569C080B" w14:textId="77777777" w:rsidR="001D5F6D" w:rsidRPr="00641BDE" w:rsidRDefault="001D5F6D" w:rsidP="001D5F6D">
      <w:pPr>
        <w:pStyle w:val="NormalBold"/>
      </w:pPr>
      <w:r w:rsidRPr="00641BDE">
        <w:rPr>
          <w:rStyle w:val="HideTWBExt"/>
          <w:b w:val="0"/>
        </w:rPr>
        <w:t>&lt;/RepeatBlock-By&gt;</w:t>
      </w:r>
    </w:p>
    <w:p w14:paraId="3AED6D88"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18FC496" w14:textId="77777777" w:rsidR="001D5F6D" w:rsidRPr="00641BDE" w:rsidRDefault="001D5F6D" w:rsidP="001D5F6D">
      <w:pPr>
        <w:pStyle w:val="NormalBold"/>
      </w:pPr>
      <w:r w:rsidRPr="00641BDE">
        <w:rPr>
          <w:rStyle w:val="HideTWBExt"/>
          <w:b w:val="0"/>
        </w:rPr>
        <w:t>&lt;Article&gt;</w:t>
      </w:r>
      <w:r w:rsidRPr="00641BDE">
        <w:t>Ustęp 8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DF94232" w14:textId="77777777" w:rsidTr="007C1C97">
        <w:trPr>
          <w:trHeight w:hRule="exact" w:val="240"/>
          <w:jc w:val="center"/>
        </w:trPr>
        <w:tc>
          <w:tcPr>
            <w:tcW w:w="9752" w:type="dxa"/>
            <w:gridSpan w:val="2"/>
            <w:tcBorders>
              <w:top w:val="nil"/>
              <w:left w:val="nil"/>
              <w:bottom w:val="nil"/>
              <w:right w:val="nil"/>
            </w:tcBorders>
          </w:tcPr>
          <w:p w14:paraId="43758196" w14:textId="77777777" w:rsidR="001D5F6D" w:rsidRPr="00641BDE" w:rsidRDefault="001D5F6D" w:rsidP="007C1C97"/>
        </w:tc>
      </w:tr>
      <w:tr w:rsidR="001D5F6D" w:rsidRPr="00641BDE" w14:paraId="55B717E2" w14:textId="77777777" w:rsidTr="007C1C97">
        <w:trPr>
          <w:trHeight w:val="240"/>
          <w:jc w:val="center"/>
        </w:trPr>
        <w:tc>
          <w:tcPr>
            <w:tcW w:w="4876" w:type="dxa"/>
            <w:tcBorders>
              <w:top w:val="nil"/>
              <w:left w:val="nil"/>
              <w:bottom w:val="nil"/>
              <w:right w:val="nil"/>
            </w:tcBorders>
          </w:tcPr>
          <w:p w14:paraId="2E6D1E7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B361B03" w14:textId="77777777" w:rsidR="001D5F6D" w:rsidRPr="00641BDE" w:rsidRDefault="001D5F6D" w:rsidP="007C1C97">
            <w:pPr>
              <w:pStyle w:val="AmColumnHeading"/>
            </w:pPr>
            <w:r w:rsidRPr="00641BDE">
              <w:t>Poprawka</w:t>
            </w:r>
          </w:p>
        </w:tc>
      </w:tr>
      <w:tr w:rsidR="001D5F6D" w:rsidRPr="00641BDE" w14:paraId="0BA3CC61" w14:textId="77777777" w:rsidTr="007C1C97">
        <w:trPr>
          <w:jc w:val="center"/>
        </w:trPr>
        <w:tc>
          <w:tcPr>
            <w:tcW w:w="4876" w:type="dxa"/>
            <w:tcBorders>
              <w:top w:val="nil"/>
              <w:left w:val="nil"/>
              <w:bottom w:val="nil"/>
              <w:right w:val="nil"/>
            </w:tcBorders>
          </w:tcPr>
          <w:p w14:paraId="6C1C121D" w14:textId="77777777" w:rsidR="001D5F6D" w:rsidRPr="00641BDE" w:rsidRDefault="001D5F6D" w:rsidP="007C1C97">
            <w:pPr>
              <w:pStyle w:val="Normal6a"/>
            </w:pPr>
          </w:p>
        </w:tc>
        <w:tc>
          <w:tcPr>
            <w:tcW w:w="4876" w:type="dxa"/>
            <w:tcBorders>
              <w:top w:val="nil"/>
              <w:left w:val="nil"/>
              <w:bottom w:val="nil"/>
              <w:right w:val="nil"/>
            </w:tcBorders>
          </w:tcPr>
          <w:p w14:paraId="0BEFDAA6" w14:textId="77777777" w:rsidR="001D5F6D" w:rsidRPr="00641BDE" w:rsidRDefault="001D5F6D" w:rsidP="007C1C97">
            <w:pPr>
              <w:pStyle w:val="Normal6a"/>
            </w:pPr>
            <w:r w:rsidRPr="00641BDE">
              <w:rPr>
                <w:b/>
                <w:i/>
              </w:rPr>
              <w:t>8a.</w:t>
            </w:r>
            <w:r w:rsidRPr="00641BDE">
              <w:tab/>
            </w:r>
            <w:r w:rsidRPr="00641BDE">
              <w:rPr>
                <w:b/>
                <w:i/>
              </w:rPr>
              <w:t>zachęca agencje, by włączyły jasne cele dotyczące równowagi płci do swoich strategii w zakresie zasobów ludzkich; wzywa agencje do dopilnowania, aby komisje selekcyjne w rekrutacji na stanowiska kierownicze były zrównoważone pod względem płci i działały zgodnie z jasnymi kryteriami opartymi na osiągnięciach; zachęca Komisję i sieć agencji UE do opracowania wspólnych najlepszych praktyk i narzędzi analizy porównawczej mających wspomagać agencje w osiąganiu trwałej równowagi płci również na stanowiskach kierowniczych;</w:t>
            </w:r>
          </w:p>
        </w:tc>
      </w:tr>
    </w:tbl>
    <w:p w14:paraId="25E44FF3"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2DBE549" w14:textId="77777777" w:rsidR="001D5F6D" w:rsidRPr="00641BDE" w:rsidRDefault="001D5F6D" w:rsidP="001D5F6D">
      <w:r w:rsidRPr="00641BDE">
        <w:rPr>
          <w:rStyle w:val="HideTWBExt"/>
        </w:rPr>
        <w:t>&lt;/Amend&gt;</w:t>
      </w:r>
    </w:p>
    <w:p w14:paraId="5AFD83F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41</w:t>
      </w:r>
      <w:r w:rsidRPr="00641BDE">
        <w:rPr>
          <w:rStyle w:val="HideTWBExt"/>
          <w:b w:val="0"/>
        </w:rPr>
        <w:t>&lt;/NumAm&gt;</w:t>
      </w:r>
    </w:p>
    <w:p w14:paraId="4ABD9199"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65876AC1"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17175598" w14:textId="77777777" w:rsidR="001D5F6D" w:rsidRPr="00641BDE" w:rsidRDefault="001D5F6D" w:rsidP="001D5F6D">
      <w:pPr>
        <w:pStyle w:val="NormalBold"/>
      </w:pPr>
      <w:r w:rsidRPr="00641BDE">
        <w:rPr>
          <w:rStyle w:val="HideTWBExt"/>
          <w:b w:val="0"/>
        </w:rPr>
        <w:t>&lt;/RepeatBlock-By&gt;</w:t>
      </w:r>
    </w:p>
    <w:p w14:paraId="753B55C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056778F" w14:textId="77777777" w:rsidR="001D5F6D" w:rsidRPr="00641BDE" w:rsidRDefault="001D5F6D" w:rsidP="001D5F6D">
      <w:pPr>
        <w:pStyle w:val="NormalBold"/>
      </w:pPr>
      <w:r w:rsidRPr="00641BDE">
        <w:rPr>
          <w:rStyle w:val="HideTWBExt"/>
          <w:b w:val="0"/>
        </w:rPr>
        <w:t>&lt;Article&gt;</w:t>
      </w:r>
      <w:r w:rsidRPr="00641BDE">
        <w:t>Ustęp 9</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72535EE" w14:textId="77777777" w:rsidTr="007C1C97">
        <w:trPr>
          <w:trHeight w:hRule="exact" w:val="240"/>
          <w:jc w:val="center"/>
        </w:trPr>
        <w:tc>
          <w:tcPr>
            <w:tcW w:w="9752" w:type="dxa"/>
            <w:gridSpan w:val="2"/>
            <w:tcBorders>
              <w:top w:val="nil"/>
              <w:left w:val="nil"/>
              <w:bottom w:val="nil"/>
              <w:right w:val="nil"/>
            </w:tcBorders>
          </w:tcPr>
          <w:p w14:paraId="10354859" w14:textId="77777777" w:rsidR="001D5F6D" w:rsidRPr="00641BDE" w:rsidRDefault="001D5F6D" w:rsidP="007C1C97"/>
        </w:tc>
      </w:tr>
      <w:tr w:rsidR="001D5F6D" w:rsidRPr="00641BDE" w14:paraId="7911B04B" w14:textId="77777777" w:rsidTr="007C1C97">
        <w:trPr>
          <w:trHeight w:val="240"/>
          <w:jc w:val="center"/>
        </w:trPr>
        <w:tc>
          <w:tcPr>
            <w:tcW w:w="4876" w:type="dxa"/>
            <w:tcBorders>
              <w:top w:val="nil"/>
              <w:left w:val="nil"/>
              <w:bottom w:val="nil"/>
              <w:right w:val="nil"/>
            </w:tcBorders>
          </w:tcPr>
          <w:p w14:paraId="1992CB2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F876A9C" w14:textId="77777777" w:rsidR="001D5F6D" w:rsidRPr="00641BDE" w:rsidRDefault="001D5F6D" w:rsidP="007C1C97">
            <w:pPr>
              <w:pStyle w:val="AmColumnHeading"/>
            </w:pPr>
            <w:r w:rsidRPr="00641BDE">
              <w:t>Poprawka</w:t>
            </w:r>
          </w:p>
        </w:tc>
      </w:tr>
      <w:tr w:rsidR="001D5F6D" w:rsidRPr="00641BDE" w14:paraId="793110FA" w14:textId="77777777" w:rsidTr="007C1C97">
        <w:trPr>
          <w:jc w:val="center"/>
        </w:trPr>
        <w:tc>
          <w:tcPr>
            <w:tcW w:w="4876" w:type="dxa"/>
            <w:tcBorders>
              <w:top w:val="nil"/>
              <w:left w:val="nil"/>
              <w:bottom w:val="nil"/>
              <w:right w:val="nil"/>
            </w:tcBorders>
          </w:tcPr>
          <w:p w14:paraId="36A53458" w14:textId="77777777" w:rsidR="001D5F6D" w:rsidRPr="00641BDE" w:rsidRDefault="001D5F6D" w:rsidP="007C1C97">
            <w:pPr>
              <w:pStyle w:val="Normal6a"/>
            </w:pPr>
            <w:r w:rsidRPr="00641BDE">
              <w:t>9.</w:t>
            </w:r>
            <w:r w:rsidRPr="00641BDE">
              <w:tab/>
              <w:t xml:space="preserve">odnotowuje, że w 2024 r. wskaźnik rotacji personelu przekraczał 5 % w 16 z 33 agencji ( Urząd BEREC, </w:t>
            </w:r>
            <w:proofErr w:type="spellStart"/>
            <w:r w:rsidRPr="00641BDE">
              <w:t>CdT</w:t>
            </w:r>
            <w:proofErr w:type="spellEnd"/>
            <w:r w:rsidRPr="00641BDE">
              <w:t xml:space="preserve">, </w:t>
            </w:r>
            <w:proofErr w:type="spellStart"/>
            <w:r w:rsidRPr="00641BDE">
              <w:t>Cedefop</w:t>
            </w:r>
            <w:proofErr w:type="spellEnd"/>
            <w:r w:rsidRPr="00641BDE">
              <w:t xml:space="preserve">, CEPOL, ECDC, EEA, ELA, </w:t>
            </w:r>
            <w:proofErr w:type="spellStart"/>
            <w:r w:rsidRPr="00641BDE">
              <w:t>eu</w:t>
            </w:r>
            <w:proofErr w:type="spellEnd"/>
            <w:r w:rsidRPr="00641BDE">
              <w:t xml:space="preserve"> LISA, EU OSHA, </w:t>
            </w:r>
            <w:proofErr w:type="spellStart"/>
            <w:r w:rsidRPr="00641BDE">
              <w:t>Eurofound</w:t>
            </w:r>
            <w:proofErr w:type="spellEnd"/>
            <w:r w:rsidRPr="00641BDE">
              <w:t xml:space="preserve">, </w:t>
            </w:r>
            <w:proofErr w:type="spellStart"/>
            <w:r w:rsidRPr="00641BDE">
              <w:t>Eurojust</w:t>
            </w:r>
            <w:proofErr w:type="spellEnd"/>
            <w:r w:rsidRPr="00641BDE">
              <w:t>, Europol, FRA), a w dwóch przekroczył 10 % (EIT, ETF); wyraża uznanie dla agencji, które podjęły ukierunkowane działania w celu zapobiegania wysokim wskaźnikom rotacji pracowników; wzywa Komisję i państwa członkowskie do zezwolenia na zatrudnianie większej liczby pracowników kontraktowych na dłuższe okresy lub większej liczby pracowników tymczasowych w celu zapewnienia większej ciągłości i utrzymania wiedzy;</w:t>
            </w:r>
          </w:p>
        </w:tc>
        <w:tc>
          <w:tcPr>
            <w:tcW w:w="4876" w:type="dxa"/>
            <w:tcBorders>
              <w:top w:val="nil"/>
              <w:left w:val="nil"/>
              <w:bottom w:val="nil"/>
              <w:right w:val="nil"/>
            </w:tcBorders>
          </w:tcPr>
          <w:p w14:paraId="7AD5DA9F" w14:textId="77777777" w:rsidR="001D5F6D" w:rsidRPr="00641BDE" w:rsidRDefault="001D5F6D" w:rsidP="007C1C97">
            <w:pPr>
              <w:pStyle w:val="Normal6a"/>
            </w:pPr>
            <w:r w:rsidRPr="00641BDE">
              <w:t>9.</w:t>
            </w:r>
            <w:r w:rsidRPr="00641BDE">
              <w:tab/>
              <w:t xml:space="preserve">odnotowuje, że w 2024 r. wskaźnik rotacji personelu przekraczał 5 % w 16 z 33 agencji ( Urząd BEREC, </w:t>
            </w:r>
            <w:proofErr w:type="spellStart"/>
            <w:r w:rsidRPr="00641BDE">
              <w:t>CdT</w:t>
            </w:r>
            <w:proofErr w:type="spellEnd"/>
            <w:r w:rsidRPr="00641BDE">
              <w:t xml:space="preserve">, </w:t>
            </w:r>
            <w:proofErr w:type="spellStart"/>
            <w:r w:rsidRPr="00641BDE">
              <w:t>Cedefop</w:t>
            </w:r>
            <w:proofErr w:type="spellEnd"/>
            <w:r w:rsidRPr="00641BDE">
              <w:t xml:space="preserve">, CEPOL, ECDC, EEA, ELA, </w:t>
            </w:r>
            <w:proofErr w:type="spellStart"/>
            <w:r w:rsidRPr="00641BDE">
              <w:t>eu</w:t>
            </w:r>
            <w:proofErr w:type="spellEnd"/>
            <w:r w:rsidRPr="00641BDE">
              <w:t xml:space="preserve"> LISA, EU OSHA, </w:t>
            </w:r>
            <w:proofErr w:type="spellStart"/>
            <w:r w:rsidRPr="00641BDE">
              <w:t>Eurofound</w:t>
            </w:r>
            <w:proofErr w:type="spellEnd"/>
            <w:r w:rsidRPr="00641BDE">
              <w:t xml:space="preserve">, </w:t>
            </w:r>
            <w:proofErr w:type="spellStart"/>
            <w:r w:rsidRPr="00641BDE">
              <w:t>Eurojust</w:t>
            </w:r>
            <w:proofErr w:type="spellEnd"/>
            <w:r w:rsidRPr="00641BDE">
              <w:t xml:space="preserve">, Europol, FRA), a w dwóch przekroczył 10 % (EIT, ETF); wyraża uznanie dla agencji, które podjęły ukierunkowane działania w celu zapobiegania wysokim wskaźnikom rotacji pracowników; wzywa Komisję i państwa członkowskie do zezwolenia na zatrudnianie większej liczby pracowników kontraktowych na dłuższe okresy lub większej liczby pracowników tymczasowych w celu zapewnienia większej ciągłości i utrzymania wiedzy; </w:t>
            </w:r>
            <w:r w:rsidRPr="00641BDE">
              <w:rPr>
                <w:b/>
                <w:i/>
              </w:rPr>
              <w:t>podkreśla, że zarządy ponoszą zbiorową odpowiedzialność za uczciwość, rozliczalność i właściwe funkcjonowanie agencji; ubolewa nad przypadkami, w których zarządy nie podjęły zdecydowanych działań w odpowiedzi na poważne ustalenia, i apeluje o zwiększenie przejrzystości obrad zarządu dla organu udzielającego absolutorium;</w:t>
            </w:r>
          </w:p>
        </w:tc>
      </w:tr>
    </w:tbl>
    <w:p w14:paraId="6A65338A"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777248D" w14:textId="77777777" w:rsidR="001D5F6D" w:rsidRPr="00641BDE" w:rsidRDefault="001D5F6D" w:rsidP="001D5F6D">
      <w:r w:rsidRPr="00641BDE">
        <w:rPr>
          <w:rStyle w:val="HideTWBExt"/>
        </w:rPr>
        <w:t>&lt;/Amend&gt;</w:t>
      </w:r>
    </w:p>
    <w:p w14:paraId="44FDF73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42</w:t>
      </w:r>
      <w:r w:rsidRPr="00641BDE">
        <w:rPr>
          <w:rStyle w:val="HideTWBExt"/>
          <w:b w:val="0"/>
        </w:rPr>
        <w:t>&lt;/NumAm&gt;</w:t>
      </w:r>
    </w:p>
    <w:p w14:paraId="5E03165C"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377DA588"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6A4431A3" w14:textId="77777777" w:rsidR="001D5F6D" w:rsidRPr="00641BDE" w:rsidRDefault="001D5F6D" w:rsidP="001D5F6D">
      <w:pPr>
        <w:pStyle w:val="NormalBold"/>
      </w:pPr>
      <w:r w:rsidRPr="00641BDE">
        <w:rPr>
          <w:rStyle w:val="HideTWBExt"/>
          <w:b w:val="0"/>
        </w:rPr>
        <w:t>&lt;/RepeatBlock-By&gt;</w:t>
      </w:r>
    </w:p>
    <w:p w14:paraId="5531353F"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BD49577" w14:textId="77777777" w:rsidR="001D5F6D" w:rsidRPr="00641BDE" w:rsidRDefault="001D5F6D" w:rsidP="001D5F6D">
      <w:pPr>
        <w:pStyle w:val="NormalBold"/>
      </w:pPr>
      <w:r w:rsidRPr="00641BDE">
        <w:rPr>
          <w:rStyle w:val="HideTWBExt"/>
          <w:b w:val="0"/>
        </w:rPr>
        <w:t>&lt;Article&gt;</w:t>
      </w:r>
      <w:r w:rsidRPr="00641BDE">
        <w:t>Ustęp 9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C6659B3" w14:textId="77777777" w:rsidTr="007C1C97">
        <w:trPr>
          <w:trHeight w:hRule="exact" w:val="240"/>
          <w:jc w:val="center"/>
        </w:trPr>
        <w:tc>
          <w:tcPr>
            <w:tcW w:w="9752" w:type="dxa"/>
            <w:gridSpan w:val="2"/>
            <w:tcBorders>
              <w:top w:val="nil"/>
              <w:left w:val="nil"/>
              <w:bottom w:val="nil"/>
              <w:right w:val="nil"/>
            </w:tcBorders>
          </w:tcPr>
          <w:p w14:paraId="0576DF6F" w14:textId="77777777" w:rsidR="001D5F6D" w:rsidRPr="00641BDE" w:rsidRDefault="001D5F6D" w:rsidP="007C1C97"/>
        </w:tc>
      </w:tr>
      <w:tr w:rsidR="001D5F6D" w:rsidRPr="00641BDE" w14:paraId="6E17E209" w14:textId="77777777" w:rsidTr="007C1C97">
        <w:trPr>
          <w:trHeight w:val="240"/>
          <w:jc w:val="center"/>
        </w:trPr>
        <w:tc>
          <w:tcPr>
            <w:tcW w:w="4876" w:type="dxa"/>
            <w:tcBorders>
              <w:top w:val="nil"/>
              <w:left w:val="nil"/>
              <w:bottom w:val="nil"/>
              <w:right w:val="nil"/>
            </w:tcBorders>
          </w:tcPr>
          <w:p w14:paraId="3D8C0098"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EFF9585" w14:textId="77777777" w:rsidR="001D5F6D" w:rsidRPr="00641BDE" w:rsidRDefault="001D5F6D" w:rsidP="007C1C97">
            <w:pPr>
              <w:pStyle w:val="AmColumnHeading"/>
            </w:pPr>
            <w:r w:rsidRPr="00641BDE">
              <w:t>Poprawka</w:t>
            </w:r>
          </w:p>
        </w:tc>
      </w:tr>
      <w:tr w:rsidR="001D5F6D" w:rsidRPr="00641BDE" w14:paraId="7D7525FC" w14:textId="77777777" w:rsidTr="007C1C97">
        <w:trPr>
          <w:jc w:val="center"/>
        </w:trPr>
        <w:tc>
          <w:tcPr>
            <w:tcW w:w="4876" w:type="dxa"/>
            <w:tcBorders>
              <w:top w:val="nil"/>
              <w:left w:val="nil"/>
              <w:bottom w:val="nil"/>
              <w:right w:val="nil"/>
            </w:tcBorders>
          </w:tcPr>
          <w:p w14:paraId="2547617E" w14:textId="77777777" w:rsidR="001D5F6D" w:rsidRPr="00641BDE" w:rsidRDefault="001D5F6D" w:rsidP="007C1C97">
            <w:pPr>
              <w:pStyle w:val="Normal6a"/>
            </w:pPr>
          </w:p>
        </w:tc>
        <w:tc>
          <w:tcPr>
            <w:tcW w:w="4876" w:type="dxa"/>
            <w:tcBorders>
              <w:top w:val="nil"/>
              <w:left w:val="nil"/>
              <w:bottom w:val="nil"/>
              <w:right w:val="nil"/>
            </w:tcBorders>
          </w:tcPr>
          <w:p w14:paraId="3E73D9BE" w14:textId="77777777" w:rsidR="001D5F6D" w:rsidRPr="00641BDE" w:rsidRDefault="001D5F6D" w:rsidP="007C1C97">
            <w:pPr>
              <w:pStyle w:val="Normal6a"/>
            </w:pPr>
            <w:r w:rsidRPr="00641BDE">
              <w:rPr>
                <w:b/>
                <w:i/>
              </w:rPr>
              <w:t>9a.</w:t>
            </w:r>
            <w:r w:rsidRPr="00641BDE">
              <w:tab/>
            </w:r>
            <w:r w:rsidRPr="00641BDE">
              <w:rPr>
                <w:b/>
                <w:i/>
              </w:rPr>
              <w:t xml:space="preserve">uważa, że wysokie wskaźniki wypalenia zawodowego, rotacji pracowników i pracy </w:t>
            </w:r>
            <w:proofErr w:type="spellStart"/>
            <w:r w:rsidRPr="00641BDE">
              <w:rPr>
                <w:b/>
                <w:i/>
              </w:rPr>
              <w:t>prekaryjnej</w:t>
            </w:r>
            <w:proofErr w:type="spellEnd"/>
            <w:r w:rsidRPr="00641BDE">
              <w:rPr>
                <w:b/>
                <w:i/>
              </w:rPr>
              <w:t xml:space="preserve"> stanowią ryzyko strukturalne dla integralności instytucjonalnej, kontroli wewnętrznej i sygnalizowania nieprawidłowości, a tym samym dla należytego zarządzania finansami;</w:t>
            </w:r>
          </w:p>
        </w:tc>
      </w:tr>
    </w:tbl>
    <w:p w14:paraId="123F3E31"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F41AB34" w14:textId="77777777" w:rsidR="001D5F6D" w:rsidRPr="00641BDE" w:rsidRDefault="001D5F6D" w:rsidP="001D5F6D">
      <w:r w:rsidRPr="00641BDE">
        <w:rPr>
          <w:rStyle w:val="HideTWBExt"/>
        </w:rPr>
        <w:t>&lt;/Amend&gt;</w:t>
      </w:r>
    </w:p>
    <w:p w14:paraId="28D036D6"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43</w:t>
      </w:r>
      <w:r w:rsidRPr="00641BDE">
        <w:rPr>
          <w:rStyle w:val="HideTWBExt"/>
          <w:b w:val="0"/>
        </w:rPr>
        <w:t>&lt;/NumAm&gt;</w:t>
      </w:r>
    </w:p>
    <w:p w14:paraId="56D46910"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rPr>
          <w:rStyle w:val="HideTWBExt"/>
          <w:b w:val="0"/>
        </w:rPr>
        <w:t>&lt;/Members&gt;</w:t>
      </w:r>
    </w:p>
    <w:p w14:paraId="2DCF62EE" w14:textId="77777777" w:rsidR="001D5F6D" w:rsidRPr="00641BDE" w:rsidRDefault="001D5F6D" w:rsidP="001D5F6D">
      <w:pPr>
        <w:pStyle w:val="NormalBold"/>
      </w:pPr>
      <w:r w:rsidRPr="00641BDE">
        <w:rPr>
          <w:rStyle w:val="HideTWBExt"/>
          <w:b w:val="0"/>
        </w:rPr>
        <w:t>&lt;/RepeatBlock-By&gt;</w:t>
      </w:r>
    </w:p>
    <w:p w14:paraId="08130F51"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E3F5B82" w14:textId="77777777" w:rsidR="001D5F6D" w:rsidRPr="00641BDE" w:rsidRDefault="001D5F6D" w:rsidP="001D5F6D">
      <w:pPr>
        <w:pStyle w:val="NormalBold"/>
      </w:pPr>
      <w:r w:rsidRPr="00641BDE">
        <w:rPr>
          <w:rStyle w:val="HideTWBExt"/>
          <w:b w:val="0"/>
        </w:rPr>
        <w:t>&lt;Article&gt;</w:t>
      </w:r>
      <w:r w:rsidRPr="00641BDE">
        <w:t>Ustęp 10</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011528C" w14:textId="77777777" w:rsidTr="007C1C97">
        <w:trPr>
          <w:trHeight w:hRule="exact" w:val="240"/>
          <w:jc w:val="center"/>
        </w:trPr>
        <w:tc>
          <w:tcPr>
            <w:tcW w:w="9752" w:type="dxa"/>
            <w:gridSpan w:val="2"/>
            <w:tcBorders>
              <w:top w:val="nil"/>
              <w:left w:val="nil"/>
              <w:bottom w:val="nil"/>
              <w:right w:val="nil"/>
            </w:tcBorders>
          </w:tcPr>
          <w:p w14:paraId="3FA67633" w14:textId="77777777" w:rsidR="001D5F6D" w:rsidRPr="00641BDE" w:rsidRDefault="001D5F6D" w:rsidP="007C1C97"/>
        </w:tc>
      </w:tr>
      <w:tr w:rsidR="001D5F6D" w:rsidRPr="00641BDE" w14:paraId="701D4EBE" w14:textId="77777777" w:rsidTr="007C1C97">
        <w:trPr>
          <w:trHeight w:val="240"/>
          <w:jc w:val="center"/>
        </w:trPr>
        <w:tc>
          <w:tcPr>
            <w:tcW w:w="4876" w:type="dxa"/>
            <w:tcBorders>
              <w:top w:val="nil"/>
              <w:left w:val="nil"/>
              <w:bottom w:val="nil"/>
              <w:right w:val="nil"/>
            </w:tcBorders>
          </w:tcPr>
          <w:p w14:paraId="6398C4C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6C14913" w14:textId="77777777" w:rsidR="001D5F6D" w:rsidRPr="00641BDE" w:rsidRDefault="001D5F6D" w:rsidP="007C1C97">
            <w:pPr>
              <w:pStyle w:val="AmColumnHeading"/>
            </w:pPr>
            <w:r w:rsidRPr="00641BDE">
              <w:t>Poprawka</w:t>
            </w:r>
          </w:p>
        </w:tc>
      </w:tr>
      <w:tr w:rsidR="001D5F6D" w:rsidRPr="00641BDE" w14:paraId="04F9A437" w14:textId="77777777" w:rsidTr="007C1C97">
        <w:trPr>
          <w:jc w:val="center"/>
        </w:trPr>
        <w:tc>
          <w:tcPr>
            <w:tcW w:w="4876" w:type="dxa"/>
            <w:tcBorders>
              <w:top w:val="nil"/>
              <w:left w:val="nil"/>
              <w:bottom w:val="nil"/>
              <w:right w:val="nil"/>
            </w:tcBorders>
          </w:tcPr>
          <w:p w14:paraId="2F62BE25" w14:textId="77777777" w:rsidR="001D5F6D" w:rsidRPr="00641BDE" w:rsidRDefault="001D5F6D" w:rsidP="007C1C97">
            <w:pPr>
              <w:pStyle w:val="Normal6a"/>
            </w:pPr>
            <w:r w:rsidRPr="00641BDE">
              <w:rPr>
                <w:b/>
                <w:i/>
              </w:rPr>
              <w:t>10.</w:t>
            </w:r>
            <w:r w:rsidRPr="00641BDE">
              <w:tab/>
            </w:r>
            <w:r w:rsidRPr="00641BDE">
              <w:rPr>
                <w:b/>
                <w:i/>
              </w:rPr>
              <w:t>z zadowoleniem przyjmuje fakt, że w 2024 r. większość agencji przyjęła i wdrożyła Kartę na rzecz różnorodności i włączenia społecznego</w:t>
            </w:r>
            <w:r w:rsidRPr="00641BDE">
              <w:rPr>
                <w:b/>
                <w:i/>
                <w:vertAlign w:val="superscript"/>
              </w:rPr>
              <w:t>4</w:t>
            </w:r>
            <w:r w:rsidRPr="00641BDE">
              <w:rPr>
                <w:b/>
                <w:i/>
              </w:rPr>
              <w:t>, która promuje równe traktowanie, różnorodność oraz włączenie społeczne w miejscu pracy i w życiu społecznym;</w:t>
            </w:r>
          </w:p>
        </w:tc>
        <w:tc>
          <w:tcPr>
            <w:tcW w:w="4876" w:type="dxa"/>
            <w:tcBorders>
              <w:top w:val="nil"/>
              <w:left w:val="nil"/>
              <w:bottom w:val="nil"/>
              <w:right w:val="nil"/>
            </w:tcBorders>
          </w:tcPr>
          <w:p w14:paraId="7A25534D" w14:textId="77777777" w:rsidR="001D5F6D" w:rsidRPr="00641BDE" w:rsidRDefault="001D5F6D" w:rsidP="007C1C97">
            <w:pPr>
              <w:pStyle w:val="Normal6a"/>
            </w:pPr>
            <w:r w:rsidRPr="00641BDE">
              <w:rPr>
                <w:b/>
                <w:i/>
              </w:rPr>
              <w:t>skreśla się</w:t>
            </w:r>
          </w:p>
        </w:tc>
      </w:tr>
      <w:tr w:rsidR="001D5F6D" w:rsidRPr="00641BDE" w14:paraId="478A7A55" w14:textId="77777777" w:rsidTr="007C1C97">
        <w:trPr>
          <w:jc w:val="center"/>
        </w:trPr>
        <w:tc>
          <w:tcPr>
            <w:tcW w:w="4876" w:type="dxa"/>
            <w:tcBorders>
              <w:top w:val="nil"/>
              <w:left w:val="nil"/>
              <w:bottom w:val="nil"/>
              <w:right w:val="nil"/>
            </w:tcBorders>
          </w:tcPr>
          <w:p w14:paraId="781D938A" w14:textId="77777777" w:rsidR="001D5F6D" w:rsidRPr="00641BDE" w:rsidRDefault="001D5F6D" w:rsidP="007C1C97">
            <w:pPr>
              <w:pStyle w:val="Normal6a"/>
            </w:pPr>
            <w:r w:rsidRPr="00641BDE">
              <w:rPr>
                <w:b/>
                <w:i/>
              </w:rPr>
              <w:t>_________________</w:t>
            </w:r>
          </w:p>
        </w:tc>
        <w:tc>
          <w:tcPr>
            <w:tcW w:w="4876" w:type="dxa"/>
            <w:tcBorders>
              <w:top w:val="nil"/>
              <w:left w:val="nil"/>
              <w:bottom w:val="nil"/>
              <w:right w:val="nil"/>
            </w:tcBorders>
          </w:tcPr>
          <w:p w14:paraId="21B212DD" w14:textId="77777777" w:rsidR="001D5F6D" w:rsidRPr="00641BDE" w:rsidRDefault="001D5F6D" w:rsidP="007C1C97"/>
        </w:tc>
      </w:tr>
      <w:tr w:rsidR="001D5F6D" w:rsidRPr="00641BDE" w14:paraId="5AEA3123" w14:textId="77777777" w:rsidTr="007C1C97">
        <w:trPr>
          <w:jc w:val="center"/>
        </w:trPr>
        <w:tc>
          <w:tcPr>
            <w:tcW w:w="4876" w:type="dxa"/>
            <w:tcBorders>
              <w:top w:val="nil"/>
              <w:left w:val="nil"/>
              <w:bottom w:val="nil"/>
              <w:right w:val="nil"/>
            </w:tcBorders>
          </w:tcPr>
          <w:p w14:paraId="2683E4C0" w14:textId="77777777" w:rsidR="001D5F6D" w:rsidRPr="00641BDE" w:rsidRDefault="001D5F6D" w:rsidP="007C1C97">
            <w:pPr>
              <w:pStyle w:val="Normal6a"/>
            </w:pPr>
            <w:r w:rsidRPr="00641BDE">
              <w:rPr>
                <w:b/>
                <w:i/>
                <w:vertAlign w:val="superscript"/>
              </w:rPr>
              <w:t>4</w:t>
            </w:r>
            <w:r w:rsidRPr="00641BDE">
              <w:t xml:space="preserve"> </w:t>
            </w:r>
            <w:r w:rsidRPr="00641BDE">
              <w:rPr>
                <w:b/>
                <w:i/>
              </w:rPr>
              <w:t>https://agencies-network.europa.eu/document/download/04667fb8-be05-4818-9f62-0cb99f0c5538_en?filename=EUAN%20WG%25</w:t>
            </w:r>
          </w:p>
        </w:tc>
        <w:tc>
          <w:tcPr>
            <w:tcW w:w="4876" w:type="dxa"/>
            <w:tcBorders>
              <w:top w:val="nil"/>
              <w:left w:val="nil"/>
              <w:bottom w:val="nil"/>
              <w:right w:val="nil"/>
            </w:tcBorders>
          </w:tcPr>
          <w:p w14:paraId="2CEB535F" w14:textId="77777777" w:rsidR="001D5F6D" w:rsidRPr="00641BDE" w:rsidRDefault="001D5F6D" w:rsidP="007C1C97"/>
        </w:tc>
      </w:tr>
    </w:tbl>
    <w:p w14:paraId="656BEC72"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85ABE5B" w14:textId="77777777" w:rsidR="001D5F6D" w:rsidRPr="00641BDE" w:rsidRDefault="001D5F6D" w:rsidP="001D5F6D">
      <w:r w:rsidRPr="00641BDE">
        <w:rPr>
          <w:rStyle w:val="HideTWBExt"/>
        </w:rPr>
        <w:t>&lt;/Amend&gt;</w:t>
      </w:r>
    </w:p>
    <w:p w14:paraId="7C807E99"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44</w:t>
      </w:r>
      <w:r w:rsidRPr="00641BDE">
        <w:rPr>
          <w:rStyle w:val="HideTWBExt"/>
          <w:b w:val="0"/>
        </w:rPr>
        <w:t>&lt;/NumAm&gt;</w:t>
      </w:r>
    </w:p>
    <w:p w14:paraId="6885AB64"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6B0D0640"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6DB5A6CE" w14:textId="77777777" w:rsidR="001D5F6D" w:rsidRPr="00641BDE" w:rsidRDefault="001D5F6D" w:rsidP="001D5F6D">
      <w:pPr>
        <w:pStyle w:val="NormalBold"/>
      </w:pPr>
      <w:r w:rsidRPr="00641BDE">
        <w:rPr>
          <w:rStyle w:val="HideTWBExt"/>
          <w:b w:val="0"/>
        </w:rPr>
        <w:t>&lt;/RepeatBlock-By&gt;</w:t>
      </w:r>
    </w:p>
    <w:p w14:paraId="6CCD19D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365CB7D" w14:textId="77777777" w:rsidR="001D5F6D" w:rsidRPr="00641BDE" w:rsidRDefault="001D5F6D" w:rsidP="001D5F6D">
      <w:pPr>
        <w:pStyle w:val="NormalBold"/>
      </w:pPr>
      <w:r w:rsidRPr="00641BDE">
        <w:rPr>
          <w:rStyle w:val="HideTWBExt"/>
          <w:b w:val="0"/>
        </w:rPr>
        <w:t>&lt;Article&gt;</w:t>
      </w:r>
      <w:r w:rsidRPr="00641BDE">
        <w:t>Ustęp 10</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A9602A5" w14:textId="77777777" w:rsidTr="007C1C97">
        <w:trPr>
          <w:trHeight w:hRule="exact" w:val="240"/>
          <w:jc w:val="center"/>
        </w:trPr>
        <w:tc>
          <w:tcPr>
            <w:tcW w:w="9752" w:type="dxa"/>
            <w:gridSpan w:val="2"/>
            <w:tcBorders>
              <w:top w:val="nil"/>
              <w:left w:val="nil"/>
              <w:bottom w:val="nil"/>
              <w:right w:val="nil"/>
            </w:tcBorders>
          </w:tcPr>
          <w:p w14:paraId="433C47A9" w14:textId="77777777" w:rsidR="001D5F6D" w:rsidRPr="00641BDE" w:rsidRDefault="001D5F6D" w:rsidP="007C1C97"/>
        </w:tc>
      </w:tr>
      <w:tr w:rsidR="001D5F6D" w:rsidRPr="00641BDE" w14:paraId="18F060D4" w14:textId="77777777" w:rsidTr="007C1C97">
        <w:trPr>
          <w:trHeight w:val="240"/>
          <w:jc w:val="center"/>
        </w:trPr>
        <w:tc>
          <w:tcPr>
            <w:tcW w:w="4876" w:type="dxa"/>
            <w:tcBorders>
              <w:top w:val="nil"/>
              <w:left w:val="nil"/>
              <w:bottom w:val="nil"/>
              <w:right w:val="nil"/>
            </w:tcBorders>
          </w:tcPr>
          <w:p w14:paraId="67F0757E"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ED83EDD" w14:textId="77777777" w:rsidR="001D5F6D" w:rsidRPr="00641BDE" w:rsidRDefault="001D5F6D" w:rsidP="007C1C97">
            <w:pPr>
              <w:pStyle w:val="AmColumnHeading"/>
            </w:pPr>
            <w:r w:rsidRPr="00641BDE">
              <w:t>Poprawka</w:t>
            </w:r>
          </w:p>
        </w:tc>
      </w:tr>
      <w:tr w:rsidR="001D5F6D" w:rsidRPr="00641BDE" w14:paraId="203A32F2" w14:textId="77777777" w:rsidTr="007C1C97">
        <w:trPr>
          <w:jc w:val="center"/>
        </w:trPr>
        <w:tc>
          <w:tcPr>
            <w:tcW w:w="4876" w:type="dxa"/>
            <w:tcBorders>
              <w:top w:val="nil"/>
              <w:left w:val="nil"/>
              <w:bottom w:val="nil"/>
              <w:right w:val="nil"/>
            </w:tcBorders>
          </w:tcPr>
          <w:p w14:paraId="58BF75DD" w14:textId="77777777" w:rsidR="001D5F6D" w:rsidRPr="00641BDE" w:rsidRDefault="001D5F6D" w:rsidP="007C1C97">
            <w:pPr>
              <w:pStyle w:val="Normal6a"/>
            </w:pPr>
            <w:r w:rsidRPr="00641BDE">
              <w:t>10.</w:t>
            </w:r>
            <w:r w:rsidRPr="00641BDE">
              <w:tab/>
              <w:t>z zadowoleniem przyjmuje fakt, że w 2024 r. większość agencji przyjęła i wdrożyła Kartę na rzecz różnorodności i włączenia społecznego</w:t>
            </w:r>
            <w:r w:rsidRPr="00641BDE">
              <w:rPr>
                <w:vertAlign w:val="superscript"/>
              </w:rPr>
              <w:t>4</w:t>
            </w:r>
            <w:r w:rsidRPr="00641BDE">
              <w:t>, która promuje równe traktowanie, różnorodność oraz włączenie społeczne w miejscu pracy i w życiu społecznym;</w:t>
            </w:r>
          </w:p>
        </w:tc>
        <w:tc>
          <w:tcPr>
            <w:tcW w:w="4876" w:type="dxa"/>
            <w:tcBorders>
              <w:top w:val="nil"/>
              <w:left w:val="nil"/>
              <w:bottom w:val="nil"/>
              <w:right w:val="nil"/>
            </w:tcBorders>
          </w:tcPr>
          <w:p w14:paraId="441978C0" w14:textId="77777777" w:rsidR="001D5F6D" w:rsidRPr="00641BDE" w:rsidRDefault="001D5F6D" w:rsidP="007C1C97">
            <w:pPr>
              <w:pStyle w:val="Normal6a"/>
            </w:pPr>
            <w:r w:rsidRPr="00641BDE">
              <w:t>10.</w:t>
            </w:r>
            <w:r w:rsidRPr="00641BDE">
              <w:tab/>
              <w:t>z zadowoleniem przyjmuje fakt, że w 2024 r. większość agencji przyjęła i wdrożyła Kartę na rzecz różnorodności i włączenia społecznego</w:t>
            </w:r>
            <w:r w:rsidRPr="00641BDE">
              <w:rPr>
                <w:vertAlign w:val="superscript"/>
              </w:rPr>
              <w:t>4</w:t>
            </w:r>
            <w:r w:rsidRPr="00641BDE">
              <w:t xml:space="preserve">, która promuje równe traktowanie, różnorodność oraz włączenie społeczne w miejscu pracy i w życiu społecznym; </w:t>
            </w:r>
            <w:r w:rsidRPr="00641BDE">
              <w:rPr>
                <w:b/>
                <w:i/>
              </w:rPr>
              <w:t>zdecydowanie zachęca te agencje, które jeszcze nie przystąpiły do karty, aby rozważyły jej bezzwłoczne przyjęcie i wdrożenie;</w:t>
            </w:r>
          </w:p>
        </w:tc>
      </w:tr>
      <w:tr w:rsidR="001D5F6D" w:rsidRPr="00641BDE" w14:paraId="0BB7DD0E" w14:textId="77777777" w:rsidTr="007C1C97">
        <w:trPr>
          <w:jc w:val="center"/>
        </w:trPr>
        <w:tc>
          <w:tcPr>
            <w:tcW w:w="4876" w:type="dxa"/>
            <w:tcBorders>
              <w:top w:val="nil"/>
              <w:left w:val="nil"/>
              <w:bottom w:val="nil"/>
              <w:right w:val="nil"/>
            </w:tcBorders>
          </w:tcPr>
          <w:p w14:paraId="73C1358B" w14:textId="77777777" w:rsidR="001D5F6D" w:rsidRPr="00641BDE" w:rsidRDefault="001D5F6D" w:rsidP="007C1C97">
            <w:pPr>
              <w:pStyle w:val="Normal6a"/>
            </w:pPr>
            <w:r w:rsidRPr="00641BDE">
              <w:rPr>
                <w:b/>
                <w:i/>
              </w:rPr>
              <w:t>_________________</w:t>
            </w:r>
          </w:p>
        </w:tc>
        <w:tc>
          <w:tcPr>
            <w:tcW w:w="4876" w:type="dxa"/>
            <w:tcBorders>
              <w:top w:val="nil"/>
              <w:left w:val="nil"/>
              <w:bottom w:val="nil"/>
              <w:right w:val="nil"/>
            </w:tcBorders>
          </w:tcPr>
          <w:p w14:paraId="56300836" w14:textId="77777777" w:rsidR="001D5F6D" w:rsidRPr="00641BDE" w:rsidRDefault="001D5F6D" w:rsidP="007C1C97">
            <w:pPr>
              <w:pStyle w:val="Normal6a"/>
            </w:pPr>
            <w:r w:rsidRPr="00641BDE">
              <w:rPr>
                <w:b/>
                <w:i/>
              </w:rPr>
              <w:t>_________________</w:t>
            </w:r>
          </w:p>
        </w:tc>
      </w:tr>
      <w:tr w:rsidR="001D5F6D" w:rsidRPr="00641BDE" w14:paraId="0865EC9F" w14:textId="77777777" w:rsidTr="007C1C97">
        <w:trPr>
          <w:jc w:val="center"/>
        </w:trPr>
        <w:tc>
          <w:tcPr>
            <w:tcW w:w="4876" w:type="dxa"/>
            <w:tcBorders>
              <w:top w:val="nil"/>
              <w:left w:val="nil"/>
              <w:bottom w:val="nil"/>
              <w:right w:val="nil"/>
            </w:tcBorders>
          </w:tcPr>
          <w:p w14:paraId="27A828F8" w14:textId="77777777" w:rsidR="001D5F6D" w:rsidRPr="00641BDE" w:rsidRDefault="001D5F6D" w:rsidP="007C1C97">
            <w:pPr>
              <w:pStyle w:val="Normal6a"/>
            </w:pPr>
            <w:r w:rsidRPr="00641BDE">
              <w:rPr>
                <w:vertAlign w:val="superscript"/>
              </w:rPr>
              <w:t>4</w:t>
            </w:r>
            <w:r w:rsidRPr="00641BDE">
              <w:t xml:space="preserve"> https://agencies-network.europa.eu/document/download/04667fb8-be05-4818-9f62-0cb99f0c5538_en?filename=EUAN%20WG%25</w:t>
            </w:r>
          </w:p>
        </w:tc>
        <w:tc>
          <w:tcPr>
            <w:tcW w:w="4876" w:type="dxa"/>
            <w:tcBorders>
              <w:top w:val="nil"/>
              <w:left w:val="nil"/>
              <w:bottom w:val="nil"/>
              <w:right w:val="nil"/>
            </w:tcBorders>
          </w:tcPr>
          <w:p w14:paraId="7938857C" w14:textId="77777777" w:rsidR="001D5F6D" w:rsidRPr="00641BDE" w:rsidRDefault="001D5F6D" w:rsidP="007C1C97">
            <w:pPr>
              <w:pStyle w:val="Normal6a"/>
            </w:pPr>
            <w:r w:rsidRPr="00641BDE">
              <w:rPr>
                <w:vertAlign w:val="superscript"/>
              </w:rPr>
              <w:t>4</w:t>
            </w:r>
            <w:r w:rsidRPr="00641BDE">
              <w:t xml:space="preserve"> https://agencies-network.europa.eu/document/download/04667fb8-be05-4818-9f62-0cb99f0c5538_en?filename=EUAN%20WG%25</w:t>
            </w:r>
          </w:p>
        </w:tc>
      </w:tr>
    </w:tbl>
    <w:p w14:paraId="49334BEE"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FF4BDD4" w14:textId="77777777" w:rsidR="001D5F6D" w:rsidRPr="00641BDE" w:rsidRDefault="001D5F6D" w:rsidP="001D5F6D">
      <w:r w:rsidRPr="00641BDE">
        <w:rPr>
          <w:rStyle w:val="HideTWBExt"/>
        </w:rPr>
        <w:t>&lt;/Amend&gt;</w:t>
      </w:r>
    </w:p>
    <w:p w14:paraId="15D2639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45</w:t>
      </w:r>
      <w:r w:rsidRPr="00641BDE">
        <w:rPr>
          <w:rStyle w:val="HideTWBExt"/>
          <w:b w:val="0"/>
        </w:rPr>
        <w:t>&lt;/NumAm&gt;</w:t>
      </w:r>
    </w:p>
    <w:p w14:paraId="434404EE"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237DED36" w14:textId="77777777" w:rsidR="001D5F6D" w:rsidRPr="00641BDE" w:rsidRDefault="001D5F6D" w:rsidP="001D5F6D">
      <w:pPr>
        <w:pStyle w:val="NormalBold"/>
      </w:pPr>
      <w:r w:rsidRPr="00641BDE">
        <w:rPr>
          <w:rStyle w:val="HideTWBExt"/>
          <w:b w:val="0"/>
        </w:rPr>
        <w:t>&lt;/RepeatBlock-By&gt;</w:t>
      </w:r>
    </w:p>
    <w:p w14:paraId="310206C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5CB2283" w14:textId="77777777" w:rsidR="001D5F6D" w:rsidRPr="00641BDE" w:rsidRDefault="001D5F6D" w:rsidP="001D5F6D">
      <w:pPr>
        <w:pStyle w:val="NormalBold"/>
      </w:pPr>
      <w:r w:rsidRPr="00641BDE">
        <w:rPr>
          <w:rStyle w:val="HideTWBExt"/>
          <w:b w:val="0"/>
        </w:rPr>
        <w:t>&lt;Article&gt;</w:t>
      </w:r>
      <w:r w:rsidRPr="00641BDE">
        <w:t>Ustęp 11</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C367DF3" w14:textId="77777777" w:rsidTr="007C1C97">
        <w:trPr>
          <w:trHeight w:hRule="exact" w:val="240"/>
          <w:jc w:val="center"/>
        </w:trPr>
        <w:tc>
          <w:tcPr>
            <w:tcW w:w="9752" w:type="dxa"/>
            <w:gridSpan w:val="2"/>
            <w:tcBorders>
              <w:top w:val="nil"/>
              <w:left w:val="nil"/>
              <w:bottom w:val="nil"/>
              <w:right w:val="nil"/>
            </w:tcBorders>
          </w:tcPr>
          <w:p w14:paraId="4CF7DF18" w14:textId="77777777" w:rsidR="001D5F6D" w:rsidRPr="00641BDE" w:rsidRDefault="001D5F6D" w:rsidP="007C1C97"/>
        </w:tc>
      </w:tr>
      <w:tr w:rsidR="001D5F6D" w:rsidRPr="00641BDE" w14:paraId="3955561B" w14:textId="77777777" w:rsidTr="007C1C97">
        <w:trPr>
          <w:trHeight w:val="240"/>
          <w:jc w:val="center"/>
        </w:trPr>
        <w:tc>
          <w:tcPr>
            <w:tcW w:w="4876" w:type="dxa"/>
            <w:tcBorders>
              <w:top w:val="nil"/>
              <w:left w:val="nil"/>
              <w:bottom w:val="nil"/>
              <w:right w:val="nil"/>
            </w:tcBorders>
          </w:tcPr>
          <w:p w14:paraId="318AB22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0E0C0E8" w14:textId="77777777" w:rsidR="001D5F6D" w:rsidRPr="00641BDE" w:rsidRDefault="001D5F6D" w:rsidP="007C1C97">
            <w:pPr>
              <w:pStyle w:val="AmColumnHeading"/>
            </w:pPr>
            <w:r w:rsidRPr="00641BDE">
              <w:t>Poprawka</w:t>
            </w:r>
          </w:p>
        </w:tc>
      </w:tr>
      <w:tr w:rsidR="001D5F6D" w:rsidRPr="00641BDE" w14:paraId="4D07C482" w14:textId="77777777" w:rsidTr="007C1C97">
        <w:trPr>
          <w:jc w:val="center"/>
        </w:trPr>
        <w:tc>
          <w:tcPr>
            <w:tcW w:w="4876" w:type="dxa"/>
            <w:tcBorders>
              <w:top w:val="nil"/>
              <w:left w:val="nil"/>
              <w:bottom w:val="nil"/>
              <w:right w:val="nil"/>
            </w:tcBorders>
          </w:tcPr>
          <w:p w14:paraId="19D50AC6" w14:textId="77777777" w:rsidR="001D5F6D" w:rsidRPr="00641BDE" w:rsidRDefault="001D5F6D" w:rsidP="007C1C97">
            <w:pPr>
              <w:pStyle w:val="Normal6a"/>
            </w:pPr>
            <w:r w:rsidRPr="00641BDE">
              <w:t>11.</w:t>
            </w:r>
            <w:r w:rsidRPr="00641BDE">
              <w:tab/>
              <w:t xml:space="preserve">podkreśla, że ustanowienie skutecznego mechanizmu składania skarg dla personelu w unijnych agencjach zdecentralizowanych wymaga połączenia silnych gwarancji poufności, w tym anonimowych kanałów dokonywania zgłoszeń, z jasnymi, zharmonizowanymi procedurami zgodnymi z regulaminem pracowniczym, o których personel będzie informowany podczas regularnych szkoleń; uważa, że agencje powinny powołać niezależnych, profesjonalnie wyszkolonych urzędników ds. etyki lub skarg lub korzystać ze wspólnych struktur </w:t>
            </w:r>
            <w:proofErr w:type="spellStart"/>
            <w:r w:rsidRPr="00641BDE">
              <w:t>międzyagencyjnych</w:t>
            </w:r>
            <w:proofErr w:type="spellEnd"/>
            <w:r w:rsidRPr="00641BDE">
              <w:t xml:space="preserve"> w przypadku mniejszych agencji, aby zapewnić bezstronne rozpatrywanie wniosków na podstawie art. 90 regulaminu pracowniczego, zgłoszeń dotyczących molestowania, konfliktów interesów i ujawniania nieprawidłowości; wzywa agencje do zapewnienia </w:t>
            </w:r>
            <w:r w:rsidRPr="00641BDE">
              <w:rPr>
                <w:b/>
                <w:i/>
              </w:rPr>
              <w:t>pracownikom dostępu do zewnętrznych procedur eskalacji oraz solidnej</w:t>
            </w:r>
            <w:r w:rsidRPr="00641BDE">
              <w:t xml:space="preserve"> ochrony przed </w:t>
            </w:r>
            <w:r w:rsidRPr="00641BDE">
              <w:rPr>
                <w:b/>
                <w:i/>
              </w:rPr>
              <w:t xml:space="preserve">działaniami odwetowymi przez systematyczne kontrole następcze, przy czym należy zwiększyć przejrzystość za pomocą anonimowych rocznych sprawozdań dotyczących skarg i wyników ich rozpatrzenia, a także poprawić bezstronność przez wykorzystanie </w:t>
            </w:r>
            <w:proofErr w:type="spellStart"/>
            <w:r w:rsidRPr="00641BDE">
              <w:rPr>
                <w:b/>
                <w:i/>
              </w:rPr>
              <w:t>międzyagencyjnych</w:t>
            </w:r>
            <w:proofErr w:type="spellEnd"/>
            <w:r w:rsidRPr="00641BDE">
              <w:rPr>
                <w:b/>
                <w:i/>
              </w:rPr>
              <w:t xml:space="preserve"> komisji dochodzeniowych w sprawach delikatnych</w:t>
            </w:r>
            <w:r w:rsidRPr="00641BDE">
              <w:t xml:space="preserve">; </w:t>
            </w:r>
            <w:r w:rsidRPr="00641BDE">
              <w:rPr>
                <w:b/>
                <w:i/>
              </w:rPr>
              <w:t>apeluje o wdrożenie mechanizmów ochrony przed fałszywymi oskarżeniami i donosami;</w:t>
            </w:r>
          </w:p>
        </w:tc>
        <w:tc>
          <w:tcPr>
            <w:tcW w:w="4876" w:type="dxa"/>
            <w:tcBorders>
              <w:top w:val="nil"/>
              <w:left w:val="nil"/>
              <w:bottom w:val="nil"/>
              <w:right w:val="nil"/>
            </w:tcBorders>
          </w:tcPr>
          <w:p w14:paraId="1D0B13EA" w14:textId="77777777" w:rsidR="001D5F6D" w:rsidRPr="00641BDE" w:rsidRDefault="001D5F6D" w:rsidP="007C1C97">
            <w:pPr>
              <w:pStyle w:val="Normal6a"/>
            </w:pPr>
            <w:r w:rsidRPr="00641BDE">
              <w:t>11.</w:t>
            </w:r>
            <w:r w:rsidRPr="00641BDE">
              <w:tab/>
              <w:t xml:space="preserve">podkreśla, że ustanowienie skutecznego mechanizmu składania skarg dla personelu w unijnych agencjach zdecentralizowanych wymaga połączenia silnych gwarancji poufności, w tym anonimowych kanałów dokonywania zgłoszeń, z jasnymi, zharmonizowanymi procedurami zgodnymi z regulaminem pracowniczym, o których personel będzie informowany podczas regularnych </w:t>
            </w:r>
            <w:r w:rsidRPr="00641BDE">
              <w:rPr>
                <w:b/>
                <w:i/>
              </w:rPr>
              <w:t>obowiązkowych</w:t>
            </w:r>
            <w:r w:rsidRPr="00641BDE">
              <w:t xml:space="preserve"> szkoleń; uważa, że agencje powinny powołać niezależnych, profesjonalnie wyszkolonych urzędników ds. etyki lub skarg lub korzystać ze wspólnych struktur </w:t>
            </w:r>
            <w:proofErr w:type="spellStart"/>
            <w:r w:rsidRPr="00641BDE">
              <w:t>międzyagencyjnych</w:t>
            </w:r>
            <w:proofErr w:type="spellEnd"/>
            <w:r w:rsidRPr="00641BDE">
              <w:t xml:space="preserve"> w przypadku mniejszych agencji, aby zapewnić bezstronne rozpatrywanie wniosków na podstawie art. 90 regulaminu pracowniczego, zgłoszeń dotyczących molestowania, konfliktów interesów i ujawniania nieprawidłowości; wzywa agencje do zapewnienia </w:t>
            </w:r>
            <w:r w:rsidRPr="00641BDE">
              <w:rPr>
                <w:b/>
                <w:i/>
              </w:rPr>
              <w:t>sygnalistom silnej, niezależnej i skutecznej ochrony, w tym</w:t>
            </w:r>
            <w:r w:rsidRPr="00641BDE">
              <w:t xml:space="preserve"> ochrony przed </w:t>
            </w:r>
            <w:r w:rsidRPr="00641BDE">
              <w:rPr>
                <w:b/>
                <w:i/>
              </w:rPr>
              <w:t>wszelkimi formami działań odwetowych</w:t>
            </w:r>
            <w:r w:rsidRPr="00641BDE">
              <w:t>;</w:t>
            </w:r>
          </w:p>
        </w:tc>
      </w:tr>
    </w:tbl>
    <w:p w14:paraId="3E0A9A86"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7D6E4B7" w14:textId="77777777" w:rsidR="001D5F6D" w:rsidRPr="00641BDE" w:rsidRDefault="001D5F6D" w:rsidP="001D5F6D">
      <w:r w:rsidRPr="00641BDE">
        <w:rPr>
          <w:rStyle w:val="HideTWBExt"/>
        </w:rPr>
        <w:t>&lt;/Amend&gt;</w:t>
      </w:r>
    </w:p>
    <w:p w14:paraId="691F09E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46</w:t>
      </w:r>
      <w:r w:rsidRPr="00641BDE">
        <w:rPr>
          <w:rStyle w:val="HideTWBExt"/>
          <w:b w:val="0"/>
        </w:rPr>
        <w:t>&lt;/NumAm&gt;</w:t>
      </w:r>
    </w:p>
    <w:p w14:paraId="66CB5428"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216864B1" w14:textId="77777777" w:rsidR="001D5F6D" w:rsidRPr="00641BDE" w:rsidRDefault="001D5F6D" w:rsidP="001D5F6D">
      <w:pPr>
        <w:pStyle w:val="NormalBold"/>
      </w:pPr>
      <w:r w:rsidRPr="00641BDE">
        <w:rPr>
          <w:rStyle w:val="HideTWBExt"/>
          <w:b w:val="0"/>
        </w:rPr>
        <w:t>&lt;/RepeatBlock-By&gt;</w:t>
      </w:r>
    </w:p>
    <w:p w14:paraId="3CEB8BD4"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3602054" w14:textId="77777777" w:rsidR="001D5F6D" w:rsidRPr="00641BDE" w:rsidRDefault="001D5F6D" w:rsidP="001D5F6D">
      <w:pPr>
        <w:pStyle w:val="NormalBold"/>
      </w:pPr>
      <w:r w:rsidRPr="00641BDE">
        <w:rPr>
          <w:rStyle w:val="HideTWBExt"/>
          <w:b w:val="0"/>
        </w:rPr>
        <w:t>&lt;Article&gt;</w:t>
      </w:r>
      <w:r w:rsidRPr="00641BDE">
        <w:t>Ustęp 12</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6CF5336" w14:textId="77777777" w:rsidTr="007C1C97">
        <w:trPr>
          <w:trHeight w:hRule="exact" w:val="240"/>
          <w:jc w:val="center"/>
        </w:trPr>
        <w:tc>
          <w:tcPr>
            <w:tcW w:w="9752" w:type="dxa"/>
            <w:gridSpan w:val="2"/>
            <w:tcBorders>
              <w:top w:val="nil"/>
              <w:left w:val="nil"/>
              <w:bottom w:val="nil"/>
              <w:right w:val="nil"/>
            </w:tcBorders>
          </w:tcPr>
          <w:p w14:paraId="09C507F7" w14:textId="77777777" w:rsidR="001D5F6D" w:rsidRPr="00641BDE" w:rsidRDefault="001D5F6D" w:rsidP="007C1C97"/>
        </w:tc>
      </w:tr>
      <w:tr w:rsidR="001D5F6D" w:rsidRPr="00641BDE" w14:paraId="3E4D0CAA" w14:textId="77777777" w:rsidTr="007C1C97">
        <w:trPr>
          <w:trHeight w:val="240"/>
          <w:jc w:val="center"/>
        </w:trPr>
        <w:tc>
          <w:tcPr>
            <w:tcW w:w="4876" w:type="dxa"/>
            <w:tcBorders>
              <w:top w:val="nil"/>
              <w:left w:val="nil"/>
              <w:bottom w:val="nil"/>
              <w:right w:val="nil"/>
            </w:tcBorders>
          </w:tcPr>
          <w:p w14:paraId="3AB83F92"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96B8EAB" w14:textId="77777777" w:rsidR="001D5F6D" w:rsidRPr="00641BDE" w:rsidRDefault="001D5F6D" w:rsidP="007C1C97">
            <w:pPr>
              <w:pStyle w:val="AmColumnHeading"/>
            </w:pPr>
            <w:r w:rsidRPr="00641BDE">
              <w:t>Poprawka</w:t>
            </w:r>
          </w:p>
        </w:tc>
      </w:tr>
      <w:tr w:rsidR="001D5F6D" w:rsidRPr="00641BDE" w14:paraId="60CAF27B" w14:textId="77777777" w:rsidTr="007C1C97">
        <w:trPr>
          <w:jc w:val="center"/>
        </w:trPr>
        <w:tc>
          <w:tcPr>
            <w:tcW w:w="4876" w:type="dxa"/>
            <w:tcBorders>
              <w:top w:val="nil"/>
              <w:left w:val="nil"/>
              <w:bottom w:val="nil"/>
              <w:right w:val="nil"/>
            </w:tcBorders>
          </w:tcPr>
          <w:p w14:paraId="2CEBA7BB" w14:textId="77777777" w:rsidR="001D5F6D" w:rsidRPr="00641BDE" w:rsidRDefault="001D5F6D" w:rsidP="007C1C97">
            <w:pPr>
              <w:pStyle w:val="Normal6a"/>
            </w:pPr>
            <w:r w:rsidRPr="00641BDE">
              <w:t>12.</w:t>
            </w:r>
            <w:r w:rsidRPr="00641BDE">
              <w:tab/>
              <w:t xml:space="preserve">odnotowuje istotną rolę sieci agencji UE (EUAN), a w szczególności jej komitetu doradczego ds. ICT (ICTAC), we wspieraniu gotowości agencji do wdrożenia rozporządzenia w sprawie </w:t>
            </w:r>
            <w:proofErr w:type="spellStart"/>
            <w:r w:rsidRPr="00641BDE">
              <w:t>cyberbezpieczeństwa</w:t>
            </w:r>
            <w:proofErr w:type="spellEnd"/>
            <w:r w:rsidRPr="00641BDE">
              <w:t xml:space="preserve"> przez pogłębioną koordynację, wymianę wiedzy oraz współpracę z DG DIGIT, CERT-EU oraz międzyinstytucjonalnym komitetem ds. transformacji cyfrowej; wzywa EUAN i ICTAC do dostarczania kompleksowych i regularnych informacji na temat stanu wdrażania we wszystkich zdecentralizowanych agencjach, w tym wspólnych wyzwań, zidentyfikowanych zagrożeń, potrzeb w zakresie zasobów i planowanych środków łagodzących, aby umożliwić skuteczny nadzór;</w:t>
            </w:r>
          </w:p>
        </w:tc>
        <w:tc>
          <w:tcPr>
            <w:tcW w:w="4876" w:type="dxa"/>
            <w:tcBorders>
              <w:top w:val="nil"/>
              <w:left w:val="nil"/>
              <w:bottom w:val="nil"/>
              <w:right w:val="nil"/>
            </w:tcBorders>
          </w:tcPr>
          <w:p w14:paraId="678E7FD5" w14:textId="77777777" w:rsidR="001D5F6D" w:rsidRPr="00641BDE" w:rsidRDefault="001D5F6D" w:rsidP="007C1C97">
            <w:pPr>
              <w:pStyle w:val="Normal6a"/>
            </w:pPr>
            <w:r w:rsidRPr="00641BDE">
              <w:t>12.</w:t>
            </w:r>
            <w:r w:rsidRPr="00641BDE">
              <w:tab/>
              <w:t xml:space="preserve">odnotowuje istotną rolę sieci agencji UE (EUAN), a w szczególności jej komitetu doradczego ds. ICT (ICTAC), we wspieraniu gotowości agencji do wdrożenia rozporządzenia w sprawie </w:t>
            </w:r>
            <w:proofErr w:type="spellStart"/>
            <w:r w:rsidRPr="00641BDE">
              <w:t>cyberbezpieczeństwa</w:t>
            </w:r>
            <w:proofErr w:type="spellEnd"/>
            <w:r w:rsidRPr="00641BDE">
              <w:t xml:space="preserve"> przez pogłębioną koordynację, wymianę wiedzy oraz współpracę z DG DIGIT, CERT-EU oraz międzyinstytucjonalnym komitetem ds. transformacji cyfrowej; wzywa EUAN i ICTAC do dostarczania kompleksowych i regularnych informacji na temat stanu wdrażania we wszystkich zdecentralizowanych agencjach, w tym wspólnych wyzwań, zidentyfikowanych zagrożeń, potrzeb w zakresie zasobów i planowanych środków łagodzących, aby umożliwić skuteczny nadzór; </w:t>
            </w:r>
            <w:r w:rsidRPr="00641BDE">
              <w:rPr>
                <w:b/>
                <w:i/>
              </w:rPr>
              <w:t xml:space="preserve">podkreśla, że potrzebne są solidne i wzmocnione środki </w:t>
            </w:r>
            <w:proofErr w:type="spellStart"/>
            <w:r w:rsidRPr="00641BDE">
              <w:rPr>
                <w:b/>
                <w:i/>
              </w:rPr>
              <w:t>cyberbezpieczeństwa</w:t>
            </w:r>
            <w:proofErr w:type="spellEnd"/>
            <w:r w:rsidRPr="00641BDE">
              <w:rPr>
                <w:b/>
                <w:i/>
              </w:rPr>
              <w:t xml:space="preserve"> mające zapewnić odporność na zmieniające się zagrożenia;</w:t>
            </w:r>
          </w:p>
        </w:tc>
      </w:tr>
    </w:tbl>
    <w:p w14:paraId="64C54C4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000CE3DE" w14:textId="77777777" w:rsidR="001D5F6D" w:rsidRPr="00641BDE" w:rsidRDefault="001D5F6D" w:rsidP="001D5F6D">
      <w:r w:rsidRPr="00641BDE">
        <w:rPr>
          <w:rStyle w:val="HideTWBExt"/>
        </w:rPr>
        <w:t>&lt;/Amend&gt;</w:t>
      </w:r>
    </w:p>
    <w:p w14:paraId="5BA38E9A"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47</w:t>
      </w:r>
      <w:r w:rsidRPr="00641BDE">
        <w:rPr>
          <w:rStyle w:val="HideTWBExt"/>
          <w:b w:val="0"/>
        </w:rPr>
        <w:t>&lt;/NumAm&gt;</w:t>
      </w:r>
    </w:p>
    <w:p w14:paraId="2CA280CA"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71338CDD" w14:textId="77777777" w:rsidR="001D5F6D" w:rsidRPr="00641BDE" w:rsidRDefault="001D5F6D" w:rsidP="001D5F6D">
      <w:pPr>
        <w:pStyle w:val="NormalBold"/>
      </w:pPr>
      <w:r w:rsidRPr="00641BDE">
        <w:rPr>
          <w:rStyle w:val="HideTWBExt"/>
          <w:b w:val="0"/>
        </w:rPr>
        <w:t>&lt;/RepeatBlock-By&gt;</w:t>
      </w:r>
    </w:p>
    <w:p w14:paraId="61AFDF10"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30D4E7E" w14:textId="77777777" w:rsidR="001D5F6D" w:rsidRPr="00641BDE" w:rsidRDefault="001D5F6D" w:rsidP="001D5F6D">
      <w:pPr>
        <w:pStyle w:val="NormalBold"/>
      </w:pPr>
      <w:r w:rsidRPr="00641BDE">
        <w:rPr>
          <w:rStyle w:val="HideTWBExt"/>
          <w:b w:val="0"/>
        </w:rPr>
        <w:t>&lt;Article&gt;</w:t>
      </w:r>
      <w:r w:rsidRPr="00641BDE">
        <w:t>Ustęp 12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28187B8" w14:textId="77777777" w:rsidTr="007C1C97">
        <w:trPr>
          <w:trHeight w:hRule="exact" w:val="240"/>
          <w:jc w:val="center"/>
        </w:trPr>
        <w:tc>
          <w:tcPr>
            <w:tcW w:w="9752" w:type="dxa"/>
            <w:gridSpan w:val="2"/>
            <w:tcBorders>
              <w:top w:val="nil"/>
              <w:left w:val="nil"/>
              <w:bottom w:val="nil"/>
              <w:right w:val="nil"/>
            </w:tcBorders>
          </w:tcPr>
          <w:p w14:paraId="2088FDE9" w14:textId="77777777" w:rsidR="001D5F6D" w:rsidRPr="00641BDE" w:rsidRDefault="001D5F6D" w:rsidP="007C1C97"/>
        </w:tc>
      </w:tr>
      <w:tr w:rsidR="001D5F6D" w:rsidRPr="00641BDE" w14:paraId="413498E7" w14:textId="77777777" w:rsidTr="007C1C97">
        <w:trPr>
          <w:trHeight w:val="240"/>
          <w:jc w:val="center"/>
        </w:trPr>
        <w:tc>
          <w:tcPr>
            <w:tcW w:w="4876" w:type="dxa"/>
            <w:tcBorders>
              <w:top w:val="nil"/>
              <w:left w:val="nil"/>
              <w:bottom w:val="nil"/>
              <w:right w:val="nil"/>
            </w:tcBorders>
          </w:tcPr>
          <w:p w14:paraId="7E4080E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B9DD658" w14:textId="77777777" w:rsidR="001D5F6D" w:rsidRPr="00641BDE" w:rsidRDefault="001D5F6D" w:rsidP="007C1C97">
            <w:pPr>
              <w:pStyle w:val="AmColumnHeading"/>
            </w:pPr>
            <w:r w:rsidRPr="00641BDE">
              <w:t>Poprawka</w:t>
            </w:r>
          </w:p>
        </w:tc>
      </w:tr>
      <w:tr w:rsidR="001D5F6D" w:rsidRPr="00641BDE" w14:paraId="2B4FBBB7" w14:textId="77777777" w:rsidTr="007C1C97">
        <w:trPr>
          <w:jc w:val="center"/>
        </w:trPr>
        <w:tc>
          <w:tcPr>
            <w:tcW w:w="4876" w:type="dxa"/>
            <w:tcBorders>
              <w:top w:val="nil"/>
              <w:left w:val="nil"/>
              <w:bottom w:val="nil"/>
              <w:right w:val="nil"/>
            </w:tcBorders>
          </w:tcPr>
          <w:p w14:paraId="19DAB2D5" w14:textId="77777777" w:rsidR="001D5F6D" w:rsidRPr="00641BDE" w:rsidRDefault="001D5F6D" w:rsidP="007C1C97">
            <w:pPr>
              <w:pStyle w:val="Normal6a"/>
            </w:pPr>
          </w:p>
        </w:tc>
        <w:tc>
          <w:tcPr>
            <w:tcW w:w="4876" w:type="dxa"/>
            <w:tcBorders>
              <w:top w:val="nil"/>
              <w:left w:val="nil"/>
              <w:bottom w:val="nil"/>
              <w:right w:val="nil"/>
            </w:tcBorders>
          </w:tcPr>
          <w:p w14:paraId="760B51D8" w14:textId="77777777" w:rsidR="001D5F6D" w:rsidRPr="00641BDE" w:rsidRDefault="001D5F6D" w:rsidP="007C1C97">
            <w:pPr>
              <w:pStyle w:val="Normal6a"/>
            </w:pPr>
            <w:r w:rsidRPr="00641BDE">
              <w:rPr>
                <w:b/>
                <w:i/>
              </w:rPr>
              <w:t>12a.</w:t>
            </w:r>
            <w:r w:rsidRPr="00641BDE">
              <w:tab/>
            </w:r>
            <w:r w:rsidRPr="00641BDE">
              <w:rPr>
                <w:b/>
                <w:i/>
              </w:rPr>
              <w:t xml:space="preserve">podkreśla coraz częstsze korzystanie z narzędzi sztucznej inteligencji, możliwości, jakie one stwarzają, ale także związane z nimi ryzyko finansowe i operacyjne; wzywa agencje do ustanowienia ustrukturyzowanych ocen ryzyka w odniesieniu do procesów wspieranych przez AI, w szczególności w przypadku gdy ma to wpływ na zarządzanie finansami, zamówienia publiczne lub funkcje decyzyjne; zachęca agencje do zapewnienia przejrzystości w stosowaniu narzędzi AI, w tym do dokumentowania logiki decyzyjnej, mechanizmów nadzoru sprawowanego przez człowieka oraz możliwości kontroli zautomatyzowanych procesów; podkreśla, że trzeba zapewnić pełne dostosowanie wykorzystania AI do unijnych obowiązków w zakresie ochrony danych i </w:t>
            </w:r>
            <w:proofErr w:type="spellStart"/>
            <w:r w:rsidRPr="00641BDE">
              <w:rPr>
                <w:b/>
                <w:i/>
              </w:rPr>
              <w:t>cyberbezpieczeństwa</w:t>
            </w:r>
            <w:proofErr w:type="spellEnd"/>
            <w:r w:rsidRPr="00641BDE">
              <w:rPr>
                <w:b/>
                <w:i/>
              </w:rPr>
              <w:t>;</w:t>
            </w:r>
          </w:p>
        </w:tc>
      </w:tr>
    </w:tbl>
    <w:p w14:paraId="2CE112D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19D17F3" w14:textId="77777777" w:rsidR="001D5F6D" w:rsidRPr="00641BDE" w:rsidRDefault="001D5F6D" w:rsidP="001D5F6D">
      <w:r w:rsidRPr="00641BDE">
        <w:rPr>
          <w:rStyle w:val="HideTWBExt"/>
        </w:rPr>
        <w:t>&lt;/Amend&gt;</w:t>
      </w:r>
    </w:p>
    <w:p w14:paraId="58893671"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48</w:t>
      </w:r>
      <w:r w:rsidRPr="00641BDE">
        <w:rPr>
          <w:rStyle w:val="HideTWBExt"/>
          <w:b w:val="0"/>
        </w:rPr>
        <w:t>&lt;/NumAm&gt;</w:t>
      </w:r>
    </w:p>
    <w:p w14:paraId="22FA6518"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7B050D9A" w14:textId="77777777" w:rsidR="001D5F6D" w:rsidRPr="00641BDE" w:rsidRDefault="001D5F6D" w:rsidP="001D5F6D">
      <w:pPr>
        <w:pStyle w:val="NormalBold"/>
      </w:pPr>
      <w:r w:rsidRPr="00641BDE">
        <w:rPr>
          <w:rStyle w:val="HideTWBExt"/>
          <w:b w:val="0"/>
        </w:rPr>
        <w:t>&lt;/RepeatBlock-By&gt;</w:t>
      </w:r>
    </w:p>
    <w:p w14:paraId="0BE7BC84"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437D943" w14:textId="77777777" w:rsidR="001D5F6D" w:rsidRPr="00641BDE" w:rsidRDefault="001D5F6D" w:rsidP="001D5F6D">
      <w:pPr>
        <w:pStyle w:val="NormalBold"/>
      </w:pPr>
      <w:r w:rsidRPr="00641BDE">
        <w:rPr>
          <w:rStyle w:val="HideTWBExt"/>
          <w:b w:val="0"/>
        </w:rPr>
        <w:t>&lt;Article&gt;</w:t>
      </w:r>
      <w:r w:rsidRPr="00641BDE">
        <w:t>Ustęp 13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A64CA39" w14:textId="77777777" w:rsidTr="007C1C97">
        <w:trPr>
          <w:trHeight w:hRule="exact" w:val="240"/>
          <w:jc w:val="center"/>
        </w:trPr>
        <w:tc>
          <w:tcPr>
            <w:tcW w:w="9752" w:type="dxa"/>
            <w:gridSpan w:val="2"/>
            <w:tcBorders>
              <w:top w:val="nil"/>
              <w:left w:val="nil"/>
              <w:bottom w:val="nil"/>
              <w:right w:val="nil"/>
            </w:tcBorders>
          </w:tcPr>
          <w:p w14:paraId="7D96B9DA" w14:textId="77777777" w:rsidR="001D5F6D" w:rsidRPr="00641BDE" w:rsidRDefault="001D5F6D" w:rsidP="007C1C97"/>
        </w:tc>
      </w:tr>
      <w:tr w:rsidR="001D5F6D" w:rsidRPr="00641BDE" w14:paraId="0390FB78" w14:textId="77777777" w:rsidTr="007C1C97">
        <w:trPr>
          <w:trHeight w:val="240"/>
          <w:jc w:val="center"/>
        </w:trPr>
        <w:tc>
          <w:tcPr>
            <w:tcW w:w="4876" w:type="dxa"/>
            <w:tcBorders>
              <w:top w:val="nil"/>
              <w:left w:val="nil"/>
              <w:bottom w:val="nil"/>
              <w:right w:val="nil"/>
            </w:tcBorders>
          </w:tcPr>
          <w:p w14:paraId="27AEA11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1667B31" w14:textId="77777777" w:rsidR="001D5F6D" w:rsidRPr="00641BDE" w:rsidRDefault="001D5F6D" w:rsidP="007C1C97">
            <w:pPr>
              <w:pStyle w:val="AmColumnHeading"/>
            </w:pPr>
            <w:r w:rsidRPr="00641BDE">
              <w:t>Poprawka</w:t>
            </w:r>
          </w:p>
        </w:tc>
      </w:tr>
      <w:tr w:rsidR="001D5F6D" w:rsidRPr="00641BDE" w14:paraId="79AC5148" w14:textId="77777777" w:rsidTr="007C1C97">
        <w:trPr>
          <w:jc w:val="center"/>
        </w:trPr>
        <w:tc>
          <w:tcPr>
            <w:tcW w:w="4876" w:type="dxa"/>
            <w:tcBorders>
              <w:top w:val="nil"/>
              <w:left w:val="nil"/>
              <w:bottom w:val="nil"/>
              <w:right w:val="nil"/>
            </w:tcBorders>
          </w:tcPr>
          <w:p w14:paraId="6C0BD706" w14:textId="77777777" w:rsidR="001D5F6D" w:rsidRPr="00641BDE" w:rsidRDefault="001D5F6D" w:rsidP="007C1C97">
            <w:pPr>
              <w:pStyle w:val="Normal6a"/>
            </w:pPr>
            <w:r w:rsidRPr="00641BDE">
              <w:t>13.</w:t>
            </w:r>
            <w:r w:rsidRPr="00641BDE">
              <w:tab/>
              <w:t xml:space="preserve">podkreśla znaczenie opracowania jasnych, solidnych i znaczących kluczowych wskaźników efektywności w rocznych sprawozdaniach z działalności agencji Unii, ponieważ sprawozdania te stanowią podstawowe źródło informacji dla użytkowników zewnętrznych; zauważa, że </w:t>
            </w:r>
            <w:r w:rsidRPr="00641BDE">
              <w:rPr>
                <w:b/>
                <w:i/>
              </w:rPr>
              <w:t>niektóre systemy</w:t>
            </w:r>
            <w:r w:rsidRPr="00641BDE">
              <w:t xml:space="preserve"> kluczowych wskaźników efektywności </w:t>
            </w:r>
            <w:r w:rsidRPr="00641BDE">
              <w:rPr>
                <w:b/>
                <w:bCs/>
                <w:i/>
                <w:iCs/>
              </w:rPr>
              <w:t>często charakteryzują się brakiem ciągłości, standaryzacji, dogłębności operacyjnej, udokumentowanej metodologii wyboru, aktualizacji i wycofywania KPI, przejrzystości, porównywalności i wieloletniego monitorowania, co ogranicza porównywalność i zdolność użytkowników zewnętrznych do obiektywnej oceny</w:t>
            </w:r>
            <w:r w:rsidRPr="00641BDE">
              <w:t xml:space="preserve"> wyników; podkreśla, że kluczowe wskaźniki efektywności powinny być uproszczone i </w:t>
            </w:r>
            <w:r w:rsidRPr="00641BDE">
              <w:rPr>
                <w:b/>
                <w:i/>
              </w:rPr>
              <w:t>dobrze zaprojektowane,</w:t>
            </w:r>
            <w:r w:rsidRPr="00641BDE">
              <w:t xml:space="preserve"> oparte na zasadach SMART i stosowane konsekwentnie w kolejnych cyklach sprawozdawczych, co ma zasadnicze znaczenie dla oceny efektywności, skuteczności i postępów w realizacji celów strategicznych;</w:t>
            </w:r>
          </w:p>
        </w:tc>
        <w:tc>
          <w:tcPr>
            <w:tcW w:w="4876" w:type="dxa"/>
            <w:tcBorders>
              <w:top w:val="nil"/>
              <w:left w:val="nil"/>
              <w:bottom w:val="nil"/>
              <w:right w:val="nil"/>
            </w:tcBorders>
          </w:tcPr>
          <w:p w14:paraId="1D44F65F" w14:textId="77777777" w:rsidR="001D5F6D" w:rsidRPr="00641BDE" w:rsidRDefault="001D5F6D" w:rsidP="007C1C97">
            <w:pPr>
              <w:pStyle w:val="Normal6a"/>
            </w:pPr>
            <w:r w:rsidRPr="00641BDE">
              <w:t>13.</w:t>
            </w:r>
            <w:r w:rsidRPr="00641BDE">
              <w:tab/>
              <w:t xml:space="preserve">podkreśla znaczenie opracowania jasnych, solidnych i znaczących kluczowych wskaźników efektywności w rocznych sprawozdaniach z działalności agencji Unii, ponieważ sprawozdania te stanowią podstawowe źródło informacji dla użytkowników zewnętrznych; zauważa, że </w:t>
            </w:r>
            <w:r w:rsidRPr="00641BDE">
              <w:rPr>
                <w:b/>
                <w:i/>
              </w:rPr>
              <w:t>głównym celem solidnego systemu</w:t>
            </w:r>
            <w:r w:rsidRPr="00641BDE">
              <w:t xml:space="preserve"> kluczowych wskaźników efektywności </w:t>
            </w:r>
            <w:r w:rsidRPr="00641BDE">
              <w:rPr>
                <w:b/>
                <w:bCs/>
                <w:i/>
                <w:iCs/>
              </w:rPr>
              <w:t>jest obiektywna ocena</w:t>
            </w:r>
            <w:r w:rsidRPr="00641BDE">
              <w:t xml:space="preserve"> wyników; podkreśla, że kluczowe wskaźniki efektywności powinny być uproszczone i oparte na zasadach SMART i stosowane konsekwentnie w kolejnych cyklach sprawozdawczych, co ma zasadnicze znaczenie dla oceny efektywności, skuteczności i postępów w realizacji celów strategicznych;</w:t>
            </w:r>
          </w:p>
        </w:tc>
      </w:tr>
    </w:tbl>
    <w:p w14:paraId="62B72EE4"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88EC4DC" w14:textId="77777777" w:rsidR="001D5F6D" w:rsidRPr="00641BDE" w:rsidRDefault="001D5F6D" w:rsidP="001D5F6D">
      <w:r w:rsidRPr="00641BDE">
        <w:rPr>
          <w:rStyle w:val="HideTWBExt"/>
        </w:rPr>
        <w:t>&lt;/Amend&gt;</w:t>
      </w:r>
    </w:p>
    <w:p w14:paraId="716F183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49</w:t>
      </w:r>
      <w:r w:rsidRPr="00641BDE">
        <w:rPr>
          <w:rStyle w:val="HideTWBExt"/>
          <w:b w:val="0"/>
        </w:rPr>
        <w:t>&lt;/NumAm&gt;</w:t>
      </w:r>
    </w:p>
    <w:p w14:paraId="4E00614D"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7FA19BB7" w14:textId="77777777" w:rsidR="001D5F6D" w:rsidRPr="00641BDE" w:rsidRDefault="001D5F6D" w:rsidP="001D5F6D">
      <w:pPr>
        <w:pStyle w:val="NormalBold"/>
      </w:pPr>
      <w:r w:rsidRPr="00641BDE">
        <w:rPr>
          <w:rStyle w:val="HideTWBExt"/>
          <w:b w:val="0"/>
        </w:rPr>
        <w:t>&lt;/RepeatBlock-By&gt;</w:t>
      </w:r>
    </w:p>
    <w:p w14:paraId="75DFA607"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FF13FC6" w14:textId="77777777" w:rsidR="001D5F6D" w:rsidRPr="00641BDE" w:rsidRDefault="001D5F6D" w:rsidP="001D5F6D">
      <w:pPr>
        <w:pStyle w:val="NormalBold"/>
      </w:pPr>
      <w:r w:rsidRPr="00641BDE">
        <w:rPr>
          <w:rStyle w:val="HideTWBExt"/>
          <w:b w:val="0"/>
        </w:rPr>
        <w:t>&lt;Article&gt;</w:t>
      </w:r>
      <w:r w:rsidRPr="00641BDE">
        <w:t>Ustęp 13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6D2C711" w14:textId="77777777" w:rsidTr="007C1C97">
        <w:trPr>
          <w:trHeight w:hRule="exact" w:val="240"/>
          <w:jc w:val="center"/>
        </w:trPr>
        <w:tc>
          <w:tcPr>
            <w:tcW w:w="9752" w:type="dxa"/>
            <w:gridSpan w:val="2"/>
            <w:tcBorders>
              <w:top w:val="nil"/>
              <w:left w:val="nil"/>
              <w:bottom w:val="nil"/>
              <w:right w:val="nil"/>
            </w:tcBorders>
          </w:tcPr>
          <w:p w14:paraId="052851B2" w14:textId="77777777" w:rsidR="001D5F6D" w:rsidRPr="00641BDE" w:rsidRDefault="001D5F6D" w:rsidP="007C1C97"/>
        </w:tc>
      </w:tr>
      <w:tr w:rsidR="001D5F6D" w:rsidRPr="00641BDE" w14:paraId="1218DCC1" w14:textId="77777777" w:rsidTr="007C1C97">
        <w:trPr>
          <w:trHeight w:val="240"/>
          <w:jc w:val="center"/>
        </w:trPr>
        <w:tc>
          <w:tcPr>
            <w:tcW w:w="4876" w:type="dxa"/>
            <w:tcBorders>
              <w:top w:val="nil"/>
              <w:left w:val="nil"/>
              <w:bottom w:val="nil"/>
              <w:right w:val="nil"/>
            </w:tcBorders>
          </w:tcPr>
          <w:p w14:paraId="0F2BDA3B"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05FB113" w14:textId="77777777" w:rsidR="001D5F6D" w:rsidRPr="00641BDE" w:rsidRDefault="001D5F6D" w:rsidP="007C1C97">
            <w:pPr>
              <w:pStyle w:val="AmColumnHeading"/>
            </w:pPr>
            <w:r w:rsidRPr="00641BDE">
              <w:t>Poprawka</w:t>
            </w:r>
          </w:p>
        </w:tc>
      </w:tr>
      <w:tr w:rsidR="001D5F6D" w:rsidRPr="00641BDE" w14:paraId="65DA5B9E" w14:textId="77777777" w:rsidTr="007C1C97">
        <w:trPr>
          <w:jc w:val="center"/>
        </w:trPr>
        <w:tc>
          <w:tcPr>
            <w:tcW w:w="4876" w:type="dxa"/>
            <w:tcBorders>
              <w:top w:val="nil"/>
              <w:left w:val="nil"/>
              <w:bottom w:val="nil"/>
              <w:right w:val="nil"/>
            </w:tcBorders>
          </w:tcPr>
          <w:p w14:paraId="5ED98A17" w14:textId="77777777" w:rsidR="001D5F6D" w:rsidRPr="00641BDE" w:rsidRDefault="001D5F6D" w:rsidP="007C1C97">
            <w:pPr>
              <w:pStyle w:val="Normal6a"/>
            </w:pPr>
            <w:r w:rsidRPr="00641BDE">
              <w:t>13.</w:t>
            </w:r>
            <w:r w:rsidRPr="00641BDE">
              <w:tab/>
              <w:t>podkreśla znaczenie opracowania jasnych, solidnych i znaczących kluczowych wskaźników efektywności w rocznych sprawozdaniach z działalności agencji Unii, ponieważ sprawozdania te stanowią podstawowe źródło informacji dla użytkowników zewnętrznych; zauważa, że niektóre systemy kluczowych wskaźników efektywności często charakteryzują się brakiem ciągłości, standaryzacji, dogłębności operacyjnej, udokumentowanej metodologii wyboru, aktualizacji i wycofywania KPI, przejrzystości, porównywalności i wieloletniego monitorowania, co ogranicza porównywalność i zdolność użytkowników zewnętrznych do obiektywnej oceny wyników; podkreśla, że kluczowe wskaźniki efektywności powinny być uproszczone i dobrze zaprojektowane, oparte na zasadach SMART i stosowane konsekwentnie w kolejnych cyklach sprawozdawczych, co ma zasadnicze znaczenie dla oceny efektywności, skuteczności i postępów w realizacji celów strategicznych;</w:t>
            </w:r>
          </w:p>
        </w:tc>
        <w:tc>
          <w:tcPr>
            <w:tcW w:w="4876" w:type="dxa"/>
            <w:tcBorders>
              <w:top w:val="nil"/>
              <w:left w:val="nil"/>
              <w:bottom w:val="nil"/>
              <w:right w:val="nil"/>
            </w:tcBorders>
          </w:tcPr>
          <w:p w14:paraId="5A93741D" w14:textId="77777777" w:rsidR="001D5F6D" w:rsidRPr="00641BDE" w:rsidRDefault="001D5F6D" w:rsidP="007C1C97">
            <w:pPr>
              <w:pStyle w:val="Normal6a"/>
            </w:pPr>
            <w:r w:rsidRPr="00641BDE">
              <w:t>13.</w:t>
            </w:r>
            <w:r w:rsidRPr="00641BDE">
              <w:tab/>
              <w:t xml:space="preserve">podkreśla znaczenie opracowania jasnych, solidnych i znaczących kluczowych wskaźników efektywności w rocznych sprawozdaniach z działalności agencji Unii, ponieważ sprawozdania te stanowią podstawowe źródło informacji dla użytkowników zewnętrznych; zauważa, że niektóre systemy kluczowych wskaźników efektywności często charakteryzują się brakiem ciągłości, standaryzacji, dogłębności operacyjnej, udokumentowanej metodologii wyboru, aktualizacji i wycofywania KPI, przejrzystości, porównywalności i wieloletniego monitorowania, co ogranicza porównywalność i zdolność użytkowników zewnętrznych do obiektywnej oceny wyników; podkreśla, że kluczowe wskaźniki efektywności powinny być uproszczone i dobrze zaprojektowane, oparte na zasadach SMART i stosowane konsekwentnie w kolejnych cyklach sprawozdawczych, co ma zasadnicze znaczenie dla oceny efektywności, skuteczności i postępów w realizacji celów strategicznych; </w:t>
            </w:r>
            <w:r w:rsidRPr="00641BDE">
              <w:rPr>
                <w:b/>
                <w:i/>
              </w:rPr>
              <w:t>podkreśla, że przejście od sprawozdawczości opartej na nakładach/działaniach do sprawozdawczości zorientowanej na rezultaty i skutki powinno zmniejszyć obciążenia administracyjne zarówno dla audytorów, jak i agencji poprzez skupienie się na istotności i proporcjonalności; podkreśla, że wskaźniki wykonania muszą wyraźnie wynikać z celów mandatu określonego w aktach założycielskich poszczególnych agencji i odzwierciedlać wyniki, efekty, a przede wszystkim oddziaływanie; wzywa agencje, by włączyły do swoich ram wykonania analizę kosztów i korzyści oraz przejrzyste budżetowanie;</w:t>
            </w:r>
          </w:p>
        </w:tc>
      </w:tr>
    </w:tbl>
    <w:p w14:paraId="04F9A97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8E83298" w14:textId="77777777" w:rsidR="001D5F6D" w:rsidRPr="00641BDE" w:rsidRDefault="001D5F6D" w:rsidP="001D5F6D">
      <w:r w:rsidRPr="00641BDE">
        <w:rPr>
          <w:rStyle w:val="HideTWBExt"/>
        </w:rPr>
        <w:t>&lt;/Amend&gt;</w:t>
      </w:r>
    </w:p>
    <w:p w14:paraId="685EEE32"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50</w:t>
      </w:r>
      <w:r w:rsidRPr="00641BDE">
        <w:rPr>
          <w:rStyle w:val="HideTWBExt"/>
          <w:b w:val="0"/>
        </w:rPr>
        <w:t>&lt;/NumAm&gt;</w:t>
      </w:r>
    </w:p>
    <w:p w14:paraId="1CE4F006"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15D8D353" w14:textId="77777777" w:rsidR="001D5F6D" w:rsidRPr="00641BDE" w:rsidRDefault="001D5F6D" w:rsidP="001D5F6D">
      <w:pPr>
        <w:pStyle w:val="NormalBold"/>
      </w:pPr>
      <w:r w:rsidRPr="00641BDE">
        <w:rPr>
          <w:rStyle w:val="HideTWBExt"/>
          <w:b w:val="0"/>
        </w:rPr>
        <w:t>&lt;/RepeatBlock-By&gt;</w:t>
      </w:r>
    </w:p>
    <w:p w14:paraId="3A2FD305"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7BF45AD" w14:textId="77777777" w:rsidR="001D5F6D" w:rsidRPr="00641BDE" w:rsidRDefault="001D5F6D" w:rsidP="001D5F6D">
      <w:pPr>
        <w:pStyle w:val="NormalBold"/>
      </w:pPr>
      <w:r w:rsidRPr="00641BDE">
        <w:rPr>
          <w:rStyle w:val="HideTWBExt"/>
          <w:b w:val="0"/>
        </w:rPr>
        <w:t>&lt;Article&gt;</w:t>
      </w:r>
      <w:r w:rsidRPr="00641BDE">
        <w:t>Ustęp 13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F800F74" w14:textId="77777777" w:rsidTr="007C1C97">
        <w:trPr>
          <w:trHeight w:hRule="exact" w:val="240"/>
          <w:jc w:val="center"/>
        </w:trPr>
        <w:tc>
          <w:tcPr>
            <w:tcW w:w="9752" w:type="dxa"/>
            <w:gridSpan w:val="2"/>
            <w:tcBorders>
              <w:top w:val="nil"/>
              <w:left w:val="nil"/>
              <w:bottom w:val="nil"/>
              <w:right w:val="nil"/>
            </w:tcBorders>
          </w:tcPr>
          <w:p w14:paraId="5FE0D609" w14:textId="77777777" w:rsidR="001D5F6D" w:rsidRPr="00641BDE" w:rsidRDefault="001D5F6D" w:rsidP="007C1C97"/>
        </w:tc>
      </w:tr>
      <w:tr w:rsidR="001D5F6D" w:rsidRPr="00641BDE" w14:paraId="19D9B36C" w14:textId="77777777" w:rsidTr="007C1C97">
        <w:trPr>
          <w:trHeight w:val="240"/>
          <w:jc w:val="center"/>
        </w:trPr>
        <w:tc>
          <w:tcPr>
            <w:tcW w:w="4876" w:type="dxa"/>
            <w:tcBorders>
              <w:top w:val="nil"/>
              <w:left w:val="nil"/>
              <w:bottom w:val="nil"/>
              <w:right w:val="nil"/>
            </w:tcBorders>
          </w:tcPr>
          <w:p w14:paraId="7EDDBC7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B940D94" w14:textId="77777777" w:rsidR="001D5F6D" w:rsidRPr="00641BDE" w:rsidRDefault="001D5F6D" w:rsidP="007C1C97">
            <w:pPr>
              <w:pStyle w:val="AmColumnHeading"/>
            </w:pPr>
            <w:r w:rsidRPr="00641BDE">
              <w:t>Poprawka</w:t>
            </w:r>
          </w:p>
        </w:tc>
      </w:tr>
      <w:tr w:rsidR="001D5F6D" w:rsidRPr="00641BDE" w14:paraId="3530F2F1" w14:textId="77777777" w:rsidTr="007C1C97">
        <w:trPr>
          <w:jc w:val="center"/>
        </w:trPr>
        <w:tc>
          <w:tcPr>
            <w:tcW w:w="4876" w:type="dxa"/>
            <w:tcBorders>
              <w:top w:val="nil"/>
              <w:left w:val="nil"/>
              <w:bottom w:val="nil"/>
              <w:right w:val="nil"/>
            </w:tcBorders>
          </w:tcPr>
          <w:p w14:paraId="4FC4E2BE" w14:textId="77777777" w:rsidR="001D5F6D" w:rsidRPr="00641BDE" w:rsidRDefault="001D5F6D" w:rsidP="007C1C97">
            <w:pPr>
              <w:pStyle w:val="Normal6a"/>
            </w:pPr>
          </w:p>
        </w:tc>
        <w:tc>
          <w:tcPr>
            <w:tcW w:w="4876" w:type="dxa"/>
            <w:tcBorders>
              <w:top w:val="nil"/>
              <w:left w:val="nil"/>
              <w:bottom w:val="nil"/>
              <w:right w:val="nil"/>
            </w:tcBorders>
          </w:tcPr>
          <w:p w14:paraId="4F3B68D1" w14:textId="77777777" w:rsidR="001D5F6D" w:rsidRPr="00641BDE" w:rsidRDefault="001D5F6D" w:rsidP="007C1C97">
            <w:pPr>
              <w:pStyle w:val="Normal6a"/>
            </w:pPr>
            <w:r w:rsidRPr="00641BDE">
              <w:rPr>
                <w:b/>
                <w:i/>
              </w:rPr>
              <w:t>13a.</w:t>
            </w:r>
            <w:r w:rsidRPr="00641BDE">
              <w:tab/>
            </w:r>
            <w:r w:rsidRPr="00641BDE">
              <w:rPr>
                <w:b/>
                <w:i/>
              </w:rPr>
              <w:t>ogólnie stwierdza słabość kontroli wewnętrznych i procedur agencji, przy czym niektóre nieprawidłowości prowadzą do możliwych do uniknięcia wydatków; apeluje o pilne przeprowadzenie publicznego audytu zewnętrznego mającego na celu zaproponowanie agencjom wzmocnionych i skutecznych zharmonizowanych zasad kontroli wewnętrznej, aby zaradzić nieskuteczności mechanizmów kontroli wewnętrznej, zarządzania konfliktami interesów, udzielania zamówień publicznych, procesów kadrowych i innych obszarów wielokrotnie wskazywanych przez ETO, w celu ochrony interesów finansowych Unii;</w:t>
            </w:r>
          </w:p>
        </w:tc>
      </w:tr>
    </w:tbl>
    <w:p w14:paraId="31E4D94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337118F8" w14:textId="77777777" w:rsidR="001D5F6D" w:rsidRPr="00641BDE" w:rsidRDefault="001D5F6D" w:rsidP="001D5F6D">
      <w:r w:rsidRPr="00641BDE">
        <w:rPr>
          <w:rStyle w:val="HideTWBExt"/>
        </w:rPr>
        <w:t>&lt;/Amend&gt;</w:t>
      </w:r>
    </w:p>
    <w:p w14:paraId="1F91881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51</w:t>
      </w:r>
      <w:r w:rsidRPr="00641BDE">
        <w:rPr>
          <w:rStyle w:val="HideTWBExt"/>
          <w:b w:val="0"/>
        </w:rPr>
        <w:t>&lt;/NumAm&gt;</w:t>
      </w:r>
    </w:p>
    <w:p w14:paraId="2D1FA9A9"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32BC8C2A" w14:textId="77777777" w:rsidR="001D5F6D" w:rsidRPr="00641BDE" w:rsidRDefault="001D5F6D" w:rsidP="001D5F6D">
      <w:pPr>
        <w:pStyle w:val="NormalBold"/>
      </w:pPr>
      <w:r w:rsidRPr="00641BDE">
        <w:rPr>
          <w:rStyle w:val="HideTWBExt"/>
          <w:b w:val="0"/>
        </w:rPr>
        <w:t>&lt;/RepeatBlock-By&gt;</w:t>
      </w:r>
    </w:p>
    <w:p w14:paraId="065A03F3"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65628D7" w14:textId="77777777" w:rsidR="001D5F6D" w:rsidRPr="00641BDE" w:rsidRDefault="001D5F6D" w:rsidP="001D5F6D">
      <w:pPr>
        <w:pStyle w:val="NormalBold"/>
      </w:pPr>
      <w:r w:rsidRPr="00641BDE">
        <w:rPr>
          <w:rStyle w:val="HideTWBExt"/>
          <w:b w:val="0"/>
        </w:rPr>
        <w:t>&lt;Article&gt;</w:t>
      </w:r>
      <w:r w:rsidRPr="00641BDE">
        <w:t>Ustęp 14</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7B9B0CB" w14:textId="77777777" w:rsidTr="007C1C97">
        <w:trPr>
          <w:trHeight w:hRule="exact" w:val="240"/>
          <w:jc w:val="center"/>
        </w:trPr>
        <w:tc>
          <w:tcPr>
            <w:tcW w:w="9752" w:type="dxa"/>
            <w:gridSpan w:val="2"/>
            <w:tcBorders>
              <w:top w:val="nil"/>
              <w:left w:val="nil"/>
              <w:bottom w:val="nil"/>
              <w:right w:val="nil"/>
            </w:tcBorders>
          </w:tcPr>
          <w:p w14:paraId="72699658" w14:textId="77777777" w:rsidR="001D5F6D" w:rsidRPr="00641BDE" w:rsidRDefault="001D5F6D" w:rsidP="007C1C97"/>
        </w:tc>
      </w:tr>
      <w:tr w:rsidR="001D5F6D" w:rsidRPr="00641BDE" w14:paraId="0B1FCD57" w14:textId="77777777" w:rsidTr="007C1C97">
        <w:trPr>
          <w:trHeight w:val="240"/>
          <w:jc w:val="center"/>
        </w:trPr>
        <w:tc>
          <w:tcPr>
            <w:tcW w:w="4876" w:type="dxa"/>
            <w:tcBorders>
              <w:top w:val="nil"/>
              <w:left w:val="nil"/>
              <w:bottom w:val="nil"/>
              <w:right w:val="nil"/>
            </w:tcBorders>
          </w:tcPr>
          <w:p w14:paraId="09C03B4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EAF0356" w14:textId="77777777" w:rsidR="001D5F6D" w:rsidRPr="00641BDE" w:rsidRDefault="001D5F6D" w:rsidP="007C1C97">
            <w:pPr>
              <w:pStyle w:val="AmColumnHeading"/>
            </w:pPr>
            <w:r w:rsidRPr="00641BDE">
              <w:t>Poprawka</w:t>
            </w:r>
          </w:p>
        </w:tc>
      </w:tr>
      <w:tr w:rsidR="001D5F6D" w:rsidRPr="00641BDE" w14:paraId="0BF795C4" w14:textId="77777777" w:rsidTr="007C1C97">
        <w:trPr>
          <w:jc w:val="center"/>
        </w:trPr>
        <w:tc>
          <w:tcPr>
            <w:tcW w:w="4876" w:type="dxa"/>
            <w:tcBorders>
              <w:top w:val="nil"/>
              <w:left w:val="nil"/>
              <w:bottom w:val="nil"/>
              <w:right w:val="nil"/>
            </w:tcBorders>
          </w:tcPr>
          <w:p w14:paraId="5E1546F0" w14:textId="77777777" w:rsidR="001D5F6D" w:rsidRPr="00641BDE" w:rsidRDefault="001D5F6D" w:rsidP="007C1C97">
            <w:pPr>
              <w:pStyle w:val="Normal6a"/>
            </w:pPr>
            <w:r w:rsidRPr="00641BDE">
              <w:t>14.</w:t>
            </w:r>
            <w:r w:rsidRPr="00641BDE">
              <w:tab/>
              <w:t xml:space="preserve">dostrzega współpracę z partnerami zewnętrznymi, takimi jak Organizacja Współpracy Gospodarczej i Rozwoju oraz sieć planowania strategicznego Organizacji Narodów Zjednoczonych, w zakresie unowocześniania metodyk dotyczących kluczowych wskaźników efektywności; podkreśla, że niektóre agencje, takie jak ACER, EASA i ECDC, opracowały bardziej solidne i istotne z operacyjnego punktu widzenia wskaźniki; wzywa agencje dysponujące </w:t>
            </w:r>
            <w:r w:rsidRPr="00641BDE">
              <w:rPr>
                <w:b/>
                <w:i/>
              </w:rPr>
              <w:t>nieefektywnymi, niekwantyfikowalnymi i niemierzalnymi</w:t>
            </w:r>
            <w:r w:rsidRPr="00641BDE">
              <w:t xml:space="preserve"> systemami kluczowych wskaźników efektywności do czerpania z tych silniejszych modeli oraz do systematycznego dzielenia się najlepszymi praktykami za pośrednictwem EUAN, aby poprawić porównywalność, zwiększyć użyteczność rocznych sprawozdań z działalności dla użytkowników zewnętrznych oraz wzmocnić ogólną ocenę wyników wśród agencji;</w:t>
            </w:r>
          </w:p>
        </w:tc>
        <w:tc>
          <w:tcPr>
            <w:tcW w:w="4876" w:type="dxa"/>
            <w:tcBorders>
              <w:top w:val="nil"/>
              <w:left w:val="nil"/>
              <w:bottom w:val="nil"/>
              <w:right w:val="nil"/>
            </w:tcBorders>
          </w:tcPr>
          <w:p w14:paraId="714F5833" w14:textId="77777777" w:rsidR="001D5F6D" w:rsidRPr="00641BDE" w:rsidRDefault="001D5F6D" w:rsidP="007C1C97">
            <w:pPr>
              <w:pStyle w:val="Normal6a"/>
            </w:pPr>
            <w:r w:rsidRPr="00641BDE">
              <w:t>14.</w:t>
            </w:r>
            <w:r w:rsidRPr="00641BDE">
              <w:tab/>
              <w:t xml:space="preserve">dostrzega współpracę z partnerami zewnętrznymi, takimi jak Organizacja Współpracy Gospodarczej i Rozwoju oraz sieć planowania strategicznego Organizacji Narodów Zjednoczonych, w zakresie unowocześniania metodyk dotyczących kluczowych wskaźników efektywności; podkreśla, że niektóre agencje, takie jak ACER, EASA i ECDC, opracowały bardziej solidne i istotne z operacyjnego punktu widzenia wskaźniki; wzywa agencje dysponujące </w:t>
            </w:r>
            <w:r w:rsidRPr="00641BDE">
              <w:rPr>
                <w:b/>
                <w:i/>
              </w:rPr>
              <w:t>mniej efektywnymi</w:t>
            </w:r>
            <w:r w:rsidRPr="00641BDE">
              <w:t xml:space="preserve"> systemami kluczowych wskaźników efektywności do czerpania z tych silniejszych modeli oraz do systematycznego dzielenia się najlepszymi praktykami za pośrednictwem EUAN, aby poprawić porównywalność, zwiększyć użyteczność rocznych sprawozdań z działalności dla użytkowników zewnętrznych oraz wzmocnić ogólną ocenę wyników wśród agencji;</w:t>
            </w:r>
          </w:p>
        </w:tc>
      </w:tr>
    </w:tbl>
    <w:p w14:paraId="34392FC9"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0EAF29C" w14:textId="77777777" w:rsidR="001D5F6D" w:rsidRPr="00641BDE" w:rsidRDefault="001D5F6D" w:rsidP="001D5F6D">
      <w:r w:rsidRPr="00641BDE">
        <w:rPr>
          <w:rStyle w:val="HideTWBExt"/>
        </w:rPr>
        <w:t>&lt;/Amend&gt;</w:t>
      </w:r>
    </w:p>
    <w:p w14:paraId="08FF1BF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52</w:t>
      </w:r>
      <w:r w:rsidRPr="00641BDE">
        <w:rPr>
          <w:rStyle w:val="HideTWBExt"/>
          <w:b w:val="0"/>
        </w:rPr>
        <w:t>&lt;/NumAm&gt;</w:t>
      </w:r>
    </w:p>
    <w:p w14:paraId="3DDFDDC5"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504B93A6" w14:textId="77777777" w:rsidR="001D5F6D" w:rsidRPr="00641BDE" w:rsidRDefault="001D5F6D" w:rsidP="001D5F6D">
      <w:pPr>
        <w:pStyle w:val="NormalBold"/>
      </w:pPr>
      <w:r w:rsidRPr="00641BDE">
        <w:rPr>
          <w:rStyle w:val="HideTWBExt"/>
          <w:b w:val="0"/>
        </w:rPr>
        <w:t>&lt;/RepeatBlock-By&gt;</w:t>
      </w:r>
    </w:p>
    <w:p w14:paraId="7E6C334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7F7FAD2" w14:textId="77777777" w:rsidR="001D5F6D" w:rsidRPr="00641BDE" w:rsidRDefault="001D5F6D" w:rsidP="001D5F6D">
      <w:pPr>
        <w:pStyle w:val="NormalBold"/>
      </w:pPr>
      <w:r w:rsidRPr="00641BDE">
        <w:rPr>
          <w:rStyle w:val="HideTWBExt"/>
          <w:b w:val="0"/>
        </w:rPr>
        <w:t>&lt;Article&gt;</w:t>
      </w:r>
      <w:r w:rsidRPr="00641BDE">
        <w:t>Ustęp 14</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3D19A64" w14:textId="77777777" w:rsidTr="007C1C97">
        <w:trPr>
          <w:trHeight w:hRule="exact" w:val="240"/>
          <w:jc w:val="center"/>
        </w:trPr>
        <w:tc>
          <w:tcPr>
            <w:tcW w:w="9752" w:type="dxa"/>
            <w:gridSpan w:val="2"/>
            <w:tcBorders>
              <w:top w:val="nil"/>
              <w:left w:val="nil"/>
              <w:bottom w:val="nil"/>
              <w:right w:val="nil"/>
            </w:tcBorders>
          </w:tcPr>
          <w:p w14:paraId="1F5DFD78" w14:textId="77777777" w:rsidR="001D5F6D" w:rsidRPr="00641BDE" w:rsidRDefault="001D5F6D" w:rsidP="007C1C97"/>
        </w:tc>
      </w:tr>
      <w:tr w:rsidR="001D5F6D" w:rsidRPr="00641BDE" w14:paraId="6D29DA1B" w14:textId="77777777" w:rsidTr="007C1C97">
        <w:trPr>
          <w:trHeight w:val="240"/>
          <w:jc w:val="center"/>
        </w:trPr>
        <w:tc>
          <w:tcPr>
            <w:tcW w:w="4876" w:type="dxa"/>
            <w:tcBorders>
              <w:top w:val="nil"/>
              <w:left w:val="nil"/>
              <w:bottom w:val="nil"/>
              <w:right w:val="nil"/>
            </w:tcBorders>
          </w:tcPr>
          <w:p w14:paraId="4B1CD83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C9F0FB2" w14:textId="77777777" w:rsidR="001D5F6D" w:rsidRPr="00641BDE" w:rsidRDefault="001D5F6D" w:rsidP="007C1C97">
            <w:pPr>
              <w:pStyle w:val="AmColumnHeading"/>
            </w:pPr>
            <w:r w:rsidRPr="00641BDE">
              <w:t>Poprawka</w:t>
            </w:r>
          </w:p>
        </w:tc>
      </w:tr>
      <w:tr w:rsidR="001D5F6D" w:rsidRPr="00641BDE" w14:paraId="0E5A7E1C" w14:textId="77777777" w:rsidTr="007C1C97">
        <w:trPr>
          <w:jc w:val="center"/>
        </w:trPr>
        <w:tc>
          <w:tcPr>
            <w:tcW w:w="4876" w:type="dxa"/>
            <w:tcBorders>
              <w:top w:val="nil"/>
              <w:left w:val="nil"/>
              <w:bottom w:val="nil"/>
              <w:right w:val="nil"/>
            </w:tcBorders>
          </w:tcPr>
          <w:p w14:paraId="79A131B8" w14:textId="77777777" w:rsidR="001D5F6D" w:rsidRPr="00641BDE" w:rsidRDefault="001D5F6D" w:rsidP="007C1C97">
            <w:pPr>
              <w:pStyle w:val="Normal6a"/>
            </w:pPr>
            <w:r w:rsidRPr="00641BDE">
              <w:t>14.</w:t>
            </w:r>
            <w:r w:rsidRPr="00641BDE">
              <w:tab/>
              <w:t>dostrzega współpracę z partnerami zewnętrznymi, takimi jak Organizacja Współpracy Gospodarczej i Rozwoju oraz sieć planowania strategicznego Organizacji Narodów Zjednoczonych, w zakresie unowocześniania metodyk dotyczących kluczowych wskaźników efektywności; podkreśla, że niektóre agencje, takie jak ACER, EASA i ECDC, opracowały bardziej solidne i istotne z operacyjnego punktu widzenia wskaźniki; wzywa agencje dysponujące nieefektywnymi, niekwantyfikowalnymi i niemierzalnymi systemami kluczowych wskaźników efektywności do czerpania z tych silniejszych modeli oraz do systematycznego dzielenia się najlepszymi praktykami za pośrednictwem EUAN, aby poprawić porównywalność, zwiększyć użyteczność rocznych sprawozdań z działalności dla użytkowników zewnętrznych oraz wzmocnić ogólną ocenę wyników wśród agencji;</w:t>
            </w:r>
          </w:p>
        </w:tc>
        <w:tc>
          <w:tcPr>
            <w:tcW w:w="4876" w:type="dxa"/>
            <w:tcBorders>
              <w:top w:val="nil"/>
              <w:left w:val="nil"/>
              <w:bottom w:val="nil"/>
              <w:right w:val="nil"/>
            </w:tcBorders>
          </w:tcPr>
          <w:p w14:paraId="37FD600C" w14:textId="77777777" w:rsidR="001D5F6D" w:rsidRPr="00641BDE" w:rsidRDefault="001D5F6D" w:rsidP="007C1C97">
            <w:pPr>
              <w:pStyle w:val="Normal6a"/>
            </w:pPr>
            <w:r w:rsidRPr="00641BDE">
              <w:t>14.</w:t>
            </w:r>
            <w:r w:rsidRPr="00641BDE">
              <w:tab/>
              <w:t xml:space="preserve">dostrzega współpracę z partnerami zewnętrznymi, takimi jak Organizacja Współpracy Gospodarczej i Rozwoju oraz sieć planowania strategicznego Organizacji Narodów Zjednoczonych, w zakresie unowocześniania metodyk dotyczących kluczowych wskaźników efektywności; podkreśla, że niektóre agencje, takie jak ACER, EASA i ECDC, opracowały bardziej solidne i istotne z operacyjnego punktu widzenia wskaźniki; wzywa agencje dysponujące nieefektywnymi, niekwantyfikowalnymi i niemierzalnymi systemami kluczowych wskaźników efektywności do czerpania z tych silniejszych modeli oraz do systematycznego dzielenia się najlepszymi praktykami za pośrednictwem EUAN, aby poprawić porównywalność, zwiększyć użyteczność rocznych sprawozdań z działalności dla użytkowników zewnętrznych oraz wzmocnić ogólną ocenę wyników wśród agencji; </w:t>
            </w:r>
            <w:r w:rsidRPr="00641BDE">
              <w:rPr>
                <w:b/>
                <w:i/>
              </w:rPr>
              <w:t>wzywa Komisję do wprowadzenia wymogu, aby we wszystkich ocenach agencji na podstawie pkt 60 wspólnego podejścia systematycznie oceniano opłacalność i wymierny wpływ każdej agencji na jej obszar polityki oraz aby programy lub działania, w przypadku których nie wykazano skuteczności w rozsądnych ramach czasowych, zostały zakończone, a środki finansowe – przesunięte na działania skuteczniejsze lub w stosownych przypadkach zwrócone podatnikom;</w:t>
            </w:r>
          </w:p>
        </w:tc>
      </w:tr>
    </w:tbl>
    <w:p w14:paraId="40A4B22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0953E5BB" w14:textId="77777777" w:rsidR="001D5F6D" w:rsidRPr="00641BDE" w:rsidRDefault="001D5F6D" w:rsidP="001D5F6D">
      <w:r w:rsidRPr="00641BDE">
        <w:rPr>
          <w:rStyle w:val="HideTWBExt"/>
        </w:rPr>
        <w:t>&lt;/Amend&gt;</w:t>
      </w:r>
    </w:p>
    <w:p w14:paraId="0E6BDAE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53</w:t>
      </w:r>
      <w:r w:rsidRPr="00641BDE">
        <w:rPr>
          <w:rStyle w:val="HideTWBExt"/>
          <w:b w:val="0"/>
        </w:rPr>
        <w:t>&lt;/NumAm&gt;</w:t>
      </w:r>
    </w:p>
    <w:p w14:paraId="5ABA429C"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rPr>
          <w:rStyle w:val="HideTWBExt"/>
          <w:b w:val="0"/>
        </w:rPr>
        <w:t>&lt;/Members&gt;</w:t>
      </w:r>
    </w:p>
    <w:p w14:paraId="369A4153" w14:textId="77777777" w:rsidR="001D5F6D" w:rsidRPr="00641BDE" w:rsidRDefault="001D5F6D" w:rsidP="001D5F6D">
      <w:pPr>
        <w:pStyle w:val="NormalBold"/>
      </w:pPr>
      <w:r w:rsidRPr="00641BDE">
        <w:rPr>
          <w:rStyle w:val="HideTWBExt"/>
          <w:b w:val="0"/>
        </w:rPr>
        <w:t>&lt;/RepeatBlock-By&gt;</w:t>
      </w:r>
    </w:p>
    <w:p w14:paraId="56C8E125"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3723A08" w14:textId="77777777" w:rsidR="001D5F6D" w:rsidRPr="00641BDE" w:rsidRDefault="001D5F6D" w:rsidP="001D5F6D">
      <w:pPr>
        <w:pStyle w:val="NormalBold"/>
      </w:pPr>
      <w:r w:rsidRPr="00641BDE">
        <w:rPr>
          <w:rStyle w:val="HideTWBExt"/>
          <w:b w:val="0"/>
        </w:rPr>
        <w:t>&lt;Article&gt;</w:t>
      </w:r>
      <w:r w:rsidRPr="00641BDE">
        <w:t>Ustęp 14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6A9BED2" w14:textId="77777777" w:rsidTr="007C1C97">
        <w:trPr>
          <w:trHeight w:hRule="exact" w:val="240"/>
          <w:jc w:val="center"/>
        </w:trPr>
        <w:tc>
          <w:tcPr>
            <w:tcW w:w="9752" w:type="dxa"/>
            <w:gridSpan w:val="2"/>
            <w:tcBorders>
              <w:top w:val="nil"/>
              <w:left w:val="nil"/>
              <w:bottom w:val="nil"/>
              <w:right w:val="nil"/>
            </w:tcBorders>
          </w:tcPr>
          <w:p w14:paraId="00292CD6" w14:textId="77777777" w:rsidR="001D5F6D" w:rsidRPr="00641BDE" w:rsidRDefault="001D5F6D" w:rsidP="007C1C97"/>
        </w:tc>
      </w:tr>
      <w:tr w:rsidR="001D5F6D" w:rsidRPr="00641BDE" w14:paraId="5037A273" w14:textId="77777777" w:rsidTr="007C1C97">
        <w:trPr>
          <w:trHeight w:val="240"/>
          <w:jc w:val="center"/>
        </w:trPr>
        <w:tc>
          <w:tcPr>
            <w:tcW w:w="4876" w:type="dxa"/>
            <w:tcBorders>
              <w:top w:val="nil"/>
              <w:left w:val="nil"/>
              <w:bottom w:val="nil"/>
              <w:right w:val="nil"/>
            </w:tcBorders>
          </w:tcPr>
          <w:p w14:paraId="790A572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CBE6BBB" w14:textId="77777777" w:rsidR="001D5F6D" w:rsidRPr="00641BDE" w:rsidRDefault="001D5F6D" w:rsidP="007C1C97">
            <w:pPr>
              <w:pStyle w:val="AmColumnHeading"/>
            </w:pPr>
            <w:r w:rsidRPr="00641BDE">
              <w:t>Poprawka</w:t>
            </w:r>
          </w:p>
        </w:tc>
      </w:tr>
      <w:tr w:rsidR="001D5F6D" w:rsidRPr="00641BDE" w14:paraId="1AD238D3" w14:textId="77777777" w:rsidTr="007C1C97">
        <w:trPr>
          <w:jc w:val="center"/>
        </w:trPr>
        <w:tc>
          <w:tcPr>
            <w:tcW w:w="4876" w:type="dxa"/>
            <w:tcBorders>
              <w:top w:val="nil"/>
              <w:left w:val="nil"/>
              <w:bottom w:val="nil"/>
              <w:right w:val="nil"/>
            </w:tcBorders>
          </w:tcPr>
          <w:p w14:paraId="015FF47E" w14:textId="77777777" w:rsidR="001D5F6D" w:rsidRPr="00641BDE" w:rsidRDefault="001D5F6D" w:rsidP="007C1C97">
            <w:pPr>
              <w:pStyle w:val="Normal6a"/>
            </w:pPr>
          </w:p>
        </w:tc>
        <w:tc>
          <w:tcPr>
            <w:tcW w:w="4876" w:type="dxa"/>
            <w:tcBorders>
              <w:top w:val="nil"/>
              <w:left w:val="nil"/>
              <w:bottom w:val="nil"/>
              <w:right w:val="nil"/>
            </w:tcBorders>
          </w:tcPr>
          <w:p w14:paraId="593329AA" w14:textId="77777777" w:rsidR="001D5F6D" w:rsidRPr="00641BDE" w:rsidRDefault="001D5F6D" w:rsidP="007C1C97">
            <w:pPr>
              <w:pStyle w:val="Normal6a"/>
            </w:pPr>
            <w:r w:rsidRPr="00641BDE">
              <w:rPr>
                <w:b/>
                <w:i/>
              </w:rPr>
              <w:t>14a.</w:t>
            </w:r>
            <w:r w:rsidRPr="00641BDE">
              <w:tab/>
            </w:r>
            <w:r w:rsidRPr="00641BDE">
              <w:rPr>
                <w:b/>
                <w:i/>
              </w:rPr>
              <w:t>wzywa sieć agencji UE (EUAN) do opracowania, we współpracy z Europejskim Trybunałem Obrachunkowym, i przedstawienia organowi udzielającemu absolutorium do końca 2026 r. wspólnych ram pomiaru wyników agencji i skutków społecznych, z uwzględnieniem zaleceń Trybunału zawartych w sprawozdaniu specjalnym 22/2020; uważa, że w przypadku każdej agencji ramy te powinny obejmować ograniczony zestaw wskaźników wyników i oddziaływania, które są bezpośrednio związane z jej mandatem założycielskim oraz które powinny umożliwiać Parlamentowi i podatnikom ocenę konkretnych rezultatów w odniesieniu do wydanych zasobów; zwraca się do EUAN o wyjaśnienie, czy planuje wprowadzić takie wspólne ramy, a jeśli tak, apeluje, aby poinformowała organ udzielający absolutorium o oczekiwanym harmonogramie i metodyce;</w:t>
            </w:r>
          </w:p>
        </w:tc>
      </w:tr>
    </w:tbl>
    <w:p w14:paraId="0DDAC255"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C5DFBE4" w14:textId="77777777" w:rsidR="001D5F6D" w:rsidRPr="00641BDE" w:rsidRDefault="001D5F6D" w:rsidP="001D5F6D">
      <w:r w:rsidRPr="00641BDE">
        <w:rPr>
          <w:rStyle w:val="HideTWBExt"/>
        </w:rPr>
        <w:t>&lt;/Amend&gt;</w:t>
      </w:r>
    </w:p>
    <w:p w14:paraId="7C820728"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54</w:t>
      </w:r>
      <w:r w:rsidRPr="00641BDE">
        <w:rPr>
          <w:rStyle w:val="HideTWBExt"/>
          <w:b w:val="0"/>
        </w:rPr>
        <w:t>&lt;/NumAm&gt;</w:t>
      </w:r>
    </w:p>
    <w:p w14:paraId="23597967"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3A931F3D"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39223131" w14:textId="77777777" w:rsidR="001D5F6D" w:rsidRPr="00641BDE" w:rsidRDefault="001D5F6D" w:rsidP="001D5F6D">
      <w:pPr>
        <w:pStyle w:val="NormalBold"/>
      </w:pPr>
      <w:r w:rsidRPr="00641BDE">
        <w:rPr>
          <w:rStyle w:val="HideTWBExt"/>
          <w:b w:val="0"/>
        </w:rPr>
        <w:t>&lt;/RepeatBlock-By&gt;</w:t>
      </w:r>
    </w:p>
    <w:p w14:paraId="6FC5E9F5"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6AD4EF2" w14:textId="77777777" w:rsidR="001D5F6D" w:rsidRPr="00641BDE" w:rsidRDefault="001D5F6D" w:rsidP="001D5F6D">
      <w:pPr>
        <w:pStyle w:val="NormalBold"/>
      </w:pPr>
      <w:r w:rsidRPr="00641BDE">
        <w:rPr>
          <w:rStyle w:val="HideTWBExt"/>
          <w:b w:val="0"/>
        </w:rPr>
        <w:t>&lt;Article&gt;</w:t>
      </w:r>
      <w:r w:rsidRPr="00641BDE">
        <w:t>Ustęp 15</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6E69C95" w14:textId="77777777" w:rsidTr="007C1C97">
        <w:trPr>
          <w:trHeight w:hRule="exact" w:val="240"/>
          <w:jc w:val="center"/>
        </w:trPr>
        <w:tc>
          <w:tcPr>
            <w:tcW w:w="9752" w:type="dxa"/>
            <w:gridSpan w:val="2"/>
            <w:tcBorders>
              <w:top w:val="nil"/>
              <w:left w:val="nil"/>
              <w:bottom w:val="nil"/>
              <w:right w:val="nil"/>
            </w:tcBorders>
          </w:tcPr>
          <w:p w14:paraId="11BA65F8" w14:textId="77777777" w:rsidR="001D5F6D" w:rsidRPr="00641BDE" w:rsidRDefault="001D5F6D" w:rsidP="007C1C97"/>
        </w:tc>
      </w:tr>
      <w:tr w:rsidR="001D5F6D" w:rsidRPr="00641BDE" w14:paraId="4B24AA5E" w14:textId="77777777" w:rsidTr="007C1C97">
        <w:trPr>
          <w:trHeight w:val="240"/>
          <w:jc w:val="center"/>
        </w:trPr>
        <w:tc>
          <w:tcPr>
            <w:tcW w:w="4876" w:type="dxa"/>
            <w:tcBorders>
              <w:top w:val="nil"/>
              <w:left w:val="nil"/>
              <w:bottom w:val="nil"/>
              <w:right w:val="nil"/>
            </w:tcBorders>
          </w:tcPr>
          <w:p w14:paraId="4811D08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E79A10F" w14:textId="77777777" w:rsidR="001D5F6D" w:rsidRPr="00641BDE" w:rsidRDefault="001D5F6D" w:rsidP="007C1C97">
            <w:pPr>
              <w:pStyle w:val="AmColumnHeading"/>
            </w:pPr>
            <w:r w:rsidRPr="00641BDE">
              <w:t>Poprawka</w:t>
            </w:r>
          </w:p>
        </w:tc>
      </w:tr>
      <w:tr w:rsidR="001D5F6D" w:rsidRPr="00641BDE" w14:paraId="1C765B48" w14:textId="77777777" w:rsidTr="007C1C97">
        <w:trPr>
          <w:jc w:val="center"/>
        </w:trPr>
        <w:tc>
          <w:tcPr>
            <w:tcW w:w="4876" w:type="dxa"/>
            <w:tcBorders>
              <w:top w:val="nil"/>
              <w:left w:val="nil"/>
              <w:bottom w:val="nil"/>
              <w:right w:val="nil"/>
            </w:tcBorders>
          </w:tcPr>
          <w:p w14:paraId="58A8C3F8" w14:textId="77777777" w:rsidR="001D5F6D" w:rsidRPr="00641BDE" w:rsidRDefault="001D5F6D" w:rsidP="007C1C97">
            <w:pPr>
              <w:pStyle w:val="Normal6a"/>
            </w:pPr>
            <w:r w:rsidRPr="00641BDE">
              <w:t>15.</w:t>
            </w:r>
            <w:r w:rsidRPr="00641BDE">
              <w:tab/>
              <w:t xml:space="preserve">zwraca uwagę na dochodzenia Europejskiego Urzędu ds. Zwalczania Nadużyć Finansowych (OLAF) dotyczące kilku agencji: ENISA (dwie sprawy z 2024 r., jedna w toku, jedna umorzona, oraz sprawa dotycząca procedury naboru z 2025 r.), </w:t>
            </w:r>
            <w:proofErr w:type="spellStart"/>
            <w:r w:rsidRPr="00641BDE">
              <w:t>eu</w:t>
            </w:r>
            <w:proofErr w:type="spellEnd"/>
            <w:r w:rsidRPr="00641BDE">
              <w:t xml:space="preserve">-LISA (dochodzenia dotyczące konfliktu interesów i zamówień publicznych), EIT (trzy sprawy związane z </w:t>
            </w:r>
            <w:proofErr w:type="spellStart"/>
            <w:r w:rsidRPr="00641BDE">
              <w:t>WWiI</w:t>
            </w:r>
            <w:proofErr w:type="spellEnd"/>
            <w:r w:rsidRPr="00641BDE">
              <w:t xml:space="preserve"> zakończone odzyskaniem kwoty 15–20 mln EUR), </w:t>
            </w:r>
            <w:proofErr w:type="spellStart"/>
            <w:r w:rsidRPr="00641BDE">
              <w:t>Frontex</w:t>
            </w:r>
            <w:proofErr w:type="spellEnd"/>
            <w:r w:rsidRPr="00641BDE">
              <w:t xml:space="preserve"> (osiem spraw zakończonych w latach 2023–2024), a także trwające dochodzenia w ACER i EEA; wzywa wszystkie agencje do zapewnienia pełnej współpracy z OLAF-em, do wzmocnienia kontroli wewnętrznych oraz zabezpieczeń w zakresie rekrutacji i zamówień publicznych, a także do przekazania organowi udzielającemu absolutorium dodatkowych informacji niezwłocznie po zniesieniu ograniczeń dotyczących poufności;</w:t>
            </w:r>
          </w:p>
        </w:tc>
        <w:tc>
          <w:tcPr>
            <w:tcW w:w="4876" w:type="dxa"/>
            <w:tcBorders>
              <w:top w:val="nil"/>
              <w:left w:val="nil"/>
              <w:bottom w:val="nil"/>
              <w:right w:val="nil"/>
            </w:tcBorders>
          </w:tcPr>
          <w:p w14:paraId="5D72E98B" w14:textId="77777777" w:rsidR="001D5F6D" w:rsidRPr="00641BDE" w:rsidRDefault="001D5F6D" w:rsidP="007C1C97">
            <w:pPr>
              <w:pStyle w:val="Normal6a"/>
            </w:pPr>
            <w:r w:rsidRPr="00641BDE">
              <w:t>15.</w:t>
            </w:r>
            <w:r w:rsidRPr="00641BDE">
              <w:tab/>
              <w:t xml:space="preserve">zwraca uwagę na dochodzenia Europejskiego Urzędu ds. Zwalczania Nadużyć Finansowych (OLAF) dotyczące kilku agencji: ENISA (dwie sprawy z 2024 r., jedna w toku, jedna umorzona, oraz sprawa dotycząca procedury naboru z 2025 r.), </w:t>
            </w:r>
            <w:proofErr w:type="spellStart"/>
            <w:r w:rsidRPr="00641BDE">
              <w:t>eu</w:t>
            </w:r>
            <w:proofErr w:type="spellEnd"/>
            <w:r w:rsidRPr="00641BDE">
              <w:t xml:space="preserve">-LISA (dochodzenia dotyczące konfliktu interesów i zamówień publicznych), EIT (trzy sprawy związane z </w:t>
            </w:r>
            <w:proofErr w:type="spellStart"/>
            <w:r w:rsidRPr="00641BDE">
              <w:t>WWiI</w:t>
            </w:r>
            <w:proofErr w:type="spellEnd"/>
            <w:r w:rsidRPr="00641BDE">
              <w:t xml:space="preserve"> zakończone odzyskaniem kwoty 15–20 mln EUR), </w:t>
            </w:r>
            <w:proofErr w:type="spellStart"/>
            <w:r w:rsidRPr="00641BDE">
              <w:t>Frontex</w:t>
            </w:r>
            <w:proofErr w:type="spellEnd"/>
            <w:r w:rsidRPr="00641BDE">
              <w:t xml:space="preserve"> (osiem spraw zakończonych w latach 2023–2024), a także trwające dochodzenia w ACER i EEA; wzywa wszystkie agencje do zapewnienia pełnej współpracy z OLAF-em, do wzmocnienia kontroli wewnętrznych oraz zabezpieczeń w zakresie rekrutacji i zamówień publicznych, a także do przekazania organowi udzielającemu absolutorium dodatkowych informacji niezwłocznie po zniesieniu ograniczeń dotyczących poufności; </w:t>
            </w:r>
            <w:r w:rsidRPr="00641BDE">
              <w:rPr>
                <w:b/>
                <w:i/>
              </w:rPr>
              <w:t>podkreśla, że w przypadku Europejskiej Agencji Straży Granicznej i Przybrzeżnej (</w:t>
            </w:r>
            <w:proofErr w:type="spellStart"/>
            <w:r w:rsidRPr="00641BDE">
              <w:rPr>
                <w:b/>
                <w:i/>
              </w:rPr>
              <w:t>Frontex</w:t>
            </w:r>
            <w:proofErr w:type="spellEnd"/>
            <w:r w:rsidRPr="00641BDE">
              <w:rPr>
                <w:b/>
                <w:i/>
              </w:rPr>
              <w:t>) przy ocenie ogólnych wyników Agencji i warunków przydziału środków budżetowych trzeba uwzględnić powtarzające się dochodzenia w przeszłości oraz ustalenia dotyczące przestrzegania praw podstawowych i uchybień w zarządzaniu; przypomina, że podczas procedury udzielania absolutorium za 2023 r. organ udzielający absolutorium poświęcił wyczerpującą uwagę dochodzeniu OLAF-u w sprawie EUAA, co spowodowało wstępne odroczenie udzielenia absolutorium;</w:t>
            </w:r>
          </w:p>
        </w:tc>
      </w:tr>
    </w:tbl>
    <w:p w14:paraId="03988E36"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0E9451D0" w14:textId="77777777" w:rsidR="001D5F6D" w:rsidRPr="00641BDE" w:rsidRDefault="001D5F6D" w:rsidP="001D5F6D">
      <w:r w:rsidRPr="00641BDE">
        <w:rPr>
          <w:rStyle w:val="HideTWBExt"/>
        </w:rPr>
        <w:t>&lt;/Amend&gt;</w:t>
      </w:r>
    </w:p>
    <w:p w14:paraId="31C0589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55</w:t>
      </w:r>
      <w:r w:rsidRPr="00641BDE">
        <w:rPr>
          <w:rStyle w:val="HideTWBExt"/>
          <w:b w:val="0"/>
        </w:rPr>
        <w:t>&lt;/NumAm&gt;</w:t>
      </w:r>
    </w:p>
    <w:p w14:paraId="3B12D532" w14:textId="77777777" w:rsidR="001D5F6D" w:rsidRPr="00641BDE" w:rsidRDefault="001D5F6D" w:rsidP="001D5F6D">
      <w:pPr>
        <w:pStyle w:val="NormalBold"/>
      </w:pPr>
      <w:r w:rsidRPr="00641BDE">
        <w:rPr>
          <w:rStyle w:val="HideTWBExt"/>
          <w:b w:val="0"/>
        </w:rPr>
        <w:t>&lt;RepeatBlock-By&gt;&lt;Members&gt;</w:t>
      </w:r>
      <w:proofErr w:type="spellStart"/>
      <w:r w:rsidRPr="00641BDE">
        <w:t>Jonas</w:t>
      </w:r>
      <w:proofErr w:type="spellEnd"/>
      <w:r w:rsidRPr="00641BDE">
        <w:t xml:space="preserve"> </w:t>
      </w:r>
      <w:proofErr w:type="spellStart"/>
      <w:r w:rsidRPr="00641BDE">
        <w:t>Sjöstedt</w:t>
      </w:r>
      <w:proofErr w:type="spellEnd"/>
      <w:r w:rsidRPr="00641BDE">
        <w:rPr>
          <w:rStyle w:val="HideTWBExt"/>
          <w:b w:val="0"/>
        </w:rPr>
        <w:t>&lt;/Members&gt;</w:t>
      </w:r>
    </w:p>
    <w:p w14:paraId="5C89B82D" w14:textId="77777777" w:rsidR="001D5F6D" w:rsidRPr="00641BDE" w:rsidRDefault="001D5F6D" w:rsidP="001D5F6D">
      <w:pPr>
        <w:pStyle w:val="NormalBold"/>
      </w:pPr>
      <w:r w:rsidRPr="00641BDE">
        <w:rPr>
          <w:rStyle w:val="HideTWBExt"/>
          <w:b w:val="0"/>
        </w:rPr>
        <w:t>&lt;/RepeatBlock-By&gt;</w:t>
      </w:r>
    </w:p>
    <w:p w14:paraId="2A6B8E7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B44FEDC" w14:textId="77777777" w:rsidR="001D5F6D" w:rsidRPr="00641BDE" w:rsidRDefault="001D5F6D" w:rsidP="001D5F6D">
      <w:pPr>
        <w:pStyle w:val="NormalBold"/>
      </w:pPr>
      <w:r w:rsidRPr="00641BDE">
        <w:rPr>
          <w:rStyle w:val="HideTWBExt"/>
          <w:b w:val="0"/>
        </w:rPr>
        <w:t>&lt;Article&gt;</w:t>
      </w:r>
      <w:r w:rsidRPr="00641BDE">
        <w:t>Ustęp 15 b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5EA7E89" w14:textId="77777777" w:rsidTr="007C1C97">
        <w:trPr>
          <w:trHeight w:hRule="exact" w:val="240"/>
          <w:jc w:val="center"/>
        </w:trPr>
        <w:tc>
          <w:tcPr>
            <w:tcW w:w="9752" w:type="dxa"/>
            <w:gridSpan w:val="2"/>
            <w:tcBorders>
              <w:top w:val="nil"/>
              <w:left w:val="nil"/>
              <w:bottom w:val="nil"/>
              <w:right w:val="nil"/>
            </w:tcBorders>
          </w:tcPr>
          <w:p w14:paraId="20F22E64" w14:textId="77777777" w:rsidR="001D5F6D" w:rsidRPr="00641BDE" w:rsidRDefault="001D5F6D" w:rsidP="007C1C97"/>
        </w:tc>
      </w:tr>
      <w:tr w:rsidR="001D5F6D" w:rsidRPr="00641BDE" w14:paraId="64738B89" w14:textId="77777777" w:rsidTr="007C1C97">
        <w:trPr>
          <w:trHeight w:val="240"/>
          <w:jc w:val="center"/>
        </w:trPr>
        <w:tc>
          <w:tcPr>
            <w:tcW w:w="4876" w:type="dxa"/>
            <w:tcBorders>
              <w:top w:val="nil"/>
              <w:left w:val="nil"/>
              <w:bottom w:val="nil"/>
              <w:right w:val="nil"/>
            </w:tcBorders>
          </w:tcPr>
          <w:p w14:paraId="1004F6D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97E1189" w14:textId="77777777" w:rsidR="001D5F6D" w:rsidRPr="00641BDE" w:rsidRDefault="001D5F6D" w:rsidP="007C1C97">
            <w:pPr>
              <w:pStyle w:val="AmColumnHeading"/>
            </w:pPr>
            <w:r w:rsidRPr="00641BDE">
              <w:t>Poprawka</w:t>
            </w:r>
          </w:p>
        </w:tc>
      </w:tr>
      <w:tr w:rsidR="001D5F6D" w:rsidRPr="00641BDE" w14:paraId="67340C55" w14:textId="77777777" w:rsidTr="007C1C97">
        <w:trPr>
          <w:jc w:val="center"/>
        </w:trPr>
        <w:tc>
          <w:tcPr>
            <w:tcW w:w="4876" w:type="dxa"/>
            <w:tcBorders>
              <w:top w:val="nil"/>
              <w:left w:val="nil"/>
              <w:bottom w:val="nil"/>
              <w:right w:val="nil"/>
            </w:tcBorders>
          </w:tcPr>
          <w:p w14:paraId="3FBCEDA5" w14:textId="77777777" w:rsidR="001D5F6D" w:rsidRPr="00641BDE" w:rsidRDefault="001D5F6D" w:rsidP="007C1C97">
            <w:pPr>
              <w:pStyle w:val="Normal6a"/>
            </w:pPr>
          </w:p>
        </w:tc>
        <w:tc>
          <w:tcPr>
            <w:tcW w:w="4876" w:type="dxa"/>
            <w:tcBorders>
              <w:top w:val="nil"/>
              <w:left w:val="nil"/>
              <w:bottom w:val="nil"/>
              <w:right w:val="nil"/>
            </w:tcBorders>
          </w:tcPr>
          <w:p w14:paraId="4DF5BBD7" w14:textId="77777777" w:rsidR="001D5F6D" w:rsidRPr="00641BDE" w:rsidRDefault="001D5F6D" w:rsidP="007C1C97">
            <w:pPr>
              <w:pStyle w:val="Normal6a"/>
            </w:pPr>
            <w:r w:rsidRPr="00641BDE">
              <w:rPr>
                <w:b/>
                <w:i/>
              </w:rPr>
              <w:t>15b.</w:t>
            </w:r>
            <w:r w:rsidRPr="00641BDE">
              <w:tab/>
            </w:r>
            <w:r w:rsidRPr="00641BDE">
              <w:rPr>
                <w:b/>
                <w:i/>
              </w:rPr>
              <w:t xml:space="preserve">zauważa, że prowadzone są również dwa dochodzenia OLAF-u w sprawie zarzutów dotyczących molestowania, uchybień i zawracania migrantów z udziałem </w:t>
            </w:r>
            <w:proofErr w:type="spellStart"/>
            <w:r w:rsidRPr="00641BDE">
              <w:rPr>
                <w:b/>
                <w:i/>
              </w:rPr>
              <w:t>Fronteksu</w:t>
            </w:r>
            <w:proofErr w:type="spellEnd"/>
            <w:r w:rsidRPr="00641BDE">
              <w:rPr>
                <w:b/>
                <w:i/>
              </w:rPr>
              <w:t xml:space="preserve"> oraz jedno dochodzenie Parlamentu Europejskiego w sprawie zarzutów dotyczących naruszeń praw podstawowych we </w:t>
            </w:r>
            <w:proofErr w:type="spellStart"/>
            <w:r w:rsidRPr="00641BDE">
              <w:rPr>
                <w:b/>
                <w:i/>
              </w:rPr>
              <w:t>Fronteksie</w:t>
            </w:r>
            <w:proofErr w:type="spellEnd"/>
            <w:r w:rsidRPr="00641BDE">
              <w:rPr>
                <w:b/>
                <w:i/>
              </w:rPr>
              <w:t>;</w:t>
            </w:r>
          </w:p>
        </w:tc>
      </w:tr>
    </w:tbl>
    <w:p w14:paraId="52CA01ED"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AB8D444" w14:textId="77777777" w:rsidR="001D5F6D" w:rsidRPr="00641BDE" w:rsidRDefault="001D5F6D" w:rsidP="001D5F6D">
      <w:r w:rsidRPr="00641BDE">
        <w:rPr>
          <w:rStyle w:val="HideTWBExt"/>
        </w:rPr>
        <w:t>&lt;/Amend&gt;</w:t>
      </w:r>
    </w:p>
    <w:p w14:paraId="52DD09CB"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56</w:t>
      </w:r>
      <w:r w:rsidRPr="00641BDE">
        <w:rPr>
          <w:rStyle w:val="HideTWBExt"/>
          <w:b w:val="0"/>
        </w:rPr>
        <w:t>&lt;/NumAm&gt;</w:t>
      </w:r>
    </w:p>
    <w:p w14:paraId="04CD90CF" w14:textId="77777777" w:rsidR="001D5F6D" w:rsidRPr="00641BDE" w:rsidRDefault="001D5F6D" w:rsidP="001D5F6D">
      <w:pPr>
        <w:pStyle w:val="NormalBold"/>
      </w:pPr>
      <w:r w:rsidRPr="00641BDE">
        <w:rPr>
          <w:rStyle w:val="HideTWBExt"/>
          <w:b w:val="0"/>
        </w:rPr>
        <w:t>&lt;RepeatBlock-By&gt;&lt;Members&gt;</w:t>
      </w:r>
      <w:proofErr w:type="spellStart"/>
      <w:r w:rsidRPr="00641BDE">
        <w:t>Jonas</w:t>
      </w:r>
      <w:proofErr w:type="spellEnd"/>
      <w:r w:rsidRPr="00641BDE">
        <w:t xml:space="preserve"> </w:t>
      </w:r>
      <w:proofErr w:type="spellStart"/>
      <w:r w:rsidRPr="00641BDE">
        <w:t>Sjöstedt</w:t>
      </w:r>
      <w:proofErr w:type="spellEnd"/>
      <w:r w:rsidRPr="00641BDE">
        <w:rPr>
          <w:rStyle w:val="HideTWBExt"/>
          <w:b w:val="0"/>
        </w:rPr>
        <w:t>&lt;/Members&gt;</w:t>
      </w:r>
    </w:p>
    <w:p w14:paraId="5D39036E" w14:textId="77777777" w:rsidR="001D5F6D" w:rsidRPr="00641BDE" w:rsidRDefault="001D5F6D" w:rsidP="001D5F6D">
      <w:pPr>
        <w:pStyle w:val="NormalBold"/>
      </w:pPr>
      <w:r w:rsidRPr="00641BDE">
        <w:rPr>
          <w:rStyle w:val="HideTWBExt"/>
          <w:b w:val="0"/>
        </w:rPr>
        <w:t>&lt;/RepeatBlock-By&gt;</w:t>
      </w:r>
    </w:p>
    <w:p w14:paraId="6F456F9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5D6215C" w14:textId="77777777" w:rsidR="001D5F6D" w:rsidRPr="00641BDE" w:rsidRDefault="001D5F6D" w:rsidP="001D5F6D">
      <w:pPr>
        <w:pStyle w:val="NormalBold"/>
      </w:pPr>
      <w:r w:rsidRPr="00641BDE">
        <w:rPr>
          <w:rStyle w:val="HideTWBExt"/>
          <w:b w:val="0"/>
        </w:rPr>
        <w:t>&lt;Article&gt;</w:t>
      </w:r>
      <w:r w:rsidRPr="00641BDE">
        <w:t>Ustęp 15 d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289FAFB" w14:textId="77777777" w:rsidTr="007C1C97">
        <w:trPr>
          <w:trHeight w:hRule="exact" w:val="240"/>
          <w:jc w:val="center"/>
        </w:trPr>
        <w:tc>
          <w:tcPr>
            <w:tcW w:w="9752" w:type="dxa"/>
            <w:gridSpan w:val="2"/>
            <w:tcBorders>
              <w:top w:val="nil"/>
              <w:left w:val="nil"/>
              <w:bottom w:val="nil"/>
              <w:right w:val="nil"/>
            </w:tcBorders>
          </w:tcPr>
          <w:p w14:paraId="12CAA0DD" w14:textId="77777777" w:rsidR="001D5F6D" w:rsidRPr="00641BDE" w:rsidRDefault="001D5F6D" w:rsidP="007C1C97"/>
        </w:tc>
      </w:tr>
      <w:tr w:rsidR="001D5F6D" w:rsidRPr="00641BDE" w14:paraId="2522EC59" w14:textId="77777777" w:rsidTr="007C1C97">
        <w:trPr>
          <w:trHeight w:val="240"/>
          <w:jc w:val="center"/>
        </w:trPr>
        <w:tc>
          <w:tcPr>
            <w:tcW w:w="4876" w:type="dxa"/>
            <w:tcBorders>
              <w:top w:val="nil"/>
              <w:left w:val="nil"/>
              <w:bottom w:val="nil"/>
              <w:right w:val="nil"/>
            </w:tcBorders>
          </w:tcPr>
          <w:p w14:paraId="026E279C"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6F23688" w14:textId="77777777" w:rsidR="001D5F6D" w:rsidRPr="00641BDE" w:rsidRDefault="001D5F6D" w:rsidP="007C1C97">
            <w:pPr>
              <w:pStyle w:val="AmColumnHeading"/>
            </w:pPr>
            <w:r w:rsidRPr="00641BDE">
              <w:t>Poprawka</w:t>
            </w:r>
          </w:p>
        </w:tc>
      </w:tr>
      <w:tr w:rsidR="001D5F6D" w:rsidRPr="00641BDE" w14:paraId="18A39CAC" w14:textId="77777777" w:rsidTr="007C1C97">
        <w:trPr>
          <w:jc w:val="center"/>
        </w:trPr>
        <w:tc>
          <w:tcPr>
            <w:tcW w:w="4876" w:type="dxa"/>
            <w:tcBorders>
              <w:top w:val="nil"/>
              <w:left w:val="nil"/>
              <w:bottom w:val="nil"/>
              <w:right w:val="nil"/>
            </w:tcBorders>
          </w:tcPr>
          <w:p w14:paraId="47D1E893" w14:textId="77777777" w:rsidR="001D5F6D" w:rsidRPr="00641BDE" w:rsidRDefault="001D5F6D" w:rsidP="007C1C97">
            <w:pPr>
              <w:pStyle w:val="Normal6a"/>
            </w:pPr>
          </w:p>
        </w:tc>
        <w:tc>
          <w:tcPr>
            <w:tcW w:w="4876" w:type="dxa"/>
            <w:tcBorders>
              <w:top w:val="nil"/>
              <w:left w:val="nil"/>
              <w:bottom w:val="nil"/>
              <w:right w:val="nil"/>
            </w:tcBorders>
          </w:tcPr>
          <w:p w14:paraId="5AD42BDD" w14:textId="77777777" w:rsidR="001D5F6D" w:rsidRPr="00641BDE" w:rsidRDefault="001D5F6D" w:rsidP="007C1C97">
            <w:pPr>
              <w:pStyle w:val="Normal6a"/>
            </w:pPr>
            <w:r w:rsidRPr="00641BDE">
              <w:rPr>
                <w:b/>
                <w:i/>
              </w:rPr>
              <w:t>15d.</w:t>
            </w:r>
            <w:r w:rsidRPr="00641BDE">
              <w:tab/>
            </w:r>
            <w:r w:rsidRPr="00641BDE">
              <w:rPr>
                <w:b/>
                <w:i/>
              </w:rPr>
              <w:t xml:space="preserve">zauważa, że w latach 2006–2018 </w:t>
            </w:r>
            <w:proofErr w:type="spellStart"/>
            <w:r w:rsidRPr="00641BDE">
              <w:rPr>
                <w:b/>
                <w:i/>
              </w:rPr>
              <w:t>Frontex</w:t>
            </w:r>
            <w:proofErr w:type="spellEnd"/>
            <w:r w:rsidRPr="00641BDE">
              <w:rPr>
                <w:b/>
                <w:i/>
              </w:rPr>
              <w:t xml:space="preserve"> koordynował patrole u wybrzeży Afryki Północno-Zachodniej w celu przechwytywania łodzi przewożących migrantów i osoby ubiegające się o azyl na wodach międzynarodowych – oraz na wodach Mauretanii i Senegalu, za zgodą tych państw – przy użyciu własnego sprzętu, statków i samolotów, a czasami w ramach wspólnych operacji z siłami Mauretanii i Senegalu; zwraca uwagę, że Europejskie Centrum Praw Konstytucyjnych i Praw Człowieka (ECCHR), które zwróciło się do </w:t>
            </w:r>
            <w:proofErr w:type="spellStart"/>
            <w:r w:rsidRPr="00641BDE">
              <w:rPr>
                <w:b/>
                <w:i/>
              </w:rPr>
              <w:t>Fronteksu</w:t>
            </w:r>
            <w:proofErr w:type="spellEnd"/>
            <w:r w:rsidRPr="00641BDE">
              <w:rPr>
                <w:b/>
                <w:i/>
              </w:rPr>
              <w:t xml:space="preserve"> o dokumentację na ten temat, poinformowało, że nie jest jasne, jakie „działania kontrolne” przeprowadzono przed powrotami, oraz podkreśliło „braki w rozliczalności i przejrzystości”, przy czym stwierdziło, że „</w:t>
            </w:r>
            <w:proofErr w:type="spellStart"/>
            <w:r w:rsidRPr="00641BDE">
              <w:rPr>
                <w:b/>
                <w:i/>
              </w:rPr>
              <w:t>Frontex</w:t>
            </w:r>
            <w:proofErr w:type="spellEnd"/>
            <w:r w:rsidRPr="00641BDE">
              <w:rPr>
                <w:b/>
                <w:i/>
              </w:rPr>
              <w:t xml:space="preserve"> utajnił istotne części dostarczonych dokumentów, w tym informacje na temat potencjalnych naruszeń praw człowieka”</w:t>
            </w:r>
            <w:r w:rsidRPr="00641BDE">
              <w:rPr>
                <w:b/>
                <w:i/>
                <w:vertAlign w:val="superscript"/>
              </w:rPr>
              <w:t>1a</w:t>
            </w:r>
            <w:r w:rsidRPr="00641BDE">
              <w:rPr>
                <w:b/>
                <w:i/>
              </w:rPr>
              <w:t>;</w:t>
            </w:r>
          </w:p>
        </w:tc>
      </w:tr>
      <w:tr w:rsidR="001D5F6D" w:rsidRPr="00641BDE" w14:paraId="22DF5E3B" w14:textId="77777777" w:rsidTr="007C1C97">
        <w:trPr>
          <w:jc w:val="center"/>
        </w:trPr>
        <w:tc>
          <w:tcPr>
            <w:tcW w:w="4876" w:type="dxa"/>
            <w:tcBorders>
              <w:top w:val="nil"/>
              <w:left w:val="nil"/>
              <w:bottom w:val="nil"/>
              <w:right w:val="nil"/>
            </w:tcBorders>
          </w:tcPr>
          <w:p w14:paraId="57BE2EBA" w14:textId="77777777" w:rsidR="001D5F6D" w:rsidRPr="00641BDE" w:rsidRDefault="001D5F6D" w:rsidP="007C1C97"/>
        </w:tc>
        <w:tc>
          <w:tcPr>
            <w:tcW w:w="4876" w:type="dxa"/>
            <w:tcBorders>
              <w:top w:val="nil"/>
              <w:left w:val="nil"/>
              <w:bottom w:val="nil"/>
              <w:right w:val="nil"/>
            </w:tcBorders>
          </w:tcPr>
          <w:p w14:paraId="361370E9" w14:textId="77777777" w:rsidR="001D5F6D" w:rsidRPr="00641BDE" w:rsidRDefault="001D5F6D" w:rsidP="007C1C97">
            <w:pPr>
              <w:pStyle w:val="Normal6a"/>
            </w:pPr>
            <w:r w:rsidRPr="00641BDE">
              <w:rPr>
                <w:b/>
                <w:i/>
              </w:rPr>
              <w:t>_________________</w:t>
            </w:r>
          </w:p>
        </w:tc>
      </w:tr>
      <w:tr w:rsidR="001D5F6D" w:rsidRPr="00641BDE" w14:paraId="163655CE" w14:textId="77777777" w:rsidTr="007C1C97">
        <w:trPr>
          <w:jc w:val="center"/>
        </w:trPr>
        <w:tc>
          <w:tcPr>
            <w:tcW w:w="4876" w:type="dxa"/>
            <w:tcBorders>
              <w:top w:val="nil"/>
              <w:left w:val="nil"/>
              <w:bottom w:val="nil"/>
              <w:right w:val="nil"/>
            </w:tcBorders>
          </w:tcPr>
          <w:p w14:paraId="6E2ED120" w14:textId="77777777" w:rsidR="001D5F6D" w:rsidRPr="00641BDE" w:rsidRDefault="001D5F6D" w:rsidP="007C1C97"/>
        </w:tc>
        <w:tc>
          <w:tcPr>
            <w:tcW w:w="4876" w:type="dxa"/>
            <w:tcBorders>
              <w:top w:val="nil"/>
              <w:left w:val="nil"/>
              <w:bottom w:val="nil"/>
              <w:right w:val="nil"/>
            </w:tcBorders>
          </w:tcPr>
          <w:p w14:paraId="1519B4B6" w14:textId="77777777" w:rsidR="001D5F6D" w:rsidRPr="00641BDE" w:rsidRDefault="001D5F6D" w:rsidP="007C1C97">
            <w:pPr>
              <w:pStyle w:val="Normal6a"/>
            </w:pPr>
            <w:r w:rsidRPr="00641BDE">
              <w:rPr>
                <w:b/>
                <w:i/>
                <w:vertAlign w:val="superscript"/>
              </w:rPr>
              <w:t>1a</w:t>
            </w:r>
            <w:r w:rsidRPr="00641BDE">
              <w:t xml:space="preserve"> </w:t>
            </w:r>
            <w:r w:rsidRPr="00641BDE">
              <w:rPr>
                <w:b/>
                <w:i/>
              </w:rPr>
              <w:t>https://www.hrw.org/report/2025/08/27/they-accused-me-of-trying-to-go-to-europe/migration-control-abuses-and-eu</w:t>
            </w:r>
          </w:p>
        </w:tc>
      </w:tr>
    </w:tbl>
    <w:p w14:paraId="3D866F57"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696A3C96" w14:textId="77777777" w:rsidR="001D5F6D" w:rsidRPr="00641BDE" w:rsidRDefault="001D5F6D" w:rsidP="001D5F6D">
      <w:r w:rsidRPr="00641BDE">
        <w:rPr>
          <w:rStyle w:val="HideTWBExt"/>
        </w:rPr>
        <w:t>&lt;/Amend&gt;</w:t>
      </w:r>
    </w:p>
    <w:p w14:paraId="285E4639"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57</w:t>
      </w:r>
      <w:r w:rsidRPr="00641BDE">
        <w:rPr>
          <w:rStyle w:val="HideTWBExt"/>
          <w:b w:val="0"/>
        </w:rPr>
        <w:t>&lt;/NumAm&gt;</w:t>
      </w:r>
    </w:p>
    <w:p w14:paraId="43B8CE5A" w14:textId="77777777" w:rsidR="001D5F6D" w:rsidRPr="00641BDE" w:rsidRDefault="001D5F6D" w:rsidP="001D5F6D">
      <w:pPr>
        <w:pStyle w:val="NormalBold"/>
      </w:pPr>
      <w:r w:rsidRPr="00641BDE">
        <w:rPr>
          <w:rStyle w:val="HideTWBExt"/>
          <w:b w:val="0"/>
        </w:rPr>
        <w:t>&lt;RepeatBlock-By&gt;&lt;Members&gt;</w:t>
      </w:r>
      <w:proofErr w:type="spellStart"/>
      <w:r w:rsidRPr="00641BDE">
        <w:t>Jonas</w:t>
      </w:r>
      <w:proofErr w:type="spellEnd"/>
      <w:r w:rsidRPr="00641BDE">
        <w:t xml:space="preserve"> </w:t>
      </w:r>
      <w:proofErr w:type="spellStart"/>
      <w:r w:rsidRPr="00641BDE">
        <w:t>Sjöstedt</w:t>
      </w:r>
      <w:proofErr w:type="spellEnd"/>
      <w:r w:rsidRPr="00641BDE">
        <w:rPr>
          <w:rStyle w:val="HideTWBExt"/>
          <w:b w:val="0"/>
        </w:rPr>
        <w:t>&lt;/Members&gt;</w:t>
      </w:r>
    </w:p>
    <w:p w14:paraId="23D11DC7" w14:textId="77777777" w:rsidR="001D5F6D" w:rsidRPr="00641BDE" w:rsidRDefault="001D5F6D" w:rsidP="001D5F6D">
      <w:pPr>
        <w:pStyle w:val="NormalBold"/>
      </w:pPr>
      <w:r w:rsidRPr="00641BDE">
        <w:rPr>
          <w:rStyle w:val="HideTWBExt"/>
          <w:b w:val="0"/>
        </w:rPr>
        <w:t>&lt;/RepeatBlock-By&gt;</w:t>
      </w:r>
    </w:p>
    <w:p w14:paraId="28700EEC"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DF92CFA" w14:textId="77777777" w:rsidR="001D5F6D" w:rsidRPr="00641BDE" w:rsidRDefault="001D5F6D" w:rsidP="001D5F6D">
      <w:pPr>
        <w:pStyle w:val="NormalBold"/>
      </w:pPr>
      <w:r w:rsidRPr="00641BDE">
        <w:rPr>
          <w:rStyle w:val="HideTWBExt"/>
          <w:b w:val="0"/>
        </w:rPr>
        <w:t>&lt;Article&gt;</w:t>
      </w:r>
      <w:r w:rsidRPr="00641BDE">
        <w:t>Ustęp 15 f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ADF0DEE" w14:textId="77777777" w:rsidTr="007C1C97">
        <w:trPr>
          <w:trHeight w:hRule="exact" w:val="240"/>
          <w:jc w:val="center"/>
        </w:trPr>
        <w:tc>
          <w:tcPr>
            <w:tcW w:w="9752" w:type="dxa"/>
            <w:gridSpan w:val="2"/>
            <w:tcBorders>
              <w:top w:val="nil"/>
              <w:left w:val="nil"/>
              <w:bottom w:val="nil"/>
              <w:right w:val="nil"/>
            </w:tcBorders>
          </w:tcPr>
          <w:p w14:paraId="0B3F6A56" w14:textId="77777777" w:rsidR="001D5F6D" w:rsidRPr="00641BDE" w:rsidRDefault="001D5F6D" w:rsidP="007C1C97"/>
        </w:tc>
      </w:tr>
      <w:tr w:rsidR="001D5F6D" w:rsidRPr="00641BDE" w14:paraId="4C935A12" w14:textId="77777777" w:rsidTr="007C1C97">
        <w:trPr>
          <w:trHeight w:val="240"/>
          <w:jc w:val="center"/>
        </w:trPr>
        <w:tc>
          <w:tcPr>
            <w:tcW w:w="4876" w:type="dxa"/>
            <w:tcBorders>
              <w:top w:val="nil"/>
              <w:left w:val="nil"/>
              <w:bottom w:val="nil"/>
              <w:right w:val="nil"/>
            </w:tcBorders>
          </w:tcPr>
          <w:p w14:paraId="7A262F2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5EB3D17" w14:textId="77777777" w:rsidR="001D5F6D" w:rsidRPr="00641BDE" w:rsidRDefault="001D5F6D" w:rsidP="007C1C97">
            <w:pPr>
              <w:pStyle w:val="AmColumnHeading"/>
            </w:pPr>
            <w:r w:rsidRPr="00641BDE">
              <w:t>Poprawka</w:t>
            </w:r>
          </w:p>
        </w:tc>
      </w:tr>
      <w:tr w:rsidR="001D5F6D" w:rsidRPr="00641BDE" w14:paraId="4EEA2C2D" w14:textId="77777777" w:rsidTr="007C1C97">
        <w:trPr>
          <w:jc w:val="center"/>
        </w:trPr>
        <w:tc>
          <w:tcPr>
            <w:tcW w:w="4876" w:type="dxa"/>
            <w:tcBorders>
              <w:top w:val="nil"/>
              <w:left w:val="nil"/>
              <w:bottom w:val="nil"/>
              <w:right w:val="nil"/>
            </w:tcBorders>
          </w:tcPr>
          <w:p w14:paraId="4BF33FA7" w14:textId="77777777" w:rsidR="001D5F6D" w:rsidRPr="00641BDE" w:rsidRDefault="001D5F6D" w:rsidP="007C1C97">
            <w:pPr>
              <w:pStyle w:val="Normal6a"/>
            </w:pPr>
          </w:p>
        </w:tc>
        <w:tc>
          <w:tcPr>
            <w:tcW w:w="4876" w:type="dxa"/>
            <w:tcBorders>
              <w:top w:val="nil"/>
              <w:left w:val="nil"/>
              <w:bottom w:val="nil"/>
              <w:right w:val="nil"/>
            </w:tcBorders>
          </w:tcPr>
          <w:p w14:paraId="4DDDBEB6" w14:textId="77777777" w:rsidR="001D5F6D" w:rsidRPr="00641BDE" w:rsidRDefault="001D5F6D" w:rsidP="007C1C97">
            <w:pPr>
              <w:pStyle w:val="Normal6a"/>
            </w:pPr>
            <w:r w:rsidRPr="00641BDE">
              <w:rPr>
                <w:b/>
                <w:i/>
              </w:rPr>
              <w:t>15f.</w:t>
            </w:r>
            <w:r w:rsidRPr="00641BDE">
              <w:tab/>
            </w:r>
            <w:r w:rsidRPr="00641BDE">
              <w:rPr>
                <w:b/>
                <w:i/>
              </w:rPr>
              <w:t xml:space="preserve">przypomina, że mandat </w:t>
            </w:r>
            <w:proofErr w:type="spellStart"/>
            <w:r w:rsidRPr="00641BDE">
              <w:rPr>
                <w:b/>
                <w:i/>
              </w:rPr>
              <w:t>Fronteksu</w:t>
            </w:r>
            <w:proofErr w:type="spellEnd"/>
            <w:r w:rsidRPr="00641BDE">
              <w:rPr>
                <w:b/>
                <w:i/>
              </w:rPr>
              <w:t xml:space="preserve"> został znacznie rozszerzony w 2019 r., kiedy to w zmienionym rozporządzeniu poszerzono jego zadania i upoważniono go do utrzymywania stałej służby liczącej 10 000 funkcjonariuszy straży granicznej; zwraca uwagę, że budżet roczny agencji gwałtownie wzrósł ze 142 mln EUR w 2015 r. do 922 mln EUR w 2024 r.;</w:t>
            </w:r>
          </w:p>
        </w:tc>
      </w:tr>
    </w:tbl>
    <w:p w14:paraId="08AD8EF2"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0551902B" w14:textId="77777777" w:rsidR="001D5F6D" w:rsidRPr="00641BDE" w:rsidRDefault="001D5F6D" w:rsidP="001D5F6D">
      <w:r w:rsidRPr="00641BDE">
        <w:rPr>
          <w:rStyle w:val="HideTWBExt"/>
        </w:rPr>
        <w:t>&lt;/Amend&gt;</w:t>
      </w:r>
    </w:p>
    <w:p w14:paraId="25A7AFB8"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58</w:t>
      </w:r>
      <w:r w:rsidRPr="00641BDE">
        <w:rPr>
          <w:rStyle w:val="HideTWBExt"/>
          <w:b w:val="0"/>
        </w:rPr>
        <w:t>&lt;/NumAm&gt;</w:t>
      </w:r>
    </w:p>
    <w:p w14:paraId="2D0CF1D3" w14:textId="77777777" w:rsidR="001D5F6D" w:rsidRPr="00641BDE" w:rsidRDefault="001D5F6D" w:rsidP="001D5F6D">
      <w:pPr>
        <w:pStyle w:val="NormalBold"/>
      </w:pPr>
      <w:r w:rsidRPr="00641BDE">
        <w:rPr>
          <w:rStyle w:val="HideTWBExt"/>
          <w:b w:val="0"/>
        </w:rPr>
        <w:t>&lt;RepeatBlock-By&gt;&lt;Members&gt;</w:t>
      </w:r>
      <w:proofErr w:type="spellStart"/>
      <w:r w:rsidRPr="00641BDE">
        <w:t>Jonas</w:t>
      </w:r>
      <w:proofErr w:type="spellEnd"/>
      <w:r w:rsidRPr="00641BDE">
        <w:t xml:space="preserve"> </w:t>
      </w:r>
      <w:proofErr w:type="spellStart"/>
      <w:r w:rsidRPr="00641BDE">
        <w:t>Sjöstedt</w:t>
      </w:r>
      <w:proofErr w:type="spellEnd"/>
      <w:r w:rsidRPr="00641BDE">
        <w:rPr>
          <w:rStyle w:val="HideTWBExt"/>
          <w:b w:val="0"/>
        </w:rPr>
        <w:t>&lt;/Members&gt;</w:t>
      </w:r>
    </w:p>
    <w:p w14:paraId="64A5E62B" w14:textId="77777777" w:rsidR="001D5F6D" w:rsidRPr="00641BDE" w:rsidRDefault="001D5F6D" w:rsidP="001D5F6D">
      <w:pPr>
        <w:pStyle w:val="NormalBold"/>
      </w:pPr>
      <w:r w:rsidRPr="00641BDE">
        <w:rPr>
          <w:rStyle w:val="HideTWBExt"/>
          <w:b w:val="0"/>
        </w:rPr>
        <w:t>&lt;/RepeatBlock-By&gt;</w:t>
      </w:r>
    </w:p>
    <w:p w14:paraId="4B7BFA81"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E45FC81" w14:textId="77777777" w:rsidR="001D5F6D" w:rsidRPr="00641BDE" w:rsidRDefault="001D5F6D" w:rsidP="001D5F6D">
      <w:pPr>
        <w:pStyle w:val="NormalBold"/>
      </w:pPr>
      <w:r w:rsidRPr="00641BDE">
        <w:rPr>
          <w:rStyle w:val="HideTWBExt"/>
          <w:b w:val="0"/>
        </w:rPr>
        <w:t>&lt;Article&gt;</w:t>
      </w:r>
      <w:r w:rsidRPr="00641BDE">
        <w:t>Ustęp 15 g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434D47B" w14:textId="77777777" w:rsidTr="007C1C97">
        <w:trPr>
          <w:trHeight w:hRule="exact" w:val="240"/>
          <w:jc w:val="center"/>
        </w:trPr>
        <w:tc>
          <w:tcPr>
            <w:tcW w:w="9752" w:type="dxa"/>
            <w:gridSpan w:val="2"/>
            <w:tcBorders>
              <w:top w:val="nil"/>
              <w:left w:val="nil"/>
              <w:bottom w:val="nil"/>
              <w:right w:val="nil"/>
            </w:tcBorders>
          </w:tcPr>
          <w:p w14:paraId="0DF4D24F" w14:textId="77777777" w:rsidR="001D5F6D" w:rsidRPr="00641BDE" w:rsidRDefault="001D5F6D" w:rsidP="007C1C97"/>
        </w:tc>
      </w:tr>
      <w:tr w:rsidR="001D5F6D" w:rsidRPr="00641BDE" w14:paraId="3B40C95E" w14:textId="77777777" w:rsidTr="007C1C97">
        <w:trPr>
          <w:trHeight w:val="240"/>
          <w:jc w:val="center"/>
        </w:trPr>
        <w:tc>
          <w:tcPr>
            <w:tcW w:w="4876" w:type="dxa"/>
            <w:tcBorders>
              <w:top w:val="nil"/>
              <w:left w:val="nil"/>
              <w:bottom w:val="nil"/>
              <w:right w:val="nil"/>
            </w:tcBorders>
          </w:tcPr>
          <w:p w14:paraId="79C81380"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BA104C6" w14:textId="77777777" w:rsidR="001D5F6D" w:rsidRPr="00641BDE" w:rsidRDefault="001D5F6D" w:rsidP="007C1C97">
            <w:pPr>
              <w:pStyle w:val="AmColumnHeading"/>
            </w:pPr>
            <w:r w:rsidRPr="00641BDE">
              <w:t>Poprawka</w:t>
            </w:r>
          </w:p>
        </w:tc>
      </w:tr>
      <w:tr w:rsidR="001D5F6D" w:rsidRPr="00641BDE" w14:paraId="0860A177" w14:textId="77777777" w:rsidTr="007C1C97">
        <w:trPr>
          <w:jc w:val="center"/>
        </w:trPr>
        <w:tc>
          <w:tcPr>
            <w:tcW w:w="4876" w:type="dxa"/>
            <w:tcBorders>
              <w:top w:val="nil"/>
              <w:left w:val="nil"/>
              <w:bottom w:val="nil"/>
              <w:right w:val="nil"/>
            </w:tcBorders>
          </w:tcPr>
          <w:p w14:paraId="3F79DFC8" w14:textId="77777777" w:rsidR="001D5F6D" w:rsidRPr="00641BDE" w:rsidRDefault="001D5F6D" w:rsidP="007C1C97">
            <w:pPr>
              <w:pStyle w:val="Normal6a"/>
            </w:pPr>
          </w:p>
        </w:tc>
        <w:tc>
          <w:tcPr>
            <w:tcW w:w="4876" w:type="dxa"/>
            <w:tcBorders>
              <w:top w:val="nil"/>
              <w:left w:val="nil"/>
              <w:bottom w:val="nil"/>
              <w:right w:val="nil"/>
            </w:tcBorders>
          </w:tcPr>
          <w:p w14:paraId="418AE42E" w14:textId="77777777" w:rsidR="001D5F6D" w:rsidRPr="00641BDE" w:rsidRDefault="001D5F6D" w:rsidP="007C1C97">
            <w:pPr>
              <w:pStyle w:val="Normal6a"/>
            </w:pPr>
            <w:r w:rsidRPr="00641BDE">
              <w:rPr>
                <w:b/>
                <w:i/>
              </w:rPr>
              <w:t>15g.</w:t>
            </w:r>
            <w:r w:rsidRPr="00641BDE">
              <w:tab/>
            </w:r>
            <w:r w:rsidRPr="00641BDE">
              <w:rPr>
                <w:b/>
                <w:i/>
              </w:rPr>
              <w:t xml:space="preserve">zauważa, że brak przejrzystości podważa interes publiczny w pociąganiu instytucji UE do odpowiedzialności i ogranicza nadzór ze strony społeczeństwa obywatelskiego; zauważa, że europejscy podatnicy mają prawo do informacji o tym, w jaki sposób </w:t>
            </w:r>
            <w:proofErr w:type="spellStart"/>
            <w:r w:rsidRPr="00641BDE">
              <w:rPr>
                <w:b/>
                <w:i/>
              </w:rPr>
              <w:t>Frontex</w:t>
            </w:r>
            <w:proofErr w:type="spellEnd"/>
            <w:r w:rsidRPr="00641BDE">
              <w:rPr>
                <w:b/>
                <w:i/>
              </w:rPr>
              <w:t xml:space="preserve"> wykorzystuje inwigilację z powietrza, aby umożliwić przechwytywanie ludzi przez siły libijskie – z pełną świadomością arbitralnych zatrzymań, przemocy i wyzysku, na jakie narażone są osoby powracające do Libii – zamiast ratowania i sprowadzania ich na ląd w bezpiecznym miejscu</w:t>
            </w:r>
            <w:r w:rsidRPr="00641BDE">
              <w:rPr>
                <w:b/>
                <w:i/>
                <w:vertAlign w:val="superscript"/>
              </w:rPr>
              <w:t>1a</w:t>
            </w:r>
            <w:r w:rsidRPr="00641BDE">
              <w:rPr>
                <w:b/>
                <w:i/>
              </w:rPr>
              <w:t>;</w:t>
            </w:r>
          </w:p>
        </w:tc>
      </w:tr>
      <w:tr w:rsidR="001D5F6D" w:rsidRPr="00641BDE" w14:paraId="691798B4" w14:textId="77777777" w:rsidTr="007C1C97">
        <w:trPr>
          <w:jc w:val="center"/>
        </w:trPr>
        <w:tc>
          <w:tcPr>
            <w:tcW w:w="4876" w:type="dxa"/>
            <w:tcBorders>
              <w:top w:val="nil"/>
              <w:left w:val="nil"/>
              <w:bottom w:val="nil"/>
              <w:right w:val="nil"/>
            </w:tcBorders>
          </w:tcPr>
          <w:p w14:paraId="7E1F0328" w14:textId="77777777" w:rsidR="001D5F6D" w:rsidRPr="00641BDE" w:rsidRDefault="001D5F6D" w:rsidP="007C1C97"/>
        </w:tc>
        <w:tc>
          <w:tcPr>
            <w:tcW w:w="4876" w:type="dxa"/>
            <w:tcBorders>
              <w:top w:val="nil"/>
              <w:left w:val="nil"/>
              <w:bottom w:val="nil"/>
              <w:right w:val="nil"/>
            </w:tcBorders>
          </w:tcPr>
          <w:p w14:paraId="06C906D4" w14:textId="77777777" w:rsidR="001D5F6D" w:rsidRPr="00641BDE" w:rsidRDefault="001D5F6D" w:rsidP="007C1C97">
            <w:pPr>
              <w:pStyle w:val="Normal6a"/>
            </w:pPr>
            <w:r w:rsidRPr="00641BDE">
              <w:rPr>
                <w:b/>
                <w:i/>
              </w:rPr>
              <w:t>_________________</w:t>
            </w:r>
          </w:p>
        </w:tc>
      </w:tr>
      <w:tr w:rsidR="001D5F6D" w:rsidRPr="00641BDE" w14:paraId="20B646C1" w14:textId="77777777" w:rsidTr="007C1C97">
        <w:trPr>
          <w:jc w:val="center"/>
        </w:trPr>
        <w:tc>
          <w:tcPr>
            <w:tcW w:w="4876" w:type="dxa"/>
            <w:tcBorders>
              <w:top w:val="nil"/>
              <w:left w:val="nil"/>
              <w:bottom w:val="nil"/>
              <w:right w:val="nil"/>
            </w:tcBorders>
          </w:tcPr>
          <w:p w14:paraId="494A193E" w14:textId="77777777" w:rsidR="001D5F6D" w:rsidRPr="00641BDE" w:rsidRDefault="001D5F6D" w:rsidP="007C1C97"/>
        </w:tc>
        <w:tc>
          <w:tcPr>
            <w:tcW w:w="4876" w:type="dxa"/>
            <w:tcBorders>
              <w:top w:val="nil"/>
              <w:left w:val="nil"/>
              <w:bottom w:val="nil"/>
              <w:right w:val="nil"/>
            </w:tcBorders>
          </w:tcPr>
          <w:p w14:paraId="3AB72FEC" w14:textId="77777777" w:rsidR="001D5F6D" w:rsidRPr="00641BDE" w:rsidRDefault="001D5F6D" w:rsidP="007C1C97">
            <w:pPr>
              <w:pStyle w:val="Normal6a"/>
            </w:pPr>
            <w:r w:rsidRPr="00641BDE">
              <w:rPr>
                <w:b/>
                <w:i/>
                <w:vertAlign w:val="superscript"/>
              </w:rPr>
              <w:t>1a</w:t>
            </w:r>
            <w:r w:rsidRPr="00641BDE">
              <w:t xml:space="preserve"> </w:t>
            </w:r>
            <w:r w:rsidRPr="00641BDE">
              <w:rPr>
                <w:b/>
                <w:i/>
              </w:rPr>
              <w:t>https://www.hrw.org/news/2024/04/24/eu-misses-opportunity-frontex-transparency-accountability</w:t>
            </w:r>
          </w:p>
        </w:tc>
      </w:tr>
    </w:tbl>
    <w:p w14:paraId="0BC521A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4A988DF" w14:textId="77777777" w:rsidR="001D5F6D" w:rsidRPr="00641BDE" w:rsidRDefault="001D5F6D" w:rsidP="001D5F6D">
      <w:r w:rsidRPr="00641BDE">
        <w:rPr>
          <w:rStyle w:val="HideTWBExt"/>
        </w:rPr>
        <w:t>&lt;/Amend&gt;</w:t>
      </w:r>
    </w:p>
    <w:p w14:paraId="22560C08"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59</w:t>
      </w:r>
      <w:r w:rsidRPr="00641BDE">
        <w:rPr>
          <w:rStyle w:val="HideTWBExt"/>
          <w:b w:val="0"/>
        </w:rPr>
        <w:t>&lt;/NumAm&gt;</w:t>
      </w:r>
    </w:p>
    <w:p w14:paraId="5A18515E"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71F66168" w14:textId="77777777" w:rsidR="001D5F6D" w:rsidRPr="00641BDE" w:rsidRDefault="001D5F6D" w:rsidP="001D5F6D">
      <w:pPr>
        <w:pStyle w:val="NormalBold"/>
      </w:pPr>
      <w:r w:rsidRPr="00641BDE">
        <w:rPr>
          <w:rStyle w:val="HideTWBExt"/>
          <w:b w:val="0"/>
        </w:rPr>
        <w:t>&lt;/RepeatBlock-By&gt;</w:t>
      </w:r>
    </w:p>
    <w:p w14:paraId="1403BFF4"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EE7C024" w14:textId="77777777" w:rsidR="001D5F6D" w:rsidRPr="00641BDE" w:rsidRDefault="001D5F6D" w:rsidP="001D5F6D">
      <w:pPr>
        <w:pStyle w:val="NormalBold"/>
      </w:pPr>
      <w:r w:rsidRPr="00641BDE">
        <w:rPr>
          <w:rStyle w:val="HideTWBExt"/>
          <w:b w:val="0"/>
        </w:rPr>
        <w:t>&lt;Article&gt;</w:t>
      </w:r>
      <w:r w:rsidRPr="00641BDE">
        <w:t>Ustęp 16</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55810EA" w14:textId="77777777" w:rsidTr="007C1C97">
        <w:trPr>
          <w:trHeight w:hRule="exact" w:val="240"/>
          <w:jc w:val="center"/>
        </w:trPr>
        <w:tc>
          <w:tcPr>
            <w:tcW w:w="9752" w:type="dxa"/>
            <w:gridSpan w:val="2"/>
            <w:tcBorders>
              <w:top w:val="nil"/>
              <w:left w:val="nil"/>
              <w:bottom w:val="nil"/>
              <w:right w:val="nil"/>
            </w:tcBorders>
          </w:tcPr>
          <w:p w14:paraId="4BC31060" w14:textId="77777777" w:rsidR="001D5F6D" w:rsidRPr="00641BDE" w:rsidRDefault="001D5F6D" w:rsidP="007C1C97"/>
        </w:tc>
      </w:tr>
      <w:tr w:rsidR="001D5F6D" w:rsidRPr="00641BDE" w14:paraId="525AFE9A" w14:textId="77777777" w:rsidTr="007C1C97">
        <w:trPr>
          <w:trHeight w:val="240"/>
          <w:jc w:val="center"/>
        </w:trPr>
        <w:tc>
          <w:tcPr>
            <w:tcW w:w="4876" w:type="dxa"/>
            <w:tcBorders>
              <w:top w:val="nil"/>
              <w:left w:val="nil"/>
              <w:bottom w:val="nil"/>
              <w:right w:val="nil"/>
            </w:tcBorders>
          </w:tcPr>
          <w:p w14:paraId="6E8D92E8"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849CD6F" w14:textId="77777777" w:rsidR="001D5F6D" w:rsidRPr="00641BDE" w:rsidRDefault="001D5F6D" w:rsidP="007C1C97">
            <w:pPr>
              <w:pStyle w:val="AmColumnHeading"/>
            </w:pPr>
            <w:r w:rsidRPr="00641BDE">
              <w:t>Poprawka</w:t>
            </w:r>
          </w:p>
        </w:tc>
      </w:tr>
      <w:tr w:rsidR="001D5F6D" w:rsidRPr="00641BDE" w14:paraId="2AAA4EF8" w14:textId="77777777" w:rsidTr="007C1C97">
        <w:trPr>
          <w:jc w:val="center"/>
        </w:trPr>
        <w:tc>
          <w:tcPr>
            <w:tcW w:w="4876" w:type="dxa"/>
            <w:tcBorders>
              <w:top w:val="nil"/>
              <w:left w:val="nil"/>
              <w:bottom w:val="nil"/>
              <w:right w:val="nil"/>
            </w:tcBorders>
          </w:tcPr>
          <w:p w14:paraId="07E64DA3" w14:textId="77777777" w:rsidR="001D5F6D" w:rsidRPr="00641BDE" w:rsidRDefault="001D5F6D" w:rsidP="007C1C97">
            <w:pPr>
              <w:pStyle w:val="Normal6a"/>
            </w:pPr>
            <w:r w:rsidRPr="00641BDE">
              <w:t>16.</w:t>
            </w:r>
            <w:r w:rsidRPr="00641BDE">
              <w:tab/>
              <w:t xml:space="preserve">odnotowuje, że brak klauzul </w:t>
            </w:r>
            <w:proofErr w:type="spellStart"/>
            <w:r w:rsidRPr="00641BDE">
              <w:t>opt</w:t>
            </w:r>
            <w:proofErr w:type="spellEnd"/>
            <w:r w:rsidRPr="00641BDE">
              <w:t xml:space="preserve">-out (klauzul o rozwiązaniu umowy) umożliwiających wcześniejsze rozwiązanie umów najmu nadal stanowi ryzyko finansowe dla agencji Unii; przypomina, że znaczenie uwzględniania takich klauzul w umowach najmu podkreślono w związku z trudną sytuacją, w jakiej znalazła się Europejska Agencja Leków (EMA) po </w:t>
            </w:r>
            <w:proofErr w:type="spellStart"/>
            <w:r w:rsidRPr="00641BDE">
              <w:t>brexicie</w:t>
            </w:r>
            <w:proofErr w:type="spellEnd"/>
            <w:r w:rsidRPr="00641BDE">
              <w:t xml:space="preserve">, gdy nie mogła rozwiązać długoterminowej umowy najmu w Londynie i w rezultacie musiała opłacać czynsz zarówno w Londynie, jak i w Amsterdamie; przyjmuje do wiadomości, że od 2019 r. kilka agencji wprowadziło klauzule o rozwiązaniu umowy, </w:t>
            </w:r>
            <w:r w:rsidRPr="00641BDE">
              <w:rPr>
                <w:b/>
                <w:i/>
              </w:rPr>
              <w:t>lecz zauważa</w:t>
            </w:r>
            <w:r w:rsidRPr="00641BDE">
              <w:t xml:space="preserve">, że nie wszystkie agencje to uczyniły, w tym w przypadkach, gdy podpisano nowe lub odnowione umowy najmu </w:t>
            </w:r>
            <w:r w:rsidRPr="00641BDE">
              <w:rPr>
                <w:b/>
                <w:i/>
              </w:rPr>
              <w:t>bez takich postanowień</w:t>
            </w:r>
            <w:r w:rsidRPr="00641BDE">
              <w:t xml:space="preserve">; wzywa agencje oraz Komisję do </w:t>
            </w:r>
            <w:r w:rsidRPr="00641BDE">
              <w:rPr>
                <w:b/>
                <w:i/>
              </w:rPr>
              <w:t>systematycznej oceny potrzeby</w:t>
            </w:r>
            <w:r w:rsidRPr="00641BDE">
              <w:t xml:space="preserve"> wprowadzania </w:t>
            </w:r>
            <w:r w:rsidRPr="00641BDE">
              <w:rPr>
                <w:b/>
                <w:i/>
              </w:rPr>
              <w:t>klauzul</w:t>
            </w:r>
            <w:r w:rsidRPr="00641BDE">
              <w:t xml:space="preserve"> o rozwiązaniu umowy podczas negocjowania lub odnawiania umów najmu</w:t>
            </w:r>
            <w:r w:rsidRPr="00641BDE">
              <w:rPr>
                <w:b/>
                <w:i/>
              </w:rPr>
              <w:t>, z uwzględnieniem wniosków z dotychczasowych doświadczeń</w:t>
            </w:r>
            <w:r w:rsidRPr="00641BDE">
              <w:t>, aby ograniczyć ekspozycję finansową i zapewnić większą elastyczność budżetową;</w:t>
            </w:r>
          </w:p>
        </w:tc>
        <w:tc>
          <w:tcPr>
            <w:tcW w:w="4876" w:type="dxa"/>
            <w:tcBorders>
              <w:top w:val="nil"/>
              <w:left w:val="nil"/>
              <w:bottom w:val="nil"/>
              <w:right w:val="nil"/>
            </w:tcBorders>
          </w:tcPr>
          <w:p w14:paraId="293D2B13" w14:textId="77777777" w:rsidR="001D5F6D" w:rsidRPr="00641BDE" w:rsidRDefault="001D5F6D" w:rsidP="007C1C97">
            <w:pPr>
              <w:pStyle w:val="Normal6a"/>
            </w:pPr>
            <w:r w:rsidRPr="00641BDE">
              <w:t>16.</w:t>
            </w:r>
            <w:r w:rsidRPr="00641BDE">
              <w:tab/>
              <w:t xml:space="preserve">odnotowuje, że brak klauzul </w:t>
            </w:r>
            <w:proofErr w:type="spellStart"/>
            <w:r w:rsidRPr="00641BDE">
              <w:t>opt</w:t>
            </w:r>
            <w:proofErr w:type="spellEnd"/>
            <w:r w:rsidRPr="00641BDE">
              <w:t xml:space="preserve">-out (klauzul o rozwiązaniu umowy) umożliwiających wcześniejsze rozwiązanie umów najmu nadal stanowi ryzyko finansowe dla agencji Unii; przypomina, że znaczenie uwzględniania takich klauzul w umowach najmu podkreślono w związku z trudną sytuacją, w jakiej znalazła się Europejska Agencja Leków (EMA) po </w:t>
            </w:r>
            <w:proofErr w:type="spellStart"/>
            <w:r w:rsidRPr="00641BDE">
              <w:t>brexicie</w:t>
            </w:r>
            <w:proofErr w:type="spellEnd"/>
            <w:r w:rsidRPr="00641BDE">
              <w:t xml:space="preserve">, gdy nie mogła rozwiązać długoterminowej umowy najmu w Londynie i w rezultacie musiała opłacać czynsz zarówno w Londynie, jak i w Amsterdamie; przyjmuje do wiadomości, że od 2019 r. kilka agencji wprowadziło klauzule o rozwiązaniu umowy, </w:t>
            </w:r>
            <w:r w:rsidRPr="00641BDE">
              <w:rPr>
                <w:b/>
                <w:i/>
              </w:rPr>
              <w:t>i ubolewa</w:t>
            </w:r>
            <w:r w:rsidRPr="00641BDE">
              <w:t xml:space="preserve">, że nie wszystkie agencje to uczyniły, w tym w przypadkach, gdy podpisano nowe lub odnowione umowy najmu; wzywa agencje oraz Komisję do </w:t>
            </w:r>
            <w:r w:rsidRPr="00641BDE">
              <w:rPr>
                <w:b/>
                <w:i/>
              </w:rPr>
              <w:t>systematycznego</w:t>
            </w:r>
            <w:r w:rsidRPr="00641BDE">
              <w:t xml:space="preserve"> wprowadzania </w:t>
            </w:r>
            <w:r w:rsidRPr="00641BDE">
              <w:rPr>
                <w:b/>
                <w:i/>
              </w:rPr>
              <w:t>klauzuli</w:t>
            </w:r>
            <w:r w:rsidRPr="00641BDE">
              <w:t xml:space="preserve"> o rozwiązaniu umowy podczas negocjowania lub odnawiania umów najmu, aby ograniczyć ekspozycję finansową i zapewnić większą elastyczność budżetową;</w:t>
            </w:r>
          </w:p>
        </w:tc>
      </w:tr>
    </w:tbl>
    <w:p w14:paraId="62A45C7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67CB319" w14:textId="77777777" w:rsidR="001D5F6D" w:rsidRPr="00641BDE" w:rsidRDefault="001D5F6D" w:rsidP="001D5F6D">
      <w:r w:rsidRPr="00641BDE">
        <w:rPr>
          <w:rStyle w:val="HideTWBExt"/>
        </w:rPr>
        <w:t>&lt;/Amend&gt;</w:t>
      </w:r>
    </w:p>
    <w:p w14:paraId="4C0C56E5"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60</w:t>
      </w:r>
      <w:r w:rsidRPr="00641BDE">
        <w:rPr>
          <w:rStyle w:val="HideTWBExt"/>
          <w:b w:val="0"/>
        </w:rPr>
        <w:t>&lt;/NumAm&gt;</w:t>
      </w:r>
    </w:p>
    <w:p w14:paraId="106E62AA"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75CBD491" w14:textId="77777777" w:rsidR="001D5F6D" w:rsidRPr="00641BDE" w:rsidRDefault="001D5F6D" w:rsidP="001D5F6D">
      <w:pPr>
        <w:pStyle w:val="NormalBold"/>
      </w:pPr>
      <w:r w:rsidRPr="00641BDE">
        <w:rPr>
          <w:rStyle w:val="HideTWBExt"/>
          <w:b w:val="0"/>
        </w:rPr>
        <w:t>&lt;/RepeatBlock-By&gt;</w:t>
      </w:r>
    </w:p>
    <w:p w14:paraId="27A6C373"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3A4E785" w14:textId="77777777" w:rsidR="001D5F6D" w:rsidRPr="00641BDE" w:rsidRDefault="001D5F6D" w:rsidP="001D5F6D">
      <w:pPr>
        <w:pStyle w:val="NormalBold"/>
      </w:pPr>
      <w:r w:rsidRPr="00641BDE">
        <w:rPr>
          <w:rStyle w:val="HideTWBExt"/>
          <w:b w:val="0"/>
        </w:rPr>
        <w:t>&lt;Article&gt;</w:t>
      </w:r>
      <w:r w:rsidRPr="00641BDE">
        <w:t>Ustęp 16</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A30DA5E" w14:textId="77777777" w:rsidTr="007C1C97">
        <w:trPr>
          <w:trHeight w:hRule="exact" w:val="240"/>
          <w:jc w:val="center"/>
        </w:trPr>
        <w:tc>
          <w:tcPr>
            <w:tcW w:w="9752" w:type="dxa"/>
            <w:gridSpan w:val="2"/>
            <w:tcBorders>
              <w:top w:val="nil"/>
              <w:left w:val="nil"/>
              <w:bottom w:val="nil"/>
              <w:right w:val="nil"/>
            </w:tcBorders>
          </w:tcPr>
          <w:p w14:paraId="2852C3DE" w14:textId="77777777" w:rsidR="001D5F6D" w:rsidRPr="00641BDE" w:rsidRDefault="001D5F6D" w:rsidP="007C1C97"/>
        </w:tc>
      </w:tr>
      <w:tr w:rsidR="001D5F6D" w:rsidRPr="00641BDE" w14:paraId="510945A4" w14:textId="77777777" w:rsidTr="007C1C97">
        <w:trPr>
          <w:trHeight w:val="240"/>
          <w:jc w:val="center"/>
        </w:trPr>
        <w:tc>
          <w:tcPr>
            <w:tcW w:w="4876" w:type="dxa"/>
            <w:tcBorders>
              <w:top w:val="nil"/>
              <w:left w:val="nil"/>
              <w:bottom w:val="nil"/>
              <w:right w:val="nil"/>
            </w:tcBorders>
          </w:tcPr>
          <w:p w14:paraId="0F35FCE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533D89A" w14:textId="77777777" w:rsidR="001D5F6D" w:rsidRPr="00641BDE" w:rsidRDefault="001D5F6D" w:rsidP="007C1C97">
            <w:pPr>
              <w:pStyle w:val="AmColumnHeading"/>
            </w:pPr>
            <w:r w:rsidRPr="00641BDE">
              <w:t>Poprawka</w:t>
            </w:r>
          </w:p>
        </w:tc>
      </w:tr>
      <w:tr w:rsidR="001D5F6D" w:rsidRPr="00641BDE" w14:paraId="0CA9D98B" w14:textId="77777777" w:rsidTr="007C1C97">
        <w:trPr>
          <w:jc w:val="center"/>
        </w:trPr>
        <w:tc>
          <w:tcPr>
            <w:tcW w:w="4876" w:type="dxa"/>
            <w:tcBorders>
              <w:top w:val="nil"/>
              <w:left w:val="nil"/>
              <w:bottom w:val="nil"/>
              <w:right w:val="nil"/>
            </w:tcBorders>
          </w:tcPr>
          <w:p w14:paraId="6BC1792B" w14:textId="77777777" w:rsidR="001D5F6D" w:rsidRPr="00641BDE" w:rsidRDefault="001D5F6D" w:rsidP="007C1C97">
            <w:pPr>
              <w:pStyle w:val="Normal6a"/>
            </w:pPr>
            <w:r w:rsidRPr="00641BDE">
              <w:t>16.</w:t>
            </w:r>
            <w:r w:rsidRPr="00641BDE">
              <w:tab/>
              <w:t xml:space="preserve">odnotowuje, że brak klauzul </w:t>
            </w:r>
            <w:proofErr w:type="spellStart"/>
            <w:r w:rsidRPr="00641BDE">
              <w:t>opt</w:t>
            </w:r>
            <w:proofErr w:type="spellEnd"/>
            <w:r w:rsidRPr="00641BDE">
              <w:t xml:space="preserve">-out (klauzul o rozwiązaniu umowy) umożliwiających wcześniejsze rozwiązanie umów najmu nadal stanowi ryzyko finansowe dla agencji Unii; przypomina, że znaczenie uwzględniania takich klauzul w umowach najmu podkreślono w związku z trudną sytuacją, w jakiej znalazła się Europejska Agencja Leków (EMA) po </w:t>
            </w:r>
            <w:proofErr w:type="spellStart"/>
            <w:r w:rsidRPr="00641BDE">
              <w:t>brexicie</w:t>
            </w:r>
            <w:proofErr w:type="spellEnd"/>
            <w:r w:rsidRPr="00641BDE">
              <w:t xml:space="preserve">, gdy nie mogła rozwiązać długoterminowej umowy najmu w Londynie i w rezultacie musiała opłacać czynsz zarówno w Londynie, jak i w Amsterdamie; przyjmuje do wiadomości, że od 2019 r. kilka agencji wprowadziło klauzule o rozwiązaniu umowy, lecz zauważa, że nie wszystkie agencje to uczyniły, w tym w przypadkach, gdy podpisano nowe lub odnowione umowy najmu bez takich postanowień; wzywa agencje oraz Komisję do </w:t>
            </w:r>
            <w:r w:rsidRPr="00641BDE">
              <w:rPr>
                <w:b/>
                <w:i/>
              </w:rPr>
              <w:t>systematycznej oceny potrzeby</w:t>
            </w:r>
            <w:r w:rsidRPr="00641BDE">
              <w:t xml:space="preserve"> wprowadzania klauzul o rozwiązaniu umowy podczas negocjowania lub odnawiania umów najmu, z uwzględnieniem wniosków z dotychczasowych doświadczeń, aby ograniczyć ekspozycję finansową i </w:t>
            </w:r>
            <w:r w:rsidRPr="00641BDE">
              <w:rPr>
                <w:b/>
                <w:i/>
              </w:rPr>
              <w:t>zapewnić większą elastyczność budżetową</w:t>
            </w:r>
            <w:r w:rsidRPr="00641BDE">
              <w:t>;</w:t>
            </w:r>
          </w:p>
        </w:tc>
        <w:tc>
          <w:tcPr>
            <w:tcW w:w="4876" w:type="dxa"/>
            <w:tcBorders>
              <w:top w:val="nil"/>
              <w:left w:val="nil"/>
              <w:bottom w:val="nil"/>
              <w:right w:val="nil"/>
            </w:tcBorders>
          </w:tcPr>
          <w:p w14:paraId="78526998" w14:textId="77777777" w:rsidR="001D5F6D" w:rsidRPr="00641BDE" w:rsidRDefault="001D5F6D" w:rsidP="007C1C97">
            <w:pPr>
              <w:pStyle w:val="Normal6a"/>
            </w:pPr>
            <w:r w:rsidRPr="00641BDE">
              <w:t>16.</w:t>
            </w:r>
            <w:r w:rsidRPr="00641BDE">
              <w:tab/>
            </w:r>
            <w:r w:rsidRPr="00641BDE">
              <w:rPr>
                <w:b/>
                <w:i/>
              </w:rPr>
              <w:t xml:space="preserve">z zaniepokojeniem </w:t>
            </w:r>
            <w:r w:rsidRPr="00641BDE">
              <w:t xml:space="preserve">odnotowuje, że brak klauzul </w:t>
            </w:r>
            <w:proofErr w:type="spellStart"/>
            <w:r w:rsidRPr="00641BDE">
              <w:t>opt</w:t>
            </w:r>
            <w:proofErr w:type="spellEnd"/>
            <w:r w:rsidRPr="00641BDE">
              <w:t>-out (klauzul o rozwiązaniu umowy) umożliwiających wcześniejsze rozwiązanie umów najmu nadal stanowi ryzyko finansowe dla agencji Unii; przypomina, że znaczenie uwzględniania takich klauzul w umowach najmu podkreślono w związku z trudną sytuacją, w jakiej znalazła się Europejska Agencja Leków (EMA</w:t>
            </w:r>
            <w:r w:rsidRPr="00641BDE">
              <w:rPr>
                <w:b/>
                <w:i/>
              </w:rPr>
              <w:t>, ponieważ może ona być zobowiązana do zapłaty 543 mln EUR za wynajęcie swojej dawnej siedziby w Londynie do 2039 r. pomimo podnajmu tej siedziby spółce, która niedawno renegocjowała tę umowę i uzyskała obniżenie czynszu; w związku z tym ubolewa, że pod koniec 2024 r. EMA utworzyła rezerwę z tytułu umowy rodzącej obciążenia na kwotę 122,1 mln EUR, częściowo zwróconą przez KE</w:t>
            </w:r>
            <w:r w:rsidRPr="00641BDE">
              <w:t xml:space="preserve">) po </w:t>
            </w:r>
            <w:proofErr w:type="spellStart"/>
            <w:r w:rsidRPr="00641BDE">
              <w:t>brexicie</w:t>
            </w:r>
            <w:proofErr w:type="spellEnd"/>
            <w:r w:rsidRPr="00641BDE">
              <w:t>, gdy nie mogła rozwiązać długoterminowej umowy najmu w Londynie i w rezultacie musiała opłacać czynsz zarówno w Londynie, jak i w Amsterdamie; przyjmuje do wiadomości, że od 2019 r. kilka agencji wprowadziło klauzule o rozwiązaniu umowy, lecz zauważa, że nie wszystkie agencje to uczyniły, w tym w przypadkach, gdy podpisano nowe lub odnowione umowy najmu bez takich postanowień</w:t>
            </w:r>
            <w:r w:rsidRPr="00641BDE">
              <w:rPr>
                <w:b/>
                <w:i/>
              </w:rPr>
              <w:t>, co świadczy o godnym ubolewania amatorstwie, a nawet obojętności w kwestii wykorzystania pieniędzy podatników w państwach członkowskich UE</w:t>
            </w:r>
            <w:r w:rsidRPr="00641BDE">
              <w:t xml:space="preserve">; wzywa agencje oraz Komisję do </w:t>
            </w:r>
            <w:r w:rsidRPr="00641BDE">
              <w:rPr>
                <w:b/>
                <w:i/>
              </w:rPr>
              <w:t>systematycznego</w:t>
            </w:r>
            <w:r w:rsidRPr="00641BDE">
              <w:t xml:space="preserve"> wprowadzania </w:t>
            </w:r>
            <w:r w:rsidRPr="00641BDE">
              <w:rPr>
                <w:b/>
                <w:i/>
              </w:rPr>
              <w:t>takich</w:t>
            </w:r>
            <w:r w:rsidRPr="00641BDE">
              <w:t xml:space="preserve"> klauzul o rozwiązaniu umowy podczas negocjowania lub odnawiania umów najmu, z uwzględnieniem wniosków z dotychczasowych doświadczeń, aby ograniczyć ekspozycję finansową i </w:t>
            </w:r>
            <w:r w:rsidRPr="00641BDE">
              <w:rPr>
                <w:b/>
                <w:i/>
              </w:rPr>
              <w:t>zaprzestać marnotrawienia w ten sposób pieniędzy obywateli państw członkowskich UE</w:t>
            </w:r>
            <w:r w:rsidRPr="00641BDE">
              <w:t>;</w:t>
            </w:r>
          </w:p>
        </w:tc>
      </w:tr>
    </w:tbl>
    <w:p w14:paraId="6B0B5D92"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2E118D18" w14:textId="77777777" w:rsidR="001D5F6D" w:rsidRPr="00641BDE" w:rsidRDefault="001D5F6D" w:rsidP="001D5F6D">
      <w:r w:rsidRPr="00641BDE">
        <w:rPr>
          <w:rStyle w:val="HideTWBExt"/>
        </w:rPr>
        <w:t>&lt;/Amend&gt;</w:t>
      </w:r>
    </w:p>
    <w:p w14:paraId="6628C6F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61</w:t>
      </w:r>
      <w:r w:rsidRPr="00641BDE">
        <w:rPr>
          <w:rStyle w:val="HideTWBExt"/>
          <w:b w:val="0"/>
        </w:rPr>
        <w:t>&lt;/NumAm&gt;</w:t>
      </w:r>
    </w:p>
    <w:p w14:paraId="45657D32"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6180B8FC" w14:textId="77777777" w:rsidR="001D5F6D" w:rsidRPr="00641BDE" w:rsidRDefault="001D5F6D" w:rsidP="001D5F6D">
      <w:pPr>
        <w:pStyle w:val="NormalBold"/>
      </w:pPr>
      <w:r w:rsidRPr="00641BDE">
        <w:rPr>
          <w:rStyle w:val="HideTWBExt"/>
          <w:b w:val="0"/>
        </w:rPr>
        <w:t>&lt;/RepeatBlock-By&gt;</w:t>
      </w:r>
    </w:p>
    <w:p w14:paraId="224582E0"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FBA915B" w14:textId="77777777" w:rsidR="001D5F6D" w:rsidRPr="00641BDE" w:rsidRDefault="001D5F6D" w:rsidP="001D5F6D">
      <w:pPr>
        <w:pStyle w:val="NormalBold"/>
      </w:pPr>
      <w:r w:rsidRPr="00641BDE">
        <w:rPr>
          <w:rStyle w:val="HideTWBExt"/>
          <w:b w:val="0"/>
        </w:rPr>
        <w:t>&lt;Article&gt;</w:t>
      </w:r>
      <w:r w:rsidRPr="00641BDE">
        <w:t>Ustęp 17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B7F4307" w14:textId="77777777" w:rsidTr="007C1C97">
        <w:trPr>
          <w:trHeight w:hRule="exact" w:val="240"/>
          <w:jc w:val="center"/>
        </w:trPr>
        <w:tc>
          <w:tcPr>
            <w:tcW w:w="9752" w:type="dxa"/>
            <w:gridSpan w:val="2"/>
            <w:tcBorders>
              <w:top w:val="nil"/>
              <w:left w:val="nil"/>
              <w:bottom w:val="nil"/>
              <w:right w:val="nil"/>
            </w:tcBorders>
          </w:tcPr>
          <w:p w14:paraId="136742ED" w14:textId="77777777" w:rsidR="001D5F6D" w:rsidRPr="00641BDE" w:rsidRDefault="001D5F6D" w:rsidP="007C1C97"/>
        </w:tc>
      </w:tr>
      <w:tr w:rsidR="001D5F6D" w:rsidRPr="00641BDE" w14:paraId="5F04EA96" w14:textId="77777777" w:rsidTr="007C1C97">
        <w:trPr>
          <w:trHeight w:val="240"/>
          <w:jc w:val="center"/>
        </w:trPr>
        <w:tc>
          <w:tcPr>
            <w:tcW w:w="4876" w:type="dxa"/>
            <w:tcBorders>
              <w:top w:val="nil"/>
              <w:left w:val="nil"/>
              <w:bottom w:val="nil"/>
              <w:right w:val="nil"/>
            </w:tcBorders>
          </w:tcPr>
          <w:p w14:paraId="5C3B67F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E0F60E4" w14:textId="77777777" w:rsidR="001D5F6D" w:rsidRPr="00641BDE" w:rsidRDefault="001D5F6D" w:rsidP="007C1C97">
            <w:pPr>
              <w:pStyle w:val="AmColumnHeading"/>
            </w:pPr>
            <w:r w:rsidRPr="00641BDE">
              <w:t>Poprawka</w:t>
            </w:r>
          </w:p>
        </w:tc>
      </w:tr>
      <w:tr w:rsidR="001D5F6D" w:rsidRPr="00641BDE" w14:paraId="61F5DEBD" w14:textId="77777777" w:rsidTr="007C1C97">
        <w:trPr>
          <w:jc w:val="center"/>
        </w:trPr>
        <w:tc>
          <w:tcPr>
            <w:tcW w:w="4876" w:type="dxa"/>
            <w:tcBorders>
              <w:top w:val="nil"/>
              <w:left w:val="nil"/>
              <w:bottom w:val="nil"/>
              <w:right w:val="nil"/>
            </w:tcBorders>
          </w:tcPr>
          <w:p w14:paraId="5AA85BBA" w14:textId="77777777" w:rsidR="001D5F6D" w:rsidRPr="00641BDE" w:rsidRDefault="001D5F6D" w:rsidP="007C1C97">
            <w:pPr>
              <w:pStyle w:val="Normal6a"/>
            </w:pPr>
          </w:p>
        </w:tc>
        <w:tc>
          <w:tcPr>
            <w:tcW w:w="4876" w:type="dxa"/>
            <w:tcBorders>
              <w:top w:val="nil"/>
              <w:left w:val="nil"/>
              <w:bottom w:val="nil"/>
              <w:right w:val="nil"/>
            </w:tcBorders>
          </w:tcPr>
          <w:p w14:paraId="07D3C33E" w14:textId="77777777" w:rsidR="001D5F6D" w:rsidRPr="00641BDE" w:rsidRDefault="001D5F6D" w:rsidP="007C1C97">
            <w:pPr>
              <w:pStyle w:val="Normal6a"/>
            </w:pPr>
            <w:r w:rsidRPr="00641BDE">
              <w:rPr>
                <w:b/>
                <w:i/>
              </w:rPr>
              <w:t>17a.</w:t>
            </w:r>
            <w:r w:rsidRPr="00641BDE">
              <w:tab/>
            </w:r>
            <w:r w:rsidRPr="00641BDE">
              <w:rPr>
                <w:b/>
                <w:i/>
              </w:rPr>
              <w:t>zauważa z zaniepokojeniem, że całkowity budżet 33 agencji zdecentralizowanych wzrósł z 3,6 mld EUR w 2023 r. do 4,1 mld EUR w 2024 r., co stanowi wzrost o około 14 %; podkreśla, że ogólną tendencję należy oceniać w świetle sytuacji budżetowej UE; wzywa Komisję do przedstawienia kompleksowej analizy skumulowanych kosztów rozszerzenia kompetencji agencji w ciągu ostatnich pięciu lat, w tym podziału na wzrost oparty na mandacie i organiczną ekspansję administracyjną, oraz do dopilnowania, aby wszelkie dalsze zwiększanie było ściśle uzasadnione możliwą do wykazania wartością dodaną;</w:t>
            </w:r>
          </w:p>
        </w:tc>
      </w:tr>
    </w:tbl>
    <w:p w14:paraId="306EE1D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8DB8FA9" w14:textId="77777777" w:rsidR="001D5F6D" w:rsidRPr="00641BDE" w:rsidRDefault="001D5F6D" w:rsidP="001D5F6D">
      <w:r w:rsidRPr="00641BDE">
        <w:rPr>
          <w:rStyle w:val="HideTWBExt"/>
        </w:rPr>
        <w:t>&lt;/Amend&gt;</w:t>
      </w:r>
    </w:p>
    <w:p w14:paraId="38F8920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62</w:t>
      </w:r>
      <w:r w:rsidRPr="00641BDE">
        <w:rPr>
          <w:rStyle w:val="HideTWBExt"/>
          <w:b w:val="0"/>
        </w:rPr>
        <w:t>&lt;/NumAm&gt;</w:t>
      </w:r>
    </w:p>
    <w:p w14:paraId="330672F4"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1974C9C5" w14:textId="77777777" w:rsidR="001D5F6D" w:rsidRPr="00641BDE" w:rsidRDefault="001D5F6D" w:rsidP="001D5F6D">
      <w:pPr>
        <w:pStyle w:val="NormalBold"/>
      </w:pPr>
      <w:r w:rsidRPr="00641BDE">
        <w:rPr>
          <w:rStyle w:val="HideTWBExt"/>
          <w:b w:val="0"/>
        </w:rPr>
        <w:t>&lt;/RepeatBlock-By&gt;</w:t>
      </w:r>
    </w:p>
    <w:p w14:paraId="306D36DA"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8DE0A15" w14:textId="77777777" w:rsidR="001D5F6D" w:rsidRPr="00641BDE" w:rsidRDefault="001D5F6D" w:rsidP="001D5F6D">
      <w:pPr>
        <w:pStyle w:val="NormalBold"/>
      </w:pPr>
      <w:r w:rsidRPr="00641BDE">
        <w:rPr>
          <w:rStyle w:val="HideTWBExt"/>
          <w:b w:val="0"/>
        </w:rPr>
        <w:t>&lt;Article&gt;</w:t>
      </w:r>
      <w:r w:rsidRPr="00641BDE">
        <w:t>Ustęp 17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B3AF65A" w14:textId="77777777" w:rsidTr="007C1C97">
        <w:trPr>
          <w:trHeight w:hRule="exact" w:val="240"/>
          <w:jc w:val="center"/>
        </w:trPr>
        <w:tc>
          <w:tcPr>
            <w:tcW w:w="9752" w:type="dxa"/>
            <w:gridSpan w:val="2"/>
            <w:tcBorders>
              <w:top w:val="nil"/>
              <w:left w:val="nil"/>
              <w:bottom w:val="nil"/>
              <w:right w:val="nil"/>
            </w:tcBorders>
          </w:tcPr>
          <w:p w14:paraId="2935AD02" w14:textId="77777777" w:rsidR="001D5F6D" w:rsidRPr="00641BDE" w:rsidRDefault="001D5F6D" w:rsidP="007C1C97"/>
        </w:tc>
      </w:tr>
      <w:tr w:rsidR="001D5F6D" w:rsidRPr="00641BDE" w14:paraId="00D5F8A5" w14:textId="77777777" w:rsidTr="007C1C97">
        <w:trPr>
          <w:trHeight w:val="240"/>
          <w:jc w:val="center"/>
        </w:trPr>
        <w:tc>
          <w:tcPr>
            <w:tcW w:w="4876" w:type="dxa"/>
            <w:tcBorders>
              <w:top w:val="nil"/>
              <w:left w:val="nil"/>
              <w:bottom w:val="nil"/>
              <w:right w:val="nil"/>
            </w:tcBorders>
          </w:tcPr>
          <w:p w14:paraId="70099F4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C2F622C" w14:textId="77777777" w:rsidR="001D5F6D" w:rsidRPr="00641BDE" w:rsidRDefault="001D5F6D" w:rsidP="007C1C97">
            <w:pPr>
              <w:pStyle w:val="AmColumnHeading"/>
            </w:pPr>
            <w:r w:rsidRPr="00641BDE">
              <w:t>Poprawka</w:t>
            </w:r>
          </w:p>
        </w:tc>
      </w:tr>
      <w:tr w:rsidR="001D5F6D" w:rsidRPr="00641BDE" w14:paraId="6A312650" w14:textId="77777777" w:rsidTr="007C1C97">
        <w:trPr>
          <w:jc w:val="center"/>
        </w:trPr>
        <w:tc>
          <w:tcPr>
            <w:tcW w:w="4876" w:type="dxa"/>
            <w:tcBorders>
              <w:top w:val="nil"/>
              <w:left w:val="nil"/>
              <w:bottom w:val="nil"/>
              <w:right w:val="nil"/>
            </w:tcBorders>
          </w:tcPr>
          <w:p w14:paraId="2BB0906F" w14:textId="77777777" w:rsidR="001D5F6D" w:rsidRPr="00641BDE" w:rsidRDefault="001D5F6D" w:rsidP="007C1C97">
            <w:pPr>
              <w:pStyle w:val="Normal6a"/>
            </w:pPr>
          </w:p>
        </w:tc>
        <w:tc>
          <w:tcPr>
            <w:tcW w:w="4876" w:type="dxa"/>
            <w:tcBorders>
              <w:top w:val="nil"/>
              <w:left w:val="nil"/>
              <w:bottom w:val="nil"/>
              <w:right w:val="nil"/>
            </w:tcBorders>
          </w:tcPr>
          <w:p w14:paraId="2FA1B889" w14:textId="77777777" w:rsidR="001D5F6D" w:rsidRPr="00641BDE" w:rsidRDefault="001D5F6D" w:rsidP="007C1C97">
            <w:pPr>
              <w:pStyle w:val="Normal6a"/>
            </w:pPr>
            <w:r w:rsidRPr="00641BDE">
              <w:rPr>
                <w:b/>
                <w:i/>
              </w:rPr>
              <w:t>17a.</w:t>
            </w:r>
            <w:r w:rsidRPr="00641BDE">
              <w:tab/>
            </w:r>
            <w:r w:rsidRPr="00641BDE">
              <w:rPr>
                <w:b/>
                <w:i/>
              </w:rPr>
              <w:t>wyraża zaniepokojenie, że budżet ogólny agencji wzrósł ponad dwukrotnie w ciągu 10 lat i w 2024 r. sięgnął 5,3 mld EUR (w porównaniu z 4,7 mld EUR w 2023 r.), co stanowi 4 % budżetu ogólnego Unii na 2024 r. (w porównaniu z 3 % w 2023 r.)</w:t>
            </w:r>
            <w:r w:rsidRPr="00641BDE">
              <w:rPr>
                <w:b/>
                <w:i/>
                <w:vertAlign w:val="superscript"/>
              </w:rPr>
              <w:t>7 t</w:t>
            </w:r>
            <w:r w:rsidRPr="00641BDE">
              <w:rPr>
                <w:b/>
                <w:i/>
              </w:rPr>
              <w:t>;</w:t>
            </w:r>
          </w:p>
        </w:tc>
      </w:tr>
      <w:tr w:rsidR="001D5F6D" w:rsidRPr="00641BDE" w14:paraId="1877FF5F" w14:textId="77777777" w:rsidTr="007C1C97">
        <w:trPr>
          <w:jc w:val="center"/>
        </w:trPr>
        <w:tc>
          <w:tcPr>
            <w:tcW w:w="4876" w:type="dxa"/>
            <w:tcBorders>
              <w:top w:val="nil"/>
              <w:left w:val="nil"/>
              <w:bottom w:val="nil"/>
              <w:right w:val="nil"/>
            </w:tcBorders>
          </w:tcPr>
          <w:p w14:paraId="7A97B8A4" w14:textId="77777777" w:rsidR="001D5F6D" w:rsidRPr="00641BDE" w:rsidRDefault="001D5F6D" w:rsidP="007C1C97"/>
        </w:tc>
        <w:tc>
          <w:tcPr>
            <w:tcW w:w="4876" w:type="dxa"/>
            <w:tcBorders>
              <w:top w:val="nil"/>
              <w:left w:val="nil"/>
              <w:bottom w:val="nil"/>
              <w:right w:val="nil"/>
            </w:tcBorders>
          </w:tcPr>
          <w:p w14:paraId="2993718D" w14:textId="77777777" w:rsidR="001D5F6D" w:rsidRPr="00641BDE" w:rsidRDefault="001D5F6D" w:rsidP="007C1C97">
            <w:pPr>
              <w:pStyle w:val="Normal6a"/>
            </w:pPr>
            <w:r w:rsidRPr="00641BDE">
              <w:rPr>
                <w:b/>
                <w:i/>
              </w:rPr>
              <w:t>_________________</w:t>
            </w:r>
          </w:p>
        </w:tc>
      </w:tr>
      <w:tr w:rsidR="001D5F6D" w:rsidRPr="00641BDE" w14:paraId="7D6D8C63" w14:textId="77777777" w:rsidTr="007C1C97">
        <w:trPr>
          <w:jc w:val="center"/>
        </w:trPr>
        <w:tc>
          <w:tcPr>
            <w:tcW w:w="4876" w:type="dxa"/>
            <w:tcBorders>
              <w:top w:val="nil"/>
              <w:left w:val="nil"/>
              <w:bottom w:val="nil"/>
              <w:right w:val="nil"/>
            </w:tcBorders>
          </w:tcPr>
          <w:p w14:paraId="4E8CAE7C" w14:textId="77777777" w:rsidR="001D5F6D" w:rsidRPr="00641BDE" w:rsidRDefault="001D5F6D" w:rsidP="007C1C97"/>
        </w:tc>
        <w:tc>
          <w:tcPr>
            <w:tcW w:w="4876" w:type="dxa"/>
            <w:tcBorders>
              <w:top w:val="nil"/>
              <w:left w:val="nil"/>
              <w:bottom w:val="nil"/>
              <w:right w:val="nil"/>
            </w:tcBorders>
          </w:tcPr>
          <w:p w14:paraId="060EB620" w14:textId="77777777" w:rsidR="001D5F6D" w:rsidRPr="00641BDE" w:rsidRDefault="001D5F6D" w:rsidP="007C1C97">
            <w:pPr>
              <w:pStyle w:val="Normal6a"/>
            </w:pPr>
            <w:r w:rsidRPr="00641BDE">
              <w:rPr>
                <w:b/>
                <w:i/>
                <w:vertAlign w:val="superscript"/>
              </w:rPr>
              <w:t>7 t</w:t>
            </w:r>
            <w:r w:rsidRPr="00641BDE">
              <w:t xml:space="preserve"> </w:t>
            </w:r>
            <w:r w:rsidRPr="00641BDE">
              <w:rPr>
                <w:b/>
                <w:i/>
              </w:rPr>
              <w:t>https://www.eca.europa.eu/ECAPublications/SAR-AGENCIES-2024/SAR-AGENCIES-2024_PL.pdf</w:t>
            </w:r>
          </w:p>
        </w:tc>
      </w:tr>
    </w:tbl>
    <w:p w14:paraId="6EAFBCF4"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66F0DABE" w14:textId="77777777" w:rsidR="001D5F6D" w:rsidRPr="00641BDE" w:rsidRDefault="001D5F6D" w:rsidP="001D5F6D">
      <w:r w:rsidRPr="00641BDE">
        <w:rPr>
          <w:rStyle w:val="HideTWBExt"/>
        </w:rPr>
        <w:t>&lt;/Amend&gt;</w:t>
      </w:r>
    </w:p>
    <w:p w14:paraId="7FA2AB2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63</w:t>
      </w:r>
      <w:r w:rsidRPr="00641BDE">
        <w:rPr>
          <w:rStyle w:val="HideTWBExt"/>
          <w:b w:val="0"/>
        </w:rPr>
        <w:t>&lt;/NumAm&gt;</w:t>
      </w:r>
    </w:p>
    <w:p w14:paraId="1E8DAA27"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3BC554B0"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1C4EB876" w14:textId="77777777" w:rsidR="001D5F6D" w:rsidRPr="00641BDE" w:rsidRDefault="001D5F6D" w:rsidP="001D5F6D">
      <w:pPr>
        <w:pStyle w:val="NormalBold"/>
      </w:pPr>
      <w:r w:rsidRPr="00641BDE">
        <w:rPr>
          <w:rStyle w:val="HideTWBExt"/>
          <w:b w:val="0"/>
        </w:rPr>
        <w:t>&lt;/RepeatBlock-By&gt;</w:t>
      </w:r>
    </w:p>
    <w:p w14:paraId="1307362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6B51AE3" w14:textId="77777777" w:rsidR="001D5F6D" w:rsidRPr="00641BDE" w:rsidRDefault="001D5F6D" w:rsidP="001D5F6D">
      <w:pPr>
        <w:pStyle w:val="NormalBold"/>
      </w:pPr>
      <w:r w:rsidRPr="00641BDE">
        <w:rPr>
          <w:rStyle w:val="HideTWBExt"/>
          <w:b w:val="0"/>
        </w:rPr>
        <w:t>&lt;Article&gt;</w:t>
      </w:r>
      <w:r w:rsidRPr="00641BDE">
        <w:t>Ustęp 18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8BC93F6" w14:textId="77777777" w:rsidTr="007C1C97">
        <w:trPr>
          <w:trHeight w:hRule="exact" w:val="240"/>
          <w:jc w:val="center"/>
        </w:trPr>
        <w:tc>
          <w:tcPr>
            <w:tcW w:w="9752" w:type="dxa"/>
            <w:gridSpan w:val="2"/>
            <w:tcBorders>
              <w:top w:val="nil"/>
              <w:left w:val="nil"/>
              <w:bottom w:val="nil"/>
              <w:right w:val="nil"/>
            </w:tcBorders>
          </w:tcPr>
          <w:p w14:paraId="3CD52A17" w14:textId="77777777" w:rsidR="001D5F6D" w:rsidRPr="00641BDE" w:rsidRDefault="001D5F6D" w:rsidP="007C1C97"/>
        </w:tc>
      </w:tr>
      <w:tr w:rsidR="001D5F6D" w:rsidRPr="00641BDE" w14:paraId="6A1D3230" w14:textId="77777777" w:rsidTr="007C1C97">
        <w:trPr>
          <w:trHeight w:val="240"/>
          <w:jc w:val="center"/>
        </w:trPr>
        <w:tc>
          <w:tcPr>
            <w:tcW w:w="4876" w:type="dxa"/>
            <w:tcBorders>
              <w:top w:val="nil"/>
              <w:left w:val="nil"/>
              <w:bottom w:val="nil"/>
              <w:right w:val="nil"/>
            </w:tcBorders>
          </w:tcPr>
          <w:p w14:paraId="55853BE0"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356F5B6" w14:textId="77777777" w:rsidR="001D5F6D" w:rsidRPr="00641BDE" w:rsidRDefault="001D5F6D" w:rsidP="007C1C97">
            <w:pPr>
              <w:pStyle w:val="AmColumnHeading"/>
            </w:pPr>
            <w:r w:rsidRPr="00641BDE">
              <w:t>Poprawka</w:t>
            </w:r>
          </w:p>
        </w:tc>
      </w:tr>
      <w:tr w:rsidR="001D5F6D" w:rsidRPr="00641BDE" w14:paraId="3543C0EA" w14:textId="77777777" w:rsidTr="007C1C97">
        <w:trPr>
          <w:jc w:val="center"/>
        </w:trPr>
        <w:tc>
          <w:tcPr>
            <w:tcW w:w="4876" w:type="dxa"/>
            <w:tcBorders>
              <w:top w:val="nil"/>
              <w:left w:val="nil"/>
              <w:bottom w:val="nil"/>
              <w:right w:val="nil"/>
            </w:tcBorders>
          </w:tcPr>
          <w:p w14:paraId="7D1B4B01" w14:textId="77777777" w:rsidR="001D5F6D" w:rsidRPr="00641BDE" w:rsidRDefault="001D5F6D" w:rsidP="007C1C97">
            <w:pPr>
              <w:pStyle w:val="Normal6a"/>
            </w:pPr>
          </w:p>
        </w:tc>
        <w:tc>
          <w:tcPr>
            <w:tcW w:w="4876" w:type="dxa"/>
            <w:tcBorders>
              <w:top w:val="nil"/>
              <w:left w:val="nil"/>
              <w:bottom w:val="nil"/>
              <w:right w:val="nil"/>
            </w:tcBorders>
          </w:tcPr>
          <w:p w14:paraId="1B1950F6" w14:textId="77777777" w:rsidR="001D5F6D" w:rsidRPr="00641BDE" w:rsidRDefault="001D5F6D" w:rsidP="007C1C97">
            <w:pPr>
              <w:pStyle w:val="Normal6a"/>
            </w:pPr>
            <w:r w:rsidRPr="00641BDE">
              <w:rPr>
                <w:b/>
                <w:i/>
              </w:rPr>
              <w:t>18a.</w:t>
            </w:r>
            <w:r w:rsidRPr="00641BDE">
              <w:tab/>
            </w:r>
            <w:r w:rsidRPr="00641BDE">
              <w:rPr>
                <w:b/>
                <w:i/>
              </w:rPr>
              <w:t>podkreśla, że zwiększeniu budżetu agencji musi towarzyszyć proporcjonalne wzmocnienie zarządzania, kontroli wewnętrznych, zdolności kadrowych i planowania absorpcji; ostrzega, że trwały wzrost budżetu bez odpowiednich zdolności administracyjnych i kontrolnych zwiększa ryzyko nieprawidłowości, przeniesień i nieefektywnych wydatków;</w:t>
            </w:r>
          </w:p>
        </w:tc>
      </w:tr>
    </w:tbl>
    <w:p w14:paraId="034C98C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C8E57AC" w14:textId="77777777" w:rsidR="001D5F6D" w:rsidRPr="00641BDE" w:rsidRDefault="001D5F6D" w:rsidP="001D5F6D">
      <w:r w:rsidRPr="00641BDE">
        <w:rPr>
          <w:rStyle w:val="HideTWBExt"/>
        </w:rPr>
        <w:t>&lt;/Amend&gt;</w:t>
      </w:r>
    </w:p>
    <w:p w14:paraId="52AD1090"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64</w:t>
      </w:r>
      <w:r w:rsidRPr="00641BDE">
        <w:rPr>
          <w:rStyle w:val="HideTWBExt"/>
          <w:b w:val="0"/>
        </w:rPr>
        <w:t>&lt;/NumAm&gt;</w:t>
      </w:r>
    </w:p>
    <w:p w14:paraId="54613C34"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314F7334"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50036356" w14:textId="77777777" w:rsidR="001D5F6D" w:rsidRPr="00641BDE" w:rsidRDefault="001D5F6D" w:rsidP="001D5F6D">
      <w:pPr>
        <w:pStyle w:val="NormalBold"/>
      </w:pPr>
      <w:r w:rsidRPr="00641BDE">
        <w:rPr>
          <w:rStyle w:val="HideTWBExt"/>
          <w:b w:val="0"/>
        </w:rPr>
        <w:t>&lt;/RepeatBlock-By&gt;</w:t>
      </w:r>
    </w:p>
    <w:p w14:paraId="2D06C517"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7C3DDF1" w14:textId="77777777" w:rsidR="001D5F6D" w:rsidRPr="00641BDE" w:rsidRDefault="001D5F6D" w:rsidP="001D5F6D">
      <w:pPr>
        <w:pStyle w:val="NormalBold"/>
      </w:pPr>
      <w:r w:rsidRPr="00641BDE">
        <w:rPr>
          <w:rStyle w:val="HideTWBExt"/>
          <w:b w:val="0"/>
        </w:rPr>
        <w:t>&lt;Article&gt;</w:t>
      </w:r>
      <w:r w:rsidRPr="00641BDE">
        <w:t>Ustęp 18 b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9F9460A" w14:textId="77777777" w:rsidTr="007C1C97">
        <w:trPr>
          <w:trHeight w:hRule="exact" w:val="240"/>
          <w:jc w:val="center"/>
        </w:trPr>
        <w:tc>
          <w:tcPr>
            <w:tcW w:w="9752" w:type="dxa"/>
            <w:gridSpan w:val="2"/>
            <w:tcBorders>
              <w:top w:val="nil"/>
              <w:left w:val="nil"/>
              <w:bottom w:val="nil"/>
              <w:right w:val="nil"/>
            </w:tcBorders>
          </w:tcPr>
          <w:p w14:paraId="3026578B" w14:textId="77777777" w:rsidR="001D5F6D" w:rsidRPr="00641BDE" w:rsidRDefault="001D5F6D" w:rsidP="007C1C97"/>
        </w:tc>
      </w:tr>
      <w:tr w:rsidR="001D5F6D" w:rsidRPr="00641BDE" w14:paraId="721B116E" w14:textId="77777777" w:rsidTr="007C1C97">
        <w:trPr>
          <w:trHeight w:val="240"/>
          <w:jc w:val="center"/>
        </w:trPr>
        <w:tc>
          <w:tcPr>
            <w:tcW w:w="4876" w:type="dxa"/>
            <w:tcBorders>
              <w:top w:val="nil"/>
              <w:left w:val="nil"/>
              <w:bottom w:val="nil"/>
              <w:right w:val="nil"/>
            </w:tcBorders>
          </w:tcPr>
          <w:p w14:paraId="7B00BF9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6C36C35" w14:textId="77777777" w:rsidR="001D5F6D" w:rsidRPr="00641BDE" w:rsidRDefault="001D5F6D" w:rsidP="007C1C97">
            <w:pPr>
              <w:pStyle w:val="AmColumnHeading"/>
            </w:pPr>
            <w:r w:rsidRPr="00641BDE">
              <w:t>Poprawka</w:t>
            </w:r>
          </w:p>
        </w:tc>
      </w:tr>
      <w:tr w:rsidR="001D5F6D" w:rsidRPr="00641BDE" w14:paraId="6E2A5B0C" w14:textId="77777777" w:rsidTr="007C1C97">
        <w:trPr>
          <w:jc w:val="center"/>
        </w:trPr>
        <w:tc>
          <w:tcPr>
            <w:tcW w:w="4876" w:type="dxa"/>
            <w:tcBorders>
              <w:top w:val="nil"/>
              <w:left w:val="nil"/>
              <w:bottom w:val="nil"/>
              <w:right w:val="nil"/>
            </w:tcBorders>
          </w:tcPr>
          <w:p w14:paraId="1378A38C" w14:textId="77777777" w:rsidR="001D5F6D" w:rsidRPr="00641BDE" w:rsidRDefault="001D5F6D" w:rsidP="007C1C97">
            <w:pPr>
              <w:pStyle w:val="Normal6a"/>
            </w:pPr>
          </w:p>
        </w:tc>
        <w:tc>
          <w:tcPr>
            <w:tcW w:w="4876" w:type="dxa"/>
            <w:tcBorders>
              <w:top w:val="nil"/>
              <w:left w:val="nil"/>
              <w:bottom w:val="nil"/>
              <w:right w:val="nil"/>
            </w:tcBorders>
          </w:tcPr>
          <w:p w14:paraId="1626EBA2" w14:textId="77777777" w:rsidR="001D5F6D" w:rsidRPr="00641BDE" w:rsidRDefault="001D5F6D" w:rsidP="007C1C97">
            <w:pPr>
              <w:pStyle w:val="Normal6a"/>
            </w:pPr>
            <w:r w:rsidRPr="00641BDE">
              <w:rPr>
                <w:b/>
                <w:i/>
              </w:rPr>
              <w:t>18b.</w:t>
            </w:r>
            <w:r w:rsidRPr="00641BDE">
              <w:tab/>
            </w:r>
            <w:r w:rsidRPr="00641BDE">
              <w:rPr>
                <w:b/>
                <w:i/>
              </w:rPr>
              <w:t xml:space="preserve">zwraca uwagę, że budżet </w:t>
            </w:r>
            <w:proofErr w:type="spellStart"/>
            <w:r w:rsidRPr="00641BDE">
              <w:rPr>
                <w:b/>
                <w:i/>
              </w:rPr>
              <w:t>Fronteksu</w:t>
            </w:r>
            <w:proofErr w:type="spellEnd"/>
            <w:r w:rsidRPr="00641BDE">
              <w:rPr>
                <w:b/>
                <w:i/>
              </w:rPr>
              <w:t xml:space="preserve"> wzrósł ze 118 mln EUR w 2011 r. do 922 mln EUR w 2024 r., co stanowi największy wzrost budżetu wśród agencji w ostatnich latach; uważa, że wszelkie dalsze zwiększanie budżetu </w:t>
            </w:r>
            <w:proofErr w:type="spellStart"/>
            <w:r w:rsidRPr="00641BDE">
              <w:rPr>
                <w:b/>
                <w:i/>
              </w:rPr>
              <w:t>Fronteksu</w:t>
            </w:r>
            <w:proofErr w:type="spellEnd"/>
            <w:r w:rsidRPr="00641BDE">
              <w:rPr>
                <w:b/>
                <w:i/>
              </w:rPr>
              <w:t xml:space="preserve"> musi być ściśle uzależnione od wyraźnej poprawy przestrzegania praw podstawowych, przejrzystości, zdolności absorpcyjnej i skutecznych działań następczych w związku z zaleceniami Parlamentu, Rzecznika Praw Obywatelskich, OLAF-u oraz urzędnika ds. praw podstawowych;</w:t>
            </w:r>
          </w:p>
        </w:tc>
      </w:tr>
    </w:tbl>
    <w:p w14:paraId="69F3DA36"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B073763" w14:textId="77777777" w:rsidR="001D5F6D" w:rsidRPr="00641BDE" w:rsidRDefault="001D5F6D" w:rsidP="001D5F6D">
      <w:r w:rsidRPr="00641BDE">
        <w:rPr>
          <w:rStyle w:val="HideTWBExt"/>
        </w:rPr>
        <w:t>&lt;/Amend&gt;</w:t>
      </w:r>
    </w:p>
    <w:p w14:paraId="7F754447"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65</w:t>
      </w:r>
      <w:r w:rsidRPr="00641BDE">
        <w:rPr>
          <w:rStyle w:val="HideTWBExt"/>
          <w:b w:val="0"/>
        </w:rPr>
        <w:t>&lt;/NumAm&gt;</w:t>
      </w:r>
    </w:p>
    <w:p w14:paraId="50C94616"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5492A237"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18660B39" w14:textId="77777777" w:rsidR="001D5F6D" w:rsidRPr="00641BDE" w:rsidRDefault="001D5F6D" w:rsidP="001D5F6D">
      <w:pPr>
        <w:pStyle w:val="NormalBold"/>
      </w:pPr>
      <w:r w:rsidRPr="00641BDE">
        <w:rPr>
          <w:rStyle w:val="HideTWBExt"/>
          <w:b w:val="0"/>
        </w:rPr>
        <w:t>&lt;/RepeatBlock-By&gt;</w:t>
      </w:r>
    </w:p>
    <w:p w14:paraId="1DC94B1F"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E53ADB1" w14:textId="77777777" w:rsidR="001D5F6D" w:rsidRPr="00641BDE" w:rsidRDefault="001D5F6D" w:rsidP="001D5F6D">
      <w:pPr>
        <w:pStyle w:val="NormalBold"/>
      </w:pPr>
      <w:r w:rsidRPr="00641BDE">
        <w:rPr>
          <w:rStyle w:val="HideTWBExt"/>
          <w:b w:val="0"/>
        </w:rPr>
        <w:t>&lt;Article&gt;</w:t>
      </w:r>
      <w:r w:rsidRPr="00641BDE">
        <w:t>Ustęp 18 c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A176B3C" w14:textId="77777777" w:rsidTr="007C1C97">
        <w:trPr>
          <w:trHeight w:hRule="exact" w:val="240"/>
          <w:jc w:val="center"/>
        </w:trPr>
        <w:tc>
          <w:tcPr>
            <w:tcW w:w="9752" w:type="dxa"/>
            <w:gridSpan w:val="2"/>
            <w:tcBorders>
              <w:top w:val="nil"/>
              <w:left w:val="nil"/>
              <w:bottom w:val="nil"/>
              <w:right w:val="nil"/>
            </w:tcBorders>
          </w:tcPr>
          <w:p w14:paraId="7B3B3970" w14:textId="77777777" w:rsidR="001D5F6D" w:rsidRPr="00641BDE" w:rsidRDefault="001D5F6D" w:rsidP="007C1C97"/>
        </w:tc>
      </w:tr>
      <w:tr w:rsidR="001D5F6D" w:rsidRPr="00641BDE" w14:paraId="1D3BA259" w14:textId="77777777" w:rsidTr="007C1C97">
        <w:trPr>
          <w:trHeight w:val="240"/>
          <w:jc w:val="center"/>
        </w:trPr>
        <w:tc>
          <w:tcPr>
            <w:tcW w:w="4876" w:type="dxa"/>
            <w:tcBorders>
              <w:top w:val="nil"/>
              <w:left w:val="nil"/>
              <w:bottom w:val="nil"/>
              <w:right w:val="nil"/>
            </w:tcBorders>
          </w:tcPr>
          <w:p w14:paraId="5F79A5D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8DC79DB" w14:textId="77777777" w:rsidR="001D5F6D" w:rsidRPr="00641BDE" w:rsidRDefault="001D5F6D" w:rsidP="007C1C97">
            <w:pPr>
              <w:pStyle w:val="AmColumnHeading"/>
            </w:pPr>
            <w:r w:rsidRPr="00641BDE">
              <w:t>Poprawka</w:t>
            </w:r>
          </w:p>
        </w:tc>
      </w:tr>
      <w:tr w:rsidR="001D5F6D" w:rsidRPr="00641BDE" w14:paraId="4F7932DD" w14:textId="77777777" w:rsidTr="007C1C97">
        <w:trPr>
          <w:jc w:val="center"/>
        </w:trPr>
        <w:tc>
          <w:tcPr>
            <w:tcW w:w="4876" w:type="dxa"/>
            <w:tcBorders>
              <w:top w:val="nil"/>
              <w:left w:val="nil"/>
              <w:bottom w:val="nil"/>
              <w:right w:val="nil"/>
            </w:tcBorders>
          </w:tcPr>
          <w:p w14:paraId="13CFF75E" w14:textId="77777777" w:rsidR="001D5F6D" w:rsidRPr="00641BDE" w:rsidRDefault="001D5F6D" w:rsidP="007C1C97">
            <w:pPr>
              <w:pStyle w:val="Normal6a"/>
            </w:pPr>
          </w:p>
        </w:tc>
        <w:tc>
          <w:tcPr>
            <w:tcW w:w="4876" w:type="dxa"/>
            <w:tcBorders>
              <w:top w:val="nil"/>
              <w:left w:val="nil"/>
              <w:bottom w:val="nil"/>
              <w:right w:val="nil"/>
            </w:tcBorders>
          </w:tcPr>
          <w:p w14:paraId="2C518C1E" w14:textId="77777777" w:rsidR="001D5F6D" w:rsidRPr="00641BDE" w:rsidRDefault="001D5F6D" w:rsidP="007C1C97">
            <w:pPr>
              <w:pStyle w:val="Normal6a"/>
            </w:pPr>
            <w:r w:rsidRPr="00641BDE">
              <w:rPr>
                <w:b/>
                <w:i/>
              </w:rPr>
              <w:t>18c.</w:t>
            </w:r>
            <w:r w:rsidRPr="00641BDE">
              <w:tab/>
            </w:r>
            <w:r w:rsidRPr="00641BDE">
              <w:rPr>
                <w:b/>
                <w:i/>
              </w:rPr>
              <w:t>zauważa, że Agencja Praw Podstawowych Unii Europejskiej (FRA) nadal działa przy stosunkowo ograniczonych zasobach budżetowych i kadrowych pomimo stale rosnących oczekiwań wobec agencji dotyczących wspierania instytucji, organów i agencji Unii w zapewnianiu wdrażania prawa Unii z poszanowaniem praw podstawowych; podkreśla, że te strukturalne niedobory zasobów kontrastują z rozszerzeniem mandatów i budżetów agencji wykonujących uprawnienia operacyjne lub wykonawcze; wzywa Komisję i władzę budżetową do zapewnienia FRA odpowiednich, stabilnych i przewidywalnych zasobów, współmiernych do horyzontalnej roli agencji jako unijnego organu nadzorującego prawa podstawowe;</w:t>
            </w:r>
          </w:p>
        </w:tc>
      </w:tr>
    </w:tbl>
    <w:p w14:paraId="77A12B9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D112700" w14:textId="77777777" w:rsidR="001D5F6D" w:rsidRPr="00641BDE" w:rsidRDefault="001D5F6D" w:rsidP="001D5F6D">
      <w:r w:rsidRPr="00641BDE">
        <w:rPr>
          <w:rStyle w:val="HideTWBExt"/>
        </w:rPr>
        <w:t>&lt;/Amend&gt;</w:t>
      </w:r>
    </w:p>
    <w:p w14:paraId="57402DE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66</w:t>
      </w:r>
      <w:r w:rsidRPr="00641BDE">
        <w:rPr>
          <w:rStyle w:val="HideTWBExt"/>
          <w:b w:val="0"/>
        </w:rPr>
        <w:t>&lt;/NumAm&gt;</w:t>
      </w:r>
    </w:p>
    <w:p w14:paraId="542F047D"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2ACC0102" w14:textId="77777777" w:rsidR="001D5F6D" w:rsidRPr="00641BDE" w:rsidRDefault="001D5F6D" w:rsidP="001D5F6D">
      <w:pPr>
        <w:pStyle w:val="NormalBold"/>
      </w:pPr>
      <w:r w:rsidRPr="00641BDE">
        <w:rPr>
          <w:rStyle w:val="HideTWBExt"/>
          <w:b w:val="0"/>
        </w:rPr>
        <w:t>&lt;/RepeatBlock-By&gt;</w:t>
      </w:r>
    </w:p>
    <w:p w14:paraId="6F4F7C25"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75A9026" w14:textId="77777777" w:rsidR="001D5F6D" w:rsidRPr="00641BDE" w:rsidRDefault="001D5F6D" w:rsidP="001D5F6D">
      <w:pPr>
        <w:pStyle w:val="NormalBold"/>
      </w:pPr>
      <w:r w:rsidRPr="00641BDE">
        <w:rPr>
          <w:rStyle w:val="HideTWBExt"/>
          <w:b w:val="0"/>
        </w:rPr>
        <w:t>&lt;Article&gt;</w:t>
      </w:r>
      <w:r w:rsidRPr="00641BDE">
        <w:t>Ustęp 19</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786F13B" w14:textId="77777777" w:rsidTr="007C1C97">
        <w:trPr>
          <w:trHeight w:hRule="exact" w:val="240"/>
          <w:jc w:val="center"/>
        </w:trPr>
        <w:tc>
          <w:tcPr>
            <w:tcW w:w="9752" w:type="dxa"/>
            <w:gridSpan w:val="2"/>
            <w:tcBorders>
              <w:top w:val="nil"/>
              <w:left w:val="nil"/>
              <w:bottom w:val="nil"/>
              <w:right w:val="nil"/>
            </w:tcBorders>
          </w:tcPr>
          <w:p w14:paraId="4858F39F" w14:textId="77777777" w:rsidR="001D5F6D" w:rsidRPr="00641BDE" w:rsidRDefault="001D5F6D" w:rsidP="007C1C97"/>
        </w:tc>
      </w:tr>
      <w:tr w:rsidR="001D5F6D" w:rsidRPr="00641BDE" w14:paraId="796C397B" w14:textId="77777777" w:rsidTr="007C1C97">
        <w:trPr>
          <w:trHeight w:val="240"/>
          <w:jc w:val="center"/>
        </w:trPr>
        <w:tc>
          <w:tcPr>
            <w:tcW w:w="4876" w:type="dxa"/>
            <w:tcBorders>
              <w:top w:val="nil"/>
              <w:left w:val="nil"/>
              <w:bottom w:val="nil"/>
              <w:right w:val="nil"/>
            </w:tcBorders>
          </w:tcPr>
          <w:p w14:paraId="2EE12F70"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FE5AEB6" w14:textId="77777777" w:rsidR="001D5F6D" w:rsidRPr="00641BDE" w:rsidRDefault="001D5F6D" w:rsidP="007C1C97">
            <w:pPr>
              <w:pStyle w:val="AmColumnHeading"/>
            </w:pPr>
            <w:r w:rsidRPr="00641BDE">
              <w:t>Poprawka</w:t>
            </w:r>
          </w:p>
        </w:tc>
      </w:tr>
      <w:tr w:rsidR="001D5F6D" w:rsidRPr="00641BDE" w14:paraId="48200413" w14:textId="77777777" w:rsidTr="007C1C97">
        <w:trPr>
          <w:jc w:val="center"/>
        </w:trPr>
        <w:tc>
          <w:tcPr>
            <w:tcW w:w="4876" w:type="dxa"/>
            <w:tcBorders>
              <w:top w:val="nil"/>
              <w:left w:val="nil"/>
              <w:bottom w:val="nil"/>
              <w:right w:val="nil"/>
            </w:tcBorders>
          </w:tcPr>
          <w:p w14:paraId="47E61AD2" w14:textId="77777777" w:rsidR="001D5F6D" w:rsidRPr="00641BDE" w:rsidRDefault="001D5F6D" w:rsidP="007C1C97">
            <w:pPr>
              <w:pStyle w:val="Normal6a"/>
            </w:pPr>
            <w:r w:rsidRPr="00641BDE">
              <w:t>19.</w:t>
            </w:r>
            <w:r w:rsidRPr="00641BDE">
              <w:tab/>
              <w:t xml:space="preserve">zwraca uwagę, że wzrost budżetu EEA w 2024 r. odzwierciedla </w:t>
            </w:r>
            <w:r w:rsidRPr="00641BDE">
              <w:rPr>
                <w:b/>
                <w:i/>
              </w:rPr>
              <w:t>nowe mandaty ustawodawcze</w:t>
            </w:r>
            <w:r w:rsidRPr="00641BDE">
              <w:t xml:space="preserve"> i </w:t>
            </w:r>
            <w:r w:rsidRPr="00641BDE">
              <w:rPr>
                <w:b/>
                <w:i/>
              </w:rPr>
              <w:t>bieżące potrzeby operacyjne</w:t>
            </w:r>
            <w:r w:rsidRPr="00641BDE">
              <w:t xml:space="preserve">, </w:t>
            </w:r>
            <w:r w:rsidRPr="00641BDE">
              <w:rPr>
                <w:b/>
                <w:i/>
              </w:rPr>
              <w:t>a wdrażanie rozporządzenia o odbudowie</w:t>
            </w:r>
            <w:r w:rsidRPr="00641BDE">
              <w:t xml:space="preserve"> zasobów przyrodniczych </w:t>
            </w:r>
            <w:r w:rsidRPr="00641BDE">
              <w:rPr>
                <w:b/>
                <w:i/>
              </w:rPr>
              <w:t>(przyjętego pod koniec 2024 r.)</w:t>
            </w:r>
            <w:r w:rsidRPr="00641BDE">
              <w:t xml:space="preserve">, </w:t>
            </w:r>
            <w:r w:rsidRPr="00641BDE">
              <w:rPr>
                <w:b/>
                <w:i/>
              </w:rPr>
              <w:t>przekształconej wersji rozporządzenia w sprawie Europejskiego Rejestru Uwalniania i Transferu Zanieczyszczeń (E-PRTR), unijnych ram certyfikacji pochłaniania</w:t>
            </w:r>
            <w:r w:rsidRPr="00641BDE">
              <w:t xml:space="preserve"> dwutlenku węgla i </w:t>
            </w:r>
            <w:r w:rsidRPr="00641BDE">
              <w:rPr>
                <w:b/>
                <w:i/>
              </w:rPr>
              <w:t xml:space="preserve">technik </w:t>
            </w:r>
            <w:proofErr w:type="spellStart"/>
            <w:r w:rsidRPr="00641BDE">
              <w:rPr>
                <w:b/>
                <w:i/>
              </w:rPr>
              <w:t>węglochłonnych</w:t>
            </w:r>
            <w:proofErr w:type="spellEnd"/>
            <w:r w:rsidRPr="00641BDE">
              <w:rPr>
                <w:b/>
                <w:i/>
              </w:rPr>
              <w:t xml:space="preserve"> (CRCF) oraz inicjatywy na rzecz rozszerzonego monitorowania emisji z pojazdów ciężkich wiązało się z rekrutacją pracowników</w:t>
            </w:r>
            <w:r w:rsidRPr="00641BDE">
              <w:t xml:space="preserve">; zauważa ponadto, że </w:t>
            </w:r>
            <w:r w:rsidRPr="00641BDE">
              <w:rPr>
                <w:b/>
                <w:i/>
              </w:rPr>
              <w:t>agencja wdrożyła również zadania w ramach zmienionego rozporządzenia w sprawie użytkowania gruntów, zmiany użytkowania gruntów i leśnictwa (2023); jest również świadomy, że</w:t>
            </w:r>
            <w:r w:rsidRPr="00641BDE">
              <w:t xml:space="preserve"> nowe umowy o gwarantowanym poziomie usług </w:t>
            </w:r>
            <w:r w:rsidRPr="00641BDE">
              <w:rPr>
                <w:b/>
                <w:i/>
              </w:rPr>
              <w:t>(SLA)</w:t>
            </w:r>
            <w:r w:rsidRPr="00641BDE">
              <w:t xml:space="preserve"> z DG MARE, DG SANTE i DG RTD rozszerzyły rolę agencji w odbudowie </w:t>
            </w:r>
            <w:r w:rsidRPr="00641BDE">
              <w:rPr>
                <w:b/>
                <w:i/>
              </w:rPr>
              <w:t>oceanów/wód</w:t>
            </w:r>
            <w:r w:rsidRPr="00641BDE">
              <w:t xml:space="preserve">, zwalczaniu zagrożeń </w:t>
            </w:r>
            <w:r w:rsidRPr="00641BDE">
              <w:rPr>
                <w:b/>
                <w:i/>
              </w:rPr>
              <w:t>dla zdrowia</w:t>
            </w:r>
            <w:r w:rsidRPr="00641BDE">
              <w:t xml:space="preserve"> i integracji danych środowiskowych, a </w:t>
            </w:r>
            <w:r w:rsidRPr="00641BDE">
              <w:rPr>
                <w:b/>
                <w:i/>
              </w:rPr>
              <w:t>przy</w:t>
            </w:r>
            <w:r w:rsidRPr="00641BDE">
              <w:t xml:space="preserve"> tym wzmocniły </w:t>
            </w:r>
            <w:r w:rsidRPr="00641BDE">
              <w:rPr>
                <w:b/>
                <w:i/>
              </w:rPr>
              <w:t>unijne wsparcie w zakresie klimatu, różnorodności biologicznej i polityki</w:t>
            </w:r>
            <w:r w:rsidRPr="00641BDE">
              <w:t>;</w:t>
            </w:r>
          </w:p>
        </w:tc>
        <w:tc>
          <w:tcPr>
            <w:tcW w:w="4876" w:type="dxa"/>
            <w:tcBorders>
              <w:top w:val="nil"/>
              <w:left w:val="nil"/>
              <w:bottom w:val="nil"/>
              <w:right w:val="nil"/>
            </w:tcBorders>
          </w:tcPr>
          <w:p w14:paraId="619FBCEF" w14:textId="77777777" w:rsidR="001D5F6D" w:rsidRPr="00641BDE" w:rsidRDefault="001D5F6D" w:rsidP="007C1C97">
            <w:pPr>
              <w:pStyle w:val="Normal6a"/>
            </w:pPr>
            <w:r w:rsidRPr="00641BDE">
              <w:t>19.</w:t>
            </w:r>
            <w:r w:rsidRPr="00641BDE">
              <w:tab/>
              <w:t xml:space="preserve">zwraca uwagę, że wzrost budżetu EEA w 2024 r. odzwierciedla </w:t>
            </w:r>
            <w:r w:rsidRPr="00641BDE">
              <w:rPr>
                <w:b/>
                <w:i/>
              </w:rPr>
              <w:t>rozszerzenie jej mandatów ustawodawczych</w:t>
            </w:r>
            <w:r w:rsidRPr="00641BDE">
              <w:t xml:space="preserve"> i </w:t>
            </w:r>
            <w:r w:rsidRPr="00641BDE">
              <w:rPr>
                <w:b/>
                <w:i/>
              </w:rPr>
              <w:t>obowiązków operacyjnych wynikających z wdrażania Europejskiego Zielonego Ładu</w:t>
            </w:r>
            <w:r w:rsidRPr="00641BDE">
              <w:t xml:space="preserve">, </w:t>
            </w:r>
            <w:r w:rsidRPr="00641BDE">
              <w:rPr>
                <w:b/>
                <w:i/>
              </w:rPr>
              <w:t>w tym prac nad odbudową</w:t>
            </w:r>
            <w:r w:rsidRPr="00641BDE">
              <w:t xml:space="preserve"> zasobów przyrodniczych, </w:t>
            </w:r>
            <w:r w:rsidRPr="00641BDE">
              <w:rPr>
                <w:b/>
                <w:i/>
              </w:rPr>
              <w:t>monitorowaniem emisji, zarządzaniem emisjami</w:t>
            </w:r>
            <w:r w:rsidRPr="00641BDE">
              <w:t xml:space="preserve"> dwutlenku węgla</w:t>
            </w:r>
            <w:r w:rsidRPr="00641BDE">
              <w:rPr>
                <w:b/>
                <w:bCs/>
                <w:i/>
                <w:iCs/>
              </w:rPr>
              <w:t>, sprawozdawczością w zakresie zanieczyszczeń</w:t>
            </w:r>
            <w:r w:rsidRPr="00641BDE">
              <w:t xml:space="preserve"> i </w:t>
            </w:r>
            <w:r w:rsidRPr="00641BDE">
              <w:rPr>
                <w:b/>
                <w:bCs/>
                <w:i/>
                <w:iCs/>
              </w:rPr>
              <w:t>polityką użytkowania gruntów;</w:t>
            </w:r>
            <w:r w:rsidRPr="00641BDE">
              <w:rPr>
                <w:b/>
                <w:i/>
              </w:rPr>
              <w:t xml:space="preserve"> podkreśla, że ukierunkowane wzmocnienie personelu umożliwiło agencji skuteczne reagowanie na te nowe zadania oraz poprawę jakości, terminowości i rzetelności naukowej jej analiz</w:t>
            </w:r>
            <w:r w:rsidRPr="00641BDE">
              <w:t xml:space="preserve">; zauważa ponadto, że nowe umowy o gwarantowanym poziomie usług z DG MARE, DG SANTE i DG RTD rozszerzyły rolę agencji w odbudowie </w:t>
            </w:r>
            <w:r w:rsidRPr="00641BDE">
              <w:rPr>
                <w:b/>
                <w:i/>
              </w:rPr>
              <w:t>oceanów i wód</w:t>
            </w:r>
            <w:r w:rsidRPr="00641BDE">
              <w:t xml:space="preserve">, </w:t>
            </w:r>
            <w:r w:rsidRPr="00641BDE">
              <w:rPr>
                <w:b/>
                <w:bCs/>
                <w:i/>
                <w:iCs/>
              </w:rPr>
              <w:t>w</w:t>
            </w:r>
            <w:r w:rsidRPr="00641BDE">
              <w:t xml:space="preserve"> zwalczaniu zagrożeń </w:t>
            </w:r>
            <w:r w:rsidRPr="00641BDE">
              <w:rPr>
                <w:b/>
                <w:i/>
              </w:rPr>
              <w:t>środowiskowych związanych ze zdrowiem</w:t>
            </w:r>
            <w:r w:rsidRPr="00641BDE">
              <w:t xml:space="preserve"> i </w:t>
            </w:r>
            <w:r w:rsidRPr="00641BDE">
              <w:rPr>
                <w:b/>
                <w:bCs/>
                <w:i/>
                <w:iCs/>
              </w:rPr>
              <w:t>w</w:t>
            </w:r>
            <w:r w:rsidRPr="00641BDE">
              <w:t xml:space="preserve"> integracji danych środowiskowych, a tym </w:t>
            </w:r>
            <w:r w:rsidRPr="00641BDE">
              <w:rPr>
                <w:b/>
                <w:i/>
              </w:rPr>
              <w:t>samym</w:t>
            </w:r>
            <w:r w:rsidRPr="00641BDE">
              <w:t xml:space="preserve"> wzmocniły </w:t>
            </w:r>
            <w:r w:rsidRPr="00641BDE">
              <w:rPr>
                <w:b/>
                <w:i/>
              </w:rPr>
              <w:t>ogólną zdolność Unii do realizacji priorytetów Zielonego Ładu</w:t>
            </w:r>
            <w:r w:rsidRPr="00641BDE">
              <w:t>;</w:t>
            </w:r>
          </w:p>
        </w:tc>
      </w:tr>
    </w:tbl>
    <w:p w14:paraId="0F493249"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061AC4C8" w14:textId="77777777" w:rsidR="001D5F6D" w:rsidRPr="00641BDE" w:rsidRDefault="001D5F6D" w:rsidP="001D5F6D">
      <w:r w:rsidRPr="00641BDE">
        <w:rPr>
          <w:rStyle w:val="HideTWBExt"/>
        </w:rPr>
        <w:t>&lt;/Amend&gt;</w:t>
      </w:r>
    </w:p>
    <w:p w14:paraId="71DE0527"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67</w:t>
      </w:r>
      <w:r w:rsidRPr="00641BDE">
        <w:rPr>
          <w:rStyle w:val="HideTWBExt"/>
          <w:b w:val="0"/>
        </w:rPr>
        <w:t>&lt;/NumAm&gt;</w:t>
      </w:r>
    </w:p>
    <w:p w14:paraId="6D789224"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458B5B59" w14:textId="77777777" w:rsidR="001D5F6D" w:rsidRPr="00641BDE" w:rsidRDefault="001D5F6D" w:rsidP="001D5F6D">
      <w:pPr>
        <w:pStyle w:val="NormalBold"/>
      </w:pPr>
      <w:r w:rsidRPr="00641BDE">
        <w:rPr>
          <w:rStyle w:val="HideTWBExt"/>
          <w:b w:val="0"/>
        </w:rPr>
        <w:t>&lt;/RepeatBlock-By&gt;</w:t>
      </w:r>
    </w:p>
    <w:p w14:paraId="0E3C514F"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B07ED5C" w14:textId="77777777" w:rsidR="001D5F6D" w:rsidRPr="00641BDE" w:rsidRDefault="001D5F6D" w:rsidP="001D5F6D">
      <w:pPr>
        <w:pStyle w:val="NormalBold"/>
      </w:pPr>
      <w:r w:rsidRPr="00641BDE">
        <w:rPr>
          <w:rStyle w:val="HideTWBExt"/>
          <w:b w:val="0"/>
        </w:rPr>
        <w:t>&lt;Article&gt;</w:t>
      </w:r>
      <w:r w:rsidRPr="00641BDE">
        <w:t>Ustęp 19</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E1CA887" w14:textId="77777777" w:rsidTr="007C1C97">
        <w:trPr>
          <w:trHeight w:hRule="exact" w:val="240"/>
          <w:jc w:val="center"/>
        </w:trPr>
        <w:tc>
          <w:tcPr>
            <w:tcW w:w="9752" w:type="dxa"/>
            <w:gridSpan w:val="2"/>
            <w:tcBorders>
              <w:top w:val="nil"/>
              <w:left w:val="nil"/>
              <w:bottom w:val="nil"/>
              <w:right w:val="nil"/>
            </w:tcBorders>
          </w:tcPr>
          <w:p w14:paraId="3A29BBF6" w14:textId="77777777" w:rsidR="001D5F6D" w:rsidRPr="00641BDE" w:rsidRDefault="001D5F6D" w:rsidP="007C1C97"/>
        </w:tc>
      </w:tr>
      <w:tr w:rsidR="001D5F6D" w:rsidRPr="00641BDE" w14:paraId="3E8578CB" w14:textId="77777777" w:rsidTr="007C1C97">
        <w:trPr>
          <w:trHeight w:val="240"/>
          <w:jc w:val="center"/>
        </w:trPr>
        <w:tc>
          <w:tcPr>
            <w:tcW w:w="4876" w:type="dxa"/>
            <w:tcBorders>
              <w:top w:val="nil"/>
              <w:left w:val="nil"/>
              <w:bottom w:val="nil"/>
              <w:right w:val="nil"/>
            </w:tcBorders>
          </w:tcPr>
          <w:p w14:paraId="5C7A2CE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61A002C" w14:textId="77777777" w:rsidR="001D5F6D" w:rsidRPr="00641BDE" w:rsidRDefault="001D5F6D" w:rsidP="007C1C97">
            <w:pPr>
              <w:pStyle w:val="AmColumnHeading"/>
            </w:pPr>
            <w:r w:rsidRPr="00641BDE">
              <w:t>Poprawka</w:t>
            </w:r>
          </w:p>
        </w:tc>
      </w:tr>
      <w:tr w:rsidR="001D5F6D" w:rsidRPr="00641BDE" w14:paraId="37576F94" w14:textId="77777777" w:rsidTr="007C1C97">
        <w:trPr>
          <w:jc w:val="center"/>
        </w:trPr>
        <w:tc>
          <w:tcPr>
            <w:tcW w:w="4876" w:type="dxa"/>
            <w:tcBorders>
              <w:top w:val="nil"/>
              <w:left w:val="nil"/>
              <w:bottom w:val="nil"/>
              <w:right w:val="nil"/>
            </w:tcBorders>
          </w:tcPr>
          <w:p w14:paraId="2177D14D" w14:textId="77777777" w:rsidR="001D5F6D" w:rsidRPr="00641BDE" w:rsidRDefault="001D5F6D" w:rsidP="007C1C97">
            <w:pPr>
              <w:pStyle w:val="Normal6a"/>
            </w:pPr>
            <w:r w:rsidRPr="00641BDE">
              <w:t>19.</w:t>
            </w:r>
            <w:r w:rsidRPr="00641BDE">
              <w:tab/>
              <w:t xml:space="preserve">zwraca uwagę, że wzrost budżetu EEA w 2024 r. odzwierciedla nowe mandaty ustawodawcze i bieżące potrzeby operacyjne, a wdrażanie rozporządzenia o odbudowie zasobów przyrodniczych (przyjętego pod koniec 2024 r.), przekształconej wersji rozporządzenia w sprawie Europejskiego Rejestru Uwalniania i Transferu Zanieczyszczeń (E-PRTR), unijnych ram certyfikacji pochłaniania dwutlenku węgla i technik </w:t>
            </w:r>
            <w:proofErr w:type="spellStart"/>
            <w:r w:rsidRPr="00641BDE">
              <w:t>węglochłonnych</w:t>
            </w:r>
            <w:proofErr w:type="spellEnd"/>
            <w:r w:rsidRPr="00641BDE">
              <w:t xml:space="preserve"> (CRCF) oraz inicjatywy na rzecz rozszerzonego monitorowania emisji z pojazdów ciężkich wiązało się z rekrutacją pracowników; zauważa ponadto, że agencja wdrożyła również zadania w ramach zmienionego rozporządzenia w sprawie użytkowania gruntów, zmiany użytkowania gruntów i leśnictwa (2023); jest również świadomy, że nowe umowy o gwarantowanym poziomie usług (SLA) z DG MARE, DG SANTE i DG RTD rozszerzyły rolę agencji w odbudowie oceanów/wód, zwalczaniu zagrożeń dla zdrowia i integracji danych środowiskowych, </w:t>
            </w:r>
            <w:r w:rsidRPr="00641BDE">
              <w:rPr>
                <w:b/>
                <w:i/>
              </w:rPr>
              <w:t>a przy tym wzmocniły unijne wsparcie w zakresie klimatu, różnorodności biologicznej</w:t>
            </w:r>
            <w:r w:rsidRPr="00641BDE">
              <w:t xml:space="preserve"> i polityki;</w:t>
            </w:r>
          </w:p>
        </w:tc>
        <w:tc>
          <w:tcPr>
            <w:tcW w:w="4876" w:type="dxa"/>
            <w:tcBorders>
              <w:top w:val="nil"/>
              <w:left w:val="nil"/>
              <w:bottom w:val="nil"/>
              <w:right w:val="nil"/>
            </w:tcBorders>
          </w:tcPr>
          <w:p w14:paraId="0CA52A60" w14:textId="77777777" w:rsidR="001D5F6D" w:rsidRPr="00641BDE" w:rsidRDefault="001D5F6D" w:rsidP="007C1C97">
            <w:pPr>
              <w:pStyle w:val="Normal6a"/>
            </w:pPr>
            <w:r w:rsidRPr="00641BDE">
              <w:t>19.</w:t>
            </w:r>
            <w:r w:rsidRPr="00641BDE">
              <w:tab/>
              <w:t xml:space="preserve">zwraca uwagę, że wzrost budżetu EEA w 2024 r. </w:t>
            </w:r>
            <w:r w:rsidRPr="00641BDE">
              <w:rPr>
                <w:b/>
                <w:i/>
              </w:rPr>
              <w:t>o 33,56 %</w:t>
            </w:r>
            <w:r w:rsidRPr="00641BDE">
              <w:t xml:space="preserve"> odzwierciedla nowe mandaty ustawodawcze i bieżące potrzeby operacyjne, a wdrażanie rozporządzenia o odbudowie zasobów przyrodniczych (przyjętego pod koniec 2024 r.), przekształconej wersji rozporządzenia w sprawie Europejskiego Rejestru Uwalniania i Transferu Zanieczyszczeń (E-PRTR), unijnych ram certyfikacji pochłaniania dwutlenku węgla i technik </w:t>
            </w:r>
            <w:proofErr w:type="spellStart"/>
            <w:r w:rsidRPr="00641BDE">
              <w:t>węglochłonnych</w:t>
            </w:r>
            <w:proofErr w:type="spellEnd"/>
            <w:r w:rsidRPr="00641BDE">
              <w:t xml:space="preserve"> (CRCF) oraz inicjatywy na rzecz rozszerzonego monitorowania emisji z pojazdów ciężkich wiązało się z rekrutacją pracowników; zauważa ponadto, że agencja wdrożyła również zadania w ramach zmienionego rozporządzenia w sprawie użytkowania gruntów, zmiany użytkowania gruntów i leśnictwa (2023); jest również świadomy, że nowe umowy o gwarantowanym poziomie usług (SLA) z DG MARE, DG SANTE i DG RTD rozszerzyły rolę agencji w odbudowie oceanów/wód, zwalczaniu zagrożeń dla zdrowia i integracji danych środowiskowych, </w:t>
            </w:r>
            <w:r w:rsidRPr="00641BDE">
              <w:rPr>
                <w:b/>
                <w:i/>
              </w:rPr>
              <w:t>czego efektem jest dostarczanie danych</w:t>
            </w:r>
            <w:r w:rsidRPr="00641BDE">
              <w:t xml:space="preserve"> i </w:t>
            </w:r>
            <w:r w:rsidRPr="00641BDE">
              <w:rPr>
                <w:b/>
                <w:i/>
              </w:rPr>
              <w:t>analiz na potrzeby unijnej polityki ochrony środowiska; podkreśla, że tak znaczny wzrost budżetu wymaga rygorystycznego uzasadnienia kosztów i korzyści; nalega, aby rozszerzone działania EEA w zakresie monitorowania środowiska były zgodne z zasadą neutralności technologicznej i opierały się na obiektywnych danych naukowych, a nie na z góry ustalonych wynikach</w:t>
            </w:r>
            <w:r w:rsidRPr="00641BDE">
              <w:t xml:space="preserve"> polityki; </w:t>
            </w:r>
            <w:r w:rsidRPr="00641BDE">
              <w:rPr>
                <w:b/>
                <w:i/>
              </w:rPr>
              <w:t>podkreśla, że ramy monitorowania powinny obejmować pełny zakres dostępnych technologii i podejść, w tym ich odpowiednie koszty dla przedsiębiorstw, państw członkowskich i podatników;</w:t>
            </w:r>
          </w:p>
        </w:tc>
      </w:tr>
    </w:tbl>
    <w:p w14:paraId="30605E47"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C0D97A4" w14:textId="77777777" w:rsidR="001D5F6D" w:rsidRPr="00641BDE" w:rsidRDefault="001D5F6D" w:rsidP="001D5F6D">
      <w:r w:rsidRPr="00641BDE">
        <w:rPr>
          <w:rStyle w:val="HideTWBExt"/>
        </w:rPr>
        <w:t>&lt;/Amend&gt;</w:t>
      </w:r>
    </w:p>
    <w:p w14:paraId="61057272"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68</w:t>
      </w:r>
      <w:r w:rsidRPr="00641BDE">
        <w:rPr>
          <w:rStyle w:val="HideTWBExt"/>
          <w:b w:val="0"/>
        </w:rPr>
        <w:t>&lt;/NumAm&gt;</w:t>
      </w:r>
    </w:p>
    <w:p w14:paraId="29045B8A"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xml:space="preserve">, </w:t>
      </w:r>
      <w:proofErr w:type="spellStart"/>
      <w:r w:rsidRPr="00641BDE">
        <w:t>Şerban</w:t>
      </w:r>
      <w:proofErr w:type="spellEnd"/>
      <w:r w:rsidRPr="00641BDE">
        <w:t xml:space="preserve"> </w:t>
      </w:r>
      <w:proofErr w:type="spellStart"/>
      <w:r w:rsidRPr="00641BDE">
        <w:t>Dimitrie</w:t>
      </w:r>
      <w:proofErr w:type="spellEnd"/>
      <w:r w:rsidRPr="00641BDE">
        <w:t xml:space="preserve"> </w:t>
      </w:r>
      <w:proofErr w:type="spellStart"/>
      <w:r w:rsidRPr="00641BDE">
        <w:t>Sturdza</w:t>
      </w:r>
      <w:proofErr w:type="spellEnd"/>
      <w:r w:rsidRPr="00641BDE">
        <w:t>, Joachim Stanisław Brudziński</w:t>
      </w:r>
      <w:r w:rsidRPr="00641BDE">
        <w:rPr>
          <w:rStyle w:val="HideTWBExt"/>
          <w:b w:val="0"/>
        </w:rPr>
        <w:t>&lt;/Members&gt;</w:t>
      </w:r>
    </w:p>
    <w:p w14:paraId="2738904E" w14:textId="77777777" w:rsidR="001D5F6D" w:rsidRPr="00641BDE" w:rsidRDefault="001D5F6D" w:rsidP="001D5F6D">
      <w:pPr>
        <w:pStyle w:val="NormalBold"/>
      </w:pPr>
      <w:r w:rsidRPr="00641BDE">
        <w:rPr>
          <w:rStyle w:val="HideTWBExt"/>
          <w:b w:val="0"/>
        </w:rPr>
        <w:t>&lt;/RepeatBlock-By&gt;</w:t>
      </w:r>
    </w:p>
    <w:p w14:paraId="4004CBA4"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3051B1D" w14:textId="77777777" w:rsidR="001D5F6D" w:rsidRPr="00641BDE" w:rsidRDefault="001D5F6D" w:rsidP="001D5F6D">
      <w:pPr>
        <w:pStyle w:val="NormalBold"/>
      </w:pPr>
      <w:r w:rsidRPr="00641BDE">
        <w:rPr>
          <w:rStyle w:val="HideTWBExt"/>
          <w:b w:val="0"/>
        </w:rPr>
        <w:t>&lt;Article&gt;</w:t>
      </w:r>
      <w:r w:rsidRPr="00641BDE">
        <w:t>Ustęp 23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FFADF24" w14:textId="77777777" w:rsidTr="007C1C97">
        <w:trPr>
          <w:trHeight w:hRule="exact" w:val="240"/>
          <w:jc w:val="center"/>
        </w:trPr>
        <w:tc>
          <w:tcPr>
            <w:tcW w:w="9752" w:type="dxa"/>
            <w:gridSpan w:val="2"/>
            <w:tcBorders>
              <w:top w:val="nil"/>
              <w:left w:val="nil"/>
              <w:bottom w:val="nil"/>
              <w:right w:val="nil"/>
            </w:tcBorders>
          </w:tcPr>
          <w:p w14:paraId="45EDD46B" w14:textId="77777777" w:rsidR="001D5F6D" w:rsidRPr="00641BDE" w:rsidRDefault="001D5F6D" w:rsidP="007C1C97"/>
        </w:tc>
      </w:tr>
      <w:tr w:rsidR="001D5F6D" w:rsidRPr="00641BDE" w14:paraId="4D3848AD" w14:textId="77777777" w:rsidTr="007C1C97">
        <w:trPr>
          <w:trHeight w:val="240"/>
          <w:jc w:val="center"/>
        </w:trPr>
        <w:tc>
          <w:tcPr>
            <w:tcW w:w="4876" w:type="dxa"/>
            <w:tcBorders>
              <w:top w:val="nil"/>
              <w:left w:val="nil"/>
              <w:bottom w:val="nil"/>
              <w:right w:val="nil"/>
            </w:tcBorders>
          </w:tcPr>
          <w:p w14:paraId="664F52D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C2A48D2" w14:textId="77777777" w:rsidR="001D5F6D" w:rsidRPr="00641BDE" w:rsidRDefault="001D5F6D" w:rsidP="007C1C97">
            <w:pPr>
              <w:pStyle w:val="AmColumnHeading"/>
            </w:pPr>
            <w:r w:rsidRPr="00641BDE">
              <w:t>Poprawka</w:t>
            </w:r>
          </w:p>
        </w:tc>
      </w:tr>
      <w:tr w:rsidR="001D5F6D" w:rsidRPr="00641BDE" w14:paraId="2C25A06C" w14:textId="77777777" w:rsidTr="007C1C97">
        <w:trPr>
          <w:jc w:val="center"/>
        </w:trPr>
        <w:tc>
          <w:tcPr>
            <w:tcW w:w="4876" w:type="dxa"/>
            <w:tcBorders>
              <w:top w:val="nil"/>
              <w:left w:val="nil"/>
              <w:bottom w:val="nil"/>
              <w:right w:val="nil"/>
            </w:tcBorders>
          </w:tcPr>
          <w:p w14:paraId="0348EB05" w14:textId="77777777" w:rsidR="001D5F6D" w:rsidRPr="00641BDE" w:rsidRDefault="001D5F6D" w:rsidP="007C1C97">
            <w:pPr>
              <w:pStyle w:val="Normal6a"/>
            </w:pPr>
            <w:r w:rsidRPr="00641BDE">
              <w:t>23.</w:t>
            </w:r>
            <w:r w:rsidRPr="00641BDE">
              <w:tab/>
              <w:t xml:space="preserve">jest zdania, że ENISA znajduje się w krytycznym położeniu ze względu na rosnącą złożoność potrzeb Unii w zakresie </w:t>
            </w:r>
            <w:proofErr w:type="spellStart"/>
            <w:r w:rsidRPr="00641BDE">
              <w:t>cyberbezpieczeństwa</w:t>
            </w:r>
            <w:proofErr w:type="spellEnd"/>
            <w:r w:rsidRPr="00641BDE">
              <w:t xml:space="preserve"> oraz </w:t>
            </w:r>
            <w:r w:rsidRPr="00641BDE">
              <w:rPr>
                <w:b/>
                <w:bCs/>
                <w:i/>
                <w:iCs/>
              </w:rPr>
              <w:t>brak</w:t>
            </w:r>
            <w:r w:rsidRPr="00641BDE">
              <w:t xml:space="preserve"> proporcjonalnego </w:t>
            </w:r>
            <w:r w:rsidRPr="00641BDE">
              <w:rPr>
                <w:b/>
                <w:i/>
              </w:rPr>
              <w:t>finansowania i odpowiedniego</w:t>
            </w:r>
            <w:r w:rsidRPr="00641BDE">
              <w:t xml:space="preserve"> personelu; </w:t>
            </w:r>
            <w:r w:rsidRPr="00641BDE">
              <w:rPr>
                <w:b/>
                <w:i/>
              </w:rPr>
              <w:t>przypomina</w:t>
            </w:r>
            <w:r w:rsidRPr="00641BDE">
              <w:t xml:space="preserve"> konkluzje Rady w sprawie ENISA z grudnia 2024 r., w których podkreślono kluczową rolę ENISA w unijnym ekosystemie </w:t>
            </w:r>
            <w:proofErr w:type="spellStart"/>
            <w:r w:rsidRPr="00641BDE">
              <w:t>cyberbezpieczeństwa</w:t>
            </w:r>
            <w:proofErr w:type="spellEnd"/>
            <w:r w:rsidRPr="00641BDE">
              <w:t xml:space="preserve"> oraz potrzebę dostosowania finansowania i zasobów do jej rozszerzonego mandatu;</w:t>
            </w:r>
          </w:p>
        </w:tc>
        <w:tc>
          <w:tcPr>
            <w:tcW w:w="4876" w:type="dxa"/>
            <w:tcBorders>
              <w:top w:val="nil"/>
              <w:left w:val="nil"/>
              <w:bottom w:val="nil"/>
              <w:right w:val="nil"/>
            </w:tcBorders>
          </w:tcPr>
          <w:p w14:paraId="1F6CCDF3" w14:textId="77777777" w:rsidR="001D5F6D" w:rsidRPr="00641BDE" w:rsidRDefault="001D5F6D" w:rsidP="007C1C97">
            <w:pPr>
              <w:pStyle w:val="Normal6a"/>
            </w:pPr>
            <w:r w:rsidRPr="00641BDE">
              <w:t>23.</w:t>
            </w:r>
            <w:r w:rsidRPr="00641BDE">
              <w:tab/>
              <w:t xml:space="preserve">jest zdania, że ENISA znajduje się w krytycznym położeniu ze względu na rosnącą złożoność potrzeb Unii w zakresie </w:t>
            </w:r>
            <w:proofErr w:type="spellStart"/>
            <w:r w:rsidRPr="00641BDE">
              <w:t>cyberbezpieczeństwa</w:t>
            </w:r>
            <w:proofErr w:type="spellEnd"/>
            <w:r w:rsidRPr="00641BDE">
              <w:t xml:space="preserve"> oraz </w:t>
            </w:r>
            <w:r w:rsidRPr="00641BDE">
              <w:rPr>
                <w:b/>
                <w:i/>
              </w:rPr>
              <w:t>potrzebę zapewnienia</w:t>
            </w:r>
            <w:r w:rsidRPr="00641BDE">
              <w:t xml:space="preserve"> proporcjonalnego personelu; </w:t>
            </w:r>
            <w:r w:rsidRPr="00641BDE">
              <w:rPr>
                <w:b/>
                <w:i/>
              </w:rPr>
              <w:t>odnotowuje</w:t>
            </w:r>
            <w:r w:rsidRPr="00641BDE">
              <w:t xml:space="preserve"> konkluzje Rady w sprawie ENISA z grudnia 2024 r., w których podkreślono kluczową rolę ENISA w unijnym ekosystemie </w:t>
            </w:r>
            <w:proofErr w:type="spellStart"/>
            <w:r w:rsidRPr="00641BDE">
              <w:t>cyberbezpieczeństwa</w:t>
            </w:r>
            <w:proofErr w:type="spellEnd"/>
            <w:r w:rsidRPr="00641BDE">
              <w:t xml:space="preserve"> oraz potrzebę dostosowania finansowania i zasobów do jej rozszerzonego mandatu; </w:t>
            </w:r>
            <w:r w:rsidRPr="00641BDE">
              <w:rPr>
                <w:b/>
                <w:i/>
              </w:rPr>
              <w:t>podkreśla jednak, że wszelkim dodatkowym zasobom muszą towarzyszyć wymierne cele w zakresie wyników oraz regularna sprawozdawczość na temat konkretnych osiągniętych efektów, tak aby organ udzielający absolutorium mógł ocenić opłacalność; podkreśla jednak, że wszelkim dodatkowym zasobom muszą towarzyszyć wymierne cele w zakresie wyników oraz regularna sprawozdawczość na temat konkretnych osiągniętych efektów, tak aby organ udzielający absolutorium mógł ocenić opłacalność;</w:t>
            </w:r>
          </w:p>
        </w:tc>
      </w:tr>
    </w:tbl>
    <w:p w14:paraId="3A88221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3913B9B" w14:textId="77777777" w:rsidR="001D5F6D" w:rsidRPr="00641BDE" w:rsidRDefault="001D5F6D" w:rsidP="001D5F6D">
      <w:r w:rsidRPr="00641BDE">
        <w:rPr>
          <w:rStyle w:val="HideTWBExt"/>
        </w:rPr>
        <w:t>&lt;/Amend&gt;</w:t>
      </w:r>
    </w:p>
    <w:p w14:paraId="78EE28C0"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69</w:t>
      </w:r>
      <w:r w:rsidRPr="00641BDE">
        <w:rPr>
          <w:rStyle w:val="HideTWBExt"/>
          <w:b w:val="0"/>
        </w:rPr>
        <w:t>&lt;/NumAm&gt;</w:t>
      </w:r>
    </w:p>
    <w:p w14:paraId="639E3E97"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48D415F9" w14:textId="77777777" w:rsidR="001D5F6D" w:rsidRPr="00641BDE" w:rsidRDefault="001D5F6D" w:rsidP="001D5F6D">
      <w:pPr>
        <w:pStyle w:val="NormalBold"/>
      </w:pPr>
      <w:r w:rsidRPr="00641BDE">
        <w:rPr>
          <w:rStyle w:val="HideTWBExt"/>
          <w:b w:val="0"/>
        </w:rPr>
        <w:t>&lt;/RepeatBlock-By&gt;</w:t>
      </w:r>
    </w:p>
    <w:p w14:paraId="0B5BD99C"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DB7FB94" w14:textId="77777777" w:rsidR="001D5F6D" w:rsidRPr="00641BDE" w:rsidRDefault="001D5F6D" w:rsidP="001D5F6D">
      <w:pPr>
        <w:pStyle w:val="NormalBold"/>
      </w:pPr>
      <w:r w:rsidRPr="00641BDE">
        <w:rPr>
          <w:rStyle w:val="HideTWBExt"/>
          <w:b w:val="0"/>
        </w:rPr>
        <w:t>&lt;Article&gt;</w:t>
      </w:r>
      <w:r w:rsidRPr="00641BDE">
        <w:t>Ustęp 23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B5F6AD0" w14:textId="77777777" w:rsidTr="007C1C97">
        <w:trPr>
          <w:trHeight w:hRule="exact" w:val="240"/>
          <w:jc w:val="center"/>
        </w:trPr>
        <w:tc>
          <w:tcPr>
            <w:tcW w:w="9752" w:type="dxa"/>
            <w:gridSpan w:val="2"/>
            <w:tcBorders>
              <w:top w:val="nil"/>
              <w:left w:val="nil"/>
              <w:bottom w:val="nil"/>
              <w:right w:val="nil"/>
            </w:tcBorders>
          </w:tcPr>
          <w:p w14:paraId="763B48A9" w14:textId="77777777" w:rsidR="001D5F6D" w:rsidRPr="00641BDE" w:rsidRDefault="001D5F6D" w:rsidP="007C1C97"/>
        </w:tc>
      </w:tr>
      <w:tr w:rsidR="001D5F6D" w:rsidRPr="00641BDE" w14:paraId="4E356A35" w14:textId="77777777" w:rsidTr="007C1C97">
        <w:trPr>
          <w:trHeight w:val="240"/>
          <w:jc w:val="center"/>
        </w:trPr>
        <w:tc>
          <w:tcPr>
            <w:tcW w:w="4876" w:type="dxa"/>
            <w:tcBorders>
              <w:top w:val="nil"/>
              <w:left w:val="nil"/>
              <w:bottom w:val="nil"/>
              <w:right w:val="nil"/>
            </w:tcBorders>
          </w:tcPr>
          <w:p w14:paraId="76918B4B"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899C55D" w14:textId="77777777" w:rsidR="001D5F6D" w:rsidRPr="00641BDE" w:rsidRDefault="001D5F6D" w:rsidP="007C1C97">
            <w:pPr>
              <w:pStyle w:val="AmColumnHeading"/>
            </w:pPr>
            <w:r w:rsidRPr="00641BDE">
              <w:t>Poprawka</w:t>
            </w:r>
          </w:p>
        </w:tc>
      </w:tr>
      <w:tr w:rsidR="001D5F6D" w:rsidRPr="00641BDE" w14:paraId="6BE62AF9" w14:textId="77777777" w:rsidTr="007C1C97">
        <w:trPr>
          <w:jc w:val="center"/>
        </w:trPr>
        <w:tc>
          <w:tcPr>
            <w:tcW w:w="4876" w:type="dxa"/>
            <w:tcBorders>
              <w:top w:val="nil"/>
              <w:left w:val="nil"/>
              <w:bottom w:val="nil"/>
              <w:right w:val="nil"/>
            </w:tcBorders>
          </w:tcPr>
          <w:p w14:paraId="723862E5" w14:textId="77777777" w:rsidR="001D5F6D" w:rsidRPr="00641BDE" w:rsidRDefault="001D5F6D" w:rsidP="007C1C97">
            <w:pPr>
              <w:pStyle w:val="Normal6a"/>
            </w:pPr>
            <w:r w:rsidRPr="00641BDE">
              <w:t>23.</w:t>
            </w:r>
            <w:r w:rsidRPr="00641BDE">
              <w:tab/>
            </w:r>
            <w:r w:rsidRPr="00641BDE">
              <w:rPr>
                <w:b/>
                <w:i/>
              </w:rPr>
              <w:t>jest zdania</w:t>
            </w:r>
            <w:r w:rsidRPr="00641BDE">
              <w:t xml:space="preserve">, że ENISA znajduje się w krytycznym położeniu ze względu na rosnącą złożoność potrzeb Unii w zakresie </w:t>
            </w:r>
            <w:proofErr w:type="spellStart"/>
            <w:r w:rsidRPr="00641BDE">
              <w:t>cyberbezpieczeństwa</w:t>
            </w:r>
            <w:proofErr w:type="spellEnd"/>
            <w:r w:rsidRPr="00641BDE">
              <w:t xml:space="preserve"> oraz brak proporcjonalnego finansowania i odpowiedniego personelu; przypomina konkluzje Rady w sprawie ENISA z grudnia 2024 r., w których podkreślono kluczową rolę ENISA w unijnym ekosystemie </w:t>
            </w:r>
            <w:proofErr w:type="spellStart"/>
            <w:r w:rsidRPr="00641BDE">
              <w:t>cyberbezpieczeństwa</w:t>
            </w:r>
            <w:proofErr w:type="spellEnd"/>
            <w:r w:rsidRPr="00641BDE">
              <w:t xml:space="preserve"> oraz potrzebę dostosowania finansowania i zasobów do jej rozszerzonego mandatu;</w:t>
            </w:r>
          </w:p>
        </w:tc>
        <w:tc>
          <w:tcPr>
            <w:tcW w:w="4876" w:type="dxa"/>
            <w:tcBorders>
              <w:top w:val="nil"/>
              <w:left w:val="nil"/>
              <w:bottom w:val="nil"/>
              <w:right w:val="nil"/>
            </w:tcBorders>
          </w:tcPr>
          <w:p w14:paraId="7836DDC1" w14:textId="77777777" w:rsidR="001D5F6D" w:rsidRPr="00641BDE" w:rsidRDefault="001D5F6D" w:rsidP="007C1C97">
            <w:pPr>
              <w:pStyle w:val="Normal6a"/>
            </w:pPr>
            <w:r w:rsidRPr="00641BDE">
              <w:t>23.</w:t>
            </w:r>
            <w:r w:rsidRPr="00641BDE">
              <w:tab/>
            </w:r>
            <w:r w:rsidRPr="00641BDE">
              <w:rPr>
                <w:b/>
                <w:i/>
              </w:rPr>
              <w:t>wyraża poważne obawy</w:t>
            </w:r>
            <w:r w:rsidRPr="00641BDE">
              <w:t xml:space="preserve">, że ENISA znajduje się w krytycznym położeniu ze względu na rosnącą złożoność potrzeb Unii w zakresie </w:t>
            </w:r>
            <w:proofErr w:type="spellStart"/>
            <w:r w:rsidRPr="00641BDE">
              <w:t>cyberbezpieczeństwa</w:t>
            </w:r>
            <w:proofErr w:type="spellEnd"/>
            <w:r w:rsidRPr="00641BDE">
              <w:rPr>
                <w:b/>
                <w:i/>
              </w:rPr>
              <w:t xml:space="preserve">, ciągłą eskalację zagrożeń </w:t>
            </w:r>
            <w:proofErr w:type="spellStart"/>
            <w:r w:rsidRPr="00641BDE">
              <w:rPr>
                <w:b/>
                <w:i/>
              </w:rPr>
              <w:t>cyberbezpieczeństwa</w:t>
            </w:r>
            <w:proofErr w:type="spellEnd"/>
            <w:r w:rsidRPr="00641BDE">
              <w:t xml:space="preserve"> oraz brak proporcjonalnego finansowania i odpowiedniego personelu; przypomina konkluzje Rady w sprawie ENISA z grudnia 2024 r., w których podkreślono kluczową rolę ENISA w unijnym ekosystemie </w:t>
            </w:r>
            <w:proofErr w:type="spellStart"/>
            <w:r w:rsidRPr="00641BDE">
              <w:t>cyberbezpieczeństwa</w:t>
            </w:r>
            <w:proofErr w:type="spellEnd"/>
            <w:r w:rsidRPr="00641BDE">
              <w:t xml:space="preserve"> oraz potrzebę dostosowania finansowania i zasobów do jej rozszerzonego mandatu;</w:t>
            </w:r>
          </w:p>
        </w:tc>
      </w:tr>
    </w:tbl>
    <w:p w14:paraId="780B8804"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6D6E0181" w14:textId="77777777" w:rsidR="001D5F6D" w:rsidRPr="00641BDE" w:rsidRDefault="001D5F6D" w:rsidP="001D5F6D">
      <w:r w:rsidRPr="00641BDE">
        <w:rPr>
          <w:rStyle w:val="HideTWBExt"/>
        </w:rPr>
        <w:t>&lt;/Amend&gt;</w:t>
      </w:r>
    </w:p>
    <w:p w14:paraId="3DEA95A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70</w:t>
      </w:r>
      <w:r w:rsidRPr="00641BDE">
        <w:rPr>
          <w:rStyle w:val="HideTWBExt"/>
          <w:b w:val="0"/>
        </w:rPr>
        <w:t>&lt;/NumAm&gt;</w:t>
      </w:r>
    </w:p>
    <w:p w14:paraId="6B7CB5DB"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2A59929D"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495A54D8" w14:textId="77777777" w:rsidR="001D5F6D" w:rsidRPr="00641BDE" w:rsidRDefault="001D5F6D" w:rsidP="001D5F6D">
      <w:pPr>
        <w:pStyle w:val="NormalBold"/>
      </w:pPr>
      <w:r w:rsidRPr="00641BDE">
        <w:rPr>
          <w:rStyle w:val="HideTWBExt"/>
          <w:b w:val="0"/>
        </w:rPr>
        <w:t>&lt;/RepeatBlock-By&gt;</w:t>
      </w:r>
    </w:p>
    <w:p w14:paraId="2975CB1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6FC3AE5" w14:textId="77777777" w:rsidR="001D5F6D" w:rsidRPr="00641BDE" w:rsidRDefault="001D5F6D" w:rsidP="001D5F6D">
      <w:pPr>
        <w:pStyle w:val="NormalBold"/>
      </w:pPr>
      <w:r w:rsidRPr="00641BDE">
        <w:rPr>
          <w:rStyle w:val="HideTWBExt"/>
          <w:b w:val="0"/>
        </w:rPr>
        <w:t>&lt;Article&gt;</w:t>
      </w:r>
      <w:r w:rsidRPr="00641BDE">
        <w:t>Ustęp 25</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36E5917" w14:textId="77777777" w:rsidTr="007C1C97">
        <w:trPr>
          <w:trHeight w:hRule="exact" w:val="240"/>
          <w:jc w:val="center"/>
        </w:trPr>
        <w:tc>
          <w:tcPr>
            <w:tcW w:w="9752" w:type="dxa"/>
            <w:gridSpan w:val="2"/>
            <w:tcBorders>
              <w:top w:val="nil"/>
              <w:left w:val="nil"/>
              <w:bottom w:val="nil"/>
              <w:right w:val="nil"/>
            </w:tcBorders>
          </w:tcPr>
          <w:p w14:paraId="356C365D" w14:textId="77777777" w:rsidR="001D5F6D" w:rsidRPr="00641BDE" w:rsidRDefault="001D5F6D" w:rsidP="007C1C97"/>
        </w:tc>
      </w:tr>
      <w:tr w:rsidR="001D5F6D" w:rsidRPr="00641BDE" w14:paraId="61557A63" w14:textId="77777777" w:rsidTr="007C1C97">
        <w:trPr>
          <w:trHeight w:val="240"/>
          <w:jc w:val="center"/>
        </w:trPr>
        <w:tc>
          <w:tcPr>
            <w:tcW w:w="4876" w:type="dxa"/>
            <w:tcBorders>
              <w:top w:val="nil"/>
              <w:left w:val="nil"/>
              <w:bottom w:val="nil"/>
              <w:right w:val="nil"/>
            </w:tcBorders>
          </w:tcPr>
          <w:p w14:paraId="0B5C8FE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908CAB5" w14:textId="77777777" w:rsidR="001D5F6D" w:rsidRPr="00641BDE" w:rsidRDefault="001D5F6D" w:rsidP="007C1C97">
            <w:pPr>
              <w:pStyle w:val="AmColumnHeading"/>
            </w:pPr>
            <w:r w:rsidRPr="00641BDE">
              <w:t>Poprawka</w:t>
            </w:r>
          </w:p>
        </w:tc>
      </w:tr>
      <w:tr w:rsidR="001D5F6D" w:rsidRPr="00641BDE" w14:paraId="32C05CB0" w14:textId="77777777" w:rsidTr="007C1C97">
        <w:trPr>
          <w:jc w:val="center"/>
        </w:trPr>
        <w:tc>
          <w:tcPr>
            <w:tcW w:w="4876" w:type="dxa"/>
            <w:tcBorders>
              <w:top w:val="nil"/>
              <w:left w:val="nil"/>
              <w:bottom w:val="nil"/>
              <w:right w:val="nil"/>
            </w:tcBorders>
          </w:tcPr>
          <w:p w14:paraId="274512E4" w14:textId="77777777" w:rsidR="001D5F6D" w:rsidRPr="00641BDE" w:rsidRDefault="001D5F6D" w:rsidP="007C1C97">
            <w:pPr>
              <w:pStyle w:val="Normal6a"/>
            </w:pPr>
            <w:r w:rsidRPr="00641BDE">
              <w:t>25.</w:t>
            </w:r>
            <w:r w:rsidRPr="00641BDE">
              <w:tab/>
              <w:t xml:space="preserve">odnotowuje stopniowe rozszerzanie mandatu Europolu, w tym niedawno przyjęte i proponowane środki przyznające większe zdolności w zakresie zwalczania poważnej i zorganizowanej przestępczości, takiej jak przemyt migrantów, handel ludźmi, cyberprzestępczość i terroryzm; przypomina, że zmiany te obejmują m.in. zacieśnioną współpracę z podmiotami prywatnymi dzięki bezpośredniej wymianie danych, zwiększonym możliwościom analizy danych na dużą skalę oraz usprawnionej pomocy operacyjnej dla państw członkowskich za pośrednictwem wyspecjalizowanych zespołów wsparcia; podkreśla, że skuteczna realizacja tych dodatkowych zadań wymaga odpowiedniego zwiększenia zasobów ludzkich Europolu; zauważa </w:t>
            </w:r>
            <w:r w:rsidRPr="00641BDE">
              <w:rPr>
                <w:b/>
                <w:i/>
              </w:rPr>
              <w:t>jednak</w:t>
            </w:r>
            <w:r w:rsidRPr="00641BDE">
              <w:t>, że budżet Europolu wzrósł w 2024 r. tylko o 5,78 % w porównaniu z 2023 r.</w:t>
            </w:r>
            <w:r w:rsidRPr="00641BDE">
              <w:rPr>
                <w:b/>
                <w:i/>
              </w:rPr>
              <w:t>; w związku z tym apeluje o dalsze zwiększenie budżetu Europolu w celu zaradzenia</w:t>
            </w:r>
            <w:r w:rsidRPr="00641BDE">
              <w:t xml:space="preserve"> utrzymującym się niedoborom kadrowym i </w:t>
            </w:r>
            <w:r w:rsidRPr="00641BDE">
              <w:rPr>
                <w:b/>
                <w:i/>
              </w:rPr>
              <w:t>zapewnienia współmierności zasobów finansowych Europolu do jego rosnących obowiązków</w:t>
            </w:r>
            <w:r w:rsidRPr="00641BDE">
              <w:t>;</w:t>
            </w:r>
          </w:p>
        </w:tc>
        <w:tc>
          <w:tcPr>
            <w:tcW w:w="4876" w:type="dxa"/>
            <w:tcBorders>
              <w:top w:val="nil"/>
              <w:left w:val="nil"/>
              <w:bottom w:val="nil"/>
              <w:right w:val="nil"/>
            </w:tcBorders>
          </w:tcPr>
          <w:p w14:paraId="1FF27006" w14:textId="77777777" w:rsidR="001D5F6D" w:rsidRPr="00641BDE" w:rsidRDefault="001D5F6D" w:rsidP="007C1C97">
            <w:pPr>
              <w:pStyle w:val="Normal6a"/>
            </w:pPr>
            <w:r w:rsidRPr="00641BDE">
              <w:t>25.</w:t>
            </w:r>
            <w:r w:rsidRPr="00641BDE">
              <w:tab/>
              <w:t xml:space="preserve">odnotowuje stopniowe rozszerzanie mandatu Europolu, w tym niedawno przyjęte i proponowane środki przyznające większe zdolności w zakresie zwalczania poważnej i zorganizowanej przestępczości, takiej jak przemyt migrantów, handel ludźmi, cyberprzestępczość i terroryzm; przypomina, że zmiany te obejmują m.in. zacieśnioną współpracę z podmiotami prywatnymi dzięki bezpośredniej wymianie danych, zwiększonym możliwościom analizy danych na dużą skalę oraz usprawnionej pomocy operacyjnej dla państw członkowskich za pośrednictwem wyspecjalizowanych zespołów wsparcia; </w:t>
            </w:r>
            <w:r w:rsidRPr="00641BDE">
              <w:rPr>
                <w:b/>
                <w:i/>
              </w:rPr>
              <w:t>podkreśla, że takie rozszerzenie uprawnień operacyjnych i analitycznych wiąże się z poważnymi wyzwaniami w zakresie demokratycznej rozliczalności, ochrony danych, przestrzegania praw podstawowych i skutecznego nadzoru;</w:t>
            </w:r>
            <w:r w:rsidRPr="00641BDE">
              <w:t xml:space="preserve"> podkreśla, że skuteczna realizacja tych dodatkowych zadań wymaga odpowiedniego zwiększenia zasobów ludzkich Europolu</w:t>
            </w:r>
            <w:r w:rsidRPr="00641BDE">
              <w:rPr>
                <w:b/>
                <w:i/>
              </w:rPr>
              <w:t>, ale także solidnych zabezpieczeń wewnętrznych, wystarczającej zdolności do zapewnienia zgodności i wzmocnionych mechanizmów nadzorczych</w:t>
            </w:r>
            <w:r w:rsidRPr="00641BDE">
              <w:t xml:space="preserve">; zauważa </w:t>
            </w:r>
            <w:r w:rsidRPr="00641BDE">
              <w:rPr>
                <w:b/>
                <w:i/>
              </w:rPr>
              <w:t>w tym kontekście</w:t>
            </w:r>
            <w:r w:rsidRPr="00641BDE">
              <w:t>, że budżet Europolu wzrósł w 2024 r. tylko o 5,78 % w porównaniu z 2023 r.</w:t>
            </w:r>
            <w:r w:rsidRPr="00641BDE">
              <w:rPr>
                <w:b/>
                <w:i/>
              </w:rPr>
              <w:t>, co nie wystarczy, by zaradzić</w:t>
            </w:r>
            <w:r w:rsidRPr="00641BDE">
              <w:t xml:space="preserve"> utrzymującym się niedoborom kadrowym</w:t>
            </w:r>
            <w:r w:rsidRPr="00641BDE">
              <w:rPr>
                <w:b/>
                <w:i/>
              </w:rPr>
              <w:t>, w szczególności w obszarach związanych z przestrzeganiem przepisów, ochroną danych</w:t>
            </w:r>
            <w:r w:rsidRPr="00641BDE">
              <w:t xml:space="preserve"> i </w:t>
            </w:r>
            <w:r w:rsidRPr="00641BDE">
              <w:rPr>
                <w:b/>
                <w:bCs/>
                <w:i/>
                <w:iCs/>
              </w:rPr>
              <w:t>nadzorem;</w:t>
            </w:r>
            <w:r w:rsidRPr="00641BDE">
              <w:rPr>
                <w:b/>
                <w:i/>
              </w:rPr>
              <w:t xml:space="preserve"> w związku z tym apeluje, aby wszelkie dalsze zwiększanie budżetu Europolu było uzależnione od wyraźnej poprawy zarządzania, rozliczalności i poszanowania praw podstawowych, zgodnie z długotrwałymi obawami Parlamentu wyrażonymi w poprzednich procedurach udzielania absolutorium</w:t>
            </w:r>
            <w:r w:rsidRPr="00641BDE">
              <w:t>;</w:t>
            </w:r>
          </w:p>
        </w:tc>
      </w:tr>
    </w:tbl>
    <w:p w14:paraId="18B0A2D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B647A02" w14:textId="77777777" w:rsidR="001D5F6D" w:rsidRPr="00641BDE" w:rsidRDefault="001D5F6D" w:rsidP="001D5F6D">
      <w:r w:rsidRPr="00641BDE">
        <w:rPr>
          <w:rStyle w:val="HideTWBExt"/>
        </w:rPr>
        <w:t>&lt;/Amend&gt;</w:t>
      </w:r>
    </w:p>
    <w:p w14:paraId="77B17280"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71</w:t>
      </w:r>
      <w:r w:rsidRPr="00641BDE">
        <w:rPr>
          <w:rStyle w:val="HideTWBExt"/>
          <w:b w:val="0"/>
        </w:rPr>
        <w:t>&lt;/NumAm&gt;</w:t>
      </w:r>
    </w:p>
    <w:p w14:paraId="6D829DA5"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rPr>
          <w:rStyle w:val="HideTWBExt"/>
          <w:b w:val="0"/>
        </w:rPr>
        <w:t>&lt;/Members&gt;</w:t>
      </w:r>
    </w:p>
    <w:p w14:paraId="46E6BA9A" w14:textId="77777777" w:rsidR="001D5F6D" w:rsidRPr="00641BDE" w:rsidRDefault="001D5F6D" w:rsidP="001D5F6D">
      <w:pPr>
        <w:pStyle w:val="NormalBold"/>
      </w:pPr>
      <w:r w:rsidRPr="00641BDE">
        <w:rPr>
          <w:rStyle w:val="HideTWBExt"/>
          <w:b w:val="0"/>
        </w:rPr>
        <w:t>&lt;/RepeatBlock-By&gt;</w:t>
      </w:r>
    </w:p>
    <w:p w14:paraId="1C9182EF"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558CE43" w14:textId="77777777" w:rsidR="001D5F6D" w:rsidRPr="00641BDE" w:rsidRDefault="001D5F6D" w:rsidP="001D5F6D">
      <w:pPr>
        <w:pStyle w:val="NormalBold"/>
      </w:pPr>
      <w:r w:rsidRPr="00641BDE">
        <w:rPr>
          <w:rStyle w:val="HideTWBExt"/>
          <w:b w:val="0"/>
        </w:rPr>
        <w:t>&lt;Article&gt;</w:t>
      </w:r>
      <w:r w:rsidRPr="00641BDE">
        <w:t>Ustęp 25</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A09EB0A" w14:textId="77777777" w:rsidTr="007C1C97">
        <w:trPr>
          <w:trHeight w:hRule="exact" w:val="240"/>
          <w:jc w:val="center"/>
        </w:trPr>
        <w:tc>
          <w:tcPr>
            <w:tcW w:w="9752" w:type="dxa"/>
            <w:gridSpan w:val="2"/>
            <w:tcBorders>
              <w:top w:val="nil"/>
              <w:left w:val="nil"/>
              <w:bottom w:val="nil"/>
              <w:right w:val="nil"/>
            </w:tcBorders>
          </w:tcPr>
          <w:p w14:paraId="0AEDA61A" w14:textId="77777777" w:rsidR="001D5F6D" w:rsidRPr="00641BDE" w:rsidRDefault="001D5F6D" w:rsidP="007C1C97"/>
        </w:tc>
      </w:tr>
      <w:tr w:rsidR="001D5F6D" w:rsidRPr="00641BDE" w14:paraId="6EB0595C" w14:textId="77777777" w:rsidTr="007C1C97">
        <w:trPr>
          <w:trHeight w:val="240"/>
          <w:jc w:val="center"/>
        </w:trPr>
        <w:tc>
          <w:tcPr>
            <w:tcW w:w="4876" w:type="dxa"/>
            <w:tcBorders>
              <w:top w:val="nil"/>
              <w:left w:val="nil"/>
              <w:bottom w:val="nil"/>
              <w:right w:val="nil"/>
            </w:tcBorders>
          </w:tcPr>
          <w:p w14:paraId="498AD64B"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E4BD828" w14:textId="77777777" w:rsidR="001D5F6D" w:rsidRPr="00641BDE" w:rsidRDefault="001D5F6D" w:rsidP="007C1C97">
            <w:pPr>
              <w:pStyle w:val="AmColumnHeading"/>
            </w:pPr>
            <w:r w:rsidRPr="00641BDE">
              <w:t>Poprawka</w:t>
            </w:r>
          </w:p>
        </w:tc>
      </w:tr>
      <w:tr w:rsidR="001D5F6D" w:rsidRPr="00641BDE" w14:paraId="6AC4E79F" w14:textId="77777777" w:rsidTr="007C1C97">
        <w:trPr>
          <w:jc w:val="center"/>
        </w:trPr>
        <w:tc>
          <w:tcPr>
            <w:tcW w:w="4876" w:type="dxa"/>
            <w:tcBorders>
              <w:top w:val="nil"/>
              <w:left w:val="nil"/>
              <w:bottom w:val="nil"/>
              <w:right w:val="nil"/>
            </w:tcBorders>
          </w:tcPr>
          <w:p w14:paraId="7E610EBC" w14:textId="77777777" w:rsidR="001D5F6D" w:rsidRPr="00641BDE" w:rsidRDefault="001D5F6D" w:rsidP="007C1C97">
            <w:pPr>
              <w:pStyle w:val="Normal6a"/>
            </w:pPr>
            <w:r w:rsidRPr="00641BDE">
              <w:t>25.</w:t>
            </w:r>
            <w:r w:rsidRPr="00641BDE">
              <w:tab/>
              <w:t>odnotowuje stopniowe rozszerzanie mandatu Europolu, w tym niedawno przyjęte i proponowane środki przyznające większe zdolności w zakresie zwalczania poważnej i zorganizowanej przestępczości, takiej jak przemyt migrantów, handel ludźmi, cyberprzestępczość i terroryzm; przypomina, że zmiany te obejmują m.in. zacieśnioną współpracę z podmiotami prywatnymi dzięki bezpośredniej wymianie danych, zwiększonym możliwościom analizy danych na dużą skalę oraz usprawnionej pomocy operacyjnej dla państw członkowskich za pośrednictwem wyspecjalizowanych zespołów wsparcia; podkreśla, że skuteczna realizacja tych dodatkowych zadań wymaga odpowiedniego zwiększenia zasobów ludzkich Europolu; zauważa jednak, że budżet Europolu wzrósł w 2024 r. tylko o 5,78 % w porównaniu z 2023 r.; w związku z tym apeluje o dalsze zwiększenie budżetu Europolu w celu zaradzenia utrzymującym się niedoborom kadrowym i zapewnienia współmierności zasobów finansowych Europolu do jego rosnących obowiązków;</w:t>
            </w:r>
          </w:p>
        </w:tc>
        <w:tc>
          <w:tcPr>
            <w:tcW w:w="4876" w:type="dxa"/>
            <w:tcBorders>
              <w:top w:val="nil"/>
              <w:left w:val="nil"/>
              <w:bottom w:val="nil"/>
              <w:right w:val="nil"/>
            </w:tcBorders>
          </w:tcPr>
          <w:p w14:paraId="6C7F4D49" w14:textId="77777777" w:rsidR="001D5F6D" w:rsidRPr="00641BDE" w:rsidRDefault="001D5F6D" w:rsidP="007C1C97">
            <w:pPr>
              <w:pStyle w:val="Normal6a"/>
            </w:pPr>
            <w:r w:rsidRPr="00641BDE">
              <w:t>25.</w:t>
            </w:r>
            <w:r w:rsidRPr="00641BDE">
              <w:tab/>
              <w:t xml:space="preserve">odnotowuje stopniowe rozszerzanie mandatu Europolu, w tym niedawno przyjęte i proponowane środki przyznające większe zdolności w zakresie zwalczania poważnej i zorganizowanej przestępczości, takiej jak przemyt migrantów, handel ludźmi, cyberprzestępczość i terroryzm; przypomina, że zmiany te obejmują m.in. zacieśnioną współpracę z podmiotami prywatnymi dzięki bezpośredniej wymianie danych, zwiększonym możliwościom analizy danych na dużą skalę oraz usprawnionej pomocy operacyjnej dla państw członkowskich za pośrednictwem wyspecjalizowanych zespołów wsparcia; podkreśla, że skuteczna realizacja tych dodatkowych zadań wymaga odpowiedniego zwiększenia zasobów ludzkich Europolu; zauważa jednak, że budżet Europolu wzrósł w 2024 r. tylko o 5,78 % w porównaniu z 2023 r.; w związku z tym apeluje o dalsze zwiększenie budżetu Europolu w celu zaradzenia utrzymującym się niedoborom kadrowym i zapewnienia współmierności zasobów finansowych Europolu do jego rosnących obowiązków; </w:t>
            </w:r>
            <w:r w:rsidRPr="00641BDE">
              <w:rPr>
                <w:b/>
                <w:i/>
              </w:rPr>
              <w:t>podkreśla, że rola Europolu w zwalczaniu przemytu migrantów, transgranicznej przestępczości zorganizowanej i terroryzmu ma najwyższy priorytet oraz że odpowiednie zasoby na te podstawowe zadania powinny mieć pierwszeństwo przed mniej pilnymi wydatkami w innych obszarach działalności agencji;</w:t>
            </w:r>
          </w:p>
        </w:tc>
      </w:tr>
    </w:tbl>
    <w:p w14:paraId="1EF6B394"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953EF22" w14:textId="77777777" w:rsidR="001D5F6D" w:rsidRPr="00641BDE" w:rsidRDefault="001D5F6D" w:rsidP="001D5F6D">
      <w:r w:rsidRPr="00641BDE">
        <w:rPr>
          <w:rStyle w:val="HideTWBExt"/>
        </w:rPr>
        <w:t>&lt;/Amend&gt;</w:t>
      </w:r>
    </w:p>
    <w:p w14:paraId="464AD68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72</w:t>
      </w:r>
      <w:r w:rsidRPr="00641BDE">
        <w:rPr>
          <w:rStyle w:val="HideTWBExt"/>
          <w:b w:val="0"/>
        </w:rPr>
        <w:t>&lt;/NumAm&gt;</w:t>
      </w:r>
    </w:p>
    <w:p w14:paraId="40159911"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xml:space="preserve">, </w:t>
      </w:r>
      <w:proofErr w:type="spellStart"/>
      <w:r w:rsidRPr="00641BDE">
        <w:t>Şerban</w:t>
      </w:r>
      <w:proofErr w:type="spellEnd"/>
      <w:r w:rsidRPr="00641BDE">
        <w:t xml:space="preserve"> </w:t>
      </w:r>
      <w:proofErr w:type="spellStart"/>
      <w:r w:rsidRPr="00641BDE">
        <w:t>Dimitrie</w:t>
      </w:r>
      <w:proofErr w:type="spellEnd"/>
      <w:r w:rsidRPr="00641BDE">
        <w:t xml:space="preserve"> </w:t>
      </w:r>
      <w:proofErr w:type="spellStart"/>
      <w:r w:rsidRPr="00641BDE">
        <w:t>Sturdza</w:t>
      </w:r>
      <w:proofErr w:type="spellEnd"/>
      <w:r w:rsidRPr="00641BDE">
        <w:t>, Joachim Stanisław Brudziński</w:t>
      </w:r>
      <w:r w:rsidRPr="00641BDE">
        <w:rPr>
          <w:rStyle w:val="HideTWBExt"/>
          <w:b w:val="0"/>
        </w:rPr>
        <w:t>&lt;/Members&gt;</w:t>
      </w:r>
    </w:p>
    <w:p w14:paraId="179E03B6" w14:textId="77777777" w:rsidR="001D5F6D" w:rsidRPr="00641BDE" w:rsidRDefault="001D5F6D" w:rsidP="001D5F6D">
      <w:pPr>
        <w:pStyle w:val="NormalBold"/>
      </w:pPr>
      <w:r w:rsidRPr="00641BDE">
        <w:rPr>
          <w:rStyle w:val="HideTWBExt"/>
          <w:b w:val="0"/>
        </w:rPr>
        <w:t>&lt;/RepeatBlock-By&gt;</w:t>
      </w:r>
    </w:p>
    <w:p w14:paraId="24010B20"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7149255" w14:textId="77777777" w:rsidR="001D5F6D" w:rsidRPr="00641BDE" w:rsidRDefault="001D5F6D" w:rsidP="001D5F6D">
      <w:pPr>
        <w:pStyle w:val="NormalBold"/>
      </w:pPr>
      <w:r w:rsidRPr="00641BDE">
        <w:rPr>
          <w:rStyle w:val="HideTWBExt"/>
          <w:b w:val="0"/>
        </w:rPr>
        <w:t>&lt;Article&gt;</w:t>
      </w:r>
      <w:r w:rsidRPr="00641BDE">
        <w:t>Ustęp 25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BAE6FC4" w14:textId="77777777" w:rsidTr="007C1C97">
        <w:trPr>
          <w:trHeight w:hRule="exact" w:val="240"/>
          <w:jc w:val="center"/>
        </w:trPr>
        <w:tc>
          <w:tcPr>
            <w:tcW w:w="9752" w:type="dxa"/>
            <w:gridSpan w:val="2"/>
            <w:tcBorders>
              <w:top w:val="nil"/>
              <w:left w:val="nil"/>
              <w:bottom w:val="nil"/>
              <w:right w:val="nil"/>
            </w:tcBorders>
          </w:tcPr>
          <w:p w14:paraId="4B3E9A33" w14:textId="77777777" w:rsidR="001D5F6D" w:rsidRPr="00641BDE" w:rsidRDefault="001D5F6D" w:rsidP="007C1C97"/>
        </w:tc>
      </w:tr>
      <w:tr w:rsidR="001D5F6D" w:rsidRPr="00641BDE" w14:paraId="33765BD1" w14:textId="77777777" w:rsidTr="007C1C97">
        <w:trPr>
          <w:trHeight w:val="240"/>
          <w:jc w:val="center"/>
        </w:trPr>
        <w:tc>
          <w:tcPr>
            <w:tcW w:w="4876" w:type="dxa"/>
            <w:tcBorders>
              <w:top w:val="nil"/>
              <w:left w:val="nil"/>
              <w:bottom w:val="nil"/>
              <w:right w:val="nil"/>
            </w:tcBorders>
          </w:tcPr>
          <w:p w14:paraId="2E0298DB"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4AEDD8E" w14:textId="77777777" w:rsidR="001D5F6D" w:rsidRPr="00641BDE" w:rsidRDefault="001D5F6D" w:rsidP="007C1C97">
            <w:pPr>
              <w:pStyle w:val="AmColumnHeading"/>
            </w:pPr>
            <w:r w:rsidRPr="00641BDE">
              <w:t>Poprawka</w:t>
            </w:r>
          </w:p>
        </w:tc>
      </w:tr>
      <w:tr w:rsidR="001D5F6D" w:rsidRPr="00641BDE" w14:paraId="2B586031" w14:textId="77777777" w:rsidTr="007C1C97">
        <w:trPr>
          <w:jc w:val="center"/>
        </w:trPr>
        <w:tc>
          <w:tcPr>
            <w:tcW w:w="4876" w:type="dxa"/>
            <w:tcBorders>
              <w:top w:val="nil"/>
              <w:left w:val="nil"/>
              <w:bottom w:val="nil"/>
              <w:right w:val="nil"/>
            </w:tcBorders>
          </w:tcPr>
          <w:p w14:paraId="5EAD227D" w14:textId="77777777" w:rsidR="001D5F6D" w:rsidRPr="00641BDE" w:rsidRDefault="001D5F6D" w:rsidP="007C1C97">
            <w:pPr>
              <w:pStyle w:val="Normal6a"/>
            </w:pPr>
          </w:p>
        </w:tc>
        <w:tc>
          <w:tcPr>
            <w:tcW w:w="4876" w:type="dxa"/>
            <w:tcBorders>
              <w:top w:val="nil"/>
              <w:left w:val="nil"/>
              <w:bottom w:val="nil"/>
              <w:right w:val="nil"/>
            </w:tcBorders>
          </w:tcPr>
          <w:p w14:paraId="3310ECC7" w14:textId="77777777" w:rsidR="001D5F6D" w:rsidRPr="00641BDE" w:rsidRDefault="001D5F6D" w:rsidP="007C1C97">
            <w:pPr>
              <w:pStyle w:val="Normal6a"/>
            </w:pPr>
            <w:r w:rsidRPr="00641BDE">
              <w:rPr>
                <w:b/>
                <w:i/>
              </w:rPr>
              <w:t>25a.</w:t>
            </w:r>
            <w:r w:rsidRPr="00641BDE">
              <w:tab/>
            </w:r>
            <w:r w:rsidRPr="00641BDE">
              <w:rPr>
                <w:b/>
                <w:i/>
              </w:rPr>
              <w:t>podkreśla, że Europejska Agencja Straży Granicznej i Przybrzeżnej (</w:t>
            </w:r>
            <w:proofErr w:type="spellStart"/>
            <w:r w:rsidRPr="00641BDE">
              <w:rPr>
                <w:b/>
                <w:i/>
              </w:rPr>
              <w:t>Frontex</w:t>
            </w:r>
            <w:proofErr w:type="spellEnd"/>
            <w:r w:rsidRPr="00641BDE">
              <w:rPr>
                <w:b/>
                <w:i/>
              </w:rPr>
              <w:t xml:space="preserve">) musi skoncentrować swoje zasoby na własnych podstawowych zadaniach operacyjnych, a mianowicie nadzorze granic strefy </w:t>
            </w:r>
            <w:proofErr w:type="spellStart"/>
            <w:r w:rsidRPr="00641BDE">
              <w:rPr>
                <w:b/>
                <w:i/>
              </w:rPr>
              <w:t>Schengen</w:t>
            </w:r>
            <w:proofErr w:type="spellEnd"/>
            <w:r w:rsidRPr="00641BDE">
              <w:rPr>
                <w:b/>
                <w:i/>
              </w:rPr>
              <w:t xml:space="preserve">, zwalczaniu przestępczości transgranicznej i wspieraniu skutecznych operacji </w:t>
            </w:r>
            <w:proofErr w:type="spellStart"/>
            <w:r w:rsidRPr="00641BDE">
              <w:rPr>
                <w:b/>
                <w:i/>
              </w:rPr>
              <w:t>powrotowych</w:t>
            </w:r>
            <w:proofErr w:type="spellEnd"/>
            <w:r w:rsidRPr="00641BDE">
              <w:rPr>
                <w:b/>
                <w:i/>
              </w:rPr>
              <w:t xml:space="preserve">, które to zadania mają zasadnicze znaczenie dla utrzymania wiarygodnych ram zarządzania migracją w Unii; apeluje o dalsze priorytetowe traktowanie rekrutacji na pierwszej linii na granicach zewnętrznych Unii oraz o odpowiednie usprawnienie stanowisk administracyjnych; zauważa, że ogólny wskaźnik powrotów w Unii pozostaje niewystarczający w stosunku do skali nieuregulowanych przepływów migracyjnych; wzywa </w:t>
            </w:r>
            <w:proofErr w:type="spellStart"/>
            <w:r w:rsidRPr="00641BDE">
              <w:rPr>
                <w:b/>
                <w:i/>
              </w:rPr>
              <w:t>Frontex</w:t>
            </w:r>
            <w:proofErr w:type="spellEnd"/>
            <w:r w:rsidRPr="00641BDE">
              <w:rPr>
                <w:b/>
                <w:i/>
              </w:rPr>
              <w:t xml:space="preserve"> do dalszego wzmacniania operacji </w:t>
            </w:r>
            <w:proofErr w:type="spellStart"/>
            <w:r w:rsidRPr="00641BDE">
              <w:rPr>
                <w:b/>
                <w:i/>
              </w:rPr>
              <w:t>powrotowych</w:t>
            </w:r>
            <w:proofErr w:type="spellEnd"/>
            <w:r w:rsidRPr="00641BDE">
              <w:rPr>
                <w:b/>
                <w:i/>
              </w:rPr>
              <w:t xml:space="preserve"> oraz do zacieśnienia współpracy z państwami członkowskimi i państwami trzecimi w celu poprawy skuteczności programów powrotów;</w:t>
            </w:r>
          </w:p>
        </w:tc>
      </w:tr>
    </w:tbl>
    <w:p w14:paraId="786EFFB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5559128" w14:textId="77777777" w:rsidR="001D5F6D" w:rsidRPr="00641BDE" w:rsidRDefault="001D5F6D" w:rsidP="001D5F6D">
      <w:r w:rsidRPr="00641BDE">
        <w:rPr>
          <w:rStyle w:val="HideTWBExt"/>
        </w:rPr>
        <w:t>&lt;/Amend&gt;</w:t>
      </w:r>
    </w:p>
    <w:p w14:paraId="18D4D81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73</w:t>
      </w:r>
      <w:r w:rsidRPr="00641BDE">
        <w:rPr>
          <w:rStyle w:val="HideTWBExt"/>
          <w:b w:val="0"/>
        </w:rPr>
        <w:t>&lt;/NumAm&gt;</w:t>
      </w:r>
    </w:p>
    <w:p w14:paraId="3873564E"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3BC2C7A7" w14:textId="77777777" w:rsidR="001D5F6D" w:rsidRPr="00641BDE" w:rsidRDefault="001D5F6D" w:rsidP="001D5F6D">
      <w:pPr>
        <w:pStyle w:val="NormalBold"/>
      </w:pPr>
      <w:r w:rsidRPr="00641BDE">
        <w:rPr>
          <w:rStyle w:val="HideTWBExt"/>
          <w:b w:val="0"/>
        </w:rPr>
        <w:t>&lt;/RepeatBlock-By&gt;</w:t>
      </w:r>
    </w:p>
    <w:p w14:paraId="3A7218ED"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6330BF9" w14:textId="77777777" w:rsidR="001D5F6D" w:rsidRPr="00641BDE" w:rsidRDefault="001D5F6D" w:rsidP="001D5F6D">
      <w:pPr>
        <w:pStyle w:val="NormalBold"/>
      </w:pPr>
      <w:r w:rsidRPr="00641BDE">
        <w:rPr>
          <w:rStyle w:val="HideTWBExt"/>
          <w:b w:val="0"/>
        </w:rPr>
        <w:t>&lt;Article&gt;</w:t>
      </w:r>
      <w:r w:rsidRPr="00641BDE">
        <w:t>Ustęp 25 b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E9DF2DA" w14:textId="77777777" w:rsidTr="007C1C97">
        <w:trPr>
          <w:trHeight w:hRule="exact" w:val="240"/>
          <w:jc w:val="center"/>
        </w:trPr>
        <w:tc>
          <w:tcPr>
            <w:tcW w:w="9752" w:type="dxa"/>
            <w:gridSpan w:val="2"/>
            <w:tcBorders>
              <w:top w:val="nil"/>
              <w:left w:val="nil"/>
              <w:bottom w:val="nil"/>
              <w:right w:val="nil"/>
            </w:tcBorders>
          </w:tcPr>
          <w:p w14:paraId="2F5F1B10" w14:textId="77777777" w:rsidR="001D5F6D" w:rsidRPr="00641BDE" w:rsidRDefault="001D5F6D" w:rsidP="007C1C97"/>
        </w:tc>
      </w:tr>
      <w:tr w:rsidR="001D5F6D" w:rsidRPr="00641BDE" w14:paraId="1AC5A182" w14:textId="77777777" w:rsidTr="007C1C97">
        <w:trPr>
          <w:trHeight w:val="240"/>
          <w:jc w:val="center"/>
        </w:trPr>
        <w:tc>
          <w:tcPr>
            <w:tcW w:w="4876" w:type="dxa"/>
            <w:tcBorders>
              <w:top w:val="nil"/>
              <w:left w:val="nil"/>
              <w:bottom w:val="nil"/>
              <w:right w:val="nil"/>
            </w:tcBorders>
          </w:tcPr>
          <w:p w14:paraId="3C7A7E52"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24CE3A2" w14:textId="77777777" w:rsidR="001D5F6D" w:rsidRPr="00641BDE" w:rsidRDefault="001D5F6D" w:rsidP="007C1C97">
            <w:pPr>
              <w:pStyle w:val="AmColumnHeading"/>
            </w:pPr>
            <w:r w:rsidRPr="00641BDE">
              <w:t>Poprawka</w:t>
            </w:r>
          </w:p>
        </w:tc>
      </w:tr>
      <w:tr w:rsidR="001D5F6D" w:rsidRPr="00641BDE" w14:paraId="3D7B849F" w14:textId="77777777" w:rsidTr="007C1C97">
        <w:trPr>
          <w:jc w:val="center"/>
        </w:trPr>
        <w:tc>
          <w:tcPr>
            <w:tcW w:w="4876" w:type="dxa"/>
            <w:tcBorders>
              <w:top w:val="nil"/>
              <w:left w:val="nil"/>
              <w:bottom w:val="nil"/>
              <w:right w:val="nil"/>
            </w:tcBorders>
          </w:tcPr>
          <w:p w14:paraId="2AD1C208" w14:textId="77777777" w:rsidR="001D5F6D" w:rsidRPr="00641BDE" w:rsidRDefault="001D5F6D" w:rsidP="007C1C97">
            <w:pPr>
              <w:pStyle w:val="Normal6a"/>
            </w:pPr>
          </w:p>
        </w:tc>
        <w:tc>
          <w:tcPr>
            <w:tcW w:w="4876" w:type="dxa"/>
            <w:tcBorders>
              <w:top w:val="nil"/>
              <w:left w:val="nil"/>
              <w:bottom w:val="nil"/>
              <w:right w:val="nil"/>
            </w:tcBorders>
          </w:tcPr>
          <w:p w14:paraId="4C0D8386" w14:textId="77777777" w:rsidR="001D5F6D" w:rsidRPr="00641BDE" w:rsidRDefault="001D5F6D" w:rsidP="007C1C97">
            <w:pPr>
              <w:pStyle w:val="Normal6a"/>
            </w:pPr>
            <w:r w:rsidRPr="00641BDE">
              <w:rPr>
                <w:b/>
                <w:i/>
              </w:rPr>
              <w:t>25b.</w:t>
            </w:r>
            <w:r w:rsidRPr="00641BDE">
              <w:tab/>
            </w:r>
            <w:r w:rsidRPr="00641BDE">
              <w:rPr>
                <w:b/>
                <w:i/>
              </w:rPr>
              <w:t xml:space="preserve">odnotowuje stałe wysiłki </w:t>
            </w:r>
            <w:proofErr w:type="spellStart"/>
            <w:r w:rsidRPr="00641BDE">
              <w:rPr>
                <w:b/>
                <w:i/>
              </w:rPr>
              <w:t>Fronteksu</w:t>
            </w:r>
            <w:proofErr w:type="spellEnd"/>
            <w:r w:rsidRPr="00641BDE">
              <w:rPr>
                <w:b/>
                <w:i/>
              </w:rPr>
              <w:t xml:space="preserve"> na rzecz wzmocnienia roli i zdolności urzędnika ds. praw podstawowych; podkreśla, że działania urzędnika ds. praw podstawowych powinny uzupełniać i wspierać – a nie utrudniać – skuteczne wykonywanie mandatu operacyjnego </w:t>
            </w:r>
            <w:proofErr w:type="spellStart"/>
            <w:r w:rsidRPr="00641BDE">
              <w:rPr>
                <w:b/>
                <w:i/>
              </w:rPr>
              <w:t>Fronteksu</w:t>
            </w:r>
            <w:proofErr w:type="spellEnd"/>
            <w:r w:rsidRPr="00641BDE">
              <w:rPr>
                <w:b/>
                <w:i/>
              </w:rPr>
              <w:t xml:space="preserve"> określonego w rozporządzeniu ustanawiającym tę agencję, a mianowicie udzielanie państwom członkowskim pomocy w ochronie granic zewnętrznych, wspieranie powrotów migrantów o nieuregulowanym statusie oraz zabezpieczanie strefy </w:t>
            </w:r>
            <w:proofErr w:type="spellStart"/>
            <w:r w:rsidRPr="00641BDE">
              <w:rPr>
                <w:b/>
                <w:i/>
              </w:rPr>
              <w:t>Schengen</w:t>
            </w:r>
            <w:proofErr w:type="spellEnd"/>
            <w:r w:rsidRPr="00641BDE">
              <w:rPr>
                <w:b/>
                <w:i/>
              </w:rPr>
              <w:t>;</w:t>
            </w:r>
          </w:p>
        </w:tc>
      </w:tr>
    </w:tbl>
    <w:p w14:paraId="469B928A"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9519C9C" w14:textId="77777777" w:rsidR="001D5F6D" w:rsidRPr="00641BDE" w:rsidRDefault="001D5F6D" w:rsidP="001D5F6D">
      <w:r w:rsidRPr="00641BDE">
        <w:rPr>
          <w:rStyle w:val="HideTWBExt"/>
        </w:rPr>
        <w:t>&lt;/Amend&gt;</w:t>
      </w:r>
    </w:p>
    <w:p w14:paraId="5A9E77BD"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74</w:t>
      </w:r>
      <w:r w:rsidRPr="00641BDE">
        <w:rPr>
          <w:rStyle w:val="HideTWBExt"/>
          <w:b w:val="0"/>
        </w:rPr>
        <w:t>&lt;/NumAm&gt;</w:t>
      </w:r>
    </w:p>
    <w:p w14:paraId="0C648540"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075897D5" w14:textId="77777777" w:rsidR="001D5F6D" w:rsidRPr="00641BDE" w:rsidRDefault="001D5F6D" w:rsidP="001D5F6D">
      <w:pPr>
        <w:pStyle w:val="NormalBold"/>
      </w:pPr>
      <w:r w:rsidRPr="00641BDE">
        <w:rPr>
          <w:rStyle w:val="HideTWBExt"/>
          <w:b w:val="0"/>
        </w:rPr>
        <w:t>&lt;/RepeatBlock-By&gt;</w:t>
      </w:r>
    </w:p>
    <w:p w14:paraId="6CC586F7"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0D7A199" w14:textId="77777777" w:rsidR="001D5F6D" w:rsidRPr="00641BDE" w:rsidRDefault="001D5F6D" w:rsidP="001D5F6D">
      <w:pPr>
        <w:pStyle w:val="NormalBold"/>
      </w:pPr>
      <w:r w:rsidRPr="00641BDE">
        <w:rPr>
          <w:rStyle w:val="HideTWBExt"/>
          <w:b w:val="0"/>
        </w:rPr>
        <w:t>&lt;Article&gt;</w:t>
      </w:r>
      <w:r w:rsidRPr="00641BDE">
        <w:t>Ustęp 26</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1EA684F" w14:textId="77777777" w:rsidTr="007C1C97">
        <w:trPr>
          <w:trHeight w:hRule="exact" w:val="240"/>
          <w:jc w:val="center"/>
        </w:trPr>
        <w:tc>
          <w:tcPr>
            <w:tcW w:w="9752" w:type="dxa"/>
            <w:gridSpan w:val="2"/>
            <w:tcBorders>
              <w:top w:val="nil"/>
              <w:left w:val="nil"/>
              <w:bottom w:val="nil"/>
              <w:right w:val="nil"/>
            </w:tcBorders>
          </w:tcPr>
          <w:p w14:paraId="1B5F4BC4" w14:textId="77777777" w:rsidR="001D5F6D" w:rsidRPr="00641BDE" w:rsidRDefault="001D5F6D" w:rsidP="007C1C97"/>
        </w:tc>
      </w:tr>
      <w:tr w:rsidR="001D5F6D" w:rsidRPr="00641BDE" w14:paraId="3E01613C" w14:textId="77777777" w:rsidTr="007C1C97">
        <w:trPr>
          <w:trHeight w:val="240"/>
          <w:jc w:val="center"/>
        </w:trPr>
        <w:tc>
          <w:tcPr>
            <w:tcW w:w="4876" w:type="dxa"/>
            <w:tcBorders>
              <w:top w:val="nil"/>
              <w:left w:val="nil"/>
              <w:bottom w:val="nil"/>
              <w:right w:val="nil"/>
            </w:tcBorders>
          </w:tcPr>
          <w:p w14:paraId="08B06AD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2FF0F78" w14:textId="77777777" w:rsidR="001D5F6D" w:rsidRPr="00641BDE" w:rsidRDefault="001D5F6D" w:rsidP="007C1C97">
            <w:pPr>
              <w:pStyle w:val="AmColumnHeading"/>
            </w:pPr>
            <w:r w:rsidRPr="00641BDE">
              <w:t>Poprawka</w:t>
            </w:r>
          </w:p>
        </w:tc>
      </w:tr>
      <w:tr w:rsidR="001D5F6D" w:rsidRPr="00641BDE" w14:paraId="147FE4AB" w14:textId="77777777" w:rsidTr="007C1C97">
        <w:trPr>
          <w:jc w:val="center"/>
        </w:trPr>
        <w:tc>
          <w:tcPr>
            <w:tcW w:w="4876" w:type="dxa"/>
            <w:tcBorders>
              <w:top w:val="nil"/>
              <w:left w:val="nil"/>
              <w:bottom w:val="nil"/>
              <w:right w:val="nil"/>
            </w:tcBorders>
          </w:tcPr>
          <w:p w14:paraId="55FC1157" w14:textId="77777777" w:rsidR="001D5F6D" w:rsidRPr="00641BDE" w:rsidRDefault="001D5F6D" w:rsidP="007C1C97">
            <w:pPr>
              <w:pStyle w:val="Normal6a"/>
            </w:pPr>
            <w:r w:rsidRPr="00641BDE">
              <w:t>26.</w:t>
            </w:r>
            <w:r w:rsidRPr="00641BDE">
              <w:tab/>
            </w:r>
            <w:r w:rsidRPr="00641BDE">
              <w:rPr>
                <w:b/>
                <w:i/>
              </w:rPr>
              <w:t>zauważa potrzebę zwiększenia personelu</w:t>
            </w:r>
            <w:r w:rsidRPr="00641BDE">
              <w:t xml:space="preserve"> </w:t>
            </w:r>
            <w:proofErr w:type="spellStart"/>
            <w:r w:rsidRPr="00641BDE">
              <w:t>Eurojustu</w:t>
            </w:r>
            <w:proofErr w:type="spellEnd"/>
            <w:r w:rsidRPr="00641BDE">
              <w:t xml:space="preserve"> w świetle przewidywanego rozszerzenia jego mandatu na państwa trzecie, w szczególności po </w:t>
            </w:r>
            <w:r w:rsidRPr="00641BDE">
              <w:rPr>
                <w:b/>
                <w:i/>
              </w:rPr>
              <w:t>inwazji</w:t>
            </w:r>
            <w:r w:rsidRPr="00641BDE">
              <w:t xml:space="preserve"> na Ukrainę w 2022 r., co umożliwia mu gromadzenie, przechowywanie i analizowanie dowodów najpoważniejszych zbrodni wagi międzynarodowej (zbrodni wojennych, ludobójstwa, zbrodni przeciwko ludzkości), udostępnianie takich dowodów organom krajowym i organom międzynarodowym, w tym Międzynarodowemu Trybunałowi Karnemu, oraz utworzenie w tym celu specjalnej bazy danych dowodów najpoważniejszych zbrodni wagi międzynarodowej, co stanowi wyjście poza zwykłe wspieranie dochodzeń i aktywne zabezpieczanie istotnych dowodów na potrzeby przyszłych dochodzeń</w:t>
            </w:r>
            <w:r w:rsidRPr="00641BDE">
              <w:rPr>
                <w:b/>
                <w:i/>
              </w:rPr>
              <w:t>, a jednocześnie zauważa, że w budżecie na 2024 r. przewidziano jedynie niewielki wzrost procentowy w porównaniu z budżetem na 2023 r., i</w:t>
            </w:r>
            <w:r w:rsidRPr="00641BDE">
              <w:t xml:space="preserve"> apeluje o odpowiednie zwiększenie finansowania personelu wraz z budżetem całkowitym w związku z oczekiwanym przyszłym mandatem;</w:t>
            </w:r>
          </w:p>
        </w:tc>
        <w:tc>
          <w:tcPr>
            <w:tcW w:w="4876" w:type="dxa"/>
            <w:tcBorders>
              <w:top w:val="nil"/>
              <w:left w:val="nil"/>
              <w:bottom w:val="nil"/>
              <w:right w:val="nil"/>
            </w:tcBorders>
          </w:tcPr>
          <w:p w14:paraId="42320894" w14:textId="77777777" w:rsidR="001D5F6D" w:rsidRPr="00641BDE" w:rsidRDefault="001D5F6D" w:rsidP="007C1C97">
            <w:pPr>
              <w:pStyle w:val="Normal6a"/>
            </w:pPr>
            <w:r w:rsidRPr="00641BDE">
              <w:t>26.</w:t>
            </w:r>
            <w:r w:rsidRPr="00641BDE">
              <w:tab/>
            </w:r>
            <w:r w:rsidRPr="00641BDE">
              <w:rPr>
                <w:b/>
                <w:i/>
              </w:rPr>
              <w:t>apeluje o zwiększenie liczby pracowników</w:t>
            </w:r>
            <w:r w:rsidRPr="00641BDE">
              <w:t xml:space="preserve"> </w:t>
            </w:r>
            <w:proofErr w:type="spellStart"/>
            <w:r w:rsidRPr="00641BDE">
              <w:t>Eurojustu</w:t>
            </w:r>
            <w:proofErr w:type="spellEnd"/>
            <w:r w:rsidRPr="00641BDE">
              <w:t xml:space="preserve"> w świetle przewidywanego rozszerzenia jego mandatu na państwa trzecie, w szczególności po </w:t>
            </w:r>
            <w:r w:rsidRPr="00641BDE">
              <w:rPr>
                <w:b/>
                <w:i/>
              </w:rPr>
              <w:t>rosyjskiej napaści</w:t>
            </w:r>
            <w:r w:rsidRPr="00641BDE">
              <w:t xml:space="preserve"> na Ukrainę w 2022 r., co umożliwia mu gromadzenie, przechowywanie i analizowanie dowodów najpoważniejszych zbrodni wagi międzynarodowej (zbrodni wojennych, ludobójstwa, zbrodni przeciwko ludzkości), udostępnianie takich dowodów organom krajowym i organom międzynarodowym, w tym Międzynarodowemu Trybunałowi Karnemu, oraz utworzenie w tym celu specjalnej bazy danych dowodów najpoważniejszych zbrodni wagi międzynarodowej, co stanowi wyjście poza zwykłe wspieranie dochodzeń i aktywne zabezpieczanie istotnych dowodów na potrzeby przyszłych dochodzeń</w:t>
            </w:r>
            <w:r w:rsidRPr="00641BDE">
              <w:rPr>
                <w:b/>
                <w:i/>
              </w:rPr>
              <w:t>;</w:t>
            </w:r>
            <w:r w:rsidRPr="00641BDE">
              <w:t xml:space="preserve"> apeluje o odpowiednie zwiększenie finansowania personelu wraz z budżetem całkowitym w związku z oczekiwanym przyszłym mandatem;</w:t>
            </w:r>
          </w:p>
        </w:tc>
      </w:tr>
    </w:tbl>
    <w:p w14:paraId="097431DE"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9A9B889" w14:textId="77777777" w:rsidR="001D5F6D" w:rsidRPr="00641BDE" w:rsidRDefault="001D5F6D" w:rsidP="001D5F6D">
      <w:r w:rsidRPr="00641BDE">
        <w:rPr>
          <w:rStyle w:val="HideTWBExt"/>
        </w:rPr>
        <w:t>&lt;/Amend&gt;</w:t>
      </w:r>
    </w:p>
    <w:p w14:paraId="591F3C2A"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75</w:t>
      </w:r>
      <w:r w:rsidRPr="00641BDE">
        <w:rPr>
          <w:rStyle w:val="HideTWBExt"/>
          <w:b w:val="0"/>
        </w:rPr>
        <w:t>&lt;/NumAm&gt;</w:t>
      </w:r>
    </w:p>
    <w:p w14:paraId="1E53FC90"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170CE9F8" w14:textId="77777777" w:rsidR="001D5F6D" w:rsidRPr="00641BDE" w:rsidRDefault="001D5F6D" w:rsidP="001D5F6D">
      <w:pPr>
        <w:pStyle w:val="NormalBold"/>
      </w:pPr>
      <w:r w:rsidRPr="00641BDE">
        <w:rPr>
          <w:rStyle w:val="HideTWBExt"/>
          <w:b w:val="0"/>
        </w:rPr>
        <w:t>&lt;/RepeatBlock-By&gt;</w:t>
      </w:r>
    </w:p>
    <w:p w14:paraId="657897C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E63681C" w14:textId="77777777" w:rsidR="001D5F6D" w:rsidRPr="00641BDE" w:rsidRDefault="001D5F6D" w:rsidP="001D5F6D">
      <w:pPr>
        <w:pStyle w:val="NormalBold"/>
      </w:pPr>
      <w:r w:rsidRPr="00641BDE">
        <w:rPr>
          <w:rStyle w:val="HideTWBExt"/>
          <w:b w:val="0"/>
        </w:rPr>
        <w:t>&lt;Article&gt;</w:t>
      </w:r>
      <w:r w:rsidRPr="00641BDE">
        <w:t>Ustęp 30</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33C81D6" w14:textId="77777777" w:rsidTr="007C1C97">
        <w:trPr>
          <w:trHeight w:hRule="exact" w:val="240"/>
          <w:jc w:val="center"/>
        </w:trPr>
        <w:tc>
          <w:tcPr>
            <w:tcW w:w="9752" w:type="dxa"/>
            <w:gridSpan w:val="2"/>
            <w:tcBorders>
              <w:top w:val="nil"/>
              <w:left w:val="nil"/>
              <w:bottom w:val="nil"/>
              <w:right w:val="nil"/>
            </w:tcBorders>
          </w:tcPr>
          <w:p w14:paraId="269DEA91" w14:textId="77777777" w:rsidR="001D5F6D" w:rsidRPr="00641BDE" w:rsidRDefault="001D5F6D" w:rsidP="007C1C97"/>
        </w:tc>
      </w:tr>
      <w:tr w:rsidR="001D5F6D" w:rsidRPr="00641BDE" w14:paraId="3C78D437" w14:textId="77777777" w:rsidTr="007C1C97">
        <w:trPr>
          <w:trHeight w:val="240"/>
          <w:jc w:val="center"/>
        </w:trPr>
        <w:tc>
          <w:tcPr>
            <w:tcW w:w="4876" w:type="dxa"/>
            <w:tcBorders>
              <w:top w:val="nil"/>
              <w:left w:val="nil"/>
              <w:bottom w:val="nil"/>
              <w:right w:val="nil"/>
            </w:tcBorders>
          </w:tcPr>
          <w:p w14:paraId="134DBB52"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81804B1" w14:textId="77777777" w:rsidR="001D5F6D" w:rsidRPr="00641BDE" w:rsidRDefault="001D5F6D" w:rsidP="007C1C97">
            <w:pPr>
              <w:pStyle w:val="AmColumnHeading"/>
            </w:pPr>
            <w:r w:rsidRPr="00641BDE">
              <w:t>Poprawka</w:t>
            </w:r>
          </w:p>
        </w:tc>
      </w:tr>
      <w:tr w:rsidR="001D5F6D" w:rsidRPr="00641BDE" w14:paraId="773DD081" w14:textId="77777777" w:rsidTr="007C1C97">
        <w:trPr>
          <w:jc w:val="center"/>
        </w:trPr>
        <w:tc>
          <w:tcPr>
            <w:tcW w:w="4876" w:type="dxa"/>
            <w:tcBorders>
              <w:top w:val="nil"/>
              <w:left w:val="nil"/>
              <w:bottom w:val="nil"/>
              <w:right w:val="nil"/>
            </w:tcBorders>
          </w:tcPr>
          <w:p w14:paraId="02721AA0" w14:textId="77777777" w:rsidR="001D5F6D" w:rsidRPr="00641BDE" w:rsidRDefault="001D5F6D" w:rsidP="007C1C97">
            <w:pPr>
              <w:pStyle w:val="Normal6a"/>
            </w:pPr>
            <w:r w:rsidRPr="00641BDE">
              <w:t>30.</w:t>
            </w:r>
            <w:r w:rsidRPr="00641BDE">
              <w:tab/>
              <w:t xml:space="preserve">przypomina, że w </w:t>
            </w:r>
            <w:r w:rsidRPr="00641BDE">
              <w:rPr>
                <w:b/>
                <w:i/>
              </w:rPr>
              <w:t>rezolucjach</w:t>
            </w:r>
            <w:r w:rsidRPr="00641BDE">
              <w:t xml:space="preserve"> w sprawie udzielenia absolutorium za 2023 r. zwrócono już uwagę </w:t>
            </w:r>
            <w:r w:rsidRPr="00641BDE">
              <w:rPr>
                <w:b/>
                <w:i/>
              </w:rPr>
              <w:t>na znaczenie wzmocnienia zdolności europejskich organów</w:t>
            </w:r>
            <w:r w:rsidRPr="00641BDE">
              <w:t xml:space="preserve"> nadzoru (EUNB, EIOPA i ESMA) </w:t>
            </w:r>
            <w:r w:rsidRPr="00641BDE">
              <w:rPr>
                <w:b/>
                <w:i/>
              </w:rPr>
              <w:t>do identyfikowania i oddzielnego rozliczania kosztów działań finansowanych z różnych źródeł dochodów; ma świadomość, że w rozporządzeniach ustanawiających te agencje</w:t>
            </w:r>
            <w:r w:rsidRPr="00641BDE">
              <w:t xml:space="preserve"> nie przewidziano rozdziału między działaniami finansowanymi ze składek unijnych i składek krajowych</w:t>
            </w:r>
            <w:r w:rsidRPr="00641BDE">
              <w:rPr>
                <w:b/>
                <w:i/>
              </w:rPr>
              <w:t>, a biorąc pod uwagę brak wyraźnego rozgraniczenia w rozporządzeniach</w:t>
            </w:r>
            <w:r w:rsidRPr="00641BDE">
              <w:t xml:space="preserve"> między tymi dwoma źródłami finansowania</w:t>
            </w:r>
            <w:r w:rsidRPr="00641BDE">
              <w:rPr>
                <w:b/>
                <w:i/>
              </w:rPr>
              <w:t>, organy te nie dokonują rozróżnienia między kosztami pokrywanymi z budżetu Unii a kosztami finansowanymi przez państwa członkowskie, na co Trybunał zwrócił uwagę w sprawozdaniu rocznym w 2023 r.</w:t>
            </w:r>
            <w:r w:rsidRPr="00641BDE">
              <w:t>;</w:t>
            </w:r>
          </w:p>
        </w:tc>
        <w:tc>
          <w:tcPr>
            <w:tcW w:w="4876" w:type="dxa"/>
            <w:tcBorders>
              <w:top w:val="nil"/>
              <w:left w:val="nil"/>
              <w:bottom w:val="nil"/>
              <w:right w:val="nil"/>
            </w:tcBorders>
          </w:tcPr>
          <w:p w14:paraId="6E741B07" w14:textId="77777777" w:rsidR="001D5F6D" w:rsidRPr="00641BDE" w:rsidRDefault="001D5F6D" w:rsidP="007C1C97">
            <w:pPr>
              <w:pStyle w:val="Normal6a"/>
            </w:pPr>
            <w:r w:rsidRPr="00641BDE">
              <w:t>30.</w:t>
            </w:r>
            <w:r w:rsidRPr="00641BDE">
              <w:tab/>
              <w:t xml:space="preserve">przypomina, że w </w:t>
            </w:r>
            <w:r w:rsidRPr="00641BDE">
              <w:rPr>
                <w:b/>
                <w:i/>
              </w:rPr>
              <w:t>rezolucji</w:t>
            </w:r>
            <w:r w:rsidRPr="00641BDE">
              <w:t xml:space="preserve"> w sprawie udzielenia absolutorium za 2023 r. zwrócono już uwagę</w:t>
            </w:r>
            <w:r w:rsidRPr="00641BDE">
              <w:rPr>
                <w:b/>
                <w:i/>
              </w:rPr>
              <w:t>, iż w rozporządzeniach ustanawiających Europejskie Urzędy</w:t>
            </w:r>
            <w:r w:rsidRPr="00641BDE">
              <w:t xml:space="preserve"> Nadzoru (EUNB, EIOPA i ESMA) nie przewidziano rozdziału między działaniami finansowanymi ze składek unijnych i składek krajowych</w:t>
            </w:r>
            <w:r w:rsidRPr="00641BDE">
              <w:rPr>
                <w:b/>
                <w:i/>
              </w:rPr>
              <w:t>; zauważa, że w praktyce ogólny mechanizm podziału kosztów nie wymaga rozróżnienia na poziomie poszczególnych działań</w:t>
            </w:r>
            <w:r w:rsidRPr="00641BDE">
              <w:t xml:space="preserve"> między tymi dwoma źródłami finansowania;</w:t>
            </w:r>
          </w:p>
        </w:tc>
      </w:tr>
    </w:tbl>
    <w:p w14:paraId="1974EA77"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553859D" w14:textId="77777777" w:rsidR="001D5F6D" w:rsidRPr="00641BDE" w:rsidRDefault="001D5F6D" w:rsidP="001D5F6D">
      <w:r w:rsidRPr="00641BDE">
        <w:rPr>
          <w:rStyle w:val="HideTWBExt"/>
        </w:rPr>
        <w:t>&lt;/Amend&gt;</w:t>
      </w:r>
    </w:p>
    <w:p w14:paraId="6A893E16"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76</w:t>
      </w:r>
      <w:r w:rsidRPr="00641BDE">
        <w:rPr>
          <w:rStyle w:val="HideTWBExt"/>
          <w:b w:val="0"/>
        </w:rPr>
        <w:t>&lt;/NumAm&gt;</w:t>
      </w:r>
    </w:p>
    <w:p w14:paraId="2E1FB80C"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11E466F9" w14:textId="77777777" w:rsidR="001D5F6D" w:rsidRPr="00641BDE" w:rsidRDefault="001D5F6D" w:rsidP="001D5F6D">
      <w:pPr>
        <w:pStyle w:val="NormalBold"/>
      </w:pPr>
      <w:r w:rsidRPr="00641BDE">
        <w:rPr>
          <w:rStyle w:val="HideTWBExt"/>
          <w:b w:val="0"/>
        </w:rPr>
        <w:t>&lt;/RepeatBlock-By&gt;</w:t>
      </w:r>
    </w:p>
    <w:p w14:paraId="024F244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1300FD0" w14:textId="77777777" w:rsidR="001D5F6D" w:rsidRPr="00641BDE" w:rsidRDefault="001D5F6D" w:rsidP="001D5F6D">
      <w:pPr>
        <w:pStyle w:val="NormalBold"/>
      </w:pPr>
      <w:r w:rsidRPr="00641BDE">
        <w:rPr>
          <w:rStyle w:val="HideTWBExt"/>
          <w:b w:val="0"/>
        </w:rPr>
        <w:t>&lt;Article&gt;</w:t>
      </w:r>
      <w:r w:rsidRPr="00641BDE">
        <w:t>Ustęp 31</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BC125F3" w14:textId="77777777" w:rsidTr="007C1C97">
        <w:trPr>
          <w:trHeight w:hRule="exact" w:val="240"/>
          <w:jc w:val="center"/>
        </w:trPr>
        <w:tc>
          <w:tcPr>
            <w:tcW w:w="9752" w:type="dxa"/>
            <w:gridSpan w:val="2"/>
            <w:tcBorders>
              <w:top w:val="nil"/>
              <w:left w:val="nil"/>
              <w:bottom w:val="nil"/>
              <w:right w:val="nil"/>
            </w:tcBorders>
          </w:tcPr>
          <w:p w14:paraId="1BDB6BBE" w14:textId="77777777" w:rsidR="001D5F6D" w:rsidRPr="00641BDE" w:rsidRDefault="001D5F6D" w:rsidP="007C1C97"/>
        </w:tc>
      </w:tr>
      <w:tr w:rsidR="001D5F6D" w:rsidRPr="00641BDE" w14:paraId="28A90CAE" w14:textId="77777777" w:rsidTr="007C1C97">
        <w:trPr>
          <w:trHeight w:val="240"/>
          <w:jc w:val="center"/>
        </w:trPr>
        <w:tc>
          <w:tcPr>
            <w:tcW w:w="4876" w:type="dxa"/>
            <w:tcBorders>
              <w:top w:val="nil"/>
              <w:left w:val="nil"/>
              <w:bottom w:val="nil"/>
              <w:right w:val="nil"/>
            </w:tcBorders>
          </w:tcPr>
          <w:p w14:paraId="4BD9B18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97C17C6" w14:textId="77777777" w:rsidR="001D5F6D" w:rsidRPr="00641BDE" w:rsidRDefault="001D5F6D" w:rsidP="007C1C97">
            <w:pPr>
              <w:pStyle w:val="AmColumnHeading"/>
            </w:pPr>
            <w:r w:rsidRPr="00641BDE">
              <w:t>Poprawka</w:t>
            </w:r>
          </w:p>
        </w:tc>
      </w:tr>
      <w:tr w:rsidR="001D5F6D" w:rsidRPr="00641BDE" w14:paraId="0A68882A" w14:textId="77777777" w:rsidTr="007C1C97">
        <w:trPr>
          <w:jc w:val="center"/>
        </w:trPr>
        <w:tc>
          <w:tcPr>
            <w:tcW w:w="4876" w:type="dxa"/>
            <w:tcBorders>
              <w:top w:val="nil"/>
              <w:left w:val="nil"/>
              <w:bottom w:val="nil"/>
              <w:right w:val="nil"/>
            </w:tcBorders>
          </w:tcPr>
          <w:p w14:paraId="78582B86" w14:textId="77777777" w:rsidR="001D5F6D" w:rsidRPr="00641BDE" w:rsidRDefault="001D5F6D" w:rsidP="007C1C97">
            <w:pPr>
              <w:pStyle w:val="Normal6a"/>
            </w:pPr>
            <w:r w:rsidRPr="00641BDE">
              <w:t>31.</w:t>
            </w:r>
            <w:r w:rsidRPr="00641BDE">
              <w:tab/>
              <w:t xml:space="preserve">uważa, że </w:t>
            </w:r>
            <w:r w:rsidRPr="00641BDE">
              <w:rPr>
                <w:b/>
                <w:i/>
              </w:rPr>
              <w:t>wprowadzenie oddzielnego rozliczania kosztów</w:t>
            </w:r>
            <w:r w:rsidRPr="00641BDE">
              <w:t xml:space="preserve"> działań </w:t>
            </w:r>
            <w:r w:rsidRPr="00641BDE">
              <w:rPr>
                <w:b/>
                <w:i/>
              </w:rPr>
              <w:t>Agencji Dostaw Euratomu zwiększyłoby przejrzystość, rozliczalność</w:t>
            </w:r>
            <w:r w:rsidRPr="00641BDE">
              <w:t xml:space="preserve"> i </w:t>
            </w:r>
            <w:r w:rsidRPr="00641BDE">
              <w:rPr>
                <w:b/>
                <w:i/>
              </w:rPr>
              <w:t>proces decyzyjny, umożliwiając zainteresowanym stronom</w:t>
            </w:r>
            <w:r w:rsidRPr="00641BDE">
              <w:t xml:space="preserve">, w </w:t>
            </w:r>
            <w:r w:rsidRPr="00641BDE">
              <w:rPr>
                <w:b/>
                <w:bCs/>
                <w:i/>
                <w:iCs/>
              </w:rPr>
              <w:t>tym państwom członkowskim, instytucjom finansowym i podatnikom, lepszą ocenę wydajności i sprawiedliwości</w:t>
            </w:r>
            <w:r w:rsidRPr="00641BDE">
              <w:t xml:space="preserve">; podkreśla, że </w:t>
            </w:r>
            <w:r w:rsidRPr="00641BDE">
              <w:rPr>
                <w:b/>
                <w:i/>
              </w:rPr>
              <w:t>obecny brak rozróżnienia ogranicza nadzór, i nalega, aby koszty działań Agencji Dostaw Euratomu i przychody z tych działań były jasno określone, rozliczane oddzielnie i ujawniane w rocznych sprawozdaniach finansowych i dokumentach programowych</w:t>
            </w:r>
            <w:r w:rsidRPr="00641BDE">
              <w:t>;</w:t>
            </w:r>
          </w:p>
        </w:tc>
        <w:tc>
          <w:tcPr>
            <w:tcW w:w="4876" w:type="dxa"/>
            <w:tcBorders>
              <w:top w:val="nil"/>
              <w:left w:val="nil"/>
              <w:bottom w:val="nil"/>
              <w:right w:val="nil"/>
            </w:tcBorders>
          </w:tcPr>
          <w:p w14:paraId="698ABC59" w14:textId="77777777" w:rsidR="001D5F6D" w:rsidRPr="00641BDE" w:rsidRDefault="001D5F6D" w:rsidP="007C1C97">
            <w:pPr>
              <w:pStyle w:val="Normal6a"/>
            </w:pPr>
            <w:r w:rsidRPr="00641BDE">
              <w:t>31.</w:t>
            </w:r>
            <w:r w:rsidRPr="00641BDE">
              <w:tab/>
              <w:t xml:space="preserve">uważa, że </w:t>
            </w:r>
            <w:r w:rsidRPr="00641BDE">
              <w:rPr>
                <w:b/>
                <w:i/>
              </w:rPr>
              <w:t>w tym kontekście większa przejrzystość budżetowania i sprawozdawczości opartej na kosztach</w:t>
            </w:r>
            <w:r w:rsidRPr="00641BDE">
              <w:t xml:space="preserve"> działań </w:t>
            </w:r>
            <w:r w:rsidRPr="00641BDE">
              <w:rPr>
                <w:b/>
                <w:i/>
              </w:rPr>
              <w:t>przyczyniłaby się do poprawy nadzoru</w:t>
            </w:r>
            <w:r w:rsidRPr="00641BDE">
              <w:t xml:space="preserve"> i </w:t>
            </w:r>
            <w:r w:rsidRPr="00641BDE">
              <w:rPr>
                <w:b/>
                <w:bCs/>
                <w:i/>
                <w:iCs/>
              </w:rPr>
              <w:t>rozliczalności</w:t>
            </w:r>
            <w:r w:rsidRPr="00641BDE">
              <w:t xml:space="preserve">, w </w:t>
            </w:r>
            <w:r w:rsidRPr="00641BDE">
              <w:rPr>
                <w:b/>
                <w:i/>
              </w:rPr>
              <w:t>szczególności w przypadku agencji finansowanych z wielu źródeł dochodów</w:t>
            </w:r>
            <w:r w:rsidRPr="00641BDE">
              <w:t xml:space="preserve">; podkreśla, że </w:t>
            </w:r>
            <w:r w:rsidRPr="00641BDE">
              <w:rPr>
                <w:b/>
                <w:i/>
              </w:rPr>
              <w:t>jasność co do związku między źródłami dochodów a działaniami wzmacnia zaufanie, że środki unijne są należycie wykorzystywane oraz że przestrzegane są ramy prawne określone w rozporządzeniach ustanawiających agencje</w:t>
            </w:r>
            <w:r w:rsidRPr="00641BDE">
              <w:t>;</w:t>
            </w:r>
          </w:p>
        </w:tc>
      </w:tr>
    </w:tbl>
    <w:p w14:paraId="673C60F6"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260B5EE" w14:textId="77777777" w:rsidR="001D5F6D" w:rsidRPr="00641BDE" w:rsidRDefault="001D5F6D" w:rsidP="001D5F6D">
      <w:r w:rsidRPr="00641BDE">
        <w:rPr>
          <w:rStyle w:val="HideTWBExt"/>
        </w:rPr>
        <w:t>&lt;/Amend&gt;</w:t>
      </w:r>
    </w:p>
    <w:p w14:paraId="0F70C1A1"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77</w:t>
      </w:r>
      <w:r w:rsidRPr="00641BDE">
        <w:rPr>
          <w:rStyle w:val="HideTWBExt"/>
          <w:b w:val="0"/>
        </w:rPr>
        <w:t>&lt;/NumAm&gt;</w:t>
      </w:r>
    </w:p>
    <w:p w14:paraId="73C0EBCB"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rPr>
          <w:rStyle w:val="HideTWBExt"/>
          <w:b w:val="0"/>
        </w:rPr>
        <w:t>&lt;/Members&gt;</w:t>
      </w:r>
    </w:p>
    <w:p w14:paraId="4B22AE53" w14:textId="77777777" w:rsidR="001D5F6D" w:rsidRPr="00641BDE" w:rsidRDefault="001D5F6D" w:rsidP="001D5F6D">
      <w:pPr>
        <w:pStyle w:val="NormalBold"/>
      </w:pPr>
      <w:r w:rsidRPr="00641BDE">
        <w:rPr>
          <w:rStyle w:val="HideTWBExt"/>
          <w:b w:val="0"/>
        </w:rPr>
        <w:t>&lt;/RepeatBlock-By&gt;</w:t>
      </w:r>
    </w:p>
    <w:p w14:paraId="0C868F6E"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1392A4E" w14:textId="77777777" w:rsidR="001D5F6D" w:rsidRPr="00641BDE" w:rsidRDefault="001D5F6D" w:rsidP="001D5F6D">
      <w:pPr>
        <w:pStyle w:val="NormalBold"/>
      </w:pPr>
      <w:r w:rsidRPr="00641BDE">
        <w:rPr>
          <w:rStyle w:val="HideTWBExt"/>
          <w:b w:val="0"/>
        </w:rPr>
        <w:t>&lt;Article&gt;</w:t>
      </w:r>
      <w:r w:rsidRPr="00641BDE">
        <w:t>Ustęp 33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68EB555" w14:textId="77777777" w:rsidTr="007C1C97">
        <w:trPr>
          <w:trHeight w:hRule="exact" w:val="240"/>
          <w:jc w:val="center"/>
        </w:trPr>
        <w:tc>
          <w:tcPr>
            <w:tcW w:w="9752" w:type="dxa"/>
            <w:gridSpan w:val="2"/>
            <w:tcBorders>
              <w:top w:val="nil"/>
              <w:left w:val="nil"/>
              <w:bottom w:val="nil"/>
              <w:right w:val="nil"/>
            </w:tcBorders>
          </w:tcPr>
          <w:p w14:paraId="2918C6C8" w14:textId="77777777" w:rsidR="001D5F6D" w:rsidRPr="00641BDE" w:rsidRDefault="001D5F6D" w:rsidP="007C1C97"/>
        </w:tc>
      </w:tr>
      <w:tr w:rsidR="001D5F6D" w:rsidRPr="00641BDE" w14:paraId="1E9C87DF" w14:textId="77777777" w:rsidTr="007C1C97">
        <w:trPr>
          <w:trHeight w:val="240"/>
          <w:jc w:val="center"/>
        </w:trPr>
        <w:tc>
          <w:tcPr>
            <w:tcW w:w="4876" w:type="dxa"/>
            <w:tcBorders>
              <w:top w:val="nil"/>
              <w:left w:val="nil"/>
              <w:bottom w:val="nil"/>
              <w:right w:val="nil"/>
            </w:tcBorders>
          </w:tcPr>
          <w:p w14:paraId="1BCF4D1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ACCD1E0" w14:textId="77777777" w:rsidR="001D5F6D" w:rsidRPr="00641BDE" w:rsidRDefault="001D5F6D" w:rsidP="007C1C97">
            <w:pPr>
              <w:pStyle w:val="AmColumnHeading"/>
            </w:pPr>
            <w:r w:rsidRPr="00641BDE">
              <w:t>Poprawka</w:t>
            </w:r>
          </w:p>
        </w:tc>
      </w:tr>
      <w:tr w:rsidR="001D5F6D" w:rsidRPr="00641BDE" w14:paraId="7D5897AC" w14:textId="77777777" w:rsidTr="007C1C97">
        <w:trPr>
          <w:jc w:val="center"/>
        </w:trPr>
        <w:tc>
          <w:tcPr>
            <w:tcW w:w="4876" w:type="dxa"/>
            <w:tcBorders>
              <w:top w:val="nil"/>
              <w:left w:val="nil"/>
              <w:bottom w:val="nil"/>
              <w:right w:val="nil"/>
            </w:tcBorders>
          </w:tcPr>
          <w:p w14:paraId="76153579" w14:textId="77777777" w:rsidR="001D5F6D" w:rsidRPr="00641BDE" w:rsidRDefault="001D5F6D" w:rsidP="007C1C97">
            <w:pPr>
              <w:pStyle w:val="Normal6a"/>
            </w:pPr>
            <w:r w:rsidRPr="00641BDE">
              <w:t>33.</w:t>
            </w:r>
            <w:r w:rsidRPr="00641BDE">
              <w:tab/>
              <w:t xml:space="preserve">jest zaniepokojony ujemnym wynikiem ekonomicznym </w:t>
            </w:r>
            <w:proofErr w:type="spellStart"/>
            <w:r w:rsidRPr="00641BDE">
              <w:t>CdT</w:t>
            </w:r>
            <w:proofErr w:type="spellEnd"/>
            <w:r w:rsidRPr="00641BDE">
              <w:t xml:space="preserve"> w wysokości 5,7 mln EUR oraz ciągłym spadkiem dochodów z działalności operacyjnej, związanym głównie ze spadkiem liczby zafakturowanych stron o 11,4 % w 2024 r. oraz o 17,6 % w 2023 r.; zauważa, że rezerwa na stabilność cen, utworzona w 2011 r. w celu kompensowania wahań wolumenu działalności wynikających z zapotrzebowania klientów oraz wspierania </w:t>
            </w:r>
            <w:proofErr w:type="spellStart"/>
            <w:r w:rsidRPr="00641BDE">
              <w:t>CdT</w:t>
            </w:r>
            <w:proofErr w:type="spellEnd"/>
            <w:r w:rsidRPr="00641BDE">
              <w:t xml:space="preserve"> w zapewnianiu stabilności budżetowej i cenowej, osiągnęła poziom 15,6 mln EUR w 2014 r., a w 2024 r. spadła do 8,9 mln EUR (spadek o 42,9 % od 2014 r.); jest świadomy, że po całkowitym wyczerpaniu rezerwy wszelkie dalsze deficyty musiałyby zostać pokryte z dotacji z budżetu Unii, zgodnie z rozporządzeniem ustanawiającym </w:t>
            </w:r>
            <w:proofErr w:type="spellStart"/>
            <w:r w:rsidRPr="00641BDE">
              <w:t>CdT</w:t>
            </w:r>
            <w:proofErr w:type="spellEnd"/>
            <w:r w:rsidRPr="00641BDE">
              <w:t xml:space="preserve">; zwraca uwagę na odpowiedź </w:t>
            </w:r>
            <w:proofErr w:type="spellStart"/>
            <w:r w:rsidRPr="00641BDE">
              <w:t>CdT</w:t>
            </w:r>
            <w:proofErr w:type="spellEnd"/>
            <w:r w:rsidRPr="00641BDE">
              <w:t xml:space="preserve"> w ramach działań następczych w związku z absolutorium za 2023 r. i wzywa zarząd do dalszego informowania organu udzielającego absolutorium o realizacji tych planów, biorąc pod uwagę ciągły spadek dochodów; </w:t>
            </w:r>
            <w:r w:rsidRPr="00641BDE">
              <w:rPr>
                <w:b/>
                <w:i/>
              </w:rPr>
              <w:t>zachęca</w:t>
            </w:r>
            <w:r w:rsidRPr="00641BDE">
              <w:t xml:space="preserve"> </w:t>
            </w:r>
            <w:proofErr w:type="spellStart"/>
            <w:r w:rsidRPr="00641BDE">
              <w:t>CdT</w:t>
            </w:r>
            <w:proofErr w:type="spellEnd"/>
            <w:r w:rsidRPr="00641BDE">
              <w:t xml:space="preserve"> do </w:t>
            </w:r>
            <w:r w:rsidRPr="00641BDE">
              <w:rPr>
                <w:b/>
                <w:i/>
              </w:rPr>
              <w:t>zidentyfikowania nowych usług, które mogłoby świadczyć, oraz nowych źródeł dochodów</w:t>
            </w:r>
            <w:r w:rsidRPr="00641BDE">
              <w:t xml:space="preserve"> z uwagi na rozpowszechnienie nowych bezpłatnych technologii tłumaczeniowych </w:t>
            </w:r>
            <w:r w:rsidRPr="00641BDE">
              <w:rPr>
                <w:b/>
                <w:i/>
              </w:rPr>
              <w:t>mogących wpływać na liczbę zamówień na tłumaczenie</w:t>
            </w:r>
            <w:r w:rsidRPr="00641BDE">
              <w:t>;</w:t>
            </w:r>
          </w:p>
        </w:tc>
        <w:tc>
          <w:tcPr>
            <w:tcW w:w="4876" w:type="dxa"/>
            <w:tcBorders>
              <w:top w:val="nil"/>
              <w:left w:val="nil"/>
              <w:bottom w:val="nil"/>
              <w:right w:val="nil"/>
            </w:tcBorders>
          </w:tcPr>
          <w:p w14:paraId="26B15D64" w14:textId="77777777" w:rsidR="001D5F6D" w:rsidRPr="00641BDE" w:rsidRDefault="001D5F6D" w:rsidP="007C1C97">
            <w:pPr>
              <w:pStyle w:val="Normal6a"/>
            </w:pPr>
            <w:r w:rsidRPr="00641BDE">
              <w:t>33.</w:t>
            </w:r>
            <w:r w:rsidRPr="00641BDE">
              <w:tab/>
              <w:t xml:space="preserve">jest zaniepokojony ujemnym wynikiem ekonomicznym </w:t>
            </w:r>
            <w:proofErr w:type="spellStart"/>
            <w:r w:rsidRPr="00641BDE">
              <w:t>CdT</w:t>
            </w:r>
            <w:proofErr w:type="spellEnd"/>
            <w:r w:rsidRPr="00641BDE">
              <w:t xml:space="preserve"> w wysokości 5,7 mln EUR oraz ciągłym spadkiem dochodów z działalności operacyjnej, związanym głównie ze spadkiem liczby zafakturowanych stron o 11,4 % w 2024 r. oraz o 17,6 % w 2023 r.; zauważa, że rezerwa na stabilność cen, utworzona w 2011 r. w celu kompensowania wahań wolumenu działalności wynikających z zapotrzebowania klientów oraz wspierania </w:t>
            </w:r>
            <w:proofErr w:type="spellStart"/>
            <w:r w:rsidRPr="00641BDE">
              <w:t>CdT</w:t>
            </w:r>
            <w:proofErr w:type="spellEnd"/>
            <w:r w:rsidRPr="00641BDE">
              <w:t xml:space="preserve"> w zapewnianiu stabilności budżetowej i cenowej, osiągnęła poziom 15,6 mln EUR w 2014 r., a w 2024 r. spadła do 8,9 mln EUR (spadek o 42,9 % od 2014 r.); jest świadomy, że po całkowitym wyczerpaniu rezerwy wszelkie dalsze deficyty musiałyby zostać pokryte z dotacji z budżetu Unii, zgodnie z rozporządzeniem ustanawiającym </w:t>
            </w:r>
            <w:proofErr w:type="spellStart"/>
            <w:r w:rsidRPr="00641BDE">
              <w:t>CdT</w:t>
            </w:r>
            <w:proofErr w:type="spellEnd"/>
            <w:r w:rsidRPr="00641BDE">
              <w:t xml:space="preserve">; zwraca uwagę na odpowiedź </w:t>
            </w:r>
            <w:proofErr w:type="spellStart"/>
            <w:r w:rsidRPr="00641BDE">
              <w:t>CdT</w:t>
            </w:r>
            <w:proofErr w:type="spellEnd"/>
            <w:r w:rsidRPr="00641BDE">
              <w:t xml:space="preserve"> w ramach działań następczych w związku z absolutorium za 2023 r. i wzywa zarząd do dalszego informowania organu udzielającego absolutorium o realizacji tych planów, biorąc pod uwagę ciągły spadek dochodów; </w:t>
            </w:r>
            <w:r w:rsidRPr="00641BDE">
              <w:rPr>
                <w:b/>
                <w:i/>
              </w:rPr>
              <w:t>wzywa</w:t>
            </w:r>
            <w:r w:rsidRPr="00641BDE">
              <w:t xml:space="preserve"> </w:t>
            </w:r>
            <w:proofErr w:type="spellStart"/>
            <w:r w:rsidRPr="00641BDE">
              <w:t>CdT</w:t>
            </w:r>
            <w:proofErr w:type="spellEnd"/>
            <w:r w:rsidRPr="00641BDE">
              <w:t xml:space="preserve"> do </w:t>
            </w:r>
            <w:r w:rsidRPr="00641BDE">
              <w:rPr>
                <w:b/>
                <w:i/>
              </w:rPr>
              <w:t>ponownego przemyślenia swojej działalności w ciągu roku i rozważenia odpowiedniego przeniesienia miejsc pracy</w:t>
            </w:r>
            <w:r w:rsidRPr="00641BDE">
              <w:t xml:space="preserve"> z uwagi na rozpowszechnienie nowych bezpłatnych technologii tłumaczeniowych</w:t>
            </w:r>
            <w:r w:rsidRPr="00641BDE">
              <w:rPr>
                <w:b/>
                <w:i/>
              </w:rPr>
              <w:t xml:space="preserve">, co wyjaśnia stały i trwały spadek działalności </w:t>
            </w:r>
            <w:proofErr w:type="spellStart"/>
            <w:r w:rsidRPr="00641BDE">
              <w:rPr>
                <w:b/>
                <w:i/>
              </w:rPr>
              <w:t>CdT</w:t>
            </w:r>
            <w:proofErr w:type="spellEnd"/>
            <w:r w:rsidRPr="00641BDE">
              <w:rPr>
                <w:b/>
                <w:i/>
              </w:rPr>
              <w:t>, w celu zmniejszenia budżetu przydzielanego przez organy korzystające z jego usług</w:t>
            </w:r>
            <w:r w:rsidRPr="00641BDE">
              <w:t xml:space="preserve">; </w:t>
            </w:r>
            <w:r w:rsidRPr="00641BDE">
              <w:rPr>
                <w:b/>
                <w:i/>
              </w:rPr>
              <w:t>apeluje, aby rozważyć zakończenie mandatu agencji;</w:t>
            </w:r>
          </w:p>
        </w:tc>
      </w:tr>
    </w:tbl>
    <w:p w14:paraId="4ABF933A"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327FE7B8" w14:textId="77777777" w:rsidR="001D5F6D" w:rsidRPr="00641BDE" w:rsidRDefault="001D5F6D" w:rsidP="001D5F6D">
      <w:r w:rsidRPr="00641BDE">
        <w:rPr>
          <w:rStyle w:val="HideTWBExt"/>
        </w:rPr>
        <w:t>&lt;/Amend&gt;</w:t>
      </w:r>
    </w:p>
    <w:p w14:paraId="44D66F2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78</w:t>
      </w:r>
      <w:r w:rsidRPr="00641BDE">
        <w:rPr>
          <w:rStyle w:val="HideTWBExt"/>
          <w:b w:val="0"/>
        </w:rPr>
        <w:t>&lt;/NumAm&gt;</w:t>
      </w:r>
    </w:p>
    <w:p w14:paraId="717296EF"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54154D61" w14:textId="77777777" w:rsidR="001D5F6D" w:rsidRPr="00641BDE" w:rsidRDefault="001D5F6D" w:rsidP="001D5F6D">
      <w:pPr>
        <w:pStyle w:val="NormalBold"/>
      </w:pPr>
      <w:r w:rsidRPr="00641BDE">
        <w:rPr>
          <w:rStyle w:val="HideTWBExt"/>
          <w:b w:val="0"/>
        </w:rPr>
        <w:t>&lt;/RepeatBlock-By&gt;</w:t>
      </w:r>
    </w:p>
    <w:p w14:paraId="5046542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5168AA6" w14:textId="77777777" w:rsidR="001D5F6D" w:rsidRPr="00641BDE" w:rsidRDefault="001D5F6D" w:rsidP="001D5F6D">
      <w:pPr>
        <w:pStyle w:val="NormalBold"/>
      </w:pPr>
      <w:r w:rsidRPr="00641BDE">
        <w:rPr>
          <w:rStyle w:val="HideTWBExt"/>
          <w:b w:val="0"/>
        </w:rPr>
        <w:t>&lt;Article&gt;</w:t>
      </w:r>
      <w:r w:rsidRPr="00641BDE">
        <w:t>Ustęp 34</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65F727F" w14:textId="77777777" w:rsidTr="007C1C97">
        <w:trPr>
          <w:trHeight w:hRule="exact" w:val="240"/>
          <w:jc w:val="center"/>
        </w:trPr>
        <w:tc>
          <w:tcPr>
            <w:tcW w:w="9752" w:type="dxa"/>
            <w:gridSpan w:val="2"/>
            <w:tcBorders>
              <w:top w:val="nil"/>
              <w:left w:val="nil"/>
              <w:bottom w:val="nil"/>
              <w:right w:val="nil"/>
            </w:tcBorders>
          </w:tcPr>
          <w:p w14:paraId="3CD1C42B" w14:textId="77777777" w:rsidR="001D5F6D" w:rsidRPr="00641BDE" w:rsidRDefault="001D5F6D" w:rsidP="007C1C97"/>
        </w:tc>
      </w:tr>
      <w:tr w:rsidR="001D5F6D" w:rsidRPr="00641BDE" w14:paraId="7D4EB5D3" w14:textId="77777777" w:rsidTr="007C1C97">
        <w:trPr>
          <w:trHeight w:val="240"/>
          <w:jc w:val="center"/>
        </w:trPr>
        <w:tc>
          <w:tcPr>
            <w:tcW w:w="4876" w:type="dxa"/>
            <w:tcBorders>
              <w:top w:val="nil"/>
              <w:left w:val="nil"/>
              <w:bottom w:val="nil"/>
              <w:right w:val="nil"/>
            </w:tcBorders>
          </w:tcPr>
          <w:p w14:paraId="26B859E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95E2F71" w14:textId="77777777" w:rsidR="001D5F6D" w:rsidRPr="00641BDE" w:rsidRDefault="001D5F6D" w:rsidP="007C1C97">
            <w:pPr>
              <w:pStyle w:val="AmColumnHeading"/>
            </w:pPr>
            <w:r w:rsidRPr="00641BDE">
              <w:t>Poprawka</w:t>
            </w:r>
          </w:p>
        </w:tc>
      </w:tr>
      <w:tr w:rsidR="001D5F6D" w:rsidRPr="00641BDE" w14:paraId="46043FCA" w14:textId="77777777" w:rsidTr="007C1C97">
        <w:trPr>
          <w:jc w:val="center"/>
        </w:trPr>
        <w:tc>
          <w:tcPr>
            <w:tcW w:w="4876" w:type="dxa"/>
            <w:tcBorders>
              <w:top w:val="nil"/>
              <w:left w:val="nil"/>
              <w:bottom w:val="nil"/>
              <w:right w:val="nil"/>
            </w:tcBorders>
          </w:tcPr>
          <w:p w14:paraId="4FA24D32" w14:textId="77777777" w:rsidR="001D5F6D" w:rsidRPr="00641BDE" w:rsidRDefault="001D5F6D" w:rsidP="007C1C97">
            <w:pPr>
              <w:pStyle w:val="Normal6a"/>
            </w:pPr>
            <w:r w:rsidRPr="00641BDE">
              <w:t>34.</w:t>
            </w:r>
            <w:r w:rsidRPr="00641BDE">
              <w:tab/>
              <w:t xml:space="preserve">podkreśla, że chociaż rozporządzenie finansowe nie określa pułapów przeniesień, powtarzające się i nadmierne poziomy przeniesień środków podważają budżetową zasadę jednoroczności i </w:t>
            </w:r>
            <w:r w:rsidRPr="00641BDE">
              <w:rPr>
                <w:b/>
                <w:i/>
              </w:rPr>
              <w:t>mogą wskazywać</w:t>
            </w:r>
            <w:r w:rsidRPr="00641BDE">
              <w:t xml:space="preserve"> na trudności strukturalne w procesie opracowywania i wykonywania budżetu;</w:t>
            </w:r>
          </w:p>
        </w:tc>
        <w:tc>
          <w:tcPr>
            <w:tcW w:w="4876" w:type="dxa"/>
            <w:tcBorders>
              <w:top w:val="nil"/>
              <w:left w:val="nil"/>
              <w:bottom w:val="nil"/>
              <w:right w:val="nil"/>
            </w:tcBorders>
          </w:tcPr>
          <w:p w14:paraId="20786696" w14:textId="77777777" w:rsidR="001D5F6D" w:rsidRPr="00641BDE" w:rsidRDefault="001D5F6D" w:rsidP="007C1C97">
            <w:pPr>
              <w:pStyle w:val="Normal6a"/>
            </w:pPr>
            <w:r w:rsidRPr="00641BDE">
              <w:t>34.</w:t>
            </w:r>
            <w:r w:rsidRPr="00641BDE">
              <w:tab/>
              <w:t xml:space="preserve">podkreśla, że chociaż rozporządzenie finansowe nie określa pułapów przeniesień, powtarzające się i nadmierne poziomy przeniesień środków podważają budżetową zasadę jednoroczności i </w:t>
            </w:r>
            <w:r w:rsidRPr="00641BDE">
              <w:rPr>
                <w:b/>
                <w:i/>
              </w:rPr>
              <w:t>wskazują</w:t>
            </w:r>
            <w:r w:rsidRPr="00641BDE">
              <w:t xml:space="preserve"> na trudności strukturalne w procesie opracowywania i wykonywania budżetu; </w:t>
            </w:r>
            <w:r w:rsidRPr="00641BDE">
              <w:rPr>
                <w:b/>
                <w:i/>
              </w:rPr>
              <w:t>wzywa Komisję, aby wymagała od agencji, których powtarzające się przeniesienia przekraczają 15 %, przedłożenia planów działań naprawczych w terminie sześciu miesięcy, w tym oceny, czy wnioskowane środki budżetowe są dostosowane do rzeczywistych zdolności wykonania;</w:t>
            </w:r>
          </w:p>
        </w:tc>
      </w:tr>
    </w:tbl>
    <w:p w14:paraId="2C10042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D7CD303" w14:textId="77777777" w:rsidR="001D5F6D" w:rsidRPr="00641BDE" w:rsidRDefault="001D5F6D" w:rsidP="001D5F6D">
      <w:r w:rsidRPr="00641BDE">
        <w:rPr>
          <w:rStyle w:val="HideTWBExt"/>
        </w:rPr>
        <w:t>&lt;/Amend&gt;</w:t>
      </w:r>
    </w:p>
    <w:p w14:paraId="78CD8196"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79</w:t>
      </w:r>
      <w:r w:rsidRPr="00641BDE">
        <w:rPr>
          <w:rStyle w:val="HideTWBExt"/>
          <w:b w:val="0"/>
        </w:rPr>
        <w:t>&lt;/NumAm&gt;</w:t>
      </w:r>
    </w:p>
    <w:p w14:paraId="7EF14496"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08E11A51" w14:textId="77777777" w:rsidR="001D5F6D" w:rsidRPr="00641BDE" w:rsidRDefault="001D5F6D" w:rsidP="001D5F6D">
      <w:pPr>
        <w:pStyle w:val="NormalBold"/>
      </w:pPr>
      <w:r w:rsidRPr="00641BDE">
        <w:rPr>
          <w:rStyle w:val="HideTWBExt"/>
          <w:b w:val="0"/>
        </w:rPr>
        <w:t>&lt;/RepeatBlock-By&gt;</w:t>
      </w:r>
    </w:p>
    <w:p w14:paraId="3EBB579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41BFE3E" w14:textId="77777777" w:rsidR="001D5F6D" w:rsidRPr="00641BDE" w:rsidRDefault="001D5F6D" w:rsidP="001D5F6D">
      <w:pPr>
        <w:pStyle w:val="NormalBold"/>
      </w:pPr>
      <w:r w:rsidRPr="00641BDE">
        <w:rPr>
          <w:rStyle w:val="HideTWBExt"/>
          <w:b w:val="0"/>
        </w:rPr>
        <w:t>&lt;Article&gt;</w:t>
      </w:r>
      <w:r w:rsidRPr="00641BDE">
        <w:t>Ustęp 35</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19C87DA" w14:textId="77777777" w:rsidTr="007C1C97">
        <w:trPr>
          <w:trHeight w:hRule="exact" w:val="240"/>
          <w:jc w:val="center"/>
        </w:trPr>
        <w:tc>
          <w:tcPr>
            <w:tcW w:w="9752" w:type="dxa"/>
            <w:gridSpan w:val="2"/>
            <w:tcBorders>
              <w:top w:val="nil"/>
              <w:left w:val="nil"/>
              <w:bottom w:val="nil"/>
              <w:right w:val="nil"/>
            </w:tcBorders>
          </w:tcPr>
          <w:p w14:paraId="30F567D1" w14:textId="77777777" w:rsidR="001D5F6D" w:rsidRPr="00641BDE" w:rsidRDefault="001D5F6D" w:rsidP="007C1C97"/>
        </w:tc>
      </w:tr>
      <w:tr w:rsidR="001D5F6D" w:rsidRPr="00641BDE" w14:paraId="273EF53B" w14:textId="77777777" w:rsidTr="007C1C97">
        <w:trPr>
          <w:trHeight w:val="240"/>
          <w:jc w:val="center"/>
        </w:trPr>
        <w:tc>
          <w:tcPr>
            <w:tcW w:w="4876" w:type="dxa"/>
            <w:tcBorders>
              <w:top w:val="nil"/>
              <w:left w:val="nil"/>
              <w:bottom w:val="nil"/>
              <w:right w:val="nil"/>
            </w:tcBorders>
          </w:tcPr>
          <w:p w14:paraId="7D14A89B"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C955086" w14:textId="77777777" w:rsidR="001D5F6D" w:rsidRPr="00641BDE" w:rsidRDefault="001D5F6D" w:rsidP="007C1C97">
            <w:pPr>
              <w:pStyle w:val="AmColumnHeading"/>
            </w:pPr>
            <w:r w:rsidRPr="00641BDE">
              <w:t>Poprawka</w:t>
            </w:r>
          </w:p>
        </w:tc>
      </w:tr>
      <w:tr w:rsidR="001D5F6D" w:rsidRPr="00641BDE" w14:paraId="3BE8430E" w14:textId="77777777" w:rsidTr="007C1C97">
        <w:trPr>
          <w:jc w:val="center"/>
        </w:trPr>
        <w:tc>
          <w:tcPr>
            <w:tcW w:w="4876" w:type="dxa"/>
            <w:tcBorders>
              <w:top w:val="nil"/>
              <w:left w:val="nil"/>
              <w:bottom w:val="nil"/>
              <w:right w:val="nil"/>
            </w:tcBorders>
          </w:tcPr>
          <w:p w14:paraId="35529607" w14:textId="77777777" w:rsidR="001D5F6D" w:rsidRPr="00641BDE" w:rsidRDefault="001D5F6D" w:rsidP="007C1C97">
            <w:pPr>
              <w:pStyle w:val="Normal6a"/>
            </w:pPr>
            <w:r w:rsidRPr="00641BDE">
              <w:t>35.</w:t>
            </w:r>
            <w:r w:rsidRPr="00641BDE">
              <w:tab/>
              <w:t xml:space="preserve">zauważa, że w 2024 r. 11 agencji (ACER, ECDC, EEA, EFCA, EIGE, ENISA, EU-OSHA, </w:t>
            </w:r>
            <w:proofErr w:type="spellStart"/>
            <w:r w:rsidRPr="00641BDE">
              <w:t>Eurofound</w:t>
            </w:r>
            <w:proofErr w:type="spellEnd"/>
            <w:r w:rsidRPr="00641BDE">
              <w:t xml:space="preserve">, EUSPA, FRA i </w:t>
            </w:r>
            <w:proofErr w:type="spellStart"/>
            <w:r w:rsidRPr="00641BDE">
              <w:t>Frontex</w:t>
            </w:r>
            <w:proofErr w:type="spellEnd"/>
            <w:r w:rsidRPr="00641BDE">
              <w:t xml:space="preserve">) odnotowało poziom przeniesień przekraczający 15 % łącznych tytułów budżetowych, przy czym występowały powtarzalne wzorce tych przeniesień; zauważa, że w przypadku </w:t>
            </w:r>
            <w:proofErr w:type="spellStart"/>
            <w:r w:rsidRPr="00641BDE">
              <w:t>Fronteksu</w:t>
            </w:r>
            <w:proofErr w:type="spellEnd"/>
            <w:r w:rsidRPr="00641BDE">
              <w:t xml:space="preserve"> i Agencji Dostaw Euratomu przeniesienia wyniosły odpowiednio ponad 40 % i 30 %;</w:t>
            </w:r>
          </w:p>
        </w:tc>
        <w:tc>
          <w:tcPr>
            <w:tcW w:w="4876" w:type="dxa"/>
            <w:tcBorders>
              <w:top w:val="nil"/>
              <w:left w:val="nil"/>
              <w:bottom w:val="nil"/>
              <w:right w:val="nil"/>
            </w:tcBorders>
          </w:tcPr>
          <w:p w14:paraId="3C5249DC" w14:textId="77777777" w:rsidR="001D5F6D" w:rsidRPr="00641BDE" w:rsidRDefault="001D5F6D" w:rsidP="007C1C97">
            <w:pPr>
              <w:pStyle w:val="Normal6a"/>
            </w:pPr>
            <w:r w:rsidRPr="00641BDE">
              <w:t>35.</w:t>
            </w:r>
            <w:r w:rsidRPr="00641BDE">
              <w:tab/>
              <w:t xml:space="preserve">zauważa, że w 2024 r. 11 agencji (ACER, ECDC, EEA, EFCA, EIGE, ENISA, EU-OSHA, </w:t>
            </w:r>
            <w:proofErr w:type="spellStart"/>
            <w:r w:rsidRPr="00641BDE">
              <w:t>Eurofound</w:t>
            </w:r>
            <w:proofErr w:type="spellEnd"/>
            <w:r w:rsidRPr="00641BDE">
              <w:t xml:space="preserve">, EUSPA, FRA i </w:t>
            </w:r>
            <w:proofErr w:type="spellStart"/>
            <w:r w:rsidRPr="00641BDE">
              <w:t>Frontex</w:t>
            </w:r>
            <w:proofErr w:type="spellEnd"/>
            <w:r w:rsidRPr="00641BDE">
              <w:t xml:space="preserve">) odnotowało poziom przeniesień przekraczający 15 % łącznych tytułów budżetowych, przy czym występowały powtarzalne wzorce tych przeniesień; zauważa, że w przypadku </w:t>
            </w:r>
            <w:proofErr w:type="spellStart"/>
            <w:r w:rsidRPr="00641BDE">
              <w:t>Fronteksu</w:t>
            </w:r>
            <w:proofErr w:type="spellEnd"/>
            <w:r w:rsidRPr="00641BDE">
              <w:t xml:space="preserve"> i Agencji Dostaw Euratomu przeniesienia wyniosły odpowiednio ponad 40 % i 30 %; </w:t>
            </w:r>
            <w:r w:rsidRPr="00641BDE">
              <w:rPr>
                <w:b/>
                <w:i/>
              </w:rPr>
              <w:t>wzywa agencje do poprawy wieloletniego planowania, tworzenia harmonogramów zamówień i prognozowania zobowiązań, aby zapewnić wykorzystanie środków w roku budżetowym, na który zostały zatwierdzone; </w:t>
            </w:r>
          </w:p>
        </w:tc>
      </w:tr>
    </w:tbl>
    <w:p w14:paraId="58614A86"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774D9BD" w14:textId="77777777" w:rsidR="001D5F6D" w:rsidRPr="00641BDE" w:rsidRDefault="001D5F6D" w:rsidP="001D5F6D">
      <w:r w:rsidRPr="00641BDE">
        <w:rPr>
          <w:rStyle w:val="HideTWBExt"/>
        </w:rPr>
        <w:t>&lt;/Amend&gt;</w:t>
      </w:r>
    </w:p>
    <w:p w14:paraId="61909D4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80</w:t>
      </w:r>
      <w:r w:rsidRPr="00641BDE">
        <w:rPr>
          <w:rStyle w:val="HideTWBExt"/>
          <w:b w:val="0"/>
        </w:rPr>
        <w:t>&lt;/NumAm&gt;</w:t>
      </w:r>
    </w:p>
    <w:p w14:paraId="03EFA4C9"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1B9178A1" w14:textId="77777777" w:rsidR="001D5F6D" w:rsidRPr="00641BDE" w:rsidRDefault="001D5F6D" w:rsidP="001D5F6D">
      <w:pPr>
        <w:pStyle w:val="NormalBold"/>
      </w:pPr>
      <w:r w:rsidRPr="00641BDE">
        <w:rPr>
          <w:rStyle w:val="HideTWBExt"/>
          <w:b w:val="0"/>
        </w:rPr>
        <w:t>&lt;/RepeatBlock-By&gt;</w:t>
      </w:r>
    </w:p>
    <w:p w14:paraId="36CD8883"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5FAE322" w14:textId="77777777" w:rsidR="001D5F6D" w:rsidRPr="00641BDE" w:rsidRDefault="001D5F6D" w:rsidP="001D5F6D">
      <w:pPr>
        <w:pStyle w:val="NormalBold"/>
      </w:pPr>
      <w:r w:rsidRPr="00641BDE">
        <w:rPr>
          <w:rStyle w:val="HideTWBExt"/>
          <w:b w:val="0"/>
        </w:rPr>
        <w:t>&lt;Article&gt;</w:t>
      </w:r>
      <w:r w:rsidRPr="00641BDE">
        <w:t>Ustęp 35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DB1ACAD" w14:textId="77777777" w:rsidTr="007C1C97">
        <w:trPr>
          <w:trHeight w:hRule="exact" w:val="240"/>
          <w:jc w:val="center"/>
        </w:trPr>
        <w:tc>
          <w:tcPr>
            <w:tcW w:w="9752" w:type="dxa"/>
            <w:gridSpan w:val="2"/>
            <w:tcBorders>
              <w:top w:val="nil"/>
              <w:left w:val="nil"/>
              <w:bottom w:val="nil"/>
              <w:right w:val="nil"/>
            </w:tcBorders>
          </w:tcPr>
          <w:p w14:paraId="04E84527" w14:textId="77777777" w:rsidR="001D5F6D" w:rsidRPr="00641BDE" w:rsidRDefault="001D5F6D" w:rsidP="007C1C97"/>
        </w:tc>
      </w:tr>
      <w:tr w:rsidR="001D5F6D" w:rsidRPr="00641BDE" w14:paraId="06D03E38" w14:textId="77777777" w:rsidTr="007C1C97">
        <w:trPr>
          <w:trHeight w:val="240"/>
          <w:jc w:val="center"/>
        </w:trPr>
        <w:tc>
          <w:tcPr>
            <w:tcW w:w="4876" w:type="dxa"/>
            <w:tcBorders>
              <w:top w:val="nil"/>
              <w:left w:val="nil"/>
              <w:bottom w:val="nil"/>
              <w:right w:val="nil"/>
            </w:tcBorders>
          </w:tcPr>
          <w:p w14:paraId="043A5BF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DE5E007" w14:textId="77777777" w:rsidR="001D5F6D" w:rsidRPr="00641BDE" w:rsidRDefault="001D5F6D" w:rsidP="007C1C97">
            <w:pPr>
              <w:pStyle w:val="AmColumnHeading"/>
            </w:pPr>
            <w:r w:rsidRPr="00641BDE">
              <w:t>Poprawka</w:t>
            </w:r>
          </w:p>
        </w:tc>
      </w:tr>
      <w:tr w:rsidR="001D5F6D" w:rsidRPr="00641BDE" w14:paraId="62830569" w14:textId="77777777" w:rsidTr="007C1C97">
        <w:trPr>
          <w:jc w:val="center"/>
        </w:trPr>
        <w:tc>
          <w:tcPr>
            <w:tcW w:w="4876" w:type="dxa"/>
            <w:tcBorders>
              <w:top w:val="nil"/>
              <w:left w:val="nil"/>
              <w:bottom w:val="nil"/>
              <w:right w:val="nil"/>
            </w:tcBorders>
          </w:tcPr>
          <w:p w14:paraId="7DEF9D5E" w14:textId="77777777" w:rsidR="001D5F6D" w:rsidRPr="00641BDE" w:rsidRDefault="001D5F6D" w:rsidP="007C1C97">
            <w:pPr>
              <w:pStyle w:val="Normal6a"/>
            </w:pPr>
          </w:p>
        </w:tc>
        <w:tc>
          <w:tcPr>
            <w:tcW w:w="4876" w:type="dxa"/>
            <w:tcBorders>
              <w:top w:val="nil"/>
              <w:left w:val="nil"/>
              <w:bottom w:val="nil"/>
              <w:right w:val="nil"/>
            </w:tcBorders>
          </w:tcPr>
          <w:p w14:paraId="6C7513BC" w14:textId="77777777" w:rsidR="001D5F6D" w:rsidRPr="00641BDE" w:rsidRDefault="001D5F6D" w:rsidP="007C1C97">
            <w:pPr>
              <w:pStyle w:val="Normal6a"/>
            </w:pPr>
            <w:r w:rsidRPr="00641BDE">
              <w:rPr>
                <w:b/>
                <w:i/>
              </w:rPr>
              <w:t>35a.</w:t>
            </w:r>
            <w:r w:rsidRPr="00641BDE">
              <w:tab/>
            </w:r>
            <w:r w:rsidRPr="00641BDE">
              <w:rPr>
                <w:b/>
                <w:i/>
              </w:rPr>
              <w:t>odrzuca zatem wniosek FRA o zwiększenie finansowania; podkreśla, że FRA powinna wypełniać mandat z zachowaniem neutralności i przejrzystości; przypomina, że budżet agencji powinien być wykorzystywany wyłącznie do bezstronnej analizy opartej na dowodach i do wykonywania jej podstawowych zadań prawnych; w związku z tym apeluje o zaprzestanie nieustannych prób ingerowania w działalność instytucji i agencji, w szczególności tych, które zatrudniają pracowników wewnętrznych odpowiedzialnych za prawa podstawowe; apeluje, aby rozważyć możliwość zakończenia mandatu tej agencji, ponieważ pokrywa się on z usługami kilku agencji, co ogranicza jej wartość dodaną;</w:t>
            </w:r>
          </w:p>
        </w:tc>
      </w:tr>
    </w:tbl>
    <w:p w14:paraId="57737F8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04F178CE" w14:textId="77777777" w:rsidR="001D5F6D" w:rsidRPr="00641BDE" w:rsidRDefault="001D5F6D" w:rsidP="001D5F6D">
      <w:r w:rsidRPr="00641BDE">
        <w:rPr>
          <w:rStyle w:val="HideTWBExt"/>
        </w:rPr>
        <w:t>&lt;/Amend&gt;</w:t>
      </w:r>
    </w:p>
    <w:p w14:paraId="7894FCA2"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81</w:t>
      </w:r>
      <w:r w:rsidRPr="00641BDE">
        <w:rPr>
          <w:rStyle w:val="HideTWBExt"/>
          <w:b w:val="0"/>
        </w:rPr>
        <w:t>&lt;/NumAm&gt;</w:t>
      </w:r>
    </w:p>
    <w:p w14:paraId="06ACC412" w14:textId="77777777" w:rsidR="001D5F6D" w:rsidRPr="00641BDE" w:rsidRDefault="001D5F6D" w:rsidP="001D5F6D">
      <w:pPr>
        <w:pStyle w:val="NormalBold"/>
      </w:pPr>
      <w:r w:rsidRPr="00641BDE">
        <w:rPr>
          <w:rStyle w:val="HideTWBExt"/>
          <w:b w:val="0"/>
        </w:rPr>
        <w:t>&lt;RepeatBlock-By&gt;&lt;Members&gt;</w:t>
      </w:r>
      <w:proofErr w:type="spellStart"/>
      <w:r w:rsidRPr="00641BDE">
        <w:t>Jonas</w:t>
      </w:r>
      <w:proofErr w:type="spellEnd"/>
      <w:r w:rsidRPr="00641BDE">
        <w:t xml:space="preserve"> </w:t>
      </w:r>
      <w:proofErr w:type="spellStart"/>
      <w:r w:rsidRPr="00641BDE">
        <w:t>Sjöstedt</w:t>
      </w:r>
      <w:proofErr w:type="spellEnd"/>
      <w:r w:rsidRPr="00641BDE">
        <w:rPr>
          <w:rStyle w:val="HideTWBExt"/>
          <w:b w:val="0"/>
        </w:rPr>
        <w:t>&lt;/Members&gt;</w:t>
      </w:r>
    </w:p>
    <w:p w14:paraId="2CEAABB3" w14:textId="77777777" w:rsidR="001D5F6D" w:rsidRPr="00641BDE" w:rsidRDefault="001D5F6D" w:rsidP="001D5F6D">
      <w:pPr>
        <w:pStyle w:val="NormalBold"/>
      </w:pPr>
      <w:r w:rsidRPr="00641BDE">
        <w:rPr>
          <w:rStyle w:val="HideTWBExt"/>
          <w:b w:val="0"/>
        </w:rPr>
        <w:t>&lt;/RepeatBlock-By&gt;</w:t>
      </w:r>
    </w:p>
    <w:p w14:paraId="41C9BE9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3A20C35" w14:textId="77777777" w:rsidR="001D5F6D" w:rsidRPr="00641BDE" w:rsidRDefault="001D5F6D" w:rsidP="001D5F6D">
      <w:pPr>
        <w:pStyle w:val="NormalBold"/>
      </w:pPr>
      <w:r w:rsidRPr="00641BDE">
        <w:rPr>
          <w:rStyle w:val="HideTWBExt"/>
          <w:b w:val="0"/>
        </w:rPr>
        <w:t>&lt;Article&gt;</w:t>
      </w:r>
      <w:r w:rsidRPr="00641BDE">
        <w:t>Ustęp 35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E9A330B" w14:textId="77777777" w:rsidTr="007C1C97">
        <w:trPr>
          <w:trHeight w:hRule="exact" w:val="240"/>
          <w:jc w:val="center"/>
        </w:trPr>
        <w:tc>
          <w:tcPr>
            <w:tcW w:w="9752" w:type="dxa"/>
            <w:gridSpan w:val="2"/>
            <w:tcBorders>
              <w:top w:val="nil"/>
              <w:left w:val="nil"/>
              <w:bottom w:val="nil"/>
              <w:right w:val="nil"/>
            </w:tcBorders>
          </w:tcPr>
          <w:p w14:paraId="2ABB4D88" w14:textId="77777777" w:rsidR="001D5F6D" w:rsidRPr="00641BDE" w:rsidRDefault="001D5F6D" w:rsidP="007C1C97"/>
        </w:tc>
      </w:tr>
      <w:tr w:rsidR="001D5F6D" w:rsidRPr="00641BDE" w14:paraId="472F3554" w14:textId="77777777" w:rsidTr="007C1C97">
        <w:trPr>
          <w:trHeight w:val="240"/>
          <w:jc w:val="center"/>
        </w:trPr>
        <w:tc>
          <w:tcPr>
            <w:tcW w:w="4876" w:type="dxa"/>
            <w:tcBorders>
              <w:top w:val="nil"/>
              <w:left w:val="nil"/>
              <w:bottom w:val="nil"/>
              <w:right w:val="nil"/>
            </w:tcBorders>
          </w:tcPr>
          <w:p w14:paraId="2CA528A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714773D" w14:textId="77777777" w:rsidR="001D5F6D" w:rsidRPr="00641BDE" w:rsidRDefault="001D5F6D" w:rsidP="007C1C97">
            <w:pPr>
              <w:pStyle w:val="AmColumnHeading"/>
            </w:pPr>
            <w:r w:rsidRPr="00641BDE">
              <w:t>Poprawka</w:t>
            </w:r>
          </w:p>
        </w:tc>
      </w:tr>
      <w:tr w:rsidR="001D5F6D" w:rsidRPr="00641BDE" w14:paraId="7805FEA9" w14:textId="77777777" w:rsidTr="007C1C97">
        <w:trPr>
          <w:jc w:val="center"/>
        </w:trPr>
        <w:tc>
          <w:tcPr>
            <w:tcW w:w="4876" w:type="dxa"/>
            <w:tcBorders>
              <w:top w:val="nil"/>
              <w:left w:val="nil"/>
              <w:bottom w:val="nil"/>
              <w:right w:val="nil"/>
            </w:tcBorders>
          </w:tcPr>
          <w:p w14:paraId="791DAD01" w14:textId="77777777" w:rsidR="001D5F6D" w:rsidRPr="00641BDE" w:rsidRDefault="001D5F6D" w:rsidP="007C1C97">
            <w:pPr>
              <w:pStyle w:val="Normal6a"/>
            </w:pPr>
          </w:p>
        </w:tc>
        <w:tc>
          <w:tcPr>
            <w:tcW w:w="4876" w:type="dxa"/>
            <w:tcBorders>
              <w:top w:val="nil"/>
              <w:left w:val="nil"/>
              <w:bottom w:val="nil"/>
              <w:right w:val="nil"/>
            </w:tcBorders>
          </w:tcPr>
          <w:p w14:paraId="0283093C" w14:textId="77777777" w:rsidR="001D5F6D" w:rsidRPr="00641BDE" w:rsidRDefault="001D5F6D" w:rsidP="007C1C97">
            <w:pPr>
              <w:pStyle w:val="Normal6a"/>
            </w:pPr>
            <w:r w:rsidRPr="00641BDE">
              <w:rPr>
                <w:b/>
                <w:i/>
              </w:rPr>
              <w:t>35a.</w:t>
            </w:r>
            <w:r w:rsidRPr="00641BDE">
              <w:tab/>
            </w:r>
            <w:r w:rsidRPr="00641BDE">
              <w:rPr>
                <w:b/>
                <w:i/>
              </w:rPr>
              <w:t xml:space="preserve">zauważa, że w 2024 r. </w:t>
            </w:r>
            <w:proofErr w:type="spellStart"/>
            <w:r w:rsidRPr="00641BDE">
              <w:rPr>
                <w:b/>
                <w:i/>
              </w:rPr>
              <w:t>Frontex</w:t>
            </w:r>
            <w:proofErr w:type="spellEnd"/>
            <w:r w:rsidRPr="00641BDE">
              <w:rPr>
                <w:b/>
                <w:i/>
              </w:rPr>
              <w:t xml:space="preserve"> przeniósł na 2025 r. 43 % środków niezróżnicowanych na rok 2024 oraz że w sprawozdaniu rocznym Europejskiego Trybunału Obrachunkowego dotyczącym agencji UE za rok budżetowy 2024 podkreślono, że powtarzające się wysokie wskaźniki przeniesień podważają zasadę jednoroczności budżetu i wskazują na problemy strukturalne w procesie budżetowym i cyklu wykonania;</w:t>
            </w:r>
          </w:p>
        </w:tc>
      </w:tr>
    </w:tbl>
    <w:p w14:paraId="19079E9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45D02AB" w14:textId="77777777" w:rsidR="001D5F6D" w:rsidRPr="00641BDE" w:rsidRDefault="001D5F6D" w:rsidP="001D5F6D">
      <w:r w:rsidRPr="00641BDE">
        <w:rPr>
          <w:rStyle w:val="HideTWBExt"/>
        </w:rPr>
        <w:t>&lt;/Amend&gt;</w:t>
      </w:r>
    </w:p>
    <w:p w14:paraId="40873A5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82</w:t>
      </w:r>
      <w:r w:rsidRPr="00641BDE">
        <w:rPr>
          <w:rStyle w:val="HideTWBExt"/>
          <w:b w:val="0"/>
        </w:rPr>
        <w:t>&lt;/NumAm&gt;</w:t>
      </w:r>
    </w:p>
    <w:p w14:paraId="1ED71638"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3C7C35AA" w14:textId="77777777" w:rsidR="001D5F6D" w:rsidRPr="00641BDE" w:rsidRDefault="001D5F6D" w:rsidP="001D5F6D">
      <w:pPr>
        <w:pStyle w:val="NormalBold"/>
      </w:pPr>
      <w:r w:rsidRPr="00641BDE">
        <w:rPr>
          <w:rStyle w:val="HideTWBExt"/>
          <w:b w:val="0"/>
        </w:rPr>
        <w:t>&lt;/RepeatBlock-By&gt;</w:t>
      </w:r>
    </w:p>
    <w:p w14:paraId="04239400"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3F18449" w14:textId="77777777" w:rsidR="001D5F6D" w:rsidRPr="00641BDE" w:rsidRDefault="001D5F6D" w:rsidP="001D5F6D">
      <w:pPr>
        <w:pStyle w:val="NormalBold"/>
      </w:pPr>
      <w:r w:rsidRPr="00641BDE">
        <w:rPr>
          <w:rStyle w:val="HideTWBExt"/>
          <w:b w:val="0"/>
        </w:rPr>
        <w:t>&lt;Article&gt;</w:t>
      </w:r>
      <w:r w:rsidRPr="00641BDE">
        <w:t>Ustęp 35 b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2AF28F7" w14:textId="77777777" w:rsidTr="007C1C97">
        <w:trPr>
          <w:trHeight w:hRule="exact" w:val="240"/>
          <w:jc w:val="center"/>
        </w:trPr>
        <w:tc>
          <w:tcPr>
            <w:tcW w:w="9752" w:type="dxa"/>
            <w:gridSpan w:val="2"/>
            <w:tcBorders>
              <w:top w:val="nil"/>
              <w:left w:val="nil"/>
              <w:bottom w:val="nil"/>
              <w:right w:val="nil"/>
            </w:tcBorders>
          </w:tcPr>
          <w:p w14:paraId="436CDEE1" w14:textId="77777777" w:rsidR="001D5F6D" w:rsidRPr="00641BDE" w:rsidRDefault="001D5F6D" w:rsidP="007C1C97"/>
        </w:tc>
      </w:tr>
      <w:tr w:rsidR="001D5F6D" w:rsidRPr="00641BDE" w14:paraId="42DFD9F4" w14:textId="77777777" w:rsidTr="007C1C97">
        <w:trPr>
          <w:trHeight w:val="240"/>
          <w:jc w:val="center"/>
        </w:trPr>
        <w:tc>
          <w:tcPr>
            <w:tcW w:w="4876" w:type="dxa"/>
            <w:tcBorders>
              <w:top w:val="nil"/>
              <w:left w:val="nil"/>
              <w:bottom w:val="nil"/>
              <w:right w:val="nil"/>
            </w:tcBorders>
          </w:tcPr>
          <w:p w14:paraId="54C373A8"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938CB65" w14:textId="77777777" w:rsidR="001D5F6D" w:rsidRPr="00641BDE" w:rsidRDefault="001D5F6D" w:rsidP="007C1C97">
            <w:pPr>
              <w:pStyle w:val="AmColumnHeading"/>
            </w:pPr>
            <w:r w:rsidRPr="00641BDE">
              <w:t>Poprawka</w:t>
            </w:r>
          </w:p>
        </w:tc>
      </w:tr>
      <w:tr w:rsidR="001D5F6D" w:rsidRPr="00641BDE" w14:paraId="1B2D5795" w14:textId="77777777" w:rsidTr="007C1C97">
        <w:trPr>
          <w:jc w:val="center"/>
        </w:trPr>
        <w:tc>
          <w:tcPr>
            <w:tcW w:w="4876" w:type="dxa"/>
            <w:tcBorders>
              <w:top w:val="nil"/>
              <w:left w:val="nil"/>
              <w:bottom w:val="nil"/>
              <w:right w:val="nil"/>
            </w:tcBorders>
          </w:tcPr>
          <w:p w14:paraId="20B92D93" w14:textId="77777777" w:rsidR="001D5F6D" w:rsidRPr="00641BDE" w:rsidRDefault="001D5F6D" w:rsidP="007C1C97">
            <w:pPr>
              <w:pStyle w:val="Normal6a"/>
            </w:pPr>
          </w:p>
        </w:tc>
        <w:tc>
          <w:tcPr>
            <w:tcW w:w="4876" w:type="dxa"/>
            <w:tcBorders>
              <w:top w:val="nil"/>
              <w:left w:val="nil"/>
              <w:bottom w:val="nil"/>
              <w:right w:val="nil"/>
            </w:tcBorders>
          </w:tcPr>
          <w:p w14:paraId="7B162243" w14:textId="77777777" w:rsidR="001D5F6D" w:rsidRPr="00641BDE" w:rsidRDefault="001D5F6D" w:rsidP="007C1C97">
            <w:pPr>
              <w:pStyle w:val="Normal6a"/>
            </w:pPr>
            <w:r w:rsidRPr="00641BDE">
              <w:rPr>
                <w:b/>
                <w:i/>
              </w:rPr>
              <w:t>35b.</w:t>
            </w:r>
            <w:r w:rsidRPr="00641BDE">
              <w:tab/>
            </w:r>
            <w:r w:rsidRPr="00641BDE">
              <w:rPr>
                <w:b/>
                <w:i/>
              </w:rPr>
              <w:t xml:space="preserve">przypomina, że agencje powinny skupić się na swojej podstawowej działalności; potępia ingerencję ideologii lewicowych organizacji pozarządowych, wspieranych przez Komisję Europejską, która dominowała w ostatnich latach; ubolewa w związku z tym nad zwiększeniem liczby pracowników i budżetu przeznaczonego na monitorowanie praw podstawowych kosztem funkcjonariuszy stałej służby </w:t>
            </w:r>
            <w:proofErr w:type="spellStart"/>
            <w:r w:rsidRPr="00641BDE">
              <w:rPr>
                <w:b/>
                <w:i/>
              </w:rPr>
              <w:t>Fronteksu</w:t>
            </w:r>
            <w:proofErr w:type="spellEnd"/>
            <w:r w:rsidRPr="00641BDE">
              <w:rPr>
                <w:b/>
                <w:i/>
              </w:rPr>
              <w:t>, o czym przypomniał dyrektor agencji w 2024 r.</w:t>
            </w:r>
            <w:r w:rsidRPr="00641BDE">
              <w:rPr>
                <w:b/>
                <w:i/>
                <w:vertAlign w:val="superscript"/>
              </w:rPr>
              <w:t>35 t</w:t>
            </w:r>
            <w:r w:rsidRPr="00641BDE">
              <w:rPr>
                <w:b/>
                <w:i/>
              </w:rPr>
              <w:t xml:space="preserve">, a co odwraca uwagę </w:t>
            </w:r>
            <w:proofErr w:type="spellStart"/>
            <w:r w:rsidRPr="00641BDE">
              <w:rPr>
                <w:b/>
                <w:i/>
              </w:rPr>
              <w:t>Fronteksu</w:t>
            </w:r>
            <w:proofErr w:type="spellEnd"/>
            <w:r w:rsidRPr="00641BDE">
              <w:rPr>
                <w:b/>
                <w:i/>
              </w:rPr>
              <w:t xml:space="preserve"> od realizacji jego podstawowej misji, a czasem nawet ją utrudnia; podkreśla, że wszystkie działania i zasoby </w:t>
            </w:r>
            <w:proofErr w:type="spellStart"/>
            <w:r w:rsidRPr="00641BDE">
              <w:rPr>
                <w:b/>
                <w:i/>
              </w:rPr>
              <w:t>Fronteksu</w:t>
            </w:r>
            <w:proofErr w:type="spellEnd"/>
            <w:r w:rsidRPr="00641BDE">
              <w:rPr>
                <w:b/>
                <w:i/>
              </w:rPr>
              <w:t xml:space="preserve"> należy nadal koncentrować na ochronie granic, walce z przestępczością transgraniczną, zapobieganiu nieuregulowanej migracji i skutecznym powrocie osób nieposiadających prawa do pozostania; apeluje o przeniesienie zasobów, tak aby nadal koncentrować je na podstawowych zadaniach związanych z zarządzaniem granicami, oraz o dalszą rekrutację niezbędnego personelu pierwszej linii na granicach zewnętrznych UE i uzasadnienie liczby stanowisk administracyjnych;</w:t>
            </w:r>
          </w:p>
        </w:tc>
      </w:tr>
      <w:tr w:rsidR="001D5F6D" w:rsidRPr="00641BDE" w14:paraId="59286B04" w14:textId="77777777" w:rsidTr="007C1C97">
        <w:trPr>
          <w:jc w:val="center"/>
        </w:trPr>
        <w:tc>
          <w:tcPr>
            <w:tcW w:w="4876" w:type="dxa"/>
            <w:tcBorders>
              <w:top w:val="nil"/>
              <w:left w:val="nil"/>
              <w:bottom w:val="nil"/>
              <w:right w:val="nil"/>
            </w:tcBorders>
          </w:tcPr>
          <w:p w14:paraId="3585B0B1" w14:textId="77777777" w:rsidR="001D5F6D" w:rsidRPr="00641BDE" w:rsidRDefault="001D5F6D" w:rsidP="007C1C97"/>
        </w:tc>
        <w:tc>
          <w:tcPr>
            <w:tcW w:w="4876" w:type="dxa"/>
            <w:tcBorders>
              <w:top w:val="nil"/>
              <w:left w:val="nil"/>
              <w:bottom w:val="nil"/>
              <w:right w:val="nil"/>
            </w:tcBorders>
          </w:tcPr>
          <w:p w14:paraId="64D84DAA" w14:textId="77777777" w:rsidR="001D5F6D" w:rsidRPr="00641BDE" w:rsidRDefault="001D5F6D" w:rsidP="007C1C97">
            <w:pPr>
              <w:pStyle w:val="Normal6a"/>
            </w:pPr>
            <w:r w:rsidRPr="00641BDE">
              <w:rPr>
                <w:b/>
                <w:i/>
              </w:rPr>
              <w:t>_________________</w:t>
            </w:r>
          </w:p>
        </w:tc>
      </w:tr>
      <w:tr w:rsidR="001D5F6D" w:rsidRPr="00641BDE" w14:paraId="18F074FD" w14:textId="77777777" w:rsidTr="007C1C97">
        <w:trPr>
          <w:jc w:val="center"/>
        </w:trPr>
        <w:tc>
          <w:tcPr>
            <w:tcW w:w="4876" w:type="dxa"/>
            <w:tcBorders>
              <w:top w:val="nil"/>
              <w:left w:val="nil"/>
              <w:bottom w:val="nil"/>
              <w:right w:val="nil"/>
            </w:tcBorders>
          </w:tcPr>
          <w:p w14:paraId="7E9E66BE" w14:textId="77777777" w:rsidR="001D5F6D" w:rsidRPr="00641BDE" w:rsidRDefault="001D5F6D" w:rsidP="007C1C97"/>
        </w:tc>
        <w:tc>
          <w:tcPr>
            <w:tcW w:w="4876" w:type="dxa"/>
            <w:tcBorders>
              <w:top w:val="nil"/>
              <w:left w:val="nil"/>
              <w:bottom w:val="nil"/>
              <w:right w:val="nil"/>
            </w:tcBorders>
          </w:tcPr>
          <w:p w14:paraId="1DD8959D" w14:textId="77777777" w:rsidR="001D5F6D" w:rsidRPr="00641BDE" w:rsidRDefault="001D5F6D" w:rsidP="007C1C97">
            <w:pPr>
              <w:pStyle w:val="Normal6a"/>
            </w:pPr>
            <w:r w:rsidRPr="00641BDE">
              <w:rPr>
                <w:b/>
                <w:i/>
                <w:vertAlign w:val="superscript"/>
              </w:rPr>
              <w:t>35 t</w:t>
            </w:r>
            <w:r w:rsidRPr="00641BDE">
              <w:t xml:space="preserve"> </w:t>
            </w:r>
            <w:r w:rsidRPr="00641BDE">
              <w:rPr>
                <w:b/>
                <w:i/>
              </w:rPr>
              <w:t>https://fr.euronews.com/my-europe/2024/03/05/nous-ne-sommes-pas-lagence-europeenne-de-sauvetage-souligne-le-directeur-de-frontex</w:t>
            </w:r>
          </w:p>
        </w:tc>
      </w:tr>
    </w:tbl>
    <w:p w14:paraId="5BC4D64A"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295DC08E" w14:textId="77777777" w:rsidR="001D5F6D" w:rsidRPr="00641BDE" w:rsidRDefault="001D5F6D" w:rsidP="001D5F6D">
      <w:r w:rsidRPr="00641BDE">
        <w:rPr>
          <w:rStyle w:val="HideTWBExt"/>
        </w:rPr>
        <w:t>&lt;/Amend&gt;</w:t>
      </w:r>
    </w:p>
    <w:p w14:paraId="39687CA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83</w:t>
      </w:r>
      <w:r w:rsidRPr="00641BDE">
        <w:rPr>
          <w:rStyle w:val="HideTWBExt"/>
          <w:b w:val="0"/>
        </w:rPr>
        <w:t>&lt;/NumAm&gt;</w:t>
      </w:r>
    </w:p>
    <w:p w14:paraId="78824C75"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39BC1D24" w14:textId="77777777" w:rsidR="001D5F6D" w:rsidRPr="00641BDE" w:rsidRDefault="001D5F6D" w:rsidP="001D5F6D">
      <w:pPr>
        <w:pStyle w:val="NormalBold"/>
      </w:pPr>
      <w:r w:rsidRPr="00641BDE">
        <w:rPr>
          <w:rStyle w:val="HideTWBExt"/>
          <w:b w:val="0"/>
        </w:rPr>
        <w:t>&lt;/RepeatBlock-By&gt;</w:t>
      </w:r>
    </w:p>
    <w:p w14:paraId="00B6B2A4"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BEFF8C5" w14:textId="77777777" w:rsidR="001D5F6D" w:rsidRPr="00641BDE" w:rsidRDefault="001D5F6D" w:rsidP="001D5F6D">
      <w:pPr>
        <w:pStyle w:val="NormalBold"/>
      </w:pPr>
      <w:r w:rsidRPr="00641BDE">
        <w:rPr>
          <w:rStyle w:val="HideTWBExt"/>
          <w:b w:val="0"/>
        </w:rPr>
        <w:t>&lt;Article&gt;</w:t>
      </w:r>
      <w:r w:rsidRPr="00641BDE">
        <w:t>Ustęp 36</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7F6CD38" w14:textId="77777777" w:rsidTr="007C1C97">
        <w:trPr>
          <w:trHeight w:hRule="exact" w:val="240"/>
          <w:jc w:val="center"/>
        </w:trPr>
        <w:tc>
          <w:tcPr>
            <w:tcW w:w="9752" w:type="dxa"/>
            <w:gridSpan w:val="2"/>
            <w:tcBorders>
              <w:top w:val="nil"/>
              <w:left w:val="nil"/>
              <w:bottom w:val="nil"/>
              <w:right w:val="nil"/>
            </w:tcBorders>
          </w:tcPr>
          <w:p w14:paraId="40278A70" w14:textId="77777777" w:rsidR="001D5F6D" w:rsidRPr="00641BDE" w:rsidRDefault="001D5F6D" w:rsidP="007C1C97"/>
        </w:tc>
      </w:tr>
      <w:tr w:rsidR="001D5F6D" w:rsidRPr="00641BDE" w14:paraId="5561E1C2" w14:textId="77777777" w:rsidTr="007C1C97">
        <w:trPr>
          <w:trHeight w:val="240"/>
          <w:jc w:val="center"/>
        </w:trPr>
        <w:tc>
          <w:tcPr>
            <w:tcW w:w="4876" w:type="dxa"/>
            <w:tcBorders>
              <w:top w:val="nil"/>
              <w:left w:val="nil"/>
              <w:bottom w:val="nil"/>
              <w:right w:val="nil"/>
            </w:tcBorders>
          </w:tcPr>
          <w:p w14:paraId="622BB1B6"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14D8130" w14:textId="77777777" w:rsidR="001D5F6D" w:rsidRPr="00641BDE" w:rsidRDefault="001D5F6D" w:rsidP="007C1C97">
            <w:pPr>
              <w:pStyle w:val="AmColumnHeading"/>
            </w:pPr>
            <w:r w:rsidRPr="00641BDE">
              <w:t>Poprawka</w:t>
            </w:r>
          </w:p>
        </w:tc>
      </w:tr>
      <w:tr w:rsidR="001D5F6D" w:rsidRPr="00641BDE" w14:paraId="2623FB59" w14:textId="77777777" w:rsidTr="007C1C97">
        <w:trPr>
          <w:jc w:val="center"/>
        </w:trPr>
        <w:tc>
          <w:tcPr>
            <w:tcW w:w="4876" w:type="dxa"/>
            <w:tcBorders>
              <w:top w:val="nil"/>
              <w:left w:val="nil"/>
              <w:bottom w:val="nil"/>
              <w:right w:val="nil"/>
            </w:tcBorders>
          </w:tcPr>
          <w:p w14:paraId="271EA8B8" w14:textId="77777777" w:rsidR="001D5F6D" w:rsidRPr="00641BDE" w:rsidRDefault="001D5F6D" w:rsidP="007C1C97">
            <w:pPr>
              <w:pStyle w:val="Normal6a"/>
            </w:pPr>
            <w:r w:rsidRPr="00641BDE">
              <w:t>36.</w:t>
            </w:r>
            <w:r w:rsidRPr="00641BDE">
              <w:tab/>
              <w:t xml:space="preserve">jest zdania, że przeniesienia mogłyby w niektórych przypadkach być uzasadnione wieloletnim charakterem operacji lub wynikać z czynników pozostających poza kontrolą zainteresowanych agencji; zauważa oświadczenie Trybunału podczas wysłuchania, które odbyło się 1 grudnia 2025 r., że w ramach nowego podejścia kontrolnego będzie on dążył do przedstawiania w przyszłych sprawozdaniach jaśniejszego ogólnego obrazu charakteru przeniesień, a jednocześnie przyjmuje do wiadomości wyjaśnienie Trybunału, że zróżnicowany podział przyczyn przeniesień dla poszczególnych agencji nie jest wykonalny ze względu na ograniczenia pod względem metod i zasobów; z zadowoleniem przyjmuje gotowość Trybunału do wskazywania powtarzających się wzorców i czynników systemowych przyczyniających się do nadmiernych przeniesień </w:t>
            </w:r>
            <w:r w:rsidRPr="00641BDE">
              <w:rPr>
                <w:b/>
                <w:i/>
              </w:rPr>
              <w:t>oraz</w:t>
            </w:r>
            <w:r w:rsidRPr="00641BDE">
              <w:t xml:space="preserve"> wzywa agencje do poprawy prognozowania budżetowego i planowania projektów w celu zminimalizowania nieplanowanych przeniesień oraz dopilnowania, by środki były wykorzystywane efektywnie w roku budżetowym;</w:t>
            </w:r>
          </w:p>
        </w:tc>
        <w:tc>
          <w:tcPr>
            <w:tcW w:w="4876" w:type="dxa"/>
            <w:tcBorders>
              <w:top w:val="nil"/>
              <w:left w:val="nil"/>
              <w:bottom w:val="nil"/>
              <w:right w:val="nil"/>
            </w:tcBorders>
          </w:tcPr>
          <w:p w14:paraId="5E3B5B21" w14:textId="77777777" w:rsidR="001D5F6D" w:rsidRPr="00641BDE" w:rsidRDefault="001D5F6D" w:rsidP="007C1C97">
            <w:pPr>
              <w:pStyle w:val="Normal6a"/>
            </w:pPr>
            <w:r w:rsidRPr="00641BDE">
              <w:t>36.</w:t>
            </w:r>
            <w:r w:rsidRPr="00641BDE">
              <w:tab/>
              <w:t>jest zdania, że przeniesienia mogłyby w niektórych przypadkach być uzasadnione wieloletnim charakterem operacji lub wynikać z czynników pozostających poza kontrolą zainteresowanych agencji; zauważa oświadczenie Trybunału podczas wysłuchania, które odbyło się 1 grudnia 2025 r., że w ramach nowego podejścia kontrolnego będzie on dążył do przedstawiania w przyszłych sprawozdaniach jaśniejszego ogólnego obrazu charakteru przeniesień, a jednocześnie przyjmuje do wiadomości wyjaśnienie Trybunału, że zróżnicowany podział przyczyn przeniesień dla poszczególnych agencji nie jest wykonalny ze względu na ograniczenia pod względem metod i zasobów; z zadowoleniem przyjmuje gotowość Trybunału do wskazywania powtarzających się wzorców i czynników systemowych przyczyniających się do nadmiernych przeniesień</w:t>
            </w:r>
            <w:r w:rsidRPr="00641BDE">
              <w:rPr>
                <w:b/>
                <w:i/>
              </w:rPr>
              <w:t>; podkreśla jednak, że utrzymujący się wysoki i powtarzający poziom przeniesień może wskazywać na podstawowe wyzwania strukturalne związane z planowaniem, wdrażaniem lub przydziałem zasobów;</w:t>
            </w:r>
            <w:r w:rsidRPr="00641BDE">
              <w:t xml:space="preserve"> wzywa agencje do poprawy prognozowania budżetowego i planowania projektów w celu zminimalizowania nieplanowanych przeniesień oraz dopilnowania, by środki były wykorzystywane efektywnie w roku budżetowym;</w:t>
            </w:r>
          </w:p>
        </w:tc>
      </w:tr>
    </w:tbl>
    <w:p w14:paraId="4D6E508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C1565E1" w14:textId="77777777" w:rsidR="001D5F6D" w:rsidRPr="00641BDE" w:rsidRDefault="001D5F6D" w:rsidP="001D5F6D">
      <w:r w:rsidRPr="00641BDE">
        <w:rPr>
          <w:rStyle w:val="HideTWBExt"/>
        </w:rPr>
        <w:t>&lt;/Amend&gt;</w:t>
      </w:r>
    </w:p>
    <w:p w14:paraId="10C997F2"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84</w:t>
      </w:r>
      <w:r w:rsidRPr="00641BDE">
        <w:rPr>
          <w:rStyle w:val="HideTWBExt"/>
          <w:b w:val="0"/>
        </w:rPr>
        <w:t>&lt;/NumAm&gt;</w:t>
      </w:r>
    </w:p>
    <w:p w14:paraId="20D6D4A4"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6CA8541E" w14:textId="77777777" w:rsidR="001D5F6D" w:rsidRPr="00641BDE" w:rsidRDefault="001D5F6D" w:rsidP="001D5F6D">
      <w:pPr>
        <w:pStyle w:val="NormalBold"/>
      </w:pPr>
      <w:r w:rsidRPr="00641BDE">
        <w:rPr>
          <w:rStyle w:val="HideTWBExt"/>
          <w:b w:val="0"/>
        </w:rPr>
        <w:t>&lt;/RepeatBlock-By&gt;</w:t>
      </w:r>
    </w:p>
    <w:p w14:paraId="10AFFA1D"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A1ADDB6" w14:textId="77777777" w:rsidR="001D5F6D" w:rsidRPr="00641BDE" w:rsidRDefault="001D5F6D" w:rsidP="001D5F6D">
      <w:pPr>
        <w:pStyle w:val="NormalBold"/>
      </w:pPr>
      <w:r w:rsidRPr="00641BDE">
        <w:rPr>
          <w:rStyle w:val="HideTWBExt"/>
          <w:b w:val="0"/>
        </w:rPr>
        <w:t>&lt;Article&gt;</w:t>
      </w:r>
      <w:r w:rsidRPr="00641BDE">
        <w:t>Ustęp 37</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4F86CAA" w14:textId="77777777" w:rsidTr="007C1C97">
        <w:trPr>
          <w:trHeight w:hRule="exact" w:val="240"/>
          <w:jc w:val="center"/>
        </w:trPr>
        <w:tc>
          <w:tcPr>
            <w:tcW w:w="9752" w:type="dxa"/>
            <w:gridSpan w:val="2"/>
            <w:tcBorders>
              <w:top w:val="nil"/>
              <w:left w:val="nil"/>
              <w:bottom w:val="nil"/>
              <w:right w:val="nil"/>
            </w:tcBorders>
          </w:tcPr>
          <w:p w14:paraId="03B86B48" w14:textId="77777777" w:rsidR="001D5F6D" w:rsidRPr="00641BDE" w:rsidRDefault="001D5F6D" w:rsidP="007C1C97"/>
        </w:tc>
      </w:tr>
      <w:tr w:rsidR="001D5F6D" w:rsidRPr="00641BDE" w14:paraId="3AB6A628" w14:textId="77777777" w:rsidTr="007C1C97">
        <w:trPr>
          <w:trHeight w:val="240"/>
          <w:jc w:val="center"/>
        </w:trPr>
        <w:tc>
          <w:tcPr>
            <w:tcW w:w="4876" w:type="dxa"/>
            <w:tcBorders>
              <w:top w:val="nil"/>
              <w:left w:val="nil"/>
              <w:bottom w:val="nil"/>
              <w:right w:val="nil"/>
            </w:tcBorders>
          </w:tcPr>
          <w:p w14:paraId="596DA8D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EF366AB" w14:textId="77777777" w:rsidR="001D5F6D" w:rsidRPr="00641BDE" w:rsidRDefault="001D5F6D" w:rsidP="007C1C97">
            <w:pPr>
              <w:pStyle w:val="AmColumnHeading"/>
            </w:pPr>
            <w:r w:rsidRPr="00641BDE">
              <w:t>Poprawka</w:t>
            </w:r>
          </w:p>
        </w:tc>
      </w:tr>
      <w:tr w:rsidR="001D5F6D" w:rsidRPr="00641BDE" w14:paraId="5EDA551E" w14:textId="77777777" w:rsidTr="007C1C97">
        <w:trPr>
          <w:jc w:val="center"/>
        </w:trPr>
        <w:tc>
          <w:tcPr>
            <w:tcW w:w="4876" w:type="dxa"/>
            <w:tcBorders>
              <w:top w:val="nil"/>
              <w:left w:val="nil"/>
              <w:bottom w:val="nil"/>
              <w:right w:val="nil"/>
            </w:tcBorders>
          </w:tcPr>
          <w:p w14:paraId="0C1125ED" w14:textId="77777777" w:rsidR="001D5F6D" w:rsidRPr="00641BDE" w:rsidRDefault="001D5F6D" w:rsidP="007C1C97">
            <w:pPr>
              <w:pStyle w:val="Normal6a"/>
            </w:pPr>
            <w:r w:rsidRPr="00641BDE">
              <w:t>37.</w:t>
            </w:r>
            <w:r w:rsidRPr="00641BDE">
              <w:tab/>
              <w:t xml:space="preserve">przypomina, że ramy regulacyjne zobowiązują agencje do dokonywania płatności w określonych terminach; zauważa, że </w:t>
            </w:r>
            <w:r w:rsidRPr="00641BDE">
              <w:rPr>
                <w:b/>
                <w:bCs/>
                <w:i/>
                <w:iCs/>
              </w:rPr>
              <w:t>niewywiązanie się z</w:t>
            </w:r>
            <w:r w:rsidRPr="00641BDE">
              <w:t xml:space="preserve"> tych terminów może </w:t>
            </w:r>
            <w:r w:rsidRPr="00641BDE">
              <w:rPr>
                <w:b/>
                <w:i/>
              </w:rPr>
              <w:t>skutkować prawem wierzycieli do odsetek</w:t>
            </w:r>
            <w:r w:rsidRPr="00641BDE">
              <w:t xml:space="preserve"> za zwłokę; zauważa, że w odniesieniu do roku 2024 Trybunał podaje, że w 11 agencjach (ACER, </w:t>
            </w:r>
            <w:proofErr w:type="spellStart"/>
            <w:r w:rsidRPr="00641BDE">
              <w:t>Cedefop</w:t>
            </w:r>
            <w:proofErr w:type="spellEnd"/>
            <w:r w:rsidRPr="00641BDE">
              <w:t xml:space="preserve">, CEPOL, EEA, Europejski Urząd ds. Pracy, ENISA, ETF, EUDA, </w:t>
            </w:r>
            <w:proofErr w:type="spellStart"/>
            <w:r w:rsidRPr="00641BDE">
              <w:t>Eurojust</w:t>
            </w:r>
            <w:proofErr w:type="spellEnd"/>
            <w:r w:rsidRPr="00641BDE">
              <w:t xml:space="preserve">, FRA i </w:t>
            </w:r>
            <w:proofErr w:type="spellStart"/>
            <w:r w:rsidRPr="00641BDE">
              <w:t>Frontex</w:t>
            </w:r>
            <w:proofErr w:type="spellEnd"/>
            <w:r w:rsidRPr="00641BDE">
              <w:t xml:space="preserve">) ponad 5 % płatności dokonano po upływie obowiązującego terminu; </w:t>
            </w:r>
            <w:r w:rsidRPr="00641BDE">
              <w:rPr>
                <w:b/>
                <w:i/>
              </w:rPr>
              <w:t>jest zaniepokojony</w:t>
            </w:r>
            <w:r w:rsidRPr="00641BDE">
              <w:t xml:space="preserve"> wzrostem opóźnień w płatnościach od 2022 r. – w 2023 r. sytuacja taka miała miejsce w przypadku dziewięciu agencji, a w 2022 r. – pięciu;</w:t>
            </w:r>
          </w:p>
        </w:tc>
        <w:tc>
          <w:tcPr>
            <w:tcW w:w="4876" w:type="dxa"/>
            <w:tcBorders>
              <w:top w:val="nil"/>
              <w:left w:val="nil"/>
              <w:bottom w:val="nil"/>
              <w:right w:val="nil"/>
            </w:tcBorders>
          </w:tcPr>
          <w:p w14:paraId="08E89CF7" w14:textId="77777777" w:rsidR="001D5F6D" w:rsidRPr="00641BDE" w:rsidRDefault="001D5F6D" w:rsidP="007C1C97">
            <w:pPr>
              <w:pStyle w:val="Normal6a"/>
            </w:pPr>
            <w:r w:rsidRPr="00641BDE">
              <w:t>37.</w:t>
            </w:r>
            <w:r w:rsidRPr="00641BDE">
              <w:tab/>
              <w:t xml:space="preserve">przypomina, że ramy regulacyjne zobowiązują agencje do dokonywania płatności w określonych terminach; zauważa, że </w:t>
            </w:r>
            <w:r w:rsidRPr="00641BDE">
              <w:rPr>
                <w:b/>
                <w:bCs/>
                <w:i/>
                <w:iCs/>
              </w:rPr>
              <w:t>niedotrzymanie</w:t>
            </w:r>
            <w:r w:rsidRPr="00641BDE">
              <w:t xml:space="preserve"> tych terminów </w:t>
            </w:r>
            <w:r w:rsidRPr="00641BDE">
              <w:rPr>
                <w:b/>
                <w:i/>
              </w:rPr>
              <w:t>podważa wiarygodność Unii jako partnera umownego i</w:t>
            </w:r>
            <w:r w:rsidRPr="00641BDE">
              <w:t xml:space="preserve"> może </w:t>
            </w:r>
            <w:r w:rsidRPr="00641BDE">
              <w:rPr>
                <w:b/>
                <w:bCs/>
                <w:i/>
                <w:iCs/>
              </w:rPr>
              <w:t>generować dodatkowe koszty, takie jak odsetki</w:t>
            </w:r>
            <w:r w:rsidRPr="00641BDE">
              <w:t xml:space="preserve"> za zwłokę; zauważa, że w odniesieniu do roku 2024 Trybunał podaje, że w 11 agencjach (ACER, </w:t>
            </w:r>
            <w:proofErr w:type="spellStart"/>
            <w:r w:rsidRPr="00641BDE">
              <w:t>Cedefop</w:t>
            </w:r>
            <w:proofErr w:type="spellEnd"/>
            <w:r w:rsidRPr="00641BDE">
              <w:t xml:space="preserve">, CEPOL, EEA, Europejski Urząd ds. Pracy, ENISA, ETF, EUDA, </w:t>
            </w:r>
            <w:proofErr w:type="spellStart"/>
            <w:r w:rsidRPr="00641BDE">
              <w:t>Eurojust</w:t>
            </w:r>
            <w:proofErr w:type="spellEnd"/>
            <w:r w:rsidRPr="00641BDE">
              <w:t xml:space="preserve">, FRA i </w:t>
            </w:r>
            <w:proofErr w:type="spellStart"/>
            <w:r w:rsidRPr="00641BDE">
              <w:t>Frontex</w:t>
            </w:r>
            <w:proofErr w:type="spellEnd"/>
            <w:r w:rsidRPr="00641BDE">
              <w:t xml:space="preserve">) ponad 5 % płatności dokonano po upływie obowiązującego terminu; </w:t>
            </w:r>
            <w:r w:rsidRPr="00641BDE">
              <w:rPr>
                <w:b/>
                <w:i/>
              </w:rPr>
              <w:t>wyraża zaniepokojenie</w:t>
            </w:r>
            <w:r w:rsidRPr="00641BDE">
              <w:t xml:space="preserve"> wzrostem opóźnień w płatnościach od 2022 r. – w 2023 r. sytuacja taka miała miejsce w przypadku dziewięciu agencji, a w 2022 r. – pięciu; </w:t>
            </w:r>
            <w:r w:rsidRPr="00641BDE">
              <w:rPr>
                <w:b/>
                <w:i/>
              </w:rPr>
              <w:t>apeluje o opracowanie planów działań naprawczych w agencjach, w których opóźnienia w płatnościach utrzymują się przez kilka lat;</w:t>
            </w:r>
          </w:p>
        </w:tc>
      </w:tr>
    </w:tbl>
    <w:p w14:paraId="7900523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C5FCF0C" w14:textId="77777777" w:rsidR="001D5F6D" w:rsidRPr="00641BDE" w:rsidRDefault="001D5F6D" w:rsidP="001D5F6D">
      <w:r w:rsidRPr="00641BDE">
        <w:rPr>
          <w:rStyle w:val="HideTWBExt"/>
        </w:rPr>
        <w:t>&lt;/Amend&gt;</w:t>
      </w:r>
    </w:p>
    <w:p w14:paraId="2C7D0789"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85</w:t>
      </w:r>
      <w:r w:rsidRPr="00641BDE">
        <w:rPr>
          <w:rStyle w:val="HideTWBExt"/>
          <w:b w:val="0"/>
        </w:rPr>
        <w:t>&lt;/NumAm&gt;</w:t>
      </w:r>
    </w:p>
    <w:p w14:paraId="5396DF32"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5DFD657E" w14:textId="77777777" w:rsidR="001D5F6D" w:rsidRPr="00641BDE" w:rsidRDefault="001D5F6D" w:rsidP="001D5F6D">
      <w:pPr>
        <w:pStyle w:val="NormalBold"/>
      </w:pPr>
      <w:r w:rsidRPr="00641BDE">
        <w:rPr>
          <w:rStyle w:val="HideTWBExt"/>
          <w:b w:val="0"/>
        </w:rPr>
        <w:t>&lt;/RepeatBlock-By&gt;</w:t>
      </w:r>
    </w:p>
    <w:p w14:paraId="5D2B74EE"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731A65A" w14:textId="77777777" w:rsidR="001D5F6D" w:rsidRPr="00641BDE" w:rsidRDefault="001D5F6D" w:rsidP="001D5F6D">
      <w:pPr>
        <w:pStyle w:val="NormalBold"/>
      </w:pPr>
      <w:r w:rsidRPr="00641BDE">
        <w:rPr>
          <w:rStyle w:val="HideTWBExt"/>
          <w:b w:val="0"/>
        </w:rPr>
        <w:t>&lt;Article&gt;</w:t>
      </w:r>
      <w:r w:rsidRPr="00641BDE">
        <w:t>Ustęp 38</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45EC92C" w14:textId="77777777" w:rsidTr="007C1C97">
        <w:trPr>
          <w:trHeight w:hRule="exact" w:val="240"/>
          <w:jc w:val="center"/>
        </w:trPr>
        <w:tc>
          <w:tcPr>
            <w:tcW w:w="9752" w:type="dxa"/>
            <w:gridSpan w:val="2"/>
            <w:tcBorders>
              <w:top w:val="nil"/>
              <w:left w:val="nil"/>
              <w:bottom w:val="nil"/>
              <w:right w:val="nil"/>
            </w:tcBorders>
          </w:tcPr>
          <w:p w14:paraId="76C7A701" w14:textId="77777777" w:rsidR="001D5F6D" w:rsidRPr="00641BDE" w:rsidRDefault="001D5F6D" w:rsidP="007C1C97"/>
        </w:tc>
      </w:tr>
      <w:tr w:rsidR="001D5F6D" w:rsidRPr="00641BDE" w14:paraId="6326EE9C" w14:textId="77777777" w:rsidTr="007C1C97">
        <w:trPr>
          <w:trHeight w:val="240"/>
          <w:jc w:val="center"/>
        </w:trPr>
        <w:tc>
          <w:tcPr>
            <w:tcW w:w="4876" w:type="dxa"/>
            <w:tcBorders>
              <w:top w:val="nil"/>
              <w:left w:val="nil"/>
              <w:bottom w:val="nil"/>
              <w:right w:val="nil"/>
            </w:tcBorders>
          </w:tcPr>
          <w:p w14:paraId="235887E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662B0D7" w14:textId="77777777" w:rsidR="001D5F6D" w:rsidRPr="00641BDE" w:rsidRDefault="001D5F6D" w:rsidP="007C1C97">
            <w:pPr>
              <w:pStyle w:val="AmColumnHeading"/>
            </w:pPr>
            <w:r w:rsidRPr="00641BDE">
              <w:t>Poprawka</w:t>
            </w:r>
          </w:p>
        </w:tc>
      </w:tr>
      <w:tr w:rsidR="001D5F6D" w:rsidRPr="00641BDE" w14:paraId="5F028103" w14:textId="77777777" w:rsidTr="007C1C97">
        <w:trPr>
          <w:jc w:val="center"/>
        </w:trPr>
        <w:tc>
          <w:tcPr>
            <w:tcW w:w="4876" w:type="dxa"/>
            <w:tcBorders>
              <w:top w:val="nil"/>
              <w:left w:val="nil"/>
              <w:bottom w:val="nil"/>
              <w:right w:val="nil"/>
            </w:tcBorders>
          </w:tcPr>
          <w:p w14:paraId="679CD3F3" w14:textId="77777777" w:rsidR="001D5F6D" w:rsidRPr="00641BDE" w:rsidRDefault="001D5F6D" w:rsidP="007C1C97">
            <w:pPr>
              <w:pStyle w:val="Normal6a"/>
            </w:pPr>
            <w:r w:rsidRPr="00641BDE">
              <w:t>38.</w:t>
            </w:r>
            <w:r w:rsidRPr="00641BDE">
              <w:tab/>
              <w:t>podkreśla, że należy zapewnić przestrzeganie ustawowych terminów płatności, i zauważa, że częste opóźnienia w płatnościach mogą negatywnie wpływać na reputację agencji; wzywa zainteresowane agencje do podjęcia działań w celu uniknięcia przyszłych opóźnień w płatnościach i odsetek za zwłokę oraz zapewnienia terminowego regulowania zobowiązań;</w:t>
            </w:r>
          </w:p>
        </w:tc>
        <w:tc>
          <w:tcPr>
            <w:tcW w:w="4876" w:type="dxa"/>
            <w:tcBorders>
              <w:top w:val="nil"/>
              <w:left w:val="nil"/>
              <w:bottom w:val="nil"/>
              <w:right w:val="nil"/>
            </w:tcBorders>
          </w:tcPr>
          <w:p w14:paraId="067C0618" w14:textId="77777777" w:rsidR="001D5F6D" w:rsidRPr="00641BDE" w:rsidRDefault="001D5F6D" w:rsidP="007C1C97">
            <w:pPr>
              <w:pStyle w:val="Normal6a"/>
            </w:pPr>
            <w:r w:rsidRPr="00641BDE">
              <w:t>38.</w:t>
            </w:r>
            <w:r w:rsidRPr="00641BDE">
              <w:tab/>
              <w:t xml:space="preserve">podkreśla, że należy zapewnić przestrzeganie ustawowych terminów płatności, i zauważa, że częste opóźnienia w płatnościach mogą negatywnie wpływać na reputację agencji; wzywa zainteresowane agencje do podjęcia działań w celu uniknięcia przyszłych opóźnień w płatnościach i odsetek za zwłokę oraz zapewnienia terminowego regulowania zobowiązań; </w:t>
            </w:r>
            <w:r w:rsidRPr="00641BDE">
              <w:rPr>
                <w:b/>
                <w:i/>
              </w:rPr>
              <w:t>przypomina, że przestrzeganie terminów płatności na mocy rozporządzenia finansowego stanowi zobowiązanie prawne i jest kluczowym elementem zarządzania finansami; wzywa agencje do wdrożenia środków naprawczych zapewniających systematyczne przestrzeganie terminów ustawowych;</w:t>
            </w:r>
          </w:p>
        </w:tc>
      </w:tr>
    </w:tbl>
    <w:p w14:paraId="7E1C361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B530C2F" w14:textId="77777777" w:rsidR="001D5F6D" w:rsidRPr="00641BDE" w:rsidRDefault="001D5F6D" w:rsidP="001D5F6D">
      <w:r w:rsidRPr="00641BDE">
        <w:rPr>
          <w:rStyle w:val="HideTWBExt"/>
        </w:rPr>
        <w:t>&lt;/Amend&gt;</w:t>
      </w:r>
    </w:p>
    <w:p w14:paraId="3C5A7C16"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86</w:t>
      </w:r>
      <w:r w:rsidRPr="00641BDE">
        <w:rPr>
          <w:rStyle w:val="HideTWBExt"/>
          <w:b w:val="0"/>
        </w:rPr>
        <w:t>&lt;/NumAm&gt;</w:t>
      </w:r>
    </w:p>
    <w:p w14:paraId="76572E02"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098CF0A6" w14:textId="77777777" w:rsidR="001D5F6D" w:rsidRPr="00641BDE" w:rsidRDefault="001D5F6D" w:rsidP="001D5F6D">
      <w:pPr>
        <w:pStyle w:val="NormalBold"/>
      </w:pPr>
      <w:r w:rsidRPr="00641BDE">
        <w:rPr>
          <w:rStyle w:val="HideTWBExt"/>
          <w:b w:val="0"/>
        </w:rPr>
        <w:t>&lt;/RepeatBlock-By&gt;</w:t>
      </w:r>
    </w:p>
    <w:p w14:paraId="7EF8D5C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B2D824B" w14:textId="77777777" w:rsidR="001D5F6D" w:rsidRPr="00641BDE" w:rsidRDefault="001D5F6D" w:rsidP="001D5F6D">
      <w:pPr>
        <w:pStyle w:val="NormalBold"/>
      </w:pPr>
      <w:r w:rsidRPr="00641BDE">
        <w:rPr>
          <w:rStyle w:val="HideTWBExt"/>
          <w:b w:val="0"/>
        </w:rPr>
        <w:t>&lt;Article&gt;</w:t>
      </w:r>
      <w:r w:rsidRPr="00641BDE">
        <w:t>Ustęp 39</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F663EE8" w14:textId="77777777" w:rsidTr="007C1C97">
        <w:trPr>
          <w:trHeight w:hRule="exact" w:val="240"/>
          <w:jc w:val="center"/>
        </w:trPr>
        <w:tc>
          <w:tcPr>
            <w:tcW w:w="9752" w:type="dxa"/>
            <w:gridSpan w:val="2"/>
            <w:tcBorders>
              <w:top w:val="nil"/>
              <w:left w:val="nil"/>
              <w:bottom w:val="nil"/>
              <w:right w:val="nil"/>
            </w:tcBorders>
          </w:tcPr>
          <w:p w14:paraId="0BEC32D1" w14:textId="77777777" w:rsidR="001D5F6D" w:rsidRPr="00641BDE" w:rsidRDefault="001D5F6D" w:rsidP="007C1C97"/>
        </w:tc>
      </w:tr>
      <w:tr w:rsidR="001D5F6D" w:rsidRPr="00641BDE" w14:paraId="38D15A75" w14:textId="77777777" w:rsidTr="007C1C97">
        <w:trPr>
          <w:trHeight w:val="240"/>
          <w:jc w:val="center"/>
        </w:trPr>
        <w:tc>
          <w:tcPr>
            <w:tcW w:w="4876" w:type="dxa"/>
            <w:tcBorders>
              <w:top w:val="nil"/>
              <w:left w:val="nil"/>
              <w:bottom w:val="nil"/>
              <w:right w:val="nil"/>
            </w:tcBorders>
          </w:tcPr>
          <w:p w14:paraId="1088595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9D76F30" w14:textId="77777777" w:rsidR="001D5F6D" w:rsidRPr="00641BDE" w:rsidRDefault="001D5F6D" w:rsidP="007C1C97">
            <w:pPr>
              <w:pStyle w:val="AmColumnHeading"/>
            </w:pPr>
            <w:r w:rsidRPr="00641BDE">
              <w:t>Poprawka</w:t>
            </w:r>
          </w:p>
        </w:tc>
      </w:tr>
      <w:tr w:rsidR="001D5F6D" w:rsidRPr="00641BDE" w14:paraId="643C90A5" w14:textId="77777777" w:rsidTr="007C1C97">
        <w:trPr>
          <w:jc w:val="center"/>
        </w:trPr>
        <w:tc>
          <w:tcPr>
            <w:tcW w:w="4876" w:type="dxa"/>
            <w:tcBorders>
              <w:top w:val="nil"/>
              <w:left w:val="nil"/>
              <w:bottom w:val="nil"/>
              <w:right w:val="nil"/>
            </w:tcBorders>
          </w:tcPr>
          <w:p w14:paraId="5288020F" w14:textId="77777777" w:rsidR="001D5F6D" w:rsidRPr="00641BDE" w:rsidRDefault="001D5F6D" w:rsidP="007C1C97">
            <w:pPr>
              <w:pStyle w:val="Normal6a"/>
            </w:pPr>
            <w:r w:rsidRPr="00641BDE">
              <w:t>39.</w:t>
            </w:r>
            <w:r w:rsidRPr="00641BDE">
              <w:tab/>
              <w:t xml:space="preserve">wzywa europejskie </w:t>
            </w:r>
            <w:r w:rsidRPr="00641BDE">
              <w:rPr>
                <w:b/>
                <w:i/>
              </w:rPr>
              <w:t>organy</w:t>
            </w:r>
            <w:r w:rsidRPr="00641BDE">
              <w:t xml:space="preserve"> nadzoru (EUNB, EIOPA i ESMA) do </w:t>
            </w:r>
            <w:r w:rsidRPr="00641BDE">
              <w:rPr>
                <w:b/>
                <w:i/>
              </w:rPr>
              <w:t>poprawy zdolności identyfikowania</w:t>
            </w:r>
            <w:r w:rsidRPr="00641BDE">
              <w:t xml:space="preserve"> i </w:t>
            </w:r>
            <w:r w:rsidRPr="00641BDE">
              <w:rPr>
                <w:b/>
                <w:i/>
              </w:rPr>
              <w:t>oddzielnego rozliczania</w:t>
            </w:r>
            <w:r w:rsidRPr="00641BDE">
              <w:t xml:space="preserve"> kosztów działań finansowanych z </w:t>
            </w:r>
            <w:r w:rsidRPr="00641BDE">
              <w:rPr>
                <w:b/>
                <w:i/>
              </w:rPr>
              <w:t>różnych</w:t>
            </w:r>
            <w:r w:rsidRPr="00641BDE">
              <w:t xml:space="preserve"> strumieni dochodów </w:t>
            </w:r>
            <w:r w:rsidRPr="00641BDE">
              <w:rPr>
                <w:b/>
                <w:i/>
              </w:rPr>
              <w:t>w celu poprawy nadzoru księgowego i przejrzystości, zgodnie z zaleceniem Trybunału</w:t>
            </w:r>
            <w:r w:rsidRPr="00641BDE">
              <w:t xml:space="preserve">, </w:t>
            </w:r>
            <w:r w:rsidRPr="00641BDE">
              <w:rPr>
                <w:b/>
                <w:i/>
              </w:rPr>
              <w:t>ponieważ brak możliwości takiego rozliczania stwarza</w:t>
            </w:r>
            <w:r w:rsidRPr="00641BDE">
              <w:t xml:space="preserve"> ryzyko dla przejrzystości </w:t>
            </w:r>
            <w:r w:rsidRPr="00641BDE">
              <w:rPr>
                <w:b/>
                <w:i/>
              </w:rPr>
              <w:t>wykorzystania środków unijnych</w:t>
            </w:r>
            <w:r w:rsidRPr="00641BDE">
              <w:t>;</w:t>
            </w:r>
          </w:p>
        </w:tc>
        <w:tc>
          <w:tcPr>
            <w:tcW w:w="4876" w:type="dxa"/>
            <w:tcBorders>
              <w:top w:val="nil"/>
              <w:left w:val="nil"/>
              <w:bottom w:val="nil"/>
              <w:right w:val="nil"/>
            </w:tcBorders>
          </w:tcPr>
          <w:p w14:paraId="46C3E532" w14:textId="77777777" w:rsidR="001D5F6D" w:rsidRPr="00641BDE" w:rsidRDefault="001D5F6D" w:rsidP="007C1C97">
            <w:pPr>
              <w:pStyle w:val="Normal6a"/>
            </w:pPr>
            <w:r w:rsidRPr="00641BDE">
              <w:t>39.</w:t>
            </w:r>
            <w:r w:rsidRPr="00641BDE">
              <w:tab/>
              <w:t xml:space="preserve">wzywa Europejskie </w:t>
            </w:r>
            <w:r w:rsidRPr="00641BDE">
              <w:rPr>
                <w:b/>
                <w:i/>
              </w:rPr>
              <w:t>Urzędy</w:t>
            </w:r>
            <w:r w:rsidRPr="00641BDE">
              <w:t xml:space="preserve"> Nadzoru (EUNB, EIOPA i ESMA) do </w:t>
            </w:r>
            <w:r w:rsidRPr="00641BDE">
              <w:rPr>
                <w:b/>
                <w:i/>
              </w:rPr>
              <w:t>dalszego zwiększania przejrzystości ich systemów budżetowania zadaniowego</w:t>
            </w:r>
            <w:r w:rsidRPr="00641BDE">
              <w:t xml:space="preserve"> i </w:t>
            </w:r>
            <w:r w:rsidRPr="00641BDE">
              <w:rPr>
                <w:b/>
                <w:i/>
              </w:rPr>
              <w:t>rachunku</w:t>
            </w:r>
            <w:r w:rsidRPr="00641BDE">
              <w:t xml:space="preserve"> kosztów </w:t>
            </w:r>
            <w:r w:rsidRPr="00641BDE">
              <w:rPr>
                <w:b/>
                <w:i/>
              </w:rPr>
              <w:t>działań, w szczególności w przypadku</w:t>
            </w:r>
            <w:r w:rsidRPr="00641BDE">
              <w:t xml:space="preserve"> działań finansowanych z </w:t>
            </w:r>
            <w:r w:rsidRPr="00641BDE">
              <w:rPr>
                <w:b/>
                <w:i/>
              </w:rPr>
              <w:t>opłat nadzorczych lub innych konkretnych</w:t>
            </w:r>
            <w:r w:rsidRPr="00641BDE">
              <w:t xml:space="preserve"> strumieni dochodów, </w:t>
            </w:r>
            <w:r w:rsidRPr="00641BDE">
              <w:rPr>
                <w:b/>
                <w:i/>
              </w:rPr>
              <w:t>tak aby ograniczyć stwierdzone przez Trybunał</w:t>
            </w:r>
            <w:r w:rsidRPr="00641BDE">
              <w:t xml:space="preserve"> ryzyko dla przejrzystości </w:t>
            </w:r>
            <w:r w:rsidRPr="00641BDE">
              <w:rPr>
                <w:b/>
                <w:i/>
              </w:rPr>
              <w:t>w odniesieniu do zarządzania dochodami i struktur finansowania</w:t>
            </w:r>
            <w:r w:rsidRPr="00641BDE">
              <w:t>;</w:t>
            </w:r>
          </w:p>
        </w:tc>
      </w:tr>
    </w:tbl>
    <w:p w14:paraId="0285EFD9"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674F0C81" w14:textId="77777777" w:rsidR="001D5F6D" w:rsidRPr="00641BDE" w:rsidRDefault="001D5F6D" w:rsidP="001D5F6D">
      <w:r w:rsidRPr="00641BDE">
        <w:rPr>
          <w:rStyle w:val="HideTWBExt"/>
        </w:rPr>
        <w:t>&lt;/Amend&gt;</w:t>
      </w:r>
    </w:p>
    <w:p w14:paraId="275364A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87</w:t>
      </w:r>
      <w:r w:rsidRPr="00641BDE">
        <w:rPr>
          <w:rStyle w:val="HideTWBExt"/>
          <w:b w:val="0"/>
        </w:rPr>
        <w:t>&lt;/NumAm&gt;</w:t>
      </w:r>
    </w:p>
    <w:p w14:paraId="4548BC66"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rPr>
          <w:rStyle w:val="HideTWBExt"/>
          <w:b w:val="0"/>
        </w:rPr>
        <w:t>&lt;/Members&gt;</w:t>
      </w:r>
    </w:p>
    <w:p w14:paraId="12706036" w14:textId="77777777" w:rsidR="001D5F6D" w:rsidRPr="00641BDE" w:rsidRDefault="001D5F6D" w:rsidP="001D5F6D">
      <w:pPr>
        <w:pStyle w:val="NormalBold"/>
      </w:pPr>
      <w:r w:rsidRPr="00641BDE">
        <w:rPr>
          <w:rStyle w:val="HideTWBExt"/>
          <w:b w:val="0"/>
        </w:rPr>
        <w:t>&lt;/RepeatBlock-By&gt;</w:t>
      </w:r>
    </w:p>
    <w:p w14:paraId="7C27B235"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9EC9D1B" w14:textId="77777777" w:rsidR="001D5F6D" w:rsidRPr="00641BDE" w:rsidRDefault="001D5F6D" w:rsidP="001D5F6D">
      <w:pPr>
        <w:pStyle w:val="NormalBold"/>
      </w:pPr>
      <w:r w:rsidRPr="00641BDE">
        <w:rPr>
          <w:rStyle w:val="HideTWBExt"/>
          <w:b w:val="0"/>
        </w:rPr>
        <w:t>&lt;Article&gt;</w:t>
      </w:r>
      <w:r w:rsidRPr="00641BDE">
        <w:t>Ustęp 40</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EBAF634" w14:textId="77777777" w:rsidTr="007C1C97">
        <w:trPr>
          <w:trHeight w:hRule="exact" w:val="240"/>
          <w:jc w:val="center"/>
        </w:trPr>
        <w:tc>
          <w:tcPr>
            <w:tcW w:w="9752" w:type="dxa"/>
            <w:gridSpan w:val="2"/>
            <w:tcBorders>
              <w:top w:val="nil"/>
              <w:left w:val="nil"/>
              <w:bottom w:val="nil"/>
              <w:right w:val="nil"/>
            </w:tcBorders>
          </w:tcPr>
          <w:p w14:paraId="2553E668" w14:textId="77777777" w:rsidR="001D5F6D" w:rsidRPr="00641BDE" w:rsidRDefault="001D5F6D" w:rsidP="007C1C97"/>
        </w:tc>
      </w:tr>
      <w:tr w:rsidR="001D5F6D" w:rsidRPr="00641BDE" w14:paraId="3D8263A2" w14:textId="77777777" w:rsidTr="007C1C97">
        <w:trPr>
          <w:trHeight w:val="240"/>
          <w:jc w:val="center"/>
        </w:trPr>
        <w:tc>
          <w:tcPr>
            <w:tcW w:w="4876" w:type="dxa"/>
            <w:tcBorders>
              <w:top w:val="nil"/>
              <w:left w:val="nil"/>
              <w:bottom w:val="nil"/>
              <w:right w:val="nil"/>
            </w:tcBorders>
          </w:tcPr>
          <w:p w14:paraId="0583FB3E"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34A1E8A" w14:textId="77777777" w:rsidR="001D5F6D" w:rsidRPr="00641BDE" w:rsidRDefault="001D5F6D" w:rsidP="007C1C97">
            <w:pPr>
              <w:pStyle w:val="AmColumnHeading"/>
            </w:pPr>
            <w:r w:rsidRPr="00641BDE">
              <w:t>Poprawka</w:t>
            </w:r>
          </w:p>
        </w:tc>
      </w:tr>
      <w:tr w:rsidR="001D5F6D" w:rsidRPr="00641BDE" w14:paraId="78BBAD7B" w14:textId="77777777" w:rsidTr="007C1C97">
        <w:trPr>
          <w:jc w:val="center"/>
        </w:trPr>
        <w:tc>
          <w:tcPr>
            <w:tcW w:w="4876" w:type="dxa"/>
            <w:tcBorders>
              <w:top w:val="nil"/>
              <w:left w:val="nil"/>
              <w:bottom w:val="nil"/>
              <w:right w:val="nil"/>
            </w:tcBorders>
          </w:tcPr>
          <w:p w14:paraId="4E350CFA" w14:textId="77777777" w:rsidR="001D5F6D" w:rsidRPr="00641BDE" w:rsidRDefault="001D5F6D" w:rsidP="007C1C97">
            <w:pPr>
              <w:pStyle w:val="Normal6a"/>
            </w:pPr>
            <w:r w:rsidRPr="00641BDE">
              <w:t>40.</w:t>
            </w:r>
            <w:r w:rsidRPr="00641BDE">
              <w:tab/>
              <w:t>odnotowuje wniosek Europejskiego Trybunału Obrachunkowego („Trybunał”) zawarty w jego sprawozdaniu rocznym dotyczącym agencji UE za rok budżetowy 2024 („sprawozdanie Trybunału”), zgodnie z którym przeprowadzona przez Trybunał kontrola przyniosła podobne wyniki jak w poprzednich latach, a za główne źródła nienależnych płatności uznano uchybienia w postępowaniach o udzielenie zamówienia publicznego;</w:t>
            </w:r>
          </w:p>
        </w:tc>
        <w:tc>
          <w:tcPr>
            <w:tcW w:w="4876" w:type="dxa"/>
            <w:tcBorders>
              <w:top w:val="nil"/>
              <w:left w:val="nil"/>
              <w:bottom w:val="nil"/>
              <w:right w:val="nil"/>
            </w:tcBorders>
          </w:tcPr>
          <w:p w14:paraId="643FA577" w14:textId="77777777" w:rsidR="001D5F6D" w:rsidRPr="00641BDE" w:rsidRDefault="001D5F6D" w:rsidP="007C1C97">
            <w:pPr>
              <w:pStyle w:val="Normal6a"/>
            </w:pPr>
            <w:r w:rsidRPr="00641BDE">
              <w:t>40.</w:t>
            </w:r>
            <w:r w:rsidRPr="00641BDE">
              <w:tab/>
              <w:t xml:space="preserve">odnotowuje wniosek Europejskiego Trybunału Obrachunkowego („Trybunał”) zawarty w jego sprawozdaniu rocznym dotyczącym agencji UE za rok budżetowy 2024 („sprawozdanie Trybunału”), zgodnie z którym </w:t>
            </w:r>
            <w:r w:rsidRPr="00641BDE">
              <w:rPr>
                <w:b/>
                <w:i/>
              </w:rPr>
              <w:t>to sprawozdaniem</w:t>
            </w:r>
            <w:r w:rsidRPr="00641BDE">
              <w:t xml:space="preserve"> przeprowadzona przez Trybunał kontrola przyniosła podobne wyniki jak w poprzednich latach, a za główne źródła nienależnych płatności uznano uchybienia w postępowaniach o udzielenie zamówienia publicznego; </w:t>
            </w:r>
            <w:r w:rsidRPr="00641BDE">
              <w:rPr>
                <w:b/>
                <w:i/>
              </w:rPr>
              <w:t>w związku z odnośnymi kwotami w łącznej wysokości mln EUR oraz w świetle powtarzających się na przestrzeni lat ostrzeżeń ETO zawartych w jego sprawozdaniach rocznych wyraża zaniepokojenie liczbą agencji, które zbyt lekceważąco podchodzą do przestrzegania procedur udzielania zamówień publicznych, co jest głównym źródłem nienależnych płatności; wyraża zaniepokojenie powtarzaniem się tych uchybień, zwłaszcza w niektórych agencjach, które w związku z tym wydają się nie podejmować odpowiednich działań lub nie być gotowe do położenia kresu tej sytuacji;</w:t>
            </w:r>
          </w:p>
        </w:tc>
      </w:tr>
    </w:tbl>
    <w:p w14:paraId="52FB2D1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08FC8F84" w14:textId="77777777" w:rsidR="001D5F6D" w:rsidRPr="00641BDE" w:rsidRDefault="001D5F6D" w:rsidP="001D5F6D">
      <w:r w:rsidRPr="00641BDE">
        <w:rPr>
          <w:rStyle w:val="HideTWBExt"/>
        </w:rPr>
        <w:t>&lt;/Amend&gt;</w:t>
      </w:r>
    </w:p>
    <w:p w14:paraId="0FEB649B"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88</w:t>
      </w:r>
      <w:r w:rsidRPr="00641BDE">
        <w:rPr>
          <w:rStyle w:val="HideTWBExt"/>
          <w:b w:val="0"/>
        </w:rPr>
        <w:t>&lt;/NumAm&gt;</w:t>
      </w:r>
    </w:p>
    <w:p w14:paraId="547F58C9"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347E05FD" w14:textId="77777777" w:rsidR="001D5F6D" w:rsidRPr="00641BDE" w:rsidRDefault="001D5F6D" w:rsidP="001D5F6D">
      <w:pPr>
        <w:pStyle w:val="NormalBold"/>
      </w:pPr>
      <w:r w:rsidRPr="00641BDE">
        <w:rPr>
          <w:rStyle w:val="HideTWBExt"/>
          <w:b w:val="0"/>
        </w:rPr>
        <w:t>&lt;/RepeatBlock-By&gt;</w:t>
      </w:r>
    </w:p>
    <w:p w14:paraId="61B8951F"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13DBAC8" w14:textId="77777777" w:rsidR="001D5F6D" w:rsidRPr="00641BDE" w:rsidRDefault="001D5F6D" w:rsidP="001D5F6D">
      <w:pPr>
        <w:pStyle w:val="NormalBold"/>
      </w:pPr>
      <w:r w:rsidRPr="00641BDE">
        <w:rPr>
          <w:rStyle w:val="HideTWBExt"/>
          <w:b w:val="0"/>
        </w:rPr>
        <w:t>&lt;Article&gt;</w:t>
      </w:r>
      <w:r w:rsidRPr="00641BDE">
        <w:t>Ustęp 40</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DBBB45E" w14:textId="77777777" w:rsidTr="007C1C97">
        <w:trPr>
          <w:trHeight w:hRule="exact" w:val="240"/>
          <w:jc w:val="center"/>
        </w:trPr>
        <w:tc>
          <w:tcPr>
            <w:tcW w:w="9752" w:type="dxa"/>
            <w:gridSpan w:val="2"/>
            <w:tcBorders>
              <w:top w:val="nil"/>
              <w:left w:val="nil"/>
              <w:bottom w:val="nil"/>
              <w:right w:val="nil"/>
            </w:tcBorders>
          </w:tcPr>
          <w:p w14:paraId="38332914" w14:textId="77777777" w:rsidR="001D5F6D" w:rsidRPr="00641BDE" w:rsidRDefault="001D5F6D" w:rsidP="007C1C97"/>
        </w:tc>
      </w:tr>
      <w:tr w:rsidR="001D5F6D" w:rsidRPr="00641BDE" w14:paraId="46F2990A" w14:textId="77777777" w:rsidTr="007C1C97">
        <w:trPr>
          <w:trHeight w:val="240"/>
          <w:jc w:val="center"/>
        </w:trPr>
        <w:tc>
          <w:tcPr>
            <w:tcW w:w="4876" w:type="dxa"/>
            <w:tcBorders>
              <w:top w:val="nil"/>
              <w:left w:val="nil"/>
              <w:bottom w:val="nil"/>
              <w:right w:val="nil"/>
            </w:tcBorders>
          </w:tcPr>
          <w:p w14:paraId="45033FC2"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8B1C580" w14:textId="77777777" w:rsidR="001D5F6D" w:rsidRPr="00641BDE" w:rsidRDefault="001D5F6D" w:rsidP="007C1C97">
            <w:pPr>
              <w:pStyle w:val="AmColumnHeading"/>
            </w:pPr>
            <w:r w:rsidRPr="00641BDE">
              <w:t>Poprawka</w:t>
            </w:r>
          </w:p>
        </w:tc>
      </w:tr>
      <w:tr w:rsidR="001D5F6D" w:rsidRPr="00641BDE" w14:paraId="2A39F17D" w14:textId="77777777" w:rsidTr="007C1C97">
        <w:trPr>
          <w:jc w:val="center"/>
        </w:trPr>
        <w:tc>
          <w:tcPr>
            <w:tcW w:w="4876" w:type="dxa"/>
            <w:tcBorders>
              <w:top w:val="nil"/>
              <w:left w:val="nil"/>
              <w:bottom w:val="nil"/>
              <w:right w:val="nil"/>
            </w:tcBorders>
          </w:tcPr>
          <w:p w14:paraId="63E5F0CB" w14:textId="77777777" w:rsidR="001D5F6D" w:rsidRPr="00641BDE" w:rsidRDefault="001D5F6D" w:rsidP="007C1C97">
            <w:pPr>
              <w:pStyle w:val="Normal6a"/>
            </w:pPr>
            <w:r w:rsidRPr="00641BDE">
              <w:t>40.</w:t>
            </w:r>
            <w:r w:rsidRPr="00641BDE">
              <w:tab/>
              <w:t>odnotowuje wniosek Europejskiego Trybunału Obrachunkowego („Trybunał”) zawarty w jego sprawozdaniu rocznym dotyczącym agencji UE za rok budżetowy 2024 („sprawozdanie Trybunału”), zgodnie z którym przeprowadzona przez Trybunał kontrola przyniosła podobne wyniki jak w poprzednich latach, a za główne źródła nienależnych płatności uznano uchybienia w postępowaniach o udzielenie zamówienia publicznego;</w:t>
            </w:r>
          </w:p>
        </w:tc>
        <w:tc>
          <w:tcPr>
            <w:tcW w:w="4876" w:type="dxa"/>
            <w:tcBorders>
              <w:top w:val="nil"/>
              <w:left w:val="nil"/>
              <w:bottom w:val="nil"/>
              <w:right w:val="nil"/>
            </w:tcBorders>
          </w:tcPr>
          <w:p w14:paraId="075385A0" w14:textId="77777777" w:rsidR="001D5F6D" w:rsidRPr="00641BDE" w:rsidRDefault="001D5F6D" w:rsidP="007C1C97">
            <w:pPr>
              <w:pStyle w:val="Normal6a"/>
            </w:pPr>
            <w:r w:rsidRPr="00641BDE">
              <w:t>40.</w:t>
            </w:r>
            <w:r w:rsidRPr="00641BDE">
              <w:tab/>
              <w:t xml:space="preserve">odnotowuje wniosek Europejskiego Trybunału Obrachunkowego („Trybunał”) zawarty w jego sprawozdaniu rocznym dotyczącym agencji UE za rok budżetowy 2024 („sprawozdanie Trybunału”), zgodnie z którym przeprowadzona przez Trybunał kontrola przyniosła podobne wyniki jak w poprzednich latach, a za główne źródła nienależnych płatności uznano uchybienia w postępowaniach o udzielenie zamówienia publicznego; </w:t>
            </w:r>
            <w:r w:rsidRPr="00641BDE">
              <w:rPr>
                <w:b/>
                <w:i/>
              </w:rPr>
              <w:t xml:space="preserve">wzywa zainteresowane agencje do wzmocnienia kontroli ex </w:t>
            </w:r>
            <w:proofErr w:type="spellStart"/>
            <w:r w:rsidRPr="00641BDE">
              <w:rPr>
                <w:b/>
                <w:i/>
              </w:rPr>
              <w:t>ante</w:t>
            </w:r>
            <w:proofErr w:type="spellEnd"/>
            <w:r w:rsidRPr="00641BDE">
              <w:rPr>
                <w:b/>
                <w:i/>
              </w:rPr>
              <w:t>, poprawy dokumentowania kryteriów udzielenia zamówienia i zapewnienia ścisłego uzasadnienia procedur negocjacyjnych bez uprzedniej publikacji ogłoszenia o zamówieniu; wzywa Komisję do zapewnienia ukierunkowanych wytycznych i szkoleń agencjom, w których powtarzają się niedociągnięcia w obszarze zamówień publicznych;</w:t>
            </w:r>
          </w:p>
        </w:tc>
      </w:tr>
    </w:tbl>
    <w:p w14:paraId="0BF22241"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6318C2EC" w14:textId="77777777" w:rsidR="001D5F6D" w:rsidRPr="00641BDE" w:rsidRDefault="001D5F6D" w:rsidP="001D5F6D">
      <w:r w:rsidRPr="00641BDE">
        <w:rPr>
          <w:rStyle w:val="HideTWBExt"/>
        </w:rPr>
        <w:t>&lt;/Amend&gt;</w:t>
      </w:r>
    </w:p>
    <w:p w14:paraId="212BF7D6"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89</w:t>
      </w:r>
      <w:r w:rsidRPr="00641BDE">
        <w:rPr>
          <w:rStyle w:val="HideTWBExt"/>
          <w:b w:val="0"/>
        </w:rPr>
        <w:t>&lt;/NumAm&gt;</w:t>
      </w:r>
    </w:p>
    <w:p w14:paraId="2ECF88E9"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6AC42703" w14:textId="77777777" w:rsidR="001D5F6D" w:rsidRPr="00641BDE" w:rsidRDefault="001D5F6D" w:rsidP="001D5F6D">
      <w:pPr>
        <w:pStyle w:val="NormalBold"/>
      </w:pPr>
      <w:r w:rsidRPr="00641BDE">
        <w:rPr>
          <w:rStyle w:val="HideTWBExt"/>
          <w:b w:val="0"/>
        </w:rPr>
        <w:t>&lt;/RepeatBlock-By&gt;</w:t>
      </w:r>
    </w:p>
    <w:p w14:paraId="02198C2A"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922D44B" w14:textId="77777777" w:rsidR="001D5F6D" w:rsidRPr="00641BDE" w:rsidRDefault="001D5F6D" w:rsidP="001D5F6D">
      <w:pPr>
        <w:pStyle w:val="NormalBold"/>
      </w:pPr>
      <w:r w:rsidRPr="00641BDE">
        <w:rPr>
          <w:rStyle w:val="HideTWBExt"/>
          <w:b w:val="0"/>
        </w:rPr>
        <w:t>&lt;Article&gt;</w:t>
      </w:r>
      <w:r w:rsidRPr="00641BDE">
        <w:t>Ustęp 40</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04B9AE4" w14:textId="77777777" w:rsidTr="007C1C97">
        <w:trPr>
          <w:trHeight w:hRule="exact" w:val="240"/>
          <w:jc w:val="center"/>
        </w:trPr>
        <w:tc>
          <w:tcPr>
            <w:tcW w:w="9752" w:type="dxa"/>
            <w:gridSpan w:val="2"/>
            <w:tcBorders>
              <w:top w:val="nil"/>
              <w:left w:val="nil"/>
              <w:bottom w:val="nil"/>
              <w:right w:val="nil"/>
            </w:tcBorders>
          </w:tcPr>
          <w:p w14:paraId="3836FB18" w14:textId="77777777" w:rsidR="001D5F6D" w:rsidRPr="00641BDE" w:rsidRDefault="001D5F6D" w:rsidP="007C1C97"/>
        </w:tc>
      </w:tr>
      <w:tr w:rsidR="001D5F6D" w:rsidRPr="00641BDE" w14:paraId="1534395A" w14:textId="77777777" w:rsidTr="007C1C97">
        <w:trPr>
          <w:trHeight w:val="240"/>
          <w:jc w:val="center"/>
        </w:trPr>
        <w:tc>
          <w:tcPr>
            <w:tcW w:w="4876" w:type="dxa"/>
            <w:tcBorders>
              <w:top w:val="nil"/>
              <w:left w:val="nil"/>
              <w:bottom w:val="nil"/>
              <w:right w:val="nil"/>
            </w:tcBorders>
          </w:tcPr>
          <w:p w14:paraId="5F81E82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5B328E3" w14:textId="77777777" w:rsidR="001D5F6D" w:rsidRPr="00641BDE" w:rsidRDefault="001D5F6D" w:rsidP="007C1C97">
            <w:pPr>
              <w:pStyle w:val="AmColumnHeading"/>
            </w:pPr>
            <w:r w:rsidRPr="00641BDE">
              <w:t>Poprawka</w:t>
            </w:r>
          </w:p>
        </w:tc>
      </w:tr>
      <w:tr w:rsidR="001D5F6D" w:rsidRPr="00641BDE" w14:paraId="6F8E3176" w14:textId="77777777" w:rsidTr="007C1C97">
        <w:trPr>
          <w:jc w:val="center"/>
        </w:trPr>
        <w:tc>
          <w:tcPr>
            <w:tcW w:w="4876" w:type="dxa"/>
            <w:tcBorders>
              <w:top w:val="nil"/>
              <w:left w:val="nil"/>
              <w:bottom w:val="nil"/>
              <w:right w:val="nil"/>
            </w:tcBorders>
          </w:tcPr>
          <w:p w14:paraId="0F88DD9B" w14:textId="77777777" w:rsidR="001D5F6D" w:rsidRPr="00641BDE" w:rsidRDefault="001D5F6D" w:rsidP="007C1C97">
            <w:pPr>
              <w:pStyle w:val="Normal6a"/>
            </w:pPr>
            <w:r w:rsidRPr="00641BDE">
              <w:t>40.</w:t>
            </w:r>
            <w:r w:rsidRPr="00641BDE">
              <w:tab/>
              <w:t>odnotowuje wniosek Europejskiego Trybunału Obrachunkowego („Trybunał”) zawarty w jego sprawozdaniu rocznym dotyczącym agencji UE za rok budżetowy 2024 („sprawozdanie Trybunału”), zgodnie z którym przeprowadzona przez Trybunał kontrola przyniosła podobne wyniki jak w poprzednich latach, a za główne źródła nienależnych płatności uznano uchybienia w postępowaniach o udzielenie zamówienia publicznego;</w:t>
            </w:r>
          </w:p>
        </w:tc>
        <w:tc>
          <w:tcPr>
            <w:tcW w:w="4876" w:type="dxa"/>
            <w:tcBorders>
              <w:top w:val="nil"/>
              <w:left w:val="nil"/>
              <w:bottom w:val="nil"/>
              <w:right w:val="nil"/>
            </w:tcBorders>
          </w:tcPr>
          <w:p w14:paraId="10AA47B9" w14:textId="77777777" w:rsidR="001D5F6D" w:rsidRPr="00641BDE" w:rsidRDefault="001D5F6D" w:rsidP="007C1C97">
            <w:pPr>
              <w:pStyle w:val="Normal6a"/>
            </w:pPr>
            <w:r w:rsidRPr="00641BDE">
              <w:t>40.</w:t>
            </w:r>
            <w:r w:rsidRPr="00641BDE">
              <w:tab/>
              <w:t xml:space="preserve">odnotowuje wniosek Europejskiego Trybunału Obrachunkowego („Trybunał”) zawarty w jego sprawozdaniu rocznym dotyczącym agencji UE za rok budżetowy 2024 („sprawozdanie Trybunału”), zgodnie z którym przeprowadzona przez Trybunał kontrola przyniosła podobne wyniki jak w poprzednich latach, a za główne źródła nienależnych płatności uznano uchybienia w postępowaniach o udzielenie zamówienia publicznego; </w:t>
            </w:r>
            <w:r w:rsidRPr="00641BDE">
              <w:rPr>
                <w:b/>
                <w:i/>
              </w:rPr>
              <w:t>wzywa agencje do zapewnienia pełnej identyfikowalności, procedur konkurencyjnych i właściwego prowadzenia rejestrów we wszystkich operacjach udzielania zamówień (w tym zamówień o niskiej wartości) oraz zwraca się do służb audytu wewnętrznego agencji o priorytetowe traktowanie przeglądów zamówień;</w:t>
            </w:r>
          </w:p>
        </w:tc>
      </w:tr>
    </w:tbl>
    <w:p w14:paraId="3D0C70F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157236E" w14:textId="77777777" w:rsidR="001D5F6D" w:rsidRPr="00641BDE" w:rsidRDefault="001D5F6D" w:rsidP="001D5F6D">
      <w:r w:rsidRPr="00641BDE">
        <w:rPr>
          <w:rStyle w:val="HideTWBExt"/>
        </w:rPr>
        <w:t>&lt;/Amend&gt;</w:t>
      </w:r>
    </w:p>
    <w:p w14:paraId="47D7774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90</w:t>
      </w:r>
      <w:r w:rsidRPr="00641BDE">
        <w:rPr>
          <w:rStyle w:val="HideTWBExt"/>
          <w:b w:val="0"/>
        </w:rPr>
        <w:t>&lt;/NumAm&gt;</w:t>
      </w:r>
    </w:p>
    <w:p w14:paraId="300887F6"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rPr>
          <w:rStyle w:val="HideTWBExt"/>
          <w:b w:val="0"/>
        </w:rPr>
        <w:t>&lt;/Members&gt;</w:t>
      </w:r>
    </w:p>
    <w:p w14:paraId="5254C1AE" w14:textId="77777777" w:rsidR="001D5F6D" w:rsidRPr="00641BDE" w:rsidRDefault="001D5F6D" w:rsidP="001D5F6D">
      <w:pPr>
        <w:pStyle w:val="NormalBold"/>
      </w:pPr>
      <w:r w:rsidRPr="00641BDE">
        <w:rPr>
          <w:rStyle w:val="HideTWBExt"/>
          <w:b w:val="0"/>
        </w:rPr>
        <w:t>&lt;/RepeatBlock-By&gt;</w:t>
      </w:r>
    </w:p>
    <w:p w14:paraId="18971DD5"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8604440" w14:textId="77777777" w:rsidR="001D5F6D" w:rsidRPr="00641BDE" w:rsidRDefault="001D5F6D" w:rsidP="001D5F6D">
      <w:pPr>
        <w:pStyle w:val="NormalBold"/>
      </w:pPr>
      <w:r w:rsidRPr="00641BDE">
        <w:rPr>
          <w:rStyle w:val="HideTWBExt"/>
          <w:b w:val="0"/>
        </w:rPr>
        <w:t>&lt;Article&gt;</w:t>
      </w:r>
      <w:r w:rsidRPr="00641BDE">
        <w:t>Ustęp 40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C644B76" w14:textId="77777777" w:rsidTr="007C1C97">
        <w:trPr>
          <w:trHeight w:hRule="exact" w:val="240"/>
          <w:jc w:val="center"/>
        </w:trPr>
        <w:tc>
          <w:tcPr>
            <w:tcW w:w="9752" w:type="dxa"/>
            <w:gridSpan w:val="2"/>
            <w:tcBorders>
              <w:top w:val="nil"/>
              <w:left w:val="nil"/>
              <w:bottom w:val="nil"/>
              <w:right w:val="nil"/>
            </w:tcBorders>
          </w:tcPr>
          <w:p w14:paraId="20273D38" w14:textId="77777777" w:rsidR="001D5F6D" w:rsidRPr="00641BDE" w:rsidRDefault="001D5F6D" w:rsidP="007C1C97"/>
        </w:tc>
      </w:tr>
      <w:tr w:rsidR="001D5F6D" w:rsidRPr="00641BDE" w14:paraId="50310C7E" w14:textId="77777777" w:rsidTr="007C1C97">
        <w:trPr>
          <w:trHeight w:val="240"/>
          <w:jc w:val="center"/>
        </w:trPr>
        <w:tc>
          <w:tcPr>
            <w:tcW w:w="4876" w:type="dxa"/>
            <w:tcBorders>
              <w:top w:val="nil"/>
              <w:left w:val="nil"/>
              <w:bottom w:val="nil"/>
              <w:right w:val="nil"/>
            </w:tcBorders>
          </w:tcPr>
          <w:p w14:paraId="4EAFB79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623383B" w14:textId="77777777" w:rsidR="001D5F6D" w:rsidRPr="00641BDE" w:rsidRDefault="001D5F6D" w:rsidP="007C1C97">
            <w:pPr>
              <w:pStyle w:val="AmColumnHeading"/>
            </w:pPr>
            <w:r w:rsidRPr="00641BDE">
              <w:t>Poprawka</w:t>
            </w:r>
          </w:p>
        </w:tc>
      </w:tr>
      <w:tr w:rsidR="001D5F6D" w:rsidRPr="00641BDE" w14:paraId="30E492B0" w14:textId="77777777" w:rsidTr="007C1C97">
        <w:trPr>
          <w:jc w:val="center"/>
        </w:trPr>
        <w:tc>
          <w:tcPr>
            <w:tcW w:w="4876" w:type="dxa"/>
            <w:tcBorders>
              <w:top w:val="nil"/>
              <w:left w:val="nil"/>
              <w:bottom w:val="nil"/>
              <w:right w:val="nil"/>
            </w:tcBorders>
          </w:tcPr>
          <w:p w14:paraId="04B92E8B" w14:textId="77777777" w:rsidR="001D5F6D" w:rsidRPr="00641BDE" w:rsidRDefault="001D5F6D" w:rsidP="007C1C97">
            <w:pPr>
              <w:pStyle w:val="Normal6a"/>
            </w:pPr>
          </w:p>
        </w:tc>
        <w:tc>
          <w:tcPr>
            <w:tcW w:w="4876" w:type="dxa"/>
            <w:tcBorders>
              <w:top w:val="nil"/>
              <w:left w:val="nil"/>
              <w:bottom w:val="nil"/>
              <w:right w:val="nil"/>
            </w:tcBorders>
          </w:tcPr>
          <w:p w14:paraId="4F3B4C22" w14:textId="77777777" w:rsidR="001D5F6D" w:rsidRPr="00641BDE" w:rsidRDefault="001D5F6D" w:rsidP="007C1C97">
            <w:pPr>
              <w:pStyle w:val="Normal6a"/>
            </w:pPr>
            <w:r w:rsidRPr="00641BDE">
              <w:rPr>
                <w:b/>
                <w:i/>
              </w:rPr>
              <w:t>40a.</w:t>
            </w:r>
            <w:r w:rsidRPr="00641BDE">
              <w:tab/>
            </w:r>
            <w:r w:rsidRPr="00641BDE">
              <w:rPr>
                <w:b/>
                <w:i/>
              </w:rPr>
              <w:t>wzywa ETO, aby co roku informował Parlament, w podziale na odnośne agencje, o liczbie skarg złożonych przez pracowników agencji do OLAF-u, które decyzją OLAF-u nie zostały zbadane i które dotyczą konfliktów interesów i zamówień publicznych, ponieważ skargi te stanowią użyteczny sygnał słabości;</w:t>
            </w:r>
          </w:p>
        </w:tc>
      </w:tr>
    </w:tbl>
    <w:p w14:paraId="4BDC37B6"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5A522FC9" w14:textId="77777777" w:rsidR="001D5F6D" w:rsidRPr="00641BDE" w:rsidRDefault="001D5F6D" w:rsidP="001D5F6D">
      <w:r w:rsidRPr="00641BDE">
        <w:rPr>
          <w:rStyle w:val="HideTWBExt"/>
        </w:rPr>
        <w:t>&lt;/Amend&gt;</w:t>
      </w:r>
    </w:p>
    <w:p w14:paraId="2E641015"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91</w:t>
      </w:r>
      <w:r w:rsidRPr="00641BDE">
        <w:rPr>
          <w:rStyle w:val="HideTWBExt"/>
          <w:b w:val="0"/>
        </w:rPr>
        <w:t>&lt;/NumAm&gt;</w:t>
      </w:r>
    </w:p>
    <w:p w14:paraId="4FC9BDDC"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09857EA9" w14:textId="77777777" w:rsidR="001D5F6D" w:rsidRPr="00641BDE" w:rsidRDefault="001D5F6D" w:rsidP="001D5F6D">
      <w:pPr>
        <w:pStyle w:val="NormalBold"/>
      </w:pPr>
      <w:r w:rsidRPr="00641BDE">
        <w:rPr>
          <w:rStyle w:val="HideTWBExt"/>
          <w:b w:val="0"/>
        </w:rPr>
        <w:t>&lt;/RepeatBlock-By&gt;</w:t>
      </w:r>
    </w:p>
    <w:p w14:paraId="6158D5C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80E694C" w14:textId="77777777" w:rsidR="001D5F6D" w:rsidRPr="00641BDE" w:rsidRDefault="001D5F6D" w:rsidP="001D5F6D">
      <w:pPr>
        <w:pStyle w:val="NormalBold"/>
      </w:pPr>
      <w:r w:rsidRPr="00641BDE">
        <w:rPr>
          <w:rStyle w:val="HideTWBExt"/>
          <w:b w:val="0"/>
        </w:rPr>
        <w:t>&lt;Article&gt;</w:t>
      </w:r>
      <w:r w:rsidRPr="00641BDE">
        <w:t>Ustęp 40 b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53DBC15" w14:textId="77777777" w:rsidTr="007C1C97">
        <w:trPr>
          <w:trHeight w:hRule="exact" w:val="240"/>
          <w:jc w:val="center"/>
        </w:trPr>
        <w:tc>
          <w:tcPr>
            <w:tcW w:w="9752" w:type="dxa"/>
            <w:gridSpan w:val="2"/>
            <w:tcBorders>
              <w:top w:val="nil"/>
              <w:left w:val="nil"/>
              <w:bottom w:val="nil"/>
              <w:right w:val="nil"/>
            </w:tcBorders>
          </w:tcPr>
          <w:p w14:paraId="4BEA43F4" w14:textId="77777777" w:rsidR="001D5F6D" w:rsidRPr="00641BDE" w:rsidRDefault="001D5F6D" w:rsidP="007C1C97"/>
        </w:tc>
      </w:tr>
      <w:tr w:rsidR="001D5F6D" w:rsidRPr="00641BDE" w14:paraId="2E7A4C25" w14:textId="77777777" w:rsidTr="007C1C97">
        <w:trPr>
          <w:trHeight w:val="240"/>
          <w:jc w:val="center"/>
        </w:trPr>
        <w:tc>
          <w:tcPr>
            <w:tcW w:w="4876" w:type="dxa"/>
            <w:tcBorders>
              <w:top w:val="nil"/>
              <w:left w:val="nil"/>
              <w:bottom w:val="nil"/>
              <w:right w:val="nil"/>
            </w:tcBorders>
          </w:tcPr>
          <w:p w14:paraId="5C6566A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9207D79" w14:textId="77777777" w:rsidR="001D5F6D" w:rsidRPr="00641BDE" w:rsidRDefault="001D5F6D" w:rsidP="007C1C97">
            <w:pPr>
              <w:pStyle w:val="AmColumnHeading"/>
            </w:pPr>
            <w:r w:rsidRPr="00641BDE">
              <w:t>Poprawka</w:t>
            </w:r>
          </w:p>
        </w:tc>
      </w:tr>
      <w:tr w:rsidR="001D5F6D" w:rsidRPr="00641BDE" w14:paraId="446180E0" w14:textId="77777777" w:rsidTr="007C1C97">
        <w:trPr>
          <w:jc w:val="center"/>
        </w:trPr>
        <w:tc>
          <w:tcPr>
            <w:tcW w:w="4876" w:type="dxa"/>
            <w:tcBorders>
              <w:top w:val="nil"/>
              <w:left w:val="nil"/>
              <w:bottom w:val="nil"/>
              <w:right w:val="nil"/>
            </w:tcBorders>
          </w:tcPr>
          <w:p w14:paraId="24C80255" w14:textId="77777777" w:rsidR="001D5F6D" w:rsidRPr="00641BDE" w:rsidRDefault="001D5F6D" w:rsidP="007C1C97">
            <w:pPr>
              <w:pStyle w:val="Normal6a"/>
            </w:pPr>
          </w:p>
        </w:tc>
        <w:tc>
          <w:tcPr>
            <w:tcW w:w="4876" w:type="dxa"/>
            <w:tcBorders>
              <w:top w:val="nil"/>
              <w:left w:val="nil"/>
              <w:bottom w:val="nil"/>
              <w:right w:val="nil"/>
            </w:tcBorders>
          </w:tcPr>
          <w:p w14:paraId="280E3705" w14:textId="77777777" w:rsidR="001D5F6D" w:rsidRPr="00641BDE" w:rsidRDefault="001D5F6D" w:rsidP="007C1C97">
            <w:pPr>
              <w:pStyle w:val="Normal6a"/>
            </w:pPr>
            <w:r w:rsidRPr="00641BDE">
              <w:rPr>
                <w:b/>
                <w:i/>
              </w:rPr>
              <w:t>40b.</w:t>
            </w:r>
            <w:r w:rsidRPr="00641BDE">
              <w:tab/>
            </w:r>
            <w:r w:rsidRPr="00641BDE">
              <w:rPr>
                <w:b/>
                <w:i/>
              </w:rPr>
              <w:t xml:space="preserve">przypomina, że w ramach każdego zamówienia publicznego ważne jest przestrzeganie wszystkich zasad: przejrzystości, proporcjonalności, równego traktowania, niedyskryminacji, uczciwej konkurencji między oferentami, dostaw itp., przy czym pierwszeństwo należy przyznawać przedsiębiorstwom europejskim i produktom pochodzenia europejskiego lub open </w:t>
            </w:r>
            <w:proofErr w:type="spellStart"/>
            <w:r w:rsidRPr="00641BDE">
              <w:rPr>
                <w:b/>
                <w:i/>
              </w:rPr>
              <w:t>source</w:t>
            </w:r>
            <w:proofErr w:type="spellEnd"/>
            <w:r w:rsidRPr="00641BDE">
              <w:rPr>
                <w:b/>
                <w:i/>
              </w:rPr>
              <w:t xml:space="preserve"> w stosunku do przedsiębiorstw spoza Europy (suwerenność technologiczna, suwerenność żywnościowa itp.);</w:t>
            </w:r>
          </w:p>
        </w:tc>
      </w:tr>
    </w:tbl>
    <w:p w14:paraId="6B99E4D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09ED19A6" w14:textId="77777777" w:rsidR="001D5F6D" w:rsidRPr="00641BDE" w:rsidRDefault="001D5F6D" w:rsidP="001D5F6D">
      <w:r w:rsidRPr="00641BDE">
        <w:rPr>
          <w:rStyle w:val="HideTWBExt"/>
        </w:rPr>
        <w:t>&lt;/Amend&gt;</w:t>
      </w:r>
    </w:p>
    <w:p w14:paraId="100E34E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92</w:t>
      </w:r>
      <w:r w:rsidRPr="00641BDE">
        <w:rPr>
          <w:rStyle w:val="HideTWBExt"/>
          <w:b w:val="0"/>
        </w:rPr>
        <w:t>&lt;/NumAm&gt;</w:t>
      </w:r>
    </w:p>
    <w:p w14:paraId="0C116827"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12D563E8" w14:textId="77777777" w:rsidR="001D5F6D" w:rsidRPr="00641BDE" w:rsidRDefault="001D5F6D" w:rsidP="001D5F6D">
      <w:pPr>
        <w:pStyle w:val="NormalBold"/>
      </w:pPr>
      <w:r w:rsidRPr="00641BDE">
        <w:rPr>
          <w:rStyle w:val="HideTWBExt"/>
          <w:b w:val="0"/>
        </w:rPr>
        <w:t>&lt;/RepeatBlock-By&gt;</w:t>
      </w:r>
    </w:p>
    <w:p w14:paraId="1F66768D"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8DECCB3" w14:textId="77777777" w:rsidR="001D5F6D" w:rsidRPr="00641BDE" w:rsidRDefault="001D5F6D" w:rsidP="001D5F6D">
      <w:pPr>
        <w:pStyle w:val="NormalBold"/>
      </w:pPr>
      <w:r w:rsidRPr="00641BDE">
        <w:rPr>
          <w:rStyle w:val="HideTWBExt"/>
          <w:b w:val="0"/>
        </w:rPr>
        <w:t>&lt;Article&gt;</w:t>
      </w:r>
      <w:r w:rsidRPr="00641BDE">
        <w:t>Ustęp 43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29B8A7A" w14:textId="77777777" w:rsidTr="007C1C97">
        <w:trPr>
          <w:trHeight w:hRule="exact" w:val="240"/>
          <w:jc w:val="center"/>
        </w:trPr>
        <w:tc>
          <w:tcPr>
            <w:tcW w:w="9752" w:type="dxa"/>
            <w:gridSpan w:val="2"/>
            <w:tcBorders>
              <w:top w:val="nil"/>
              <w:left w:val="nil"/>
              <w:bottom w:val="nil"/>
              <w:right w:val="nil"/>
            </w:tcBorders>
          </w:tcPr>
          <w:p w14:paraId="565FC1D2" w14:textId="77777777" w:rsidR="001D5F6D" w:rsidRPr="00641BDE" w:rsidRDefault="001D5F6D" w:rsidP="007C1C97"/>
        </w:tc>
      </w:tr>
      <w:tr w:rsidR="001D5F6D" w:rsidRPr="00641BDE" w14:paraId="1A098942" w14:textId="77777777" w:rsidTr="007C1C97">
        <w:trPr>
          <w:trHeight w:val="240"/>
          <w:jc w:val="center"/>
        </w:trPr>
        <w:tc>
          <w:tcPr>
            <w:tcW w:w="4876" w:type="dxa"/>
            <w:tcBorders>
              <w:top w:val="nil"/>
              <w:left w:val="nil"/>
              <w:bottom w:val="nil"/>
              <w:right w:val="nil"/>
            </w:tcBorders>
          </w:tcPr>
          <w:p w14:paraId="141C4776"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BEE24E1" w14:textId="77777777" w:rsidR="001D5F6D" w:rsidRPr="00641BDE" w:rsidRDefault="001D5F6D" w:rsidP="007C1C97">
            <w:pPr>
              <w:pStyle w:val="AmColumnHeading"/>
            </w:pPr>
            <w:r w:rsidRPr="00641BDE">
              <w:t>Poprawka</w:t>
            </w:r>
          </w:p>
        </w:tc>
      </w:tr>
      <w:tr w:rsidR="001D5F6D" w:rsidRPr="00641BDE" w14:paraId="6C06AAEB" w14:textId="77777777" w:rsidTr="007C1C97">
        <w:trPr>
          <w:jc w:val="center"/>
        </w:trPr>
        <w:tc>
          <w:tcPr>
            <w:tcW w:w="4876" w:type="dxa"/>
            <w:tcBorders>
              <w:top w:val="nil"/>
              <w:left w:val="nil"/>
              <w:bottom w:val="nil"/>
              <w:right w:val="nil"/>
            </w:tcBorders>
          </w:tcPr>
          <w:p w14:paraId="7AE36152" w14:textId="77777777" w:rsidR="001D5F6D" w:rsidRPr="00641BDE" w:rsidRDefault="001D5F6D" w:rsidP="007C1C97">
            <w:pPr>
              <w:pStyle w:val="Normal6a"/>
            </w:pPr>
            <w:r w:rsidRPr="00641BDE">
              <w:t>43.</w:t>
            </w:r>
            <w:r w:rsidRPr="00641BDE">
              <w:tab/>
              <w:t>zauważa, że podobnie jak w poprzednich latach Trybunał uznaje ryzyko dla należytego zarządzania finansami za średnie i wiąże je głównie z postępowaniami o udzielenie zamówienia;</w:t>
            </w:r>
          </w:p>
        </w:tc>
        <w:tc>
          <w:tcPr>
            <w:tcW w:w="4876" w:type="dxa"/>
            <w:tcBorders>
              <w:top w:val="nil"/>
              <w:left w:val="nil"/>
              <w:bottom w:val="nil"/>
              <w:right w:val="nil"/>
            </w:tcBorders>
          </w:tcPr>
          <w:p w14:paraId="00197769" w14:textId="77777777" w:rsidR="001D5F6D" w:rsidRPr="00641BDE" w:rsidRDefault="001D5F6D" w:rsidP="007C1C97">
            <w:pPr>
              <w:pStyle w:val="Normal6a"/>
            </w:pPr>
            <w:r w:rsidRPr="00641BDE">
              <w:t>43.</w:t>
            </w:r>
            <w:r w:rsidRPr="00641BDE">
              <w:tab/>
              <w:t xml:space="preserve">zauważa, że podobnie jak w poprzednich latach Trybunał uznaje ryzyko dla należytego zarządzania finansami za średnie i wiąże je głównie z postępowaniami o udzielenie zamówienia; </w:t>
            </w:r>
            <w:r w:rsidRPr="00641BDE">
              <w:rPr>
                <w:b/>
                <w:i/>
              </w:rPr>
              <w:t>„agencjom nie zawsze udawało się osiągnąć satysfakcjonujący poziom przejrzystości i gospodarnego wykorzystania środków w ramach procedur przetargowych, zgodnie ze złożonymi przepisami i zasadami dotyczącymi zamówień publicznych”</w:t>
            </w:r>
            <w:r w:rsidRPr="00641BDE">
              <w:rPr>
                <w:b/>
                <w:i/>
                <w:vertAlign w:val="superscript"/>
              </w:rPr>
              <w:t>1 a</w:t>
            </w:r>
            <w:r w:rsidRPr="00641BDE">
              <w:rPr>
                <w:b/>
                <w:i/>
              </w:rPr>
              <w:t>;</w:t>
            </w:r>
          </w:p>
        </w:tc>
      </w:tr>
      <w:tr w:rsidR="001D5F6D" w:rsidRPr="00641BDE" w14:paraId="4BE9F1B8" w14:textId="77777777" w:rsidTr="007C1C97">
        <w:trPr>
          <w:jc w:val="center"/>
        </w:trPr>
        <w:tc>
          <w:tcPr>
            <w:tcW w:w="4876" w:type="dxa"/>
            <w:tcBorders>
              <w:top w:val="nil"/>
              <w:left w:val="nil"/>
              <w:bottom w:val="nil"/>
              <w:right w:val="nil"/>
            </w:tcBorders>
          </w:tcPr>
          <w:p w14:paraId="56D7E6EB" w14:textId="77777777" w:rsidR="001D5F6D" w:rsidRPr="00641BDE" w:rsidRDefault="001D5F6D" w:rsidP="007C1C97"/>
        </w:tc>
        <w:tc>
          <w:tcPr>
            <w:tcW w:w="4876" w:type="dxa"/>
            <w:tcBorders>
              <w:top w:val="nil"/>
              <w:left w:val="nil"/>
              <w:bottom w:val="nil"/>
              <w:right w:val="nil"/>
            </w:tcBorders>
          </w:tcPr>
          <w:p w14:paraId="33C29C10" w14:textId="77777777" w:rsidR="001D5F6D" w:rsidRPr="00641BDE" w:rsidRDefault="001D5F6D" w:rsidP="007C1C97">
            <w:pPr>
              <w:pStyle w:val="Normal6a"/>
            </w:pPr>
            <w:r w:rsidRPr="00641BDE">
              <w:rPr>
                <w:b/>
                <w:i/>
              </w:rPr>
              <w:t>_________________</w:t>
            </w:r>
          </w:p>
        </w:tc>
      </w:tr>
      <w:tr w:rsidR="001D5F6D" w:rsidRPr="00641BDE" w14:paraId="2BA3AE4A" w14:textId="77777777" w:rsidTr="007C1C97">
        <w:trPr>
          <w:jc w:val="center"/>
        </w:trPr>
        <w:tc>
          <w:tcPr>
            <w:tcW w:w="4876" w:type="dxa"/>
            <w:tcBorders>
              <w:top w:val="nil"/>
              <w:left w:val="nil"/>
              <w:bottom w:val="nil"/>
              <w:right w:val="nil"/>
            </w:tcBorders>
          </w:tcPr>
          <w:p w14:paraId="68EB0CDD" w14:textId="77777777" w:rsidR="001D5F6D" w:rsidRPr="00641BDE" w:rsidRDefault="001D5F6D" w:rsidP="007C1C97"/>
        </w:tc>
        <w:tc>
          <w:tcPr>
            <w:tcW w:w="4876" w:type="dxa"/>
            <w:tcBorders>
              <w:top w:val="nil"/>
              <w:left w:val="nil"/>
              <w:bottom w:val="nil"/>
              <w:right w:val="nil"/>
            </w:tcBorders>
          </w:tcPr>
          <w:p w14:paraId="1C595F24" w14:textId="77777777" w:rsidR="001D5F6D" w:rsidRPr="00641BDE" w:rsidRDefault="001D5F6D" w:rsidP="007C1C97">
            <w:pPr>
              <w:pStyle w:val="Normal6a"/>
            </w:pPr>
            <w:r w:rsidRPr="00641BDE">
              <w:rPr>
                <w:b/>
                <w:i/>
                <w:vertAlign w:val="superscript"/>
              </w:rPr>
              <w:t>1 a</w:t>
            </w:r>
            <w:r w:rsidRPr="00641BDE">
              <w:t xml:space="preserve"> </w:t>
            </w:r>
            <w:r w:rsidRPr="00641BDE">
              <w:rPr>
                <w:b/>
                <w:i/>
              </w:rPr>
              <w:t>https://www.eca.europa.eu/ECAPublications/SAR-AGENCIES-2024/SAR-AGENCIES-2024_PL.pdf</w:t>
            </w:r>
          </w:p>
        </w:tc>
      </w:tr>
    </w:tbl>
    <w:p w14:paraId="416207ED"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68D6EE08" w14:textId="77777777" w:rsidR="001D5F6D" w:rsidRPr="00641BDE" w:rsidRDefault="001D5F6D" w:rsidP="001D5F6D">
      <w:r w:rsidRPr="00641BDE">
        <w:rPr>
          <w:rStyle w:val="HideTWBExt"/>
        </w:rPr>
        <w:t>&lt;/Amend&gt;</w:t>
      </w:r>
    </w:p>
    <w:p w14:paraId="59D4C792"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93</w:t>
      </w:r>
      <w:r w:rsidRPr="00641BDE">
        <w:rPr>
          <w:rStyle w:val="HideTWBExt"/>
          <w:b w:val="0"/>
        </w:rPr>
        <w:t>&lt;/NumAm&gt;</w:t>
      </w:r>
    </w:p>
    <w:p w14:paraId="52F91BE8"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39B07464" w14:textId="77777777" w:rsidR="001D5F6D" w:rsidRPr="00641BDE" w:rsidRDefault="001D5F6D" w:rsidP="001D5F6D">
      <w:pPr>
        <w:pStyle w:val="NormalBold"/>
      </w:pPr>
      <w:r w:rsidRPr="00641BDE">
        <w:rPr>
          <w:rStyle w:val="HideTWBExt"/>
          <w:b w:val="0"/>
        </w:rPr>
        <w:t>&lt;/RepeatBlock-By&gt;</w:t>
      </w:r>
    </w:p>
    <w:p w14:paraId="416DE364"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FB93C9C" w14:textId="77777777" w:rsidR="001D5F6D" w:rsidRPr="00641BDE" w:rsidRDefault="001D5F6D" w:rsidP="001D5F6D">
      <w:pPr>
        <w:pStyle w:val="NormalBold"/>
      </w:pPr>
      <w:r w:rsidRPr="00641BDE">
        <w:rPr>
          <w:rStyle w:val="HideTWBExt"/>
          <w:b w:val="0"/>
        </w:rPr>
        <w:t>&lt;Article&gt;</w:t>
      </w:r>
      <w:r w:rsidRPr="00641BDE">
        <w:t>Ustęp 44</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39678CC" w14:textId="77777777" w:rsidTr="007C1C97">
        <w:trPr>
          <w:trHeight w:hRule="exact" w:val="240"/>
          <w:jc w:val="center"/>
        </w:trPr>
        <w:tc>
          <w:tcPr>
            <w:tcW w:w="9752" w:type="dxa"/>
            <w:gridSpan w:val="2"/>
            <w:tcBorders>
              <w:top w:val="nil"/>
              <w:left w:val="nil"/>
              <w:bottom w:val="nil"/>
              <w:right w:val="nil"/>
            </w:tcBorders>
          </w:tcPr>
          <w:p w14:paraId="7056F8DF" w14:textId="77777777" w:rsidR="001D5F6D" w:rsidRPr="00641BDE" w:rsidRDefault="001D5F6D" w:rsidP="007C1C97"/>
        </w:tc>
      </w:tr>
      <w:tr w:rsidR="001D5F6D" w:rsidRPr="00641BDE" w14:paraId="7E86377D" w14:textId="77777777" w:rsidTr="007C1C97">
        <w:trPr>
          <w:trHeight w:val="240"/>
          <w:jc w:val="center"/>
        </w:trPr>
        <w:tc>
          <w:tcPr>
            <w:tcW w:w="4876" w:type="dxa"/>
            <w:tcBorders>
              <w:top w:val="nil"/>
              <w:left w:val="nil"/>
              <w:bottom w:val="nil"/>
              <w:right w:val="nil"/>
            </w:tcBorders>
          </w:tcPr>
          <w:p w14:paraId="4EA518A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EAEAF42" w14:textId="77777777" w:rsidR="001D5F6D" w:rsidRPr="00641BDE" w:rsidRDefault="001D5F6D" w:rsidP="007C1C97">
            <w:pPr>
              <w:pStyle w:val="AmColumnHeading"/>
            </w:pPr>
            <w:r w:rsidRPr="00641BDE">
              <w:t>Poprawka</w:t>
            </w:r>
          </w:p>
        </w:tc>
      </w:tr>
      <w:tr w:rsidR="001D5F6D" w:rsidRPr="00641BDE" w14:paraId="4B713339" w14:textId="77777777" w:rsidTr="007C1C97">
        <w:trPr>
          <w:jc w:val="center"/>
        </w:trPr>
        <w:tc>
          <w:tcPr>
            <w:tcW w:w="4876" w:type="dxa"/>
            <w:tcBorders>
              <w:top w:val="nil"/>
              <w:left w:val="nil"/>
              <w:bottom w:val="nil"/>
              <w:right w:val="nil"/>
            </w:tcBorders>
          </w:tcPr>
          <w:p w14:paraId="7E0B9F4E" w14:textId="77777777" w:rsidR="001D5F6D" w:rsidRPr="00641BDE" w:rsidRDefault="001D5F6D" w:rsidP="007C1C97">
            <w:pPr>
              <w:pStyle w:val="Normal6a"/>
            </w:pPr>
            <w:r w:rsidRPr="00641BDE">
              <w:t>44.</w:t>
            </w:r>
            <w:r w:rsidRPr="00641BDE">
              <w:tab/>
              <w:t xml:space="preserve">zauważa, że Trybunał uznaje ryzyko dla zarządzania budżetem za niskie, przy czym wyniki kontroli Trybunału wskazują na uchybienia związane głównie z automatycznymi przeniesieniami środków niezróżnicowanych oraz opóźnieniami w płatnościach; podkreśla, że uchybienia w systemach zarządzania i kontroli dotyczą takich kwestii jak: brak odpowiednich kontroli ex post/ex </w:t>
            </w:r>
            <w:proofErr w:type="spellStart"/>
            <w:r w:rsidRPr="00641BDE">
              <w:t>ante</w:t>
            </w:r>
            <w:proofErr w:type="spellEnd"/>
            <w:r w:rsidRPr="00641BDE">
              <w:t>, przypadki, w których nie przyjęto stosownej decyzji w sprawie finansowania przed opublikowaniem postępowania o udzielenie zamówienia dotyczącego wydatków operacyjnych, wydatki poniesione bez odpowiedniego przekazania uprawnień przez urzędnika zatwierdzającego, uchybienia w zarządzaniu dotacjami czy opóźnienia w ocenie agencji przez Komisję;</w:t>
            </w:r>
          </w:p>
        </w:tc>
        <w:tc>
          <w:tcPr>
            <w:tcW w:w="4876" w:type="dxa"/>
            <w:tcBorders>
              <w:top w:val="nil"/>
              <w:left w:val="nil"/>
              <w:bottom w:val="nil"/>
              <w:right w:val="nil"/>
            </w:tcBorders>
          </w:tcPr>
          <w:p w14:paraId="1EEB7EEE" w14:textId="77777777" w:rsidR="001D5F6D" w:rsidRPr="00641BDE" w:rsidRDefault="001D5F6D" w:rsidP="007C1C97">
            <w:pPr>
              <w:pStyle w:val="Normal6a"/>
            </w:pPr>
            <w:r w:rsidRPr="00641BDE">
              <w:t>44.</w:t>
            </w:r>
            <w:r w:rsidRPr="00641BDE">
              <w:tab/>
              <w:t xml:space="preserve">zauważa, że Trybunał uznaje ryzyko dla zarządzania budżetem za niskie, przy czym wyniki kontroli Trybunału wskazują na uchybienia związane głównie z automatycznymi przeniesieniami środków niezróżnicowanych oraz opóźnieniami w płatnościach; podkreśla, że uchybienia w systemach zarządzania i kontroli dotyczą takich kwestii jak: brak odpowiednich kontroli ex post/ex </w:t>
            </w:r>
            <w:proofErr w:type="spellStart"/>
            <w:r w:rsidRPr="00641BDE">
              <w:t>ante</w:t>
            </w:r>
            <w:proofErr w:type="spellEnd"/>
            <w:r w:rsidRPr="00641BDE">
              <w:t xml:space="preserve">, przypadki, w których nie przyjęto stosownej decyzji w sprawie finansowania przed opublikowaniem postępowania o udzielenie zamówienia dotyczącego wydatków operacyjnych, wydatki poniesione bez odpowiedniego przekazania uprawnień przez urzędnika zatwierdzającego, uchybienia w zarządzaniu dotacjami czy opóźnienia w ocenie agencji przez Komisję; </w:t>
            </w:r>
            <w:r w:rsidRPr="00641BDE">
              <w:rPr>
                <w:b/>
                <w:i/>
              </w:rPr>
              <w:t>podkreśla, że te wymienione przez Trybunał uchybienia podważają należyte zarządzanie finansami i narażają agencje na ryzyko finansowe i ryzyko utraty reputacji; wzywa zainteresowane agencje do zapewnienia pełnej zgodności z rozporządzeniem finansowym oraz do wprowadzenia niezbędnych środków naprawczych, a także zwraca się do Komisji o ścisłe monitorowanie ich wdrażania;</w:t>
            </w:r>
          </w:p>
        </w:tc>
      </w:tr>
    </w:tbl>
    <w:p w14:paraId="50C6E57A"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95E5601" w14:textId="77777777" w:rsidR="001D5F6D" w:rsidRPr="00641BDE" w:rsidRDefault="001D5F6D" w:rsidP="001D5F6D">
      <w:r w:rsidRPr="00641BDE">
        <w:rPr>
          <w:rStyle w:val="HideTWBExt"/>
        </w:rPr>
        <w:t>&lt;/Amend&gt;</w:t>
      </w:r>
    </w:p>
    <w:p w14:paraId="0887E8D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94</w:t>
      </w:r>
      <w:r w:rsidRPr="00641BDE">
        <w:rPr>
          <w:rStyle w:val="HideTWBExt"/>
          <w:b w:val="0"/>
        </w:rPr>
        <w:t>&lt;/NumAm&gt;</w:t>
      </w:r>
    </w:p>
    <w:p w14:paraId="60FD4644"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6F7D92B1" w14:textId="77777777" w:rsidR="001D5F6D" w:rsidRPr="00641BDE" w:rsidRDefault="001D5F6D" w:rsidP="001D5F6D">
      <w:pPr>
        <w:pStyle w:val="NormalBold"/>
      </w:pPr>
      <w:r w:rsidRPr="00641BDE">
        <w:rPr>
          <w:rStyle w:val="HideTWBExt"/>
          <w:b w:val="0"/>
        </w:rPr>
        <w:t>&lt;/RepeatBlock-By&gt;</w:t>
      </w:r>
    </w:p>
    <w:p w14:paraId="3F71710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E0A2CEC" w14:textId="77777777" w:rsidR="001D5F6D" w:rsidRPr="00641BDE" w:rsidRDefault="001D5F6D" w:rsidP="001D5F6D">
      <w:pPr>
        <w:pStyle w:val="NormalBold"/>
      </w:pPr>
      <w:r w:rsidRPr="00641BDE">
        <w:rPr>
          <w:rStyle w:val="HideTWBExt"/>
          <w:b w:val="0"/>
        </w:rPr>
        <w:t>&lt;Article&gt;</w:t>
      </w:r>
      <w:r w:rsidRPr="00641BDE">
        <w:t>Ustęp 48</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7AFAAFF" w14:textId="77777777" w:rsidTr="007C1C97">
        <w:trPr>
          <w:trHeight w:hRule="exact" w:val="240"/>
          <w:jc w:val="center"/>
        </w:trPr>
        <w:tc>
          <w:tcPr>
            <w:tcW w:w="9752" w:type="dxa"/>
            <w:gridSpan w:val="2"/>
            <w:tcBorders>
              <w:top w:val="nil"/>
              <w:left w:val="nil"/>
              <w:bottom w:val="nil"/>
              <w:right w:val="nil"/>
            </w:tcBorders>
          </w:tcPr>
          <w:p w14:paraId="676A64F3" w14:textId="77777777" w:rsidR="001D5F6D" w:rsidRPr="00641BDE" w:rsidRDefault="001D5F6D" w:rsidP="007C1C97"/>
        </w:tc>
      </w:tr>
      <w:tr w:rsidR="001D5F6D" w:rsidRPr="00641BDE" w14:paraId="63515706" w14:textId="77777777" w:rsidTr="007C1C97">
        <w:trPr>
          <w:trHeight w:val="240"/>
          <w:jc w:val="center"/>
        </w:trPr>
        <w:tc>
          <w:tcPr>
            <w:tcW w:w="4876" w:type="dxa"/>
            <w:tcBorders>
              <w:top w:val="nil"/>
              <w:left w:val="nil"/>
              <w:bottom w:val="nil"/>
              <w:right w:val="nil"/>
            </w:tcBorders>
          </w:tcPr>
          <w:p w14:paraId="293FE7FB"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3B35F07" w14:textId="77777777" w:rsidR="001D5F6D" w:rsidRPr="00641BDE" w:rsidRDefault="001D5F6D" w:rsidP="007C1C97">
            <w:pPr>
              <w:pStyle w:val="AmColumnHeading"/>
            </w:pPr>
            <w:r w:rsidRPr="00641BDE">
              <w:t>Poprawka</w:t>
            </w:r>
          </w:p>
        </w:tc>
      </w:tr>
      <w:tr w:rsidR="001D5F6D" w:rsidRPr="00641BDE" w14:paraId="2CD618D7" w14:textId="77777777" w:rsidTr="007C1C97">
        <w:trPr>
          <w:jc w:val="center"/>
        </w:trPr>
        <w:tc>
          <w:tcPr>
            <w:tcW w:w="4876" w:type="dxa"/>
            <w:tcBorders>
              <w:top w:val="nil"/>
              <w:left w:val="nil"/>
              <w:bottom w:val="nil"/>
              <w:right w:val="nil"/>
            </w:tcBorders>
          </w:tcPr>
          <w:p w14:paraId="428465F5" w14:textId="77777777" w:rsidR="001D5F6D" w:rsidRPr="00641BDE" w:rsidRDefault="001D5F6D" w:rsidP="007C1C97">
            <w:pPr>
              <w:pStyle w:val="Normal6a"/>
            </w:pPr>
            <w:r w:rsidRPr="00641BDE">
              <w:t>48.</w:t>
            </w:r>
            <w:r w:rsidRPr="00641BDE">
              <w:tab/>
              <w:t xml:space="preserve">zauważa, że w odniesieniu do Europejskiego Urzędu ds. Pracy zastrzeżenie dotyczy płatności w wysokości 2,6 mln EUR w 2024 r., co stanowi 5,7 % całkowitych dostępnych środków na płatności; zauważa, że kwota ta obejmuje 2,2 mln EUR związane z umową uznaną za nieprawidłową w sprawozdaniu z kontroli za 2022 r. z uwagi na wartość zamówienia przewyższającą ustalony maksymalny limit umowny, co stanowi naruszeniu pkt. 12.3 lit. a) załącznika I do rozporządzenia finansowego, oraz 0,4 mln EUR związane z niedociągnięciami w kontrolach ex </w:t>
            </w:r>
            <w:proofErr w:type="spellStart"/>
            <w:r w:rsidRPr="00641BDE">
              <w:t>ante</w:t>
            </w:r>
            <w:proofErr w:type="spellEnd"/>
            <w:r w:rsidRPr="00641BDE">
              <w:t xml:space="preserve"> dotyczących realizacji zamówienia; zwraca uwagę na odpowiedź Europejskiego Urzędu ds. Pracy podczas wysłuchania, które odbyło się 1 grudnia 2025 r., że niezależnie od nieprawidłowego udzielenia zamówienia faktyczne płatności dokonane w ramach umowy mieściły się w pułapie 6 mln EUR ustanowionym w specyfikacji istotnych warunków zamówienia oraz że umowa była niezbędna do zapewnienia ciągłości działania urzędu w początkowej fazie jego ustanawiania; zauważa ponadto, że nieprawidłowa umowa wygasła w lutym 2024 r. i nie została odnowiona; z zadowoleniem przyjmuje zapewnienia urzędu, że wdrożono środki naprawcze, w tym zmienioną dokumentację przetargową, wzmocnione procedury udzielania zamówień publicznych oraz zaktualizowane wewnętrzne listy kontrolne w celu zapobiegania podobnym nieprawidłowościom;</w:t>
            </w:r>
          </w:p>
        </w:tc>
        <w:tc>
          <w:tcPr>
            <w:tcW w:w="4876" w:type="dxa"/>
            <w:tcBorders>
              <w:top w:val="nil"/>
              <w:left w:val="nil"/>
              <w:bottom w:val="nil"/>
              <w:right w:val="nil"/>
            </w:tcBorders>
          </w:tcPr>
          <w:p w14:paraId="6C484D9B" w14:textId="77777777" w:rsidR="001D5F6D" w:rsidRPr="00641BDE" w:rsidRDefault="001D5F6D" w:rsidP="007C1C97">
            <w:pPr>
              <w:pStyle w:val="Normal6a"/>
            </w:pPr>
            <w:r w:rsidRPr="00641BDE">
              <w:t>48.</w:t>
            </w:r>
            <w:r w:rsidRPr="00641BDE">
              <w:tab/>
              <w:t xml:space="preserve">zauważa, że w odniesieniu do Europejskiego Urzędu ds. Pracy zastrzeżenie dotyczy płatności w wysokości 2,6 mln EUR w 2024 r., co stanowi 5,7 % całkowitych dostępnych środków na płatności; zauważa, że kwota ta obejmuje 2,2 mln EUR związane z umową uznaną za nieprawidłową w sprawozdaniu z kontroli za 2022 r. z uwagi na wartość zamówienia przewyższającą ustalony maksymalny limit umowny, co stanowi naruszeniu pkt. 12.3 lit. a) załącznika I do rozporządzenia finansowego, oraz 0,4 mln EUR związane z niedociągnięciami w kontrolach ex </w:t>
            </w:r>
            <w:proofErr w:type="spellStart"/>
            <w:r w:rsidRPr="00641BDE">
              <w:t>ante</w:t>
            </w:r>
            <w:proofErr w:type="spellEnd"/>
            <w:r w:rsidRPr="00641BDE">
              <w:t xml:space="preserve"> dotyczących realizacji zamówienia; zwraca uwagę na odpowiedź Europejskiego Urzędu ds. Pracy podczas wysłuchania, które odbyło się 1 grudnia 2025 r., że niezależnie od nieprawidłowego udzielenia zamówienia faktyczne płatności dokonane w ramach umowy mieściły się w pułapie 6 mln EUR ustanowionym w specyfikacji istotnych warunków zamówienia oraz że umowa była niezbędna do zapewnienia ciągłości działania urzędu w początkowej fazie jego ustanawiania; zauważa ponadto, że nieprawidłowa umowa wygasła w lutym 2024 r. i nie została odnowiona; z zadowoleniem przyjmuje zapewnienia urzędu, że wdrożono środki naprawcze, w tym zmienioną dokumentację przetargową, wzmocnione procedury udzielania zamówień publicznych oraz zaktualizowane wewnętrzne listy kontrolne w celu zapobiegania podobnym nieprawidłowościom; </w:t>
            </w:r>
            <w:r w:rsidRPr="00641BDE">
              <w:rPr>
                <w:b/>
                <w:i/>
              </w:rPr>
              <w:t>zachęca Europejski Urząd ds. Pracy do wzmocnienia mechanizmów planowania i ustalania priorytetów w celu zapewnienia skutecznego wykorzystania środków i terminowej realizacji działań operacyjnych w przyszłości;</w:t>
            </w:r>
          </w:p>
        </w:tc>
      </w:tr>
    </w:tbl>
    <w:p w14:paraId="2C83A861"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1DF5486" w14:textId="77777777" w:rsidR="001D5F6D" w:rsidRPr="00641BDE" w:rsidRDefault="001D5F6D" w:rsidP="001D5F6D">
      <w:r w:rsidRPr="00641BDE">
        <w:rPr>
          <w:rStyle w:val="HideTWBExt"/>
        </w:rPr>
        <w:t>&lt;/Amend&gt;</w:t>
      </w:r>
    </w:p>
    <w:p w14:paraId="16D47B9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95</w:t>
      </w:r>
      <w:r w:rsidRPr="00641BDE">
        <w:rPr>
          <w:rStyle w:val="HideTWBExt"/>
          <w:b w:val="0"/>
        </w:rPr>
        <w:t>&lt;/NumAm&gt;</w:t>
      </w:r>
    </w:p>
    <w:p w14:paraId="7096CED5"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6489C64D" w14:textId="77777777" w:rsidR="001D5F6D" w:rsidRPr="00641BDE" w:rsidRDefault="001D5F6D" w:rsidP="001D5F6D">
      <w:pPr>
        <w:pStyle w:val="NormalBold"/>
      </w:pPr>
      <w:r w:rsidRPr="00641BDE">
        <w:rPr>
          <w:rStyle w:val="HideTWBExt"/>
          <w:b w:val="0"/>
        </w:rPr>
        <w:t>&lt;/RepeatBlock-By&gt;</w:t>
      </w:r>
    </w:p>
    <w:p w14:paraId="14895ACE"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46D5AB6" w14:textId="77777777" w:rsidR="001D5F6D" w:rsidRPr="00641BDE" w:rsidRDefault="001D5F6D" w:rsidP="001D5F6D">
      <w:pPr>
        <w:pStyle w:val="NormalBold"/>
      </w:pPr>
      <w:r w:rsidRPr="00641BDE">
        <w:rPr>
          <w:rStyle w:val="HideTWBExt"/>
          <w:b w:val="0"/>
        </w:rPr>
        <w:t>&lt;Article&gt;</w:t>
      </w:r>
      <w:r w:rsidRPr="00641BDE">
        <w:t>Ustęp 50</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EFBED12" w14:textId="77777777" w:rsidTr="007C1C97">
        <w:trPr>
          <w:trHeight w:hRule="exact" w:val="240"/>
          <w:jc w:val="center"/>
        </w:trPr>
        <w:tc>
          <w:tcPr>
            <w:tcW w:w="9752" w:type="dxa"/>
            <w:gridSpan w:val="2"/>
            <w:tcBorders>
              <w:top w:val="nil"/>
              <w:left w:val="nil"/>
              <w:bottom w:val="nil"/>
              <w:right w:val="nil"/>
            </w:tcBorders>
          </w:tcPr>
          <w:p w14:paraId="223DFC11" w14:textId="77777777" w:rsidR="001D5F6D" w:rsidRPr="00641BDE" w:rsidRDefault="001D5F6D" w:rsidP="007C1C97"/>
        </w:tc>
      </w:tr>
      <w:tr w:rsidR="001D5F6D" w:rsidRPr="00641BDE" w14:paraId="35CB684C" w14:textId="77777777" w:rsidTr="007C1C97">
        <w:trPr>
          <w:trHeight w:val="240"/>
          <w:jc w:val="center"/>
        </w:trPr>
        <w:tc>
          <w:tcPr>
            <w:tcW w:w="4876" w:type="dxa"/>
            <w:tcBorders>
              <w:top w:val="nil"/>
              <w:left w:val="nil"/>
              <w:bottom w:val="nil"/>
              <w:right w:val="nil"/>
            </w:tcBorders>
          </w:tcPr>
          <w:p w14:paraId="61C29DA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227393C" w14:textId="77777777" w:rsidR="001D5F6D" w:rsidRPr="00641BDE" w:rsidRDefault="001D5F6D" w:rsidP="007C1C97">
            <w:pPr>
              <w:pStyle w:val="AmColumnHeading"/>
            </w:pPr>
            <w:r w:rsidRPr="00641BDE">
              <w:t>Poprawka</w:t>
            </w:r>
          </w:p>
        </w:tc>
      </w:tr>
      <w:tr w:rsidR="001D5F6D" w:rsidRPr="00641BDE" w14:paraId="3B3DD8BD" w14:textId="77777777" w:rsidTr="007C1C97">
        <w:trPr>
          <w:jc w:val="center"/>
        </w:trPr>
        <w:tc>
          <w:tcPr>
            <w:tcW w:w="4876" w:type="dxa"/>
            <w:tcBorders>
              <w:top w:val="nil"/>
              <w:left w:val="nil"/>
              <w:bottom w:val="nil"/>
              <w:right w:val="nil"/>
            </w:tcBorders>
          </w:tcPr>
          <w:p w14:paraId="576CF99C" w14:textId="77777777" w:rsidR="001D5F6D" w:rsidRPr="00641BDE" w:rsidRDefault="001D5F6D" w:rsidP="007C1C97">
            <w:pPr>
              <w:pStyle w:val="Normal6a"/>
            </w:pPr>
            <w:r w:rsidRPr="00641BDE">
              <w:t>50.</w:t>
            </w:r>
            <w:r w:rsidRPr="00641BDE">
              <w:tab/>
              <w:t>odnotowuje, że uwagi zawarte w specjalnych sprawozdaniach rocznych agencji są w rzeczywistości zaleceniami Trybunału nieokreślonymi w czasie; zauważa, że Trybunał co roku podejmuje działania następcze w związku z tymi uwagami, uznając poruszone w nich kwestie za „otwarte” lub „zamknięte”;</w:t>
            </w:r>
          </w:p>
        </w:tc>
        <w:tc>
          <w:tcPr>
            <w:tcW w:w="4876" w:type="dxa"/>
            <w:tcBorders>
              <w:top w:val="nil"/>
              <w:left w:val="nil"/>
              <w:bottom w:val="nil"/>
              <w:right w:val="nil"/>
            </w:tcBorders>
          </w:tcPr>
          <w:p w14:paraId="0AB0C9E4" w14:textId="77777777" w:rsidR="001D5F6D" w:rsidRPr="00641BDE" w:rsidRDefault="001D5F6D" w:rsidP="007C1C97">
            <w:pPr>
              <w:pStyle w:val="Normal6a"/>
            </w:pPr>
            <w:r w:rsidRPr="00641BDE">
              <w:t>50.</w:t>
            </w:r>
            <w:r w:rsidRPr="00641BDE">
              <w:tab/>
              <w:t xml:space="preserve">odnotowuje, że uwagi zawarte w specjalnych sprawozdaniach rocznych agencji są w rzeczywistości zaleceniami Trybunału nieokreślonymi w czasie; zauważa, że Trybunał co roku podejmuje działania następcze w związku z tymi uwagami, uznając poruszone w nich kwestie za „otwarte” lub „zamknięte”; </w:t>
            </w:r>
            <w:r w:rsidRPr="00641BDE">
              <w:rPr>
                <w:b/>
                <w:i/>
              </w:rPr>
              <w:t>uważa jednak, że otwarte od dawna uwagi powinny wymagać terminowych i konkretnych środków naprawczych wraz ze wzmocnionym nadzorem ze strony odpowiednich zarządów, aby zapobiec powtarzającym się uchybieniom;</w:t>
            </w:r>
          </w:p>
        </w:tc>
      </w:tr>
    </w:tbl>
    <w:p w14:paraId="4EB0AB3E"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6AA64888" w14:textId="77777777" w:rsidR="001D5F6D" w:rsidRPr="00641BDE" w:rsidRDefault="001D5F6D" w:rsidP="001D5F6D">
      <w:r w:rsidRPr="00641BDE">
        <w:rPr>
          <w:rStyle w:val="HideTWBExt"/>
        </w:rPr>
        <w:t>&lt;/Amend&gt;</w:t>
      </w:r>
    </w:p>
    <w:p w14:paraId="3E4FCFB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96</w:t>
      </w:r>
      <w:r w:rsidRPr="00641BDE">
        <w:rPr>
          <w:rStyle w:val="HideTWBExt"/>
          <w:b w:val="0"/>
        </w:rPr>
        <w:t>&lt;/NumAm&gt;</w:t>
      </w:r>
    </w:p>
    <w:p w14:paraId="16E18D5C"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65F8B406" w14:textId="77777777" w:rsidR="001D5F6D" w:rsidRPr="00641BDE" w:rsidRDefault="001D5F6D" w:rsidP="001D5F6D">
      <w:pPr>
        <w:pStyle w:val="NormalBold"/>
      </w:pPr>
      <w:r w:rsidRPr="00641BDE">
        <w:rPr>
          <w:rStyle w:val="HideTWBExt"/>
          <w:b w:val="0"/>
        </w:rPr>
        <w:t>&lt;/RepeatBlock-By&gt;</w:t>
      </w:r>
    </w:p>
    <w:p w14:paraId="111F2D7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41FD531" w14:textId="77777777" w:rsidR="001D5F6D" w:rsidRPr="00641BDE" w:rsidRDefault="001D5F6D" w:rsidP="001D5F6D">
      <w:pPr>
        <w:pStyle w:val="NormalBold"/>
      </w:pPr>
      <w:r w:rsidRPr="00641BDE">
        <w:rPr>
          <w:rStyle w:val="HideTWBExt"/>
          <w:b w:val="0"/>
        </w:rPr>
        <w:t>&lt;Article&gt;</w:t>
      </w:r>
      <w:r w:rsidRPr="00641BDE">
        <w:t>Ustęp 54</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B9B5153" w14:textId="77777777" w:rsidTr="007C1C97">
        <w:trPr>
          <w:trHeight w:hRule="exact" w:val="240"/>
          <w:jc w:val="center"/>
        </w:trPr>
        <w:tc>
          <w:tcPr>
            <w:tcW w:w="9752" w:type="dxa"/>
            <w:gridSpan w:val="2"/>
            <w:tcBorders>
              <w:top w:val="nil"/>
              <w:left w:val="nil"/>
              <w:bottom w:val="nil"/>
              <w:right w:val="nil"/>
            </w:tcBorders>
          </w:tcPr>
          <w:p w14:paraId="0442A407" w14:textId="77777777" w:rsidR="001D5F6D" w:rsidRPr="00641BDE" w:rsidRDefault="001D5F6D" w:rsidP="007C1C97"/>
        </w:tc>
      </w:tr>
      <w:tr w:rsidR="001D5F6D" w:rsidRPr="00641BDE" w14:paraId="6F3D8065" w14:textId="77777777" w:rsidTr="007C1C97">
        <w:trPr>
          <w:trHeight w:val="240"/>
          <w:jc w:val="center"/>
        </w:trPr>
        <w:tc>
          <w:tcPr>
            <w:tcW w:w="4876" w:type="dxa"/>
            <w:tcBorders>
              <w:top w:val="nil"/>
              <w:left w:val="nil"/>
              <w:bottom w:val="nil"/>
              <w:right w:val="nil"/>
            </w:tcBorders>
          </w:tcPr>
          <w:p w14:paraId="608B9A2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6A551BC" w14:textId="77777777" w:rsidR="001D5F6D" w:rsidRPr="00641BDE" w:rsidRDefault="001D5F6D" w:rsidP="007C1C97">
            <w:pPr>
              <w:pStyle w:val="AmColumnHeading"/>
            </w:pPr>
            <w:r w:rsidRPr="00641BDE">
              <w:t>Poprawka</w:t>
            </w:r>
          </w:p>
        </w:tc>
      </w:tr>
      <w:tr w:rsidR="001D5F6D" w:rsidRPr="00641BDE" w14:paraId="55F3270B" w14:textId="77777777" w:rsidTr="007C1C97">
        <w:trPr>
          <w:jc w:val="center"/>
        </w:trPr>
        <w:tc>
          <w:tcPr>
            <w:tcW w:w="4876" w:type="dxa"/>
            <w:tcBorders>
              <w:top w:val="nil"/>
              <w:left w:val="nil"/>
              <w:bottom w:val="nil"/>
              <w:right w:val="nil"/>
            </w:tcBorders>
          </w:tcPr>
          <w:p w14:paraId="2573A07F" w14:textId="77777777" w:rsidR="001D5F6D" w:rsidRPr="00641BDE" w:rsidRDefault="001D5F6D" w:rsidP="007C1C97">
            <w:pPr>
              <w:pStyle w:val="Normal6a"/>
            </w:pPr>
            <w:r w:rsidRPr="00641BDE">
              <w:t>54.</w:t>
            </w:r>
            <w:r w:rsidRPr="00641BDE">
              <w:tab/>
              <w:t xml:space="preserve">zwraca uwagę na znaczący wpływ rozporządzenia w sprawie operacyjnej odporności cyfrowej sektora finansowego (DORA) oraz rozporządzenia w sprawie rynków </w:t>
            </w:r>
            <w:proofErr w:type="spellStart"/>
            <w:r w:rsidRPr="00641BDE">
              <w:t>kryptoaktywów</w:t>
            </w:r>
            <w:proofErr w:type="spellEnd"/>
            <w:r w:rsidRPr="00641BDE">
              <w:t xml:space="preserve"> (</w:t>
            </w:r>
            <w:proofErr w:type="spellStart"/>
            <w:r w:rsidRPr="00641BDE">
              <w:t>MiCA</w:t>
            </w:r>
            <w:proofErr w:type="spellEnd"/>
            <w:r w:rsidRPr="00641BDE">
              <w:t xml:space="preserve">) na mandaty operacyjne i zadania Europejskiego Urzędu Nadzoru Bankowego (EUNB); </w:t>
            </w:r>
            <w:r w:rsidRPr="00641BDE">
              <w:rPr>
                <w:b/>
                <w:i/>
              </w:rPr>
              <w:t>z niepokojem zauważa</w:t>
            </w:r>
            <w:r w:rsidRPr="00641BDE">
              <w:t xml:space="preserve">, że </w:t>
            </w:r>
            <w:r w:rsidRPr="00641BDE">
              <w:rPr>
                <w:b/>
                <w:i/>
              </w:rPr>
              <w:t>początkowe przepisy nie uwzględniały w wystarczającym stopniu finansowania wymaganego do ustanowienia tych ról ani faz przygotowawczych i wdrożeniowych powiązanych polityk; w pełni popiera pogląd urzędu, że w przyszłych ocenach skutków finansowych regulacji należy przewidywać i zapewniać odpowiednie zasoby na terminowe i skuteczne wdrożenie tak złożonych mandatów; apeluje o zapewnienie odpowiedniego finansowania w celu uwzględnienia takiego rozszerzenia mandatu</w:t>
            </w:r>
            <w:r w:rsidRPr="00641BDE">
              <w:t>;</w:t>
            </w:r>
          </w:p>
        </w:tc>
        <w:tc>
          <w:tcPr>
            <w:tcW w:w="4876" w:type="dxa"/>
            <w:tcBorders>
              <w:top w:val="nil"/>
              <w:left w:val="nil"/>
              <w:bottom w:val="nil"/>
              <w:right w:val="nil"/>
            </w:tcBorders>
          </w:tcPr>
          <w:p w14:paraId="5FE10113" w14:textId="77777777" w:rsidR="001D5F6D" w:rsidRPr="00641BDE" w:rsidRDefault="001D5F6D" w:rsidP="007C1C97">
            <w:pPr>
              <w:pStyle w:val="Normal6a"/>
            </w:pPr>
            <w:r w:rsidRPr="00641BDE">
              <w:t>54.</w:t>
            </w:r>
            <w:r w:rsidRPr="00641BDE">
              <w:tab/>
              <w:t xml:space="preserve">zwraca uwagę na znaczący wpływ rozporządzenia w sprawie operacyjnej odporności cyfrowej sektora finansowego (DORA) oraz rozporządzenia w sprawie rynków </w:t>
            </w:r>
            <w:proofErr w:type="spellStart"/>
            <w:r w:rsidRPr="00641BDE">
              <w:t>kryptoaktywów</w:t>
            </w:r>
            <w:proofErr w:type="spellEnd"/>
            <w:r w:rsidRPr="00641BDE">
              <w:t xml:space="preserve"> (</w:t>
            </w:r>
            <w:proofErr w:type="spellStart"/>
            <w:r w:rsidRPr="00641BDE">
              <w:t>MiCA</w:t>
            </w:r>
            <w:proofErr w:type="spellEnd"/>
            <w:r w:rsidRPr="00641BDE">
              <w:t xml:space="preserve">) na mandaty operacyjne i zadania Europejskiego Urzędu Nadzoru Bankowego (EUNB); </w:t>
            </w:r>
            <w:r w:rsidRPr="00641BDE">
              <w:rPr>
                <w:b/>
                <w:i/>
              </w:rPr>
              <w:t>podkreśla</w:t>
            </w:r>
            <w:r w:rsidRPr="00641BDE">
              <w:t xml:space="preserve">, że </w:t>
            </w:r>
            <w:r w:rsidRPr="00641BDE">
              <w:rPr>
                <w:b/>
                <w:i/>
              </w:rPr>
              <w:t>wszelkie dodatkowe finansowanie musi być poprzedzone szczegółową oceną istniejącego przydziału zasobów EUNB oraz określeniem potencjalnego wewnętrznego przyrostu wydajności, które to działania przeprowadza się przed wystąpieniem o przyznanie dodatkowych wkładów unijnych</w:t>
            </w:r>
            <w:r w:rsidRPr="00641BDE">
              <w:t>;</w:t>
            </w:r>
          </w:p>
        </w:tc>
      </w:tr>
    </w:tbl>
    <w:p w14:paraId="6C2DB579"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097D30D" w14:textId="77777777" w:rsidR="001D5F6D" w:rsidRPr="00641BDE" w:rsidRDefault="001D5F6D" w:rsidP="001D5F6D">
      <w:r w:rsidRPr="00641BDE">
        <w:rPr>
          <w:rStyle w:val="HideTWBExt"/>
        </w:rPr>
        <w:t>&lt;/Amend&gt;</w:t>
      </w:r>
    </w:p>
    <w:p w14:paraId="675609C1"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97</w:t>
      </w:r>
      <w:r w:rsidRPr="00641BDE">
        <w:rPr>
          <w:rStyle w:val="HideTWBExt"/>
          <w:b w:val="0"/>
        </w:rPr>
        <w:t>&lt;/NumAm&gt;</w:t>
      </w:r>
    </w:p>
    <w:p w14:paraId="6AC121CE"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rPr>
          <w:rStyle w:val="HideTWBExt"/>
          <w:b w:val="0"/>
        </w:rPr>
        <w:t>&lt;/Members&gt;</w:t>
      </w:r>
    </w:p>
    <w:p w14:paraId="0E3ABCDF" w14:textId="77777777" w:rsidR="001D5F6D" w:rsidRPr="00641BDE" w:rsidRDefault="001D5F6D" w:rsidP="001D5F6D">
      <w:pPr>
        <w:pStyle w:val="NormalBold"/>
      </w:pPr>
      <w:r w:rsidRPr="00641BDE">
        <w:rPr>
          <w:rStyle w:val="HideTWBExt"/>
          <w:b w:val="0"/>
        </w:rPr>
        <w:t>&lt;/RepeatBlock-By&gt;</w:t>
      </w:r>
    </w:p>
    <w:p w14:paraId="7E6C731A"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188A036" w14:textId="77777777" w:rsidR="001D5F6D" w:rsidRPr="00641BDE" w:rsidRDefault="001D5F6D" w:rsidP="001D5F6D">
      <w:pPr>
        <w:pStyle w:val="NormalBold"/>
      </w:pPr>
      <w:r w:rsidRPr="00641BDE">
        <w:rPr>
          <w:rStyle w:val="HideTWBExt"/>
          <w:b w:val="0"/>
        </w:rPr>
        <w:t>&lt;Article&gt;</w:t>
      </w:r>
      <w:r w:rsidRPr="00641BDE">
        <w:t>Ustęp 54</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DCEDF3C" w14:textId="77777777" w:rsidTr="007C1C97">
        <w:trPr>
          <w:trHeight w:hRule="exact" w:val="240"/>
          <w:jc w:val="center"/>
        </w:trPr>
        <w:tc>
          <w:tcPr>
            <w:tcW w:w="9752" w:type="dxa"/>
            <w:gridSpan w:val="2"/>
            <w:tcBorders>
              <w:top w:val="nil"/>
              <w:left w:val="nil"/>
              <w:bottom w:val="nil"/>
              <w:right w:val="nil"/>
            </w:tcBorders>
          </w:tcPr>
          <w:p w14:paraId="11770386" w14:textId="77777777" w:rsidR="001D5F6D" w:rsidRPr="00641BDE" w:rsidRDefault="001D5F6D" w:rsidP="007C1C97"/>
        </w:tc>
      </w:tr>
      <w:tr w:rsidR="001D5F6D" w:rsidRPr="00641BDE" w14:paraId="5AD32795" w14:textId="77777777" w:rsidTr="007C1C97">
        <w:trPr>
          <w:trHeight w:val="240"/>
          <w:jc w:val="center"/>
        </w:trPr>
        <w:tc>
          <w:tcPr>
            <w:tcW w:w="4876" w:type="dxa"/>
            <w:tcBorders>
              <w:top w:val="nil"/>
              <w:left w:val="nil"/>
              <w:bottom w:val="nil"/>
              <w:right w:val="nil"/>
            </w:tcBorders>
          </w:tcPr>
          <w:p w14:paraId="2456B31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D20B52C" w14:textId="77777777" w:rsidR="001D5F6D" w:rsidRPr="00641BDE" w:rsidRDefault="001D5F6D" w:rsidP="007C1C97">
            <w:pPr>
              <w:pStyle w:val="AmColumnHeading"/>
            </w:pPr>
            <w:r w:rsidRPr="00641BDE">
              <w:t>Poprawka</w:t>
            </w:r>
          </w:p>
        </w:tc>
      </w:tr>
      <w:tr w:rsidR="001D5F6D" w:rsidRPr="00641BDE" w14:paraId="75341361" w14:textId="77777777" w:rsidTr="007C1C97">
        <w:trPr>
          <w:jc w:val="center"/>
        </w:trPr>
        <w:tc>
          <w:tcPr>
            <w:tcW w:w="4876" w:type="dxa"/>
            <w:tcBorders>
              <w:top w:val="nil"/>
              <w:left w:val="nil"/>
              <w:bottom w:val="nil"/>
              <w:right w:val="nil"/>
            </w:tcBorders>
          </w:tcPr>
          <w:p w14:paraId="71A26DB8" w14:textId="77777777" w:rsidR="001D5F6D" w:rsidRPr="00641BDE" w:rsidRDefault="001D5F6D" w:rsidP="007C1C97">
            <w:pPr>
              <w:pStyle w:val="Normal6a"/>
            </w:pPr>
            <w:r w:rsidRPr="00641BDE">
              <w:t>54.</w:t>
            </w:r>
            <w:r w:rsidRPr="00641BDE">
              <w:tab/>
              <w:t xml:space="preserve">zwraca uwagę na znaczący wpływ rozporządzenia w sprawie operacyjnej odporności cyfrowej sektora finansowego (DORA) oraz rozporządzenia w sprawie rynków </w:t>
            </w:r>
            <w:proofErr w:type="spellStart"/>
            <w:r w:rsidRPr="00641BDE">
              <w:t>kryptoaktywów</w:t>
            </w:r>
            <w:proofErr w:type="spellEnd"/>
            <w:r w:rsidRPr="00641BDE">
              <w:t xml:space="preserve"> (</w:t>
            </w:r>
            <w:proofErr w:type="spellStart"/>
            <w:r w:rsidRPr="00641BDE">
              <w:t>MiCA</w:t>
            </w:r>
            <w:proofErr w:type="spellEnd"/>
            <w:r w:rsidRPr="00641BDE">
              <w:t xml:space="preserve">) na mandaty operacyjne i zadania Europejskiego Urzędu Nadzoru Bankowego (EUNB); z niepokojem zauważa, że początkowe przepisy nie uwzględniały w wystarczającym stopniu finansowania wymaganego do ustanowienia tych ról ani faz przygotowawczych i wdrożeniowych powiązanych polityk; w pełni popiera pogląd urzędu, że w przyszłych ocenach skutków finansowych regulacji należy przewidywać i zapewniać odpowiednie zasoby na terminowe i skuteczne wdrożenie tak złożonych mandatów; </w:t>
            </w:r>
            <w:r w:rsidRPr="00641BDE">
              <w:rPr>
                <w:b/>
                <w:i/>
              </w:rPr>
              <w:t>apeluje o zapewnienie odpowiedniego finansowania w celu uwzględnienia takiego rozszerzenia mandatu;</w:t>
            </w:r>
          </w:p>
        </w:tc>
        <w:tc>
          <w:tcPr>
            <w:tcW w:w="4876" w:type="dxa"/>
            <w:tcBorders>
              <w:top w:val="nil"/>
              <w:left w:val="nil"/>
              <w:bottom w:val="nil"/>
              <w:right w:val="nil"/>
            </w:tcBorders>
          </w:tcPr>
          <w:p w14:paraId="7F582FF0" w14:textId="77777777" w:rsidR="001D5F6D" w:rsidRPr="00641BDE" w:rsidRDefault="001D5F6D" w:rsidP="007C1C97">
            <w:pPr>
              <w:pStyle w:val="Normal6a"/>
            </w:pPr>
            <w:r w:rsidRPr="00641BDE">
              <w:t>54.</w:t>
            </w:r>
            <w:r w:rsidRPr="00641BDE">
              <w:tab/>
              <w:t xml:space="preserve">zwraca uwagę na znaczący wpływ rozporządzenia w sprawie operacyjnej odporności cyfrowej sektora finansowego (DORA) oraz rozporządzenia w sprawie rynków </w:t>
            </w:r>
            <w:proofErr w:type="spellStart"/>
            <w:r w:rsidRPr="00641BDE">
              <w:t>kryptoaktywów</w:t>
            </w:r>
            <w:proofErr w:type="spellEnd"/>
            <w:r w:rsidRPr="00641BDE">
              <w:t xml:space="preserve"> (</w:t>
            </w:r>
            <w:proofErr w:type="spellStart"/>
            <w:r w:rsidRPr="00641BDE">
              <w:t>MiCA</w:t>
            </w:r>
            <w:proofErr w:type="spellEnd"/>
            <w:r w:rsidRPr="00641BDE">
              <w:t>) na mandaty operacyjne i zadania Europejskiego Urzędu Nadzoru Bankowego (EUNB); z niepokojem zauważa, że początkowe przepisy nie uwzględniały w wystarczającym stopniu finansowania wymaganego do ustanowienia tych ról ani faz przygotowawczych i wdrożeniowych powiązanych polityk; w pełni popiera pogląd urzędu, że w przyszłych ocenach skutków finansowych regulacji należy przewidywać i zapewniać odpowiednie zasoby na terminowe i skuteczne wdrożenie tak złożonych mandatów;</w:t>
            </w:r>
          </w:p>
        </w:tc>
      </w:tr>
    </w:tbl>
    <w:p w14:paraId="69D8608E"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2CFD0C37" w14:textId="77777777" w:rsidR="001D5F6D" w:rsidRPr="00641BDE" w:rsidRDefault="001D5F6D" w:rsidP="001D5F6D">
      <w:r w:rsidRPr="00641BDE">
        <w:rPr>
          <w:rStyle w:val="HideTWBExt"/>
        </w:rPr>
        <w:t>&lt;/Amend&gt;</w:t>
      </w:r>
    </w:p>
    <w:p w14:paraId="68828917"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98</w:t>
      </w:r>
      <w:r w:rsidRPr="00641BDE">
        <w:rPr>
          <w:rStyle w:val="HideTWBExt"/>
          <w:b w:val="0"/>
        </w:rPr>
        <w:t>&lt;/NumAm&gt;</w:t>
      </w:r>
    </w:p>
    <w:p w14:paraId="72D233A9"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0514C15A" w14:textId="77777777" w:rsidR="001D5F6D" w:rsidRPr="00641BDE" w:rsidRDefault="001D5F6D" w:rsidP="001D5F6D">
      <w:pPr>
        <w:pStyle w:val="NormalBold"/>
      </w:pPr>
      <w:r w:rsidRPr="00641BDE">
        <w:rPr>
          <w:rStyle w:val="HideTWBExt"/>
          <w:b w:val="0"/>
        </w:rPr>
        <w:t>&lt;/RepeatBlock-By&gt;</w:t>
      </w:r>
    </w:p>
    <w:p w14:paraId="084A3CFE"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3127E98" w14:textId="77777777" w:rsidR="001D5F6D" w:rsidRPr="00641BDE" w:rsidRDefault="001D5F6D" w:rsidP="001D5F6D">
      <w:pPr>
        <w:pStyle w:val="NormalBold"/>
      </w:pPr>
      <w:r w:rsidRPr="00641BDE">
        <w:rPr>
          <w:rStyle w:val="HideTWBExt"/>
          <w:b w:val="0"/>
        </w:rPr>
        <w:t>&lt;Article&gt;</w:t>
      </w:r>
      <w:r w:rsidRPr="00641BDE">
        <w:t>Ustęp 57</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ECB71A9" w14:textId="77777777" w:rsidTr="007C1C97">
        <w:trPr>
          <w:trHeight w:hRule="exact" w:val="240"/>
          <w:jc w:val="center"/>
        </w:trPr>
        <w:tc>
          <w:tcPr>
            <w:tcW w:w="9752" w:type="dxa"/>
            <w:gridSpan w:val="2"/>
            <w:tcBorders>
              <w:top w:val="nil"/>
              <w:left w:val="nil"/>
              <w:bottom w:val="nil"/>
              <w:right w:val="nil"/>
            </w:tcBorders>
          </w:tcPr>
          <w:p w14:paraId="178F480A" w14:textId="77777777" w:rsidR="001D5F6D" w:rsidRPr="00641BDE" w:rsidRDefault="001D5F6D" w:rsidP="007C1C97"/>
        </w:tc>
      </w:tr>
      <w:tr w:rsidR="001D5F6D" w:rsidRPr="00641BDE" w14:paraId="2825100D" w14:textId="77777777" w:rsidTr="007C1C97">
        <w:trPr>
          <w:trHeight w:val="240"/>
          <w:jc w:val="center"/>
        </w:trPr>
        <w:tc>
          <w:tcPr>
            <w:tcW w:w="4876" w:type="dxa"/>
            <w:tcBorders>
              <w:top w:val="nil"/>
              <w:left w:val="nil"/>
              <w:bottom w:val="nil"/>
              <w:right w:val="nil"/>
            </w:tcBorders>
          </w:tcPr>
          <w:p w14:paraId="0DD44BEC"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4714306" w14:textId="77777777" w:rsidR="001D5F6D" w:rsidRPr="00641BDE" w:rsidRDefault="001D5F6D" w:rsidP="007C1C97">
            <w:pPr>
              <w:pStyle w:val="AmColumnHeading"/>
            </w:pPr>
            <w:r w:rsidRPr="00641BDE">
              <w:t>Poprawka</w:t>
            </w:r>
          </w:p>
        </w:tc>
      </w:tr>
      <w:tr w:rsidR="001D5F6D" w:rsidRPr="00641BDE" w14:paraId="1B4873D8" w14:textId="77777777" w:rsidTr="007C1C97">
        <w:trPr>
          <w:jc w:val="center"/>
        </w:trPr>
        <w:tc>
          <w:tcPr>
            <w:tcW w:w="4876" w:type="dxa"/>
            <w:tcBorders>
              <w:top w:val="nil"/>
              <w:left w:val="nil"/>
              <w:bottom w:val="nil"/>
              <w:right w:val="nil"/>
            </w:tcBorders>
          </w:tcPr>
          <w:p w14:paraId="30E59884" w14:textId="77777777" w:rsidR="001D5F6D" w:rsidRPr="00641BDE" w:rsidRDefault="001D5F6D" w:rsidP="007C1C97">
            <w:pPr>
              <w:pStyle w:val="Normal6a"/>
            </w:pPr>
            <w:r w:rsidRPr="00641BDE">
              <w:t>57.</w:t>
            </w:r>
            <w:r w:rsidRPr="00641BDE">
              <w:tab/>
              <w:t xml:space="preserve">zauważa, że w czerwcu 2024 r. CEPOL padł ofiarą poważnego cyberataku, który wpłynął na wszystkie obszary działalności i doprowadził do odwołania 10 stacjonarnych działań szkoleniowych oraz zawieszenia wszystkich szkoleń online do końca roku; zauważa ponadto, że incydent ten nie tylko zakłócił działalność operacyjną CEPOL-u, lecz także spowodował dodatkowe nieplanowane wydatki związane z reakcją na ten incydent, odzyskiwaniem systemów i wzmocnieniem środków </w:t>
            </w:r>
            <w:proofErr w:type="spellStart"/>
            <w:r w:rsidRPr="00641BDE">
              <w:t>cyberbezpieczeństwa</w:t>
            </w:r>
            <w:proofErr w:type="spellEnd"/>
            <w:r w:rsidRPr="00641BDE">
              <w:t xml:space="preserve">; </w:t>
            </w:r>
            <w:r w:rsidRPr="00641BDE">
              <w:rPr>
                <w:b/>
                <w:i/>
              </w:rPr>
              <w:t>jest świadomy, że</w:t>
            </w:r>
            <w:r w:rsidRPr="00641BDE">
              <w:t xml:space="preserve"> atak ten skłonił do wszczęcia postępowania karnego wspieranego przez CERT-UE i Europol; zwraca uwagę na zalecenie CERT-UE dotyczące odbudowy infrastruktury, co doprowadziło do wdrożenia przez DG DIGIT w ciągu trzech tygodni </w:t>
            </w:r>
            <w:r w:rsidRPr="00641BDE">
              <w:rPr>
                <w:b/>
                <w:i/>
              </w:rPr>
              <w:t>infrastruktury opartej na podejściu</w:t>
            </w:r>
            <w:r w:rsidRPr="00641BDE">
              <w:t xml:space="preserve"> zerowego zaufania;</w:t>
            </w:r>
          </w:p>
        </w:tc>
        <w:tc>
          <w:tcPr>
            <w:tcW w:w="4876" w:type="dxa"/>
            <w:tcBorders>
              <w:top w:val="nil"/>
              <w:left w:val="nil"/>
              <w:bottom w:val="nil"/>
              <w:right w:val="nil"/>
            </w:tcBorders>
          </w:tcPr>
          <w:p w14:paraId="7318D8F7" w14:textId="77777777" w:rsidR="001D5F6D" w:rsidRPr="00641BDE" w:rsidRDefault="001D5F6D" w:rsidP="007C1C97">
            <w:pPr>
              <w:pStyle w:val="Normal6a"/>
            </w:pPr>
            <w:r w:rsidRPr="00641BDE">
              <w:t>57.</w:t>
            </w:r>
            <w:r w:rsidRPr="00641BDE">
              <w:tab/>
              <w:t xml:space="preserve">zauważa, że w czerwcu 2024 r. CEPOL padł ofiarą poważnego cyberataku, który wpłynął na wszystkie obszary działalności i doprowadził do odwołania 10 stacjonarnych działań szkoleniowych oraz zawieszenia wszystkich szkoleń online do końca roku; zauważa ponadto, że incydent ten nie tylko zakłócił działalność operacyjną CEPOL-u, lecz także spowodował dodatkowe nieplanowane wydatki związane z reakcją na ten incydent, odzyskiwaniem systemów i wzmocnieniem środków </w:t>
            </w:r>
            <w:proofErr w:type="spellStart"/>
            <w:r w:rsidRPr="00641BDE">
              <w:t>cyberbezpieczeństwa</w:t>
            </w:r>
            <w:proofErr w:type="spellEnd"/>
            <w:r w:rsidRPr="00641BDE">
              <w:t xml:space="preserve">; </w:t>
            </w:r>
            <w:r w:rsidRPr="00641BDE">
              <w:rPr>
                <w:b/>
                <w:i/>
              </w:rPr>
              <w:t xml:space="preserve">zauważa, że naruszenie bezpieczeństwa było bezpośrednim wynikiem zaawansowanego cyberataku wymierzonego w infrastrukturę cyfrową CEPOL-u oraz że nieuprawnione podmioty uzyskały dostęp do znacznej ilości danych osobowych, przez co doszło do naruszenia ich poufności, integralności i dostępności; podkreśla, że ze względu na incydent </w:t>
            </w:r>
            <w:proofErr w:type="spellStart"/>
            <w:r w:rsidRPr="00641BDE">
              <w:rPr>
                <w:b/>
                <w:i/>
              </w:rPr>
              <w:t>cyberbezpieczeństwa</w:t>
            </w:r>
            <w:proofErr w:type="spellEnd"/>
            <w:r w:rsidRPr="00641BDE">
              <w:rPr>
                <w:b/>
                <w:i/>
              </w:rPr>
              <w:t xml:space="preserve"> około 99 000 osób musiało zostać bezpośrednio powiadomionych o naruszeniu ich danych osobowych;</w:t>
            </w:r>
            <w:r w:rsidRPr="00641BDE">
              <w:t xml:space="preserve"> a atak ten skłonił do wszczęcia postępowania karnego wspieranego przez CERT-UE i Europol</w:t>
            </w:r>
            <w:r w:rsidRPr="00641BDE">
              <w:rPr>
                <w:b/>
                <w:i/>
              </w:rPr>
              <w:t>; wyraża zaniepokojenie, że pomimo pewnych poszlak podmiot stwarzający zagrożenie nie został jednoznacznie zidentyfikowany</w:t>
            </w:r>
            <w:r w:rsidRPr="00641BDE">
              <w:t xml:space="preserve">; zwraca uwagę na zalecenie CERT-UE dotyczące odbudowy infrastruktury, co doprowadziło do wdrożenia przez DG DIGIT w ciągu trzech tygodni </w:t>
            </w:r>
            <w:r w:rsidRPr="00641BDE">
              <w:rPr>
                <w:b/>
                <w:i/>
              </w:rPr>
              <w:t>w pełni chmurowego środowiska informatycznego</w:t>
            </w:r>
            <w:r w:rsidRPr="00641BDE">
              <w:t xml:space="preserve"> zerowego zaufania </w:t>
            </w:r>
            <w:r w:rsidRPr="00641BDE">
              <w:rPr>
                <w:b/>
                <w:bCs/>
                <w:i/>
                <w:iCs/>
              </w:rPr>
              <w:t>z nowym sprzętem</w:t>
            </w:r>
            <w:r w:rsidRPr="00641BDE">
              <w:t xml:space="preserve">; </w:t>
            </w:r>
            <w:r w:rsidRPr="00641BDE">
              <w:rPr>
                <w:b/>
                <w:i/>
              </w:rPr>
              <w:t xml:space="preserve">zauważa, że CEPOL realizuje obecnie 42 zadania i projekty w zakresie </w:t>
            </w:r>
            <w:proofErr w:type="spellStart"/>
            <w:r w:rsidRPr="00641BDE">
              <w:rPr>
                <w:b/>
                <w:i/>
              </w:rPr>
              <w:t>cyberbezpieczeństwa</w:t>
            </w:r>
            <w:proofErr w:type="spellEnd"/>
            <w:r w:rsidRPr="00641BDE">
              <w:rPr>
                <w:b/>
                <w:i/>
              </w:rPr>
              <w:t xml:space="preserve"> w ramach swojego planu bezpieczeństwa cybernetycznego; podkreśla, że w ramach standardowej praktyki ze wszystkimi pracownikami przeprowadzono sesje uświadamiające i szkolenia dotyczące bezpieczeństwa ICT, uzupełnione regularnymi powiadomieniami i aktualizacjami intranetowymi;</w:t>
            </w:r>
          </w:p>
        </w:tc>
      </w:tr>
    </w:tbl>
    <w:p w14:paraId="4590DF8A"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61DC8234" w14:textId="77777777" w:rsidR="001D5F6D" w:rsidRPr="00641BDE" w:rsidRDefault="001D5F6D" w:rsidP="001D5F6D">
      <w:r w:rsidRPr="00641BDE">
        <w:rPr>
          <w:rStyle w:val="HideTWBExt"/>
        </w:rPr>
        <w:t>&lt;/Amend&gt;</w:t>
      </w:r>
    </w:p>
    <w:p w14:paraId="37016226"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99</w:t>
      </w:r>
      <w:r w:rsidRPr="00641BDE">
        <w:rPr>
          <w:rStyle w:val="HideTWBExt"/>
          <w:b w:val="0"/>
        </w:rPr>
        <w:t>&lt;/NumAm&gt;</w:t>
      </w:r>
    </w:p>
    <w:p w14:paraId="4B1F2EA2"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064CED19"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50308F4E" w14:textId="77777777" w:rsidR="001D5F6D" w:rsidRPr="00641BDE" w:rsidRDefault="001D5F6D" w:rsidP="001D5F6D">
      <w:pPr>
        <w:pStyle w:val="NormalBold"/>
      </w:pPr>
      <w:r w:rsidRPr="00641BDE">
        <w:rPr>
          <w:rStyle w:val="HideTWBExt"/>
          <w:b w:val="0"/>
        </w:rPr>
        <w:t>&lt;/RepeatBlock-By&gt;</w:t>
      </w:r>
    </w:p>
    <w:p w14:paraId="71F67827"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76C61B0" w14:textId="77777777" w:rsidR="001D5F6D" w:rsidRPr="00641BDE" w:rsidRDefault="001D5F6D" w:rsidP="001D5F6D">
      <w:pPr>
        <w:pStyle w:val="NormalBold"/>
      </w:pPr>
      <w:r w:rsidRPr="00641BDE">
        <w:rPr>
          <w:rStyle w:val="HideTWBExt"/>
          <w:b w:val="0"/>
        </w:rPr>
        <w:t>&lt;Article&gt;</w:t>
      </w:r>
      <w:r w:rsidRPr="00641BDE">
        <w:t>Ustęp 57</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CE9B7C5" w14:textId="77777777" w:rsidTr="007C1C97">
        <w:trPr>
          <w:trHeight w:hRule="exact" w:val="240"/>
          <w:jc w:val="center"/>
        </w:trPr>
        <w:tc>
          <w:tcPr>
            <w:tcW w:w="9752" w:type="dxa"/>
            <w:gridSpan w:val="2"/>
            <w:tcBorders>
              <w:top w:val="nil"/>
              <w:left w:val="nil"/>
              <w:bottom w:val="nil"/>
              <w:right w:val="nil"/>
            </w:tcBorders>
          </w:tcPr>
          <w:p w14:paraId="33EC579B" w14:textId="77777777" w:rsidR="001D5F6D" w:rsidRPr="00641BDE" w:rsidRDefault="001D5F6D" w:rsidP="007C1C97"/>
        </w:tc>
      </w:tr>
      <w:tr w:rsidR="001D5F6D" w:rsidRPr="00641BDE" w14:paraId="472D5EA9" w14:textId="77777777" w:rsidTr="007C1C97">
        <w:trPr>
          <w:trHeight w:val="240"/>
          <w:jc w:val="center"/>
        </w:trPr>
        <w:tc>
          <w:tcPr>
            <w:tcW w:w="4876" w:type="dxa"/>
            <w:tcBorders>
              <w:top w:val="nil"/>
              <w:left w:val="nil"/>
              <w:bottom w:val="nil"/>
              <w:right w:val="nil"/>
            </w:tcBorders>
          </w:tcPr>
          <w:p w14:paraId="7D3BA79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499B122" w14:textId="77777777" w:rsidR="001D5F6D" w:rsidRPr="00641BDE" w:rsidRDefault="001D5F6D" w:rsidP="007C1C97">
            <w:pPr>
              <w:pStyle w:val="AmColumnHeading"/>
            </w:pPr>
            <w:r w:rsidRPr="00641BDE">
              <w:t>Poprawka</w:t>
            </w:r>
          </w:p>
        </w:tc>
      </w:tr>
      <w:tr w:rsidR="001D5F6D" w:rsidRPr="00641BDE" w14:paraId="4C4ABE9C" w14:textId="77777777" w:rsidTr="007C1C97">
        <w:trPr>
          <w:jc w:val="center"/>
        </w:trPr>
        <w:tc>
          <w:tcPr>
            <w:tcW w:w="4876" w:type="dxa"/>
            <w:tcBorders>
              <w:top w:val="nil"/>
              <w:left w:val="nil"/>
              <w:bottom w:val="nil"/>
              <w:right w:val="nil"/>
            </w:tcBorders>
          </w:tcPr>
          <w:p w14:paraId="3295563B" w14:textId="77777777" w:rsidR="001D5F6D" w:rsidRPr="00641BDE" w:rsidRDefault="001D5F6D" w:rsidP="007C1C97">
            <w:pPr>
              <w:pStyle w:val="Normal6a"/>
            </w:pPr>
            <w:r w:rsidRPr="00641BDE">
              <w:t>57.</w:t>
            </w:r>
            <w:r w:rsidRPr="00641BDE">
              <w:tab/>
              <w:t xml:space="preserve">zauważa, że w czerwcu 2024 r. CEPOL padł ofiarą poważnego cyberataku, który wpłynął na wszystkie obszary działalności i doprowadził do odwołania 10 stacjonarnych działań szkoleniowych oraz zawieszenia wszystkich szkoleń online do końca roku; zauważa ponadto, że incydent ten nie tylko zakłócił działalność operacyjną CEPOL-u, lecz także spowodował dodatkowe nieplanowane wydatki związane z reakcją na ten incydent, odzyskiwaniem systemów i wzmocnieniem środków </w:t>
            </w:r>
            <w:proofErr w:type="spellStart"/>
            <w:r w:rsidRPr="00641BDE">
              <w:t>cyberbezpieczeństwa</w:t>
            </w:r>
            <w:proofErr w:type="spellEnd"/>
            <w:r w:rsidRPr="00641BDE">
              <w:t>; jest świadomy, że atak ten skłonił do wszczęcia postępowania karnego wspieranego przez CERT-UE i Europol; zwraca uwagę na zalecenie CERT-UE dotyczące odbudowy infrastruktury, co doprowadziło do wdrożenia przez DG DIGIT w ciągu trzech tygodni infrastruktury opartej na podejściu zerowego zaufania;</w:t>
            </w:r>
          </w:p>
        </w:tc>
        <w:tc>
          <w:tcPr>
            <w:tcW w:w="4876" w:type="dxa"/>
            <w:tcBorders>
              <w:top w:val="nil"/>
              <w:left w:val="nil"/>
              <w:bottom w:val="nil"/>
              <w:right w:val="nil"/>
            </w:tcBorders>
          </w:tcPr>
          <w:p w14:paraId="2619F14C" w14:textId="77777777" w:rsidR="001D5F6D" w:rsidRPr="00641BDE" w:rsidRDefault="001D5F6D" w:rsidP="007C1C97">
            <w:pPr>
              <w:pStyle w:val="Normal6a"/>
            </w:pPr>
            <w:r w:rsidRPr="00641BDE">
              <w:t>57.</w:t>
            </w:r>
            <w:r w:rsidRPr="00641BDE">
              <w:tab/>
              <w:t xml:space="preserve">zauważa, że w czerwcu 2024 r. CEPOL padł ofiarą poważnego cyberataku, który wpłynął na wszystkie obszary działalności i doprowadził do odwołania 10 stacjonarnych działań szkoleniowych oraz zawieszenia wszystkich szkoleń online do końca roku; zauważa ponadto, że incydent ten nie tylko zakłócił działalność operacyjną CEPOL-u, lecz także spowodował dodatkowe nieplanowane wydatki związane z reakcją na ten incydent, odzyskiwaniem systemów i wzmocnieniem środków </w:t>
            </w:r>
            <w:proofErr w:type="spellStart"/>
            <w:r w:rsidRPr="00641BDE">
              <w:t>cyberbezpieczeństwa</w:t>
            </w:r>
            <w:proofErr w:type="spellEnd"/>
            <w:r w:rsidRPr="00641BDE">
              <w:t xml:space="preserve">; jest świadomy, że atak ten skłonił do wszczęcia postępowania karnego wspieranego przez CERT-UE i Europol; zwraca uwagę na zalecenie CERT-UE dotyczące odbudowy infrastruktury, co doprowadziło do wdrożenia przez DG DIGIT w ciągu trzech tygodni infrastruktury opartej na podejściu zerowego zaufania; </w:t>
            </w:r>
            <w:r w:rsidRPr="00641BDE">
              <w:rPr>
                <w:b/>
                <w:i/>
              </w:rPr>
              <w:t xml:space="preserve">podkreśla, że awarie w obszarze </w:t>
            </w:r>
            <w:proofErr w:type="spellStart"/>
            <w:r w:rsidRPr="00641BDE">
              <w:rPr>
                <w:b/>
                <w:i/>
              </w:rPr>
              <w:t>cyberbezpieczeństwa</w:t>
            </w:r>
            <w:proofErr w:type="spellEnd"/>
            <w:r w:rsidRPr="00641BDE">
              <w:rPr>
                <w:b/>
                <w:i/>
              </w:rPr>
              <w:t xml:space="preserve"> stanowią dla agencji nie tylko ryzyko operacyjne, ale również ryzyko utraty reputacji i ryzyko prawne; apeluje o wiążące minimalne normy </w:t>
            </w:r>
            <w:proofErr w:type="spellStart"/>
            <w:r w:rsidRPr="00641BDE">
              <w:rPr>
                <w:b/>
                <w:i/>
              </w:rPr>
              <w:t>cyberbezpieczeństwa</w:t>
            </w:r>
            <w:proofErr w:type="spellEnd"/>
            <w:r w:rsidRPr="00641BDE">
              <w:rPr>
                <w:b/>
                <w:i/>
              </w:rPr>
              <w:t xml:space="preserve"> oraz odpowiednie, stabilne finansowanie, aby zapewnić ich skuteczne wdrożenie;</w:t>
            </w:r>
          </w:p>
        </w:tc>
      </w:tr>
    </w:tbl>
    <w:p w14:paraId="6A7F43E1"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F5C0D72" w14:textId="77777777" w:rsidR="001D5F6D" w:rsidRPr="00641BDE" w:rsidRDefault="001D5F6D" w:rsidP="001D5F6D">
      <w:r w:rsidRPr="00641BDE">
        <w:rPr>
          <w:rStyle w:val="HideTWBExt"/>
        </w:rPr>
        <w:t>&lt;/Amend&gt;</w:t>
      </w:r>
    </w:p>
    <w:p w14:paraId="15FC0FB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100</w:t>
      </w:r>
      <w:r w:rsidRPr="00641BDE">
        <w:rPr>
          <w:rStyle w:val="HideTWBExt"/>
          <w:b w:val="0"/>
        </w:rPr>
        <w:t>&lt;/NumAm&gt;</w:t>
      </w:r>
    </w:p>
    <w:p w14:paraId="01F2F8C2"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613DDCD4" w14:textId="77777777" w:rsidR="001D5F6D" w:rsidRPr="00641BDE" w:rsidRDefault="001D5F6D" w:rsidP="001D5F6D">
      <w:pPr>
        <w:pStyle w:val="NormalBold"/>
      </w:pPr>
      <w:r w:rsidRPr="00641BDE">
        <w:rPr>
          <w:rStyle w:val="HideTWBExt"/>
          <w:b w:val="0"/>
        </w:rPr>
        <w:t>&lt;/RepeatBlock-By&gt;</w:t>
      </w:r>
    </w:p>
    <w:p w14:paraId="1D4D8D4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330D818" w14:textId="77777777" w:rsidR="001D5F6D" w:rsidRPr="00641BDE" w:rsidRDefault="001D5F6D" w:rsidP="001D5F6D">
      <w:pPr>
        <w:pStyle w:val="NormalBold"/>
      </w:pPr>
      <w:r w:rsidRPr="00641BDE">
        <w:rPr>
          <w:rStyle w:val="HideTWBExt"/>
          <w:b w:val="0"/>
        </w:rPr>
        <w:t>&lt;Article&gt;</w:t>
      </w:r>
      <w:r w:rsidRPr="00641BDE">
        <w:t>Ustęp 57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BA80CCC" w14:textId="77777777" w:rsidTr="007C1C97">
        <w:trPr>
          <w:trHeight w:hRule="exact" w:val="240"/>
          <w:jc w:val="center"/>
        </w:trPr>
        <w:tc>
          <w:tcPr>
            <w:tcW w:w="9752" w:type="dxa"/>
            <w:gridSpan w:val="2"/>
            <w:tcBorders>
              <w:top w:val="nil"/>
              <w:left w:val="nil"/>
              <w:bottom w:val="nil"/>
              <w:right w:val="nil"/>
            </w:tcBorders>
          </w:tcPr>
          <w:p w14:paraId="43DEF69F" w14:textId="77777777" w:rsidR="001D5F6D" w:rsidRPr="00641BDE" w:rsidRDefault="001D5F6D" w:rsidP="007C1C97"/>
        </w:tc>
      </w:tr>
      <w:tr w:rsidR="001D5F6D" w:rsidRPr="00641BDE" w14:paraId="6638C8DA" w14:textId="77777777" w:rsidTr="007C1C97">
        <w:trPr>
          <w:trHeight w:val="240"/>
          <w:jc w:val="center"/>
        </w:trPr>
        <w:tc>
          <w:tcPr>
            <w:tcW w:w="4876" w:type="dxa"/>
            <w:tcBorders>
              <w:top w:val="nil"/>
              <w:left w:val="nil"/>
              <w:bottom w:val="nil"/>
              <w:right w:val="nil"/>
            </w:tcBorders>
          </w:tcPr>
          <w:p w14:paraId="58FFE28C"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BA2F909" w14:textId="77777777" w:rsidR="001D5F6D" w:rsidRPr="00641BDE" w:rsidRDefault="001D5F6D" w:rsidP="007C1C97">
            <w:pPr>
              <w:pStyle w:val="AmColumnHeading"/>
            </w:pPr>
            <w:r w:rsidRPr="00641BDE">
              <w:t>Poprawka</w:t>
            </w:r>
          </w:p>
        </w:tc>
      </w:tr>
      <w:tr w:rsidR="001D5F6D" w:rsidRPr="00641BDE" w14:paraId="18F74CC2" w14:textId="77777777" w:rsidTr="007C1C97">
        <w:trPr>
          <w:jc w:val="center"/>
        </w:trPr>
        <w:tc>
          <w:tcPr>
            <w:tcW w:w="4876" w:type="dxa"/>
            <w:tcBorders>
              <w:top w:val="nil"/>
              <w:left w:val="nil"/>
              <w:bottom w:val="nil"/>
              <w:right w:val="nil"/>
            </w:tcBorders>
          </w:tcPr>
          <w:p w14:paraId="2B7E3354" w14:textId="77777777" w:rsidR="001D5F6D" w:rsidRPr="00641BDE" w:rsidRDefault="001D5F6D" w:rsidP="007C1C97">
            <w:pPr>
              <w:pStyle w:val="Normal6a"/>
            </w:pPr>
          </w:p>
        </w:tc>
        <w:tc>
          <w:tcPr>
            <w:tcW w:w="4876" w:type="dxa"/>
            <w:tcBorders>
              <w:top w:val="nil"/>
              <w:left w:val="nil"/>
              <w:bottom w:val="nil"/>
              <w:right w:val="nil"/>
            </w:tcBorders>
          </w:tcPr>
          <w:p w14:paraId="2383F914" w14:textId="77777777" w:rsidR="001D5F6D" w:rsidRPr="00641BDE" w:rsidRDefault="001D5F6D" w:rsidP="007C1C97">
            <w:pPr>
              <w:pStyle w:val="Normal6a"/>
            </w:pPr>
            <w:r w:rsidRPr="00641BDE">
              <w:rPr>
                <w:b/>
                <w:i/>
              </w:rPr>
              <w:t>57a.</w:t>
            </w:r>
            <w:r w:rsidRPr="00641BDE">
              <w:tab/>
            </w:r>
            <w:r w:rsidRPr="00641BDE">
              <w:rPr>
                <w:b/>
                <w:i/>
              </w:rPr>
              <w:t>odnotowuje fakt ogólnego spadku liczby szkoleń w 2024 r. i podkreśla, że zasoby CEPOL-u powinny być wykorzystywane przede wszystkim na szkolenia operacyjne i techniczne bezpośrednio związane z egzekwowaniem prawa; przypomina, że mandat CEPOL-u obejmuje zacieśnianie współpracy policyjnej, zwiększanie zdolności dochodzeniowych i zapobieganie przestępczości transgranicznej, a nie angażowanie się w tematyczne lub ideologiczne programy szkoleniowe;</w:t>
            </w:r>
          </w:p>
        </w:tc>
      </w:tr>
    </w:tbl>
    <w:p w14:paraId="624875CE"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10DC5D0B" w14:textId="77777777" w:rsidR="001D5F6D" w:rsidRPr="00641BDE" w:rsidRDefault="001D5F6D" w:rsidP="001D5F6D">
      <w:r w:rsidRPr="00641BDE">
        <w:rPr>
          <w:rStyle w:val="HideTWBExt"/>
        </w:rPr>
        <w:t>&lt;/Amend&gt;</w:t>
      </w:r>
    </w:p>
    <w:p w14:paraId="6766D49B"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101</w:t>
      </w:r>
      <w:r w:rsidRPr="00641BDE">
        <w:rPr>
          <w:rStyle w:val="HideTWBExt"/>
          <w:b w:val="0"/>
        </w:rPr>
        <w:t>&lt;/NumAm&gt;</w:t>
      </w:r>
    </w:p>
    <w:p w14:paraId="6EF72927"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1AF2BE1F"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6D7475F6" w14:textId="77777777" w:rsidR="001D5F6D" w:rsidRPr="00641BDE" w:rsidRDefault="001D5F6D" w:rsidP="001D5F6D">
      <w:pPr>
        <w:pStyle w:val="NormalBold"/>
      </w:pPr>
      <w:r w:rsidRPr="00641BDE">
        <w:rPr>
          <w:rStyle w:val="HideTWBExt"/>
          <w:b w:val="0"/>
        </w:rPr>
        <w:t>&lt;/RepeatBlock-By&gt;</w:t>
      </w:r>
    </w:p>
    <w:p w14:paraId="27DE623E"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96BB260" w14:textId="77777777" w:rsidR="001D5F6D" w:rsidRPr="00641BDE" w:rsidRDefault="001D5F6D" w:rsidP="001D5F6D">
      <w:pPr>
        <w:pStyle w:val="NormalBold"/>
      </w:pPr>
      <w:r w:rsidRPr="00641BDE">
        <w:rPr>
          <w:rStyle w:val="HideTWBExt"/>
          <w:b w:val="0"/>
        </w:rPr>
        <w:t>&lt;Article&gt;</w:t>
      </w:r>
      <w:r w:rsidRPr="00641BDE">
        <w:t>Ustęp 57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3587E63" w14:textId="77777777" w:rsidTr="007C1C97">
        <w:trPr>
          <w:trHeight w:hRule="exact" w:val="240"/>
          <w:jc w:val="center"/>
        </w:trPr>
        <w:tc>
          <w:tcPr>
            <w:tcW w:w="9752" w:type="dxa"/>
            <w:gridSpan w:val="2"/>
            <w:tcBorders>
              <w:top w:val="nil"/>
              <w:left w:val="nil"/>
              <w:bottom w:val="nil"/>
              <w:right w:val="nil"/>
            </w:tcBorders>
          </w:tcPr>
          <w:p w14:paraId="53A6DC26" w14:textId="77777777" w:rsidR="001D5F6D" w:rsidRPr="00641BDE" w:rsidRDefault="001D5F6D" w:rsidP="007C1C97"/>
        </w:tc>
      </w:tr>
      <w:tr w:rsidR="001D5F6D" w:rsidRPr="00641BDE" w14:paraId="4633AC12" w14:textId="77777777" w:rsidTr="007C1C97">
        <w:trPr>
          <w:trHeight w:val="240"/>
          <w:jc w:val="center"/>
        </w:trPr>
        <w:tc>
          <w:tcPr>
            <w:tcW w:w="4876" w:type="dxa"/>
            <w:tcBorders>
              <w:top w:val="nil"/>
              <w:left w:val="nil"/>
              <w:bottom w:val="nil"/>
              <w:right w:val="nil"/>
            </w:tcBorders>
          </w:tcPr>
          <w:p w14:paraId="34F57AF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87B8896" w14:textId="77777777" w:rsidR="001D5F6D" w:rsidRPr="00641BDE" w:rsidRDefault="001D5F6D" w:rsidP="007C1C97">
            <w:pPr>
              <w:pStyle w:val="AmColumnHeading"/>
            </w:pPr>
            <w:r w:rsidRPr="00641BDE">
              <w:t>Poprawka</w:t>
            </w:r>
          </w:p>
        </w:tc>
      </w:tr>
      <w:tr w:rsidR="001D5F6D" w:rsidRPr="00641BDE" w14:paraId="0AB15543" w14:textId="77777777" w:rsidTr="007C1C97">
        <w:trPr>
          <w:jc w:val="center"/>
        </w:trPr>
        <w:tc>
          <w:tcPr>
            <w:tcW w:w="4876" w:type="dxa"/>
            <w:tcBorders>
              <w:top w:val="nil"/>
              <w:left w:val="nil"/>
              <w:bottom w:val="nil"/>
              <w:right w:val="nil"/>
            </w:tcBorders>
          </w:tcPr>
          <w:p w14:paraId="475D169D" w14:textId="77777777" w:rsidR="001D5F6D" w:rsidRPr="00641BDE" w:rsidRDefault="001D5F6D" w:rsidP="007C1C97">
            <w:pPr>
              <w:pStyle w:val="Normal6a"/>
            </w:pPr>
          </w:p>
        </w:tc>
        <w:tc>
          <w:tcPr>
            <w:tcW w:w="4876" w:type="dxa"/>
            <w:tcBorders>
              <w:top w:val="nil"/>
              <w:left w:val="nil"/>
              <w:bottom w:val="nil"/>
              <w:right w:val="nil"/>
            </w:tcBorders>
          </w:tcPr>
          <w:p w14:paraId="59396A56" w14:textId="77777777" w:rsidR="001D5F6D" w:rsidRPr="00641BDE" w:rsidRDefault="001D5F6D" w:rsidP="007C1C97">
            <w:pPr>
              <w:pStyle w:val="Normal6a"/>
            </w:pPr>
            <w:r w:rsidRPr="00641BDE">
              <w:rPr>
                <w:b/>
                <w:i/>
              </w:rPr>
              <w:t>57a.</w:t>
            </w:r>
            <w:r w:rsidRPr="00641BDE">
              <w:tab/>
            </w:r>
            <w:r w:rsidRPr="00641BDE">
              <w:rPr>
                <w:b/>
                <w:i/>
              </w:rPr>
              <w:t>podkreśla, że gdy agencje działają poza terytorium Unii lub współpracują z organami państw trzecich, pozostają w pełni związane prawem Unii, w tym obowiązkami w zakresie praw podstawowych, wymogami w zakresie przejrzystości i standardami rozliczalności; wzywa Komisję do dopilnowania, aby umowy o współpracy, ustalenia operacyjne i ramy wymiany danych obejmowały możliwe do wyegzekwowania zabezpieczenia, mechanizmy monitorowania i jasne obowiązki sprawozdawcze wobec organu udzielającego absolutorium;</w:t>
            </w:r>
          </w:p>
        </w:tc>
      </w:tr>
    </w:tbl>
    <w:p w14:paraId="5020B405"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1A70500" w14:textId="77777777" w:rsidR="001D5F6D" w:rsidRPr="00641BDE" w:rsidRDefault="001D5F6D" w:rsidP="001D5F6D">
      <w:r w:rsidRPr="00641BDE">
        <w:rPr>
          <w:rStyle w:val="HideTWBExt"/>
        </w:rPr>
        <w:t>&lt;/Amend&gt;</w:t>
      </w:r>
    </w:p>
    <w:p w14:paraId="744F2E8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102</w:t>
      </w:r>
      <w:r w:rsidRPr="00641BDE">
        <w:rPr>
          <w:rStyle w:val="HideTWBExt"/>
          <w:b w:val="0"/>
        </w:rPr>
        <w:t>&lt;/NumAm&gt;</w:t>
      </w:r>
    </w:p>
    <w:p w14:paraId="1CB9ACCB"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1A26AC02" w14:textId="77777777" w:rsidR="001D5F6D" w:rsidRPr="00641BDE" w:rsidRDefault="001D5F6D" w:rsidP="001D5F6D">
      <w:pPr>
        <w:pStyle w:val="NormalBold"/>
      </w:pPr>
      <w:r w:rsidRPr="00641BDE">
        <w:rPr>
          <w:rStyle w:val="HideTWBExt"/>
          <w:b w:val="0"/>
        </w:rPr>
        <w:t>&lt;/RepeatBlock-By&gt;</w:t>
      </w:r>
    </w:p>
    <w:p w14:paraId="58A18E6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8E12923" w14:textId="77777777" w:rsidR="001D5F6D" w:rsidRPr="00641BDE" w:rsidRDefault="001D5F6D" w:rsidP="001D5F6D">
      <w:pPr>
        <w:pStyle w:val="NormalBold"/>
      </w:pPr>
      <w:r w:rsidRPr="00641BDE">
        <w:rPr>
          <w:rStyle w:val="HideTWBExt"/>
          <w:b w:val="0"/>
        </w:rPr>
        <w:t>&lt;Article&gt;</w:t>
      </w:r>
      <w:r w:rsidRPr="00641BDE">
        <w:t>Ustęp 58</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AA969E4" w14:textId="77777777" w:rsidTr="007C1C97">
        <w:trPr>
          <w:trHeight w:hRule="exact" w:val="240"/>
          <w:jc w:val="center"/>
        </w:trPr>
        <w:tc>
          <w:tcPr>
            <w:tcW w:w="9752" w:type="dxa"/>
            <w:gridSpan w:val="2"/>
            <w:tcBorders>
              <w:top w:val="nil"/>
              <w:left w:val="nil"/>
              <w:bottom w:val="nil"/>
              <w:right w:val="nil"/>
            </w:tcBorders>
          </w:tcPr>
          <w:p w14:paraId="00F3F923" w14:textId="77777777" w:rsidR="001D5F6D" w:rsidRPr="00641BDE" w:rsidRDefault="001D5F6D" w:rsidP="007C1C97"/>
        </w:tc>
      </w:tr>
      <w:tr w:rsidR="001D5F6D" w:rsidRPr="00641BDE" w14:paraId="55F20B0B" w14:textId="77777777" w:rsidTr="007C1C97">
        <w:trPr>
          <w:trHeight w:val="240"/>
          <w:jc w:val="center"/>
        </w:trPr>
        <w:tc>
          <w:tcPr>
            <w:tcW w:w="4876" w:type="dxa"/>
            <w:tcBorders>
              <w:top w:val="nil"/>
              <w:left w:val="nil"/>
              <w:bottom w:val="nil"/>
              <w:right w:val="nil"/>
            </w:tcBorders>
          </w:tcPr>
          <w:p w14:paraId="40500FD2"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A7BAEE9" w14:textId="77777777" w:rsidR="001D5F6D" w:rsidRPr="00641BDE" w:rsidRDefault="001D5F6D" w:rsidP="007C1C97">
            <w:pPr>
              <w:pStyle w:val="AmColumnHeading"/>
            </w:pPr>
            <w:r w:rsidRPr="00641BDE">
              <w:t>Poprawka</w:t>
            </w:r>
          </w:p>
        </w:tc>
      </w:tr>
      <w:tr w:rsidR="001D5F6D" w:rsidRPr="00641BDE" w14:paraId="2CAD3CD6" w14:textId="77777777" w:rsidTr="007C1C97">
        <w:trPr>
          <w:jc w:val="center"/>
        </w:trPr>
        <w:tc>
          <w:tcPr>
            <w:tcW w:w="4876" w:type="dxa"/>
            <w:tcBorders>
              <w:top w:val="nil"/>
              <w:left w:val="nil"/>
              <w:bottom w:val="nil"/>
              <w:right w:val="nil"/>
            </w:tcBorders>
          </w:tcPr>
          <w:p w14:paraId="419E7C23" w14:textId="607CB4AF" w:rsidR="001D5F6D" w:rsidRPr="00641BDE" w:rsidRDefault="001D5F6D" w:rsidP="007C1C97">
            <w:pPr>
              <w:pStyle w:val="Normal6a"/>
            </w:pPr>
            <w:r w:rsidRPr="00641BDE">
              <w:t>58.</w:t>
            </w:r>
            <w:r w:rsidRPr="00641BDE">
              <w:tab/>
              <w:t xml:space="preserve">przypomina, że rozporządzenie (UE, </w:t>
            </w:r>
            <w:proofErr w:type="spellStart"/>
            <w:r w:rsidRPr="00641BDE">
              <w:t>Euratom</w:t>
            </w:r>
            <w:proofErr w:type="spellEnd"/>
            <w:r w:rsidRPr="00641BDE">
              <w:t>) 2023/284</w:t>
            </w:r>
            <w:r w:rsidRPr="00641BDE">
              <w:rPr>
                <w:vertAlign w:val="superscript"/>
              </w:rPr>
              <w:t>16</w:t>
            </w:r>
            <w:r w:rsidRPr="00641BDE">
              <w:t xml:space="preserve"> ustanawia wiążące i ambitne ramy </w:t>
            </w:r>
            <w:proofErr w:type="spellStart"/>
            <w:r w:rsidRPr="00641BDE">
              <w:t>cyberbezpieczeństwa</w:t>
            </w:r>
            <w:proofErr w:type="spellEnd"/>
            <w:r w:rsidRPr="00641BDE">
              <w:t xml:space="preserve"> dla wszystkich agencji zdecentralizowanych, obejmujące przyjęcie kompleksowego systemu zarządzania ryzykiem w zakresie </w:t>
            </w:r>
            <w:proofErr w:type="spellStart"/>
            <w:r w:rsidRPr="00641BDE">
              <w:t>cyberbezpieczeństwa</w:t>
            </w:r>
            <w:proofErr w:type="spellEnd"/>
            <w:r w:rsidRPr="00641BDE">
              <w:t xml:space="preserve">, wdrożenie solidnych środków technicznych i organizacyjnych we wszystkich środowiskach ICT, stopniowe przechodzenie na architekturę zerowego zaufania, zacieśnioną współpracę z CERT-UE oraz rygorystyczne obowiązki związane ze zgłaszaniem incydentów; zauważa, że spełnienie kilku z tych kluczowych wymogów pozostaje wyzwaniem z uwagi na nierówne obecnie poziomy gotowości poszczególnych agencji; podkreśla, że </w:t>
            </w:r>
            <w:r w:rsidRPr="00641BDE">
              <w:rPr>
                <w:b/>
                <w:i/>
              </w:rPr>
              <w:t>wszystkie agencje muszą wyci</w:t>
            </w:r>
            <w:r w:rsidR="00641BDE">
              <w:rPr>
                <w:b/>
                <w:i/>
              </w:rPr>
              <w:t>ą</w:t>
            </w:r>
            <w:r w:rsidRPr="00641BDE">
              <w:rPr>
                <w:b/>
                <w:i/>
              </w:rPr>
              <w:t>gną</w:t>
            </w:r>
            <w:r w:rsidR="00641BDE">
              <w:rPr>
                <w:b/>
                <w:i/>
              </w:rPr>
              <w:t>ć</w:t>
            </w:r>
            <w:r w:rsidRPr="00641BDE">
              <w:rPr>
                <w:b/>
                <w:i/>
              </w:rPr>
              <w:t xml:space="preserve"> wnioski z cyberataku</w:t>
            </w:r>
            <w:r w:rsidRPr="00641BDE">
              <w:t xml:space="preserve"> na CEPOL </w:t>
            </w:r>
            <w:r w:rsidRPr="00641BDE">
              <w:rPr>
                <w:b/>
                <w:i/>
              </w:rPr>
              <w:t>i przyspieszyć wdrażanie</w:t>
            </w:r>
            <w:r w:rsidRPr="00641BDE">
              <w:t xml:space="preserve"> przepisów rozporządzenia dotyczących </w:t>
            </w:r>
            <w:proofErr w:type="spellStart"/>
            <w:r w:rsidRPr="00641BDE">
              <w:t>cyberbezpieczeństwa</w:t>
            </w:r>
            <w:proofErr w:type="spellEnd"/>
            <w:r w:rsidRPr="00641BDE">
              <w:t>;</w:t>
            </w:r>
          </w:p>
        </w:tc>
        <w:tc>
          <w:tcPr>
            <w:tcW w:w="4876" w:type="dxa"/>
            <w:tcBorders>
              <w:top w:val="nil"/>
              <w:left w:val="nil"/>
              <w:bottom w:val="nil"/>
              <w:right w:val="nil"/>
            </w:tcBorders>
          </w:tcPr>
          <w:p w14:paraId="780D2E11" w14:textId="77777777" w:rsidR="001D5F6D" w:rsidRPr="00641BDE" w:rsidRDefault="001D5F6D" w:rsidP="007C1C97">
            <w:pPr>
              <w:pStyle w:val="Normal6a"/>
            </w:pPr>
            <w:r w:rsidRPr="00641BDE">
              <w:t>58.</w:t>
            </w:r>
            <w:r w:rsidRPr="00641BDE">
              <w:tab/>
              <w:t xml:space="preserve">przypomina, że rozporządzenie (UE, </w:t>
            </w:r>
            <w:proofErr w:type="spellStart"/>
            <w:r w:rsidRPr="00641BDE">
              <w:t>Euratom</w:t>
            </w:r>
            <w:proofErr w:type="spellEnd"/>
            <w:r w:rsidRPr="00641BDE">
              <w:t>) 2023/284</w:t>
            </w:r>
            <w:r w:rsidRPr="00641BDE">
              <w:rPr>
                <w:vertAlign w:val="superscript"/>
              </w:rPr>
              <w:t>16</w:t>
            </w:r>
            <w:r w:rsidRPr="00641BDE">
              <w:t xml:space="preserve"> ustanawia wiążące i ambitne ramy </w:t>
            </w:r>
            <w:proofErr w:type="spellStart"/>
            <w:r w:rsidRPr="00641BDE">
              <w:t>cyberbezpieczeństwa</w:t>
            </w:r>
            <w:proofErr w:type="spellEnd"/>
            <w:r w:rsidRPr="00641BDE">
              <w:t xml:space="preserve"> dla wszystkich agencji zdecentralizowanych, obejmujące przyjęcie kompleksowego systemu zarządzania ryzykiem w zakresie </w:t>
            </w:r>
            <w:proofErr w:type="spellStart"/>
            <w:r w:rsidRPr="00641BDE">
              <w:t>cyberbezpieczeństwa</w:t>
            </w:r>
            <w:proofErr w:type="spellEnd"/>
            <w:r w:rsidRPr="00641BDE">
              <w:t xml:space="preserve">, wdrożenie solidnych środków technicznych i organizacyjnych we wszystkich środowiskach ICT, stopniowe przechodzenie na architekturę zerowego zaufania, zacieśnioną współpracę z CERT-UE oraz rygorystyczne obowiązki związane ze zgłaszaniem incydentów; zauważa, że spełnienie kilku z tych kluczowych wymogów pozostaje wyzwaniem z uwagi na nierówne obecnie poziomy gotowości poszczególnych agencji; podkreśla, że </w:t>
            </w:r>
            <w:proofErr w:type="spellStart"/>
            <w:r w:rsidRPr="00641BDE">
              <w:rPr>
                <w:b/>
                <w:i/>
              </w:rPr>
              <w:t>cyberincydent</w:t>
            </w:r>
            <w:proofErr w:type="spellEnd"/>
            <w:r w:rsidRPr="00641BDE">
              <w:rPr>
                <w:b/>
                <w:i/>
              </w:rPr>
              <w:t xml:space="preserve"> mający wpływ</w:t>
            </w:r>
            <w:r w:rsidRPr="00641BDE">
              <w:t xml:space="preserve"> na CEPOL </w:t>
            </w:r>
            <w:r w:rsidRPr="00641BDE">
              <w:rPr>
                <w:b/>
                <w:i/>
              </w:rPr>
              <w:t>pokazuje systemową podatność agencji przetwarzających dane wrażliwe; apeluje o szybsze wdrożenie we wszystkich agencjach</w:t>
            </w:r>
            <w:r w:rsidRPr="00641BDE">
              <w:t xml:space="preserve"> przepisów rozporządzenia </w:t>
            </w:r>
            <w:r w:rsidRPr="00641BDE">
              <w:rPr>
                <w:b/>
                <w:i/>
              </w:rPr>
              <w:t xml:space="preserve">(UE, </w:t>
            </w:r>
            <w:proofErr w:type="spellStart"/>
            <w:r w:rsidRPr="00641BDE">
              <w:rPr>
                <w:b/>
                <w:i/>
              </w:rPr>
              <w:t>Euratom</w:t>
            </w:r>
            <w:proofErr w:type="spellEnd"/>
            <w:r w:rsidRPr="00641BDE">
              <w:rPr>
                <w:b/>
                <w:i/>
              </w:rPr>
              <w:t>) 2023/284</w:t>
            </w:r>
            <w:r w:rsidRPr="00641BDE">
              <w:t xml:space="preserve"> dotyczących </w:t>
            </w:r>
            <w:proofErr w:type="spellStart"/>
            <w:r w:rsidRPr="00641BDE">
              <w:t>cyberbezpieczeństwa</w:t>
            </w:r>
            <w:proofErr w:type="spellEnd"/>
            <w:r w:rsidRPr="00641BDE">
              <w:t xml:space="preserve"> </w:t>
            </w:r>
            <w:r w:rsidRPr="00641BDE">
              <w:rPr>
                <w:b/>
                <w:i/>
              </w:rPr>
              <w:t>oraz o regularne poddawanie systemów informatycznych i systemów ciągłości działania agencji testom warunków skrajnych</w:t>
            </w:r>
            <w:r w:rsidRPr="00641BDE">
              <w:t>;</w:t>
            </w:r>
          </w:p>
        </w:tc>
      </w:tr>
      <w:tr w:rsidR="001D5F6D" w:rsidRPr="00641BDE" w14:paraId="4D958A61" w14:textId="77777777" w:rsidTr="007C1C97">
        <w:trPr>
          <w:jc w:val="center"/>
        </w:trPr>
        <w:tc>
          <w:tcPr>
            <w:tcW w:w="4876" w:type="dxa"/>
            <w:tcBorders>
              <w:top w:val="nil"/>
              <w:left w:val="nil"/>
              <w:bottom w:val="nil"/>
              <w:right w:val="nil"/>
            </w:tcBorders>
          </w:tcPr>
          <w:p w14:paraId="0D039E8F" w14:textId="77777777" w:rsidR="001D5F6D" w:rsidRPr="00641BDE" w:rsidRDefault="001D5F6D" w:rsidP="007C1C97">
            <w:pPr>
              <w:pStyle w:val="Normal6a"/>
            </w:pPr>
            <w:r w:rsidRPr="00641BDE">
              <w:rPr>
                <w:b/>
                <w:i/>
              </w:rPr>
              <w:t>_________________</w:t>
            </w:r>
          </w:p>
        </w:tc>
        <w:tc>
          <w:tcPr>
            <w:tcW w:w="4876" w:type="dxa"/>
            <w:tcBorders>
              <w:top w:val="nil"/>
              <w:left w:val="nil"/>
              <w:bottom w:val="nil"/>
              <w:right w:val="nil"/>
            </w:tcBorders>
          </w:tcPr>
          <w:p w14:paraId="5EE68BFE" w14:textId="77777777" w:rsidR="001D5F6D" w:rsidRPr="00641BDE" w:rsidRDefault="001D5F6D" w:rsidP="007C1C97">
            <w:pPr>
              <w:pStyle w:val="Normal6a"/>
            </w:pPr>
            <w:r w:rsidRPr="00641BDE">
              <w:rPr>
                <w:b/>
                <w:i/>
              </w:rPr>
              <w:t>_________________</w:t>
            </w:r>
          </w:p>
        </w:tc>
      </w:tr>
      <w:tr w:rsidR="001D5F6D" w:rsidRPr="00641BDE" w14:paraId="4B790B45" w14:textId="77777777" w:rsidTr="007C1C97">
        <w:trPr>
          <w:jc w:val="center"/>
        </w:trPr>
        <w:tc>
          <w:tcPr>
            <w:tcW w:w="4876" w:type="dxa"/>
            <w:tcBorders>
              <w:top w:val="nil"/>
              <w:left w:val="nil"/>
              <w:bottom w:val="nil"/>
              <w:right w:val="nil"/>
            </w:tcBorders>
          </w:tcPr>
          <w:p w14:paraId="7CEA95C8" w14:textId="77777777" w:rsidR="001D5F6D" w:rsidRPr="00641BDE" w:rsidRDefault="001D5F6D" w:rsidP="007C1C97">
            <w:pPr>
              <w:pStyle w:val="Normal6a"/>
            </w:pPr>
            <w:r w:rsidRPr="00641BDE">
              <w:rPr>
                <w:vertAlign w:val="superscript"/>
              </w:rPr>
              <w:t>16</w:t>
            </w:r>
            <w:r w:rsidRPr="00641BDE">
              <w:t xml:space="preserve"> Rozporządzenie Parlamentu Europejskiego i Rady (UE, </w:t>
            </w:r>
            <w:proofErr w:type="spellStart"/>
            <w:r w:rsidRPr="00641BDE">
              <w:t>Euratom</w:t>
            </w:r>
            <w:proofErr w:type="spellEnd"/>
            <w:r w:rsidRPr="00641BDE">
              <w:t xml:space="preserve">) 2023/2841 z dnia 13 grudnia 2023 r. w sprawie ustanowienia środków na rzecz wysokiego wspólnego poziomu </w:t>
            </w:r>
            <w:proofErr w:type="spellStart"/>
            <w:r w:rsidRPr="00641BDE">
              <w:t>cyberbezpieczeństwa</w:t>
            </w:r>
            <w:proofErr w:type="spellEnd"/>
            <w:r w:rsidRPr="00641BDE">
              <w:t xml:space="preserve"> w instytucjach, organach i jednostkach organizacyjnych Unii (Dz.U. L, 2023/2841, 18.12.2023, ELI: http://data.europa.eu/eli/reg/2023/2841/oj).</w:t>
            </w:r>
          </w:p>
        </w:tc>
        <w:tc>
          <w:tcPr>
            <w:tcW w:w="4876" w:type="dxa"/>
            <w:tcBorders>
              <w:top w:val="nil"/>
              <w:left w:val="nil"/>
              <w:bottom w:val="nil"/>
              <w:right w:val="nil"/>
            </w:tcBorders>
          </w:tcPr>
          <w:p w14:paraId="4E812519" w14:textId="77777777" w:rsidR="001D5F6D" w:rsidRPr="00641BDE" w:rsidRDefault="001D5F6D" w:rsidP="007C1C97">
            <w:pPr>
              <w:pStyle w:val="Normal6a"/>
            </w:pPr>
            <w:r w:rsidRPr="00641BDE">
              <w:rPr>
                <w:vertAlign w:val="superscript"/>
              </w:rPr>
              <w:t>16</w:t>
            </w:r>
            <w:r w:rsidRPr="00641BDE">
              <w:t xml:space="preserve"> Rozporządzenie Parlamentu Europejskiego i Rady (UE, </w:t>
            </w:r>
            <w:proofErr w:type="spellStart"/>
            <w:r w:rsidRPr="00641BDE">
              <w:t>Euratom</w:t>
            </w:r>
            <w:proofErr w:type="spellEnd"/>
            <w:r w:rsidRPr="00641BDE">
              <w:t xml:space="preserve">) 2023/2841 z dnia 13 grudnia 2023 r. w sprawie ustanowienia środków na rzecz wysokiego wspólnego poziomu </w:t>
            </w:r>
            <w:proofErr w:type="spellStart"/>
            <w:r w:rsidRPr="00641BDE">
              <w:t>cyberbezpieczeństwa</w:t>
            </w:r>
            <w:proofErr w:type="spellEnd"/>
            <w:r w:rsidRPr="00641BDE">
              <w:t xml:space="preserve"> w instytucjach, organach i jednostkach organizacyjnych Unii (Dz.U. L, 2023/2841, 18.12.2023, ELI: http://data.europa.eu/eli/reg/2023/2841/oj).</w:t>
            </w:r>
          </w:p>
        </w:tc>
      </w:tr>
    </w:tbl>
    <w:p w14:paraId="7DB23213"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8380534" w14:textId="77777777" w:rsidR="001D5F6D" w:rsidRPr="00641BDE" w:rsidRDefault="001D5F6D" w:rsidP="001D5F6D">
      <w:r w:rsidRPr="00641BDE">
        <w:rPr>
          <w:rStyle w:val="HideTWBExt"/>
        </w:rPr>
        <w:t>&lt;/Amend&gt;</w:t>
      </w:r>
    </w:p>
    <w:p w14:paraId="7C448E35"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103</w:t>
      </w:r>
      <w:r w:rsidRPr="00641BDE">
        <w:rPr>
          <w:rStyle w:val="HideTWBExt"/>
          <w:b w:val="0"/>
        </w:rPr>
        <w:t>&lt;/NumAm&gt;</w:t>
      </w:r>
    </w:p>
    <w:p w14:paraId="6D1093F8"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30096FBB" w14:textId="77777777" w:rsidR="001D5F6D" w:rsidRPr="00641BDE" w:rsidRDefault="001D5F6D" w:rsidP="001D5F6D">
      <w:pPr>
        <w:pStyle w:val="NormalBold"/>
      </w:pPr>
      <w:r w:rsidRPr="00641BDE">
        <w:rPr>
          <w:rStyle w:val="HideTWBExt"/>
          <w:b w:val="0"/>
        </w:rPr>
        <w:t>&lt;/RepeatBlock-By&gt;</w:t>
      </w:r>
    </w:p>
    <w:p w14:paraId="75101C4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61A4E67" w14:textId="77777777" w:rsidR="001D5F6D" w:rsidRPr="00641BDE" w:rsidRDefault="001D5F6D" w:rsidP="001D5F6D">
      <w:pPr>
        <w:pStyle w:val="NormalBold"/>
      </w:pPr>
      <w:r w:rsidRPr="00641BDE">
        <w:rPr>
          <w:rStyle w:val="HideTWBExt"/>
          <w:b w:val="0"/>
        </w:rPr>
        <w:t>&lt;Article&gt;</w:t>
      </w:r>
      <w:r w:rsidRPr="00641BDE">
        <w:t>Ustęp 58</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AF2AC62" w14:textId="77777777" w:rsidTr="007C1C97">
        <w:trPr>
          <w:trHeight w:hRule="exact" w:val="240"/>
          <w:jc w:val="center"/>
        </w:trPr>
        <w:tc>
          <w:tcPr>
            <w:tcW w:w="9752" w:type="dxa"/>
            <w:gridSpan w:val="2"/>
            <w:tcBorders>
              <w:top w:val="nil"/>
              <w:left w:val="nil"/>
              <w:bottom w:val="nil"/>
              <w:right w:val="nil"/>
            </w:tcBorders>
          </w:tcPr>
          <w:p w14:paraId="3A3E8149" w14:textId="77777777" w:rsidR="001D5F6D" w:rsidRPr="00641BDE" w:rsidRDefault="001D5F6D" w:rsidP="007C1C97"/>
        </w:tc>
      </w:tr>
      <w:tr w:rsidR="001D5F6D" w:rsidRPr="00641BDE" w14:paraId="3D775DFC" w14:textId="77777777" w:rsidTr="007C1C97">
        <w:trPr>
          <w:trHeight w:val="240"/>
          <w:jc w:val="center"/>
        </w:trPr>
        <w:tc>
          <w:tcPr>
            <w:tcW w:w="4876" w:type="dxa"/>
            <w:tcBorders>
              <w:top w:val="nil"/>
              <w:left w:val="nil"/>
              <w:bottom w:val="nil"/>
              <w:right w:val="nil"/>
            </w:tcBorders>
          </w:tcPr>
          <w:p w14:paraId="1ACBDD6E"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9FA96C9" w14:textId="77777777" w:rsidR="001D5F6D" w:rsidRPr="00641BDE" w:rsidRDefault="001D5F6D" w:rsidP="007C1C97">
            <w:pPr>
              <w:pStyle w:val="AmColumnHeading"/>
            </w:pPr>
            <w:r w:rsidRPr="00641BDE">
              <w:t>Poprawka</w:t>
            </w:r>
          </w:p>
        </w:tc>
      </w:tr>
      <w:tr w:rsidR="001D5F6D" w:rsidRPr="00641BDE" w14:paraId="5EBA6A94" w14:textId="77777777" w:rsidTr="007C1C97">
        <w:trPr>
          <w:jc w:val="center"/>
        </w:trPr>
        <w:tc>
          <w:tcPr>
            <w:tcW w:w="4876" w:type="dxa"/>
            <w:tcBorders>
              <w:top w:val="nil"/>
              <w:left w:val="nil"/>
              <w:bottom w:val="nil"/>
              <w:right w:val="nil"/>
            </w:tcBorders>
          </w:tcPr>
          <w:p w14:paraId="275D5288" w14:textId="77777777" w:rsidR="001D5F6D" w:rsidRPr="00641BDE" w:rsidRDefault="001D5F6D" w:rsidP="007C1C97">
            <w:pPr>
              <w:pStyle w:val="Normal6a"/>
            </w:pPr>
            <w:r w:rsidRPr="00641BDE">
              <w:t>58.</w:t>
            </w:r>
            <w:r w:rsidRPr="00641BDE">
              <w:tab/>
              <w:t xml:space="preserve">przypomina, że rozporządzenie (UE, </w:t>
            </w:r>
            <w:proofErr w:type="spellStart"/>
            <w:r w:rsidRPr="00641BDE">
              <w:t>Euratom</w:t>
            </w:r>
            <w:proofErr w:type="spellEnd"/>
            <w:r w:rsidRPr="00641BDE">
              <w:t>) 2023/284</w:t>
            </w:r>
            <w:r w:rsidRPr="00641BDE">
              <w:rPr>
                <w:vertAlign w:val="superscript"/>
              </w:rPr>
              <w:t>16</w:t>
            </w:r>
            <w:r w:rsidRPr="00641BDE">
              <w:t xml:space="preserve"> ustanawia wiążące i ambitne ramy </w:t>
            </w:r>
            <w:proofErr w:type="spellStart"/>
            <w:r w:rsidRPr="00641BDE">
              <w:t>cyberbezpieczeństwa</w:t>
            </w:r>
            <w:proofErr w:type="spellEnd"/>
            <w:r w:rsidRPr="00641BDE">
              <w:t xml:space="preserve"> dla wszystkich agencji zdecentralizowanych, obejmujące przyjęcie kompleksowego systemu zarządzania ryzykiem w zakresie </w:t>
            </w:r>
            <w:proofErr w:type="spellStart"/>
            <w:r w:rsidRPr="00641BDE">
              <w:t>cyberbezpieczeństwa</w:t>
            </w:r>
            <w:proofErr w:type="spellEnd"/>
            <w:r w:rsidRPr="00641BDE">
              <w:t xml:space="preserve">, wdrożenie solidnych środków technicznych i organizacyjnych we wszystkich środowiskach ICT, stopniowe przechodzenie na architekturę zerowego zaufania, zacieśnioną współpracę z CERT-UE oraz rygorystyczne obowiązki związane ze zgłaszaniem incydentów; zauważa, że spełnienie kilku z tych kluczowych wymogów pozostaje wyzwaniem z uwagi na nierówne obecnie poziomy gotowości poszczególnych agencji; podkreśla, że wszystkie agencje muszą </w:t>
            </w:r>
            <w:proofErr w:type="spellStart"/>
            <w:r w:rsidRPr="00641BDE">
              <w:rPr>
                <w:b/>
                <w:bCs/>
                <w:i/>
                <w:iCs/>
              </w:rPr>
              <w:t>wyciagną</w:t>
            </w:r>
            <w:proofErr w:type="spellEnd"/>
            <w:r w:rsidRPr="00641BDE">
              <w:t xml:space="preserve"> wnioski z cyberataku na CEPOL i przyspieszyć wdrażanie przepisów rozporządzenia dotyczących </w:t>
            </w:r>
            <w:proofErr w:type="spellStart"/>
            <w:r w:rsidRPr="00641BDE">
              <w:t>cyberbezpieczeństwa</w:t>
            </w:r>
            <w:proofErr w:type="spellEnd"/>
            <w:r w:rsidRPr="00641BDE">
              <w:t>;</w:t>
            </w:r>
          </w:p>
        </w:tc>
        <w:tc>
          <w:tcPr>
            <w:tcW w:w="4876" w:type="dxa"/>
            <w:tcBorders>
              <w:top w:val="nil"/>
              <w:left w:val="nil"/>
              <w:bottom w:val="nil"/>
              <w:right w:val="nil"/>
            </w:tcBorders>
          </w:tcPr>
          <w:p w14:paraId="4233F7E9" w14:textId="77777777" w:rsidR="001D5F6D" w:rsidRPr="00641BDE" w:rsidRDefault="001D5F6D" w:rsidP="007C1C97">
            <w:pPr>
              <w:pStyle w:val="Normal6a"/>
            </w:pPr>
            <w:r w:rsidRPr="00641BDE">
              <w:t>58.</w:t>
            </w:r>
            <w:r w:rsidRPr="00641BDE">
              <w:tab/>
              <w:t xml:space="preserve">przypomina, że rozporządzenie (UE, </w:t>
            </w:r>
            <w:proofErr w:type="spellStart"/>
            <w:r w:rsidRPr="00641BDE">
              <w:t>Euratom</w:t>
            </w:r>
            <w:proofErr w:type="spellEnd"/>
            <w:r w:rsidRPr="00641BDE">
              <w:t>) 2023/284</w:t>
            </w:r>
            <w:r w:rsidRPr="00641BDE">
              <w:rPr>
                <w:vertAlign w:val="superscript"/>
              </w:rPr>
              <w:t>16</w:t>
            </w:r>
            <w:r w:rsidRPr="00641BDE">
              <w:t xml:space="preserve"> ustanawia wiążące i ambitne ramy </w:t>
            </w:r>
            <w:proofErr w:type="spellStart"/>
            <w:r w:rsidRPr="00641BDE">
              <w:t>cyberbezpieczeństwa</w:t>
            </w:r>
            <w:proofErr w:type="spellEnd"/>
            <w:r w:rsidRPr="00641BDE">
              <w:t xml:space="preserve"> dla wszystkich agencji zdecentralizowanych, obejmujące przyjęcie kompleksowego systemu zarządzania ryzykiem w zakresie </w:t>
            </w:r>
            <w:proofErr w:type="spellStart"/>
            <w:r w:rsidRPr="00641BDE">
              <w:t>cyberbezpieczeństwa</w:t>
            </w:r>
            <w:proofErr w:type="spellEnd"/>
            <w:r w:rsidRPr="00641BDE">
              <w:t xml:space="preserve"> </w:t>
            </w:r>
            <w:r w:rsidRPr="00641BDE">
              <w:rPr>
                <w:b/>
                <w:i/>
              </w:rPr>
              <w:t>w odniesieniu do mechanizmów finansowych, platform operacyjnych i danych wrażliwych</w:t>
            </w:r>
            <w:r w:rsidRPr="00641BDE">
              <w:t xml:space="preserve">, </w:t>
            </w:r>
            <w:r w:rsidRPr="00641BDE">
              <w:rPr>
                <w:b/>
                <w:bCs/>
                <w:i/>
                <w:iCs/>
              </w:rPr>
              <w:t>a także</w:t>
            </w:r>
            <w:r w:rsidRPr="00641BDE">
              <w:t xml:space="preserve"> wdrożenie solidnych środków technicznych i organizacyjnych we wszystkich środowiskach ICT, stopniowe przechodzenie na architekturę zerowego zaufania, zacieśnioną współpracę z CERT-UE</w:t>
            </w:r>
            <w:r w:rsidRPr="00641BDE">
              <w:rPr>
                <w:b/>
                <w:i/>
              </w:rPr>
              <w:t>, DG DIGIT i innymi odpowiednimi organami międzyinstytucjonalnymi</w:t>
            </w:r>
            <w:r w:rsidRPr="00641BDE">
              <w:t xml:space="preserve"> oraz rygorystyczne obowiązki związane ze zgłaszaniem incydentów; zauważa, że spełnienie kilku z tych kluczowych wymogów pozostaje wyzwaniem z uwagi na nierówne obecnie poziomy gotowości poszczególnych agencji; </w:t>
            </w:r>
            <w:r w:rsidRPr="00641BDE">
              <w:rPr>
                <w:b/>
                <w:i/>
              </w:rPr>
              <w:t xml:space="preserve">zachęca agencje do organizowania okresowych ćwiczeń symulacyjnych dotyczących incydentów </w:t>
            </w:r>
            <w:proofErr w:type="spellStart"/>
            <w:r w:rsidRPr="00641BDE">
              <w:rPr>
                <w:b/>
                <w:i/>
              </w:rPr>
              <w:t>cyberbezpieczeństwa</w:t>
            </w:r>
            <w:proofErr w:type="spellEnd"/>
            <w:r w:rsidRPr="00641BDE">
              <w:rPr>
                <w:b/>
                <w:i/>
              </w:rPr>
              <w:t xml:space="preserve"> oraz do zatwierdzania procedur gotowości i koordynacji;</w:t>
            </w:r>
            <w:r w:rsidRPr="00641BDE">
              <w:t xml:space="preserve"> podkreśla, że wszystkie agencje muszą </w:t>
            </w:r>
            <w:r w:rsidRPr="00641BDE">
              <w:rPr>
                <w:b/>
                <w:bCs/>
                <w:i/>
                <w:iCs/>
              </w:rPr>
              <w:t>wyciągnąć</w:t>
            </w:r>
            <w:r w:rsidRPr="00641BDE">
              <w:t xml:space="preserve"> wnioski z cyberataku na CEPOL i przyspieszyć wdrażanie przepisów rozporządzenia dotyczących </w:t>
            </w:r>
            <w:proofErr w:type="spellStart"/>
            <w:r w:rsidRPr="00641BDE">
              <w:t>cyberbezpieczeństwa</w:t>
            </w:r>
            <w:proofErr w:type="spellEnd"/>
            <w:r w:rsidRPr="00641BDE">
              <w:t>;</w:t>
            </w:r>
          </w:p>
        </w:tc>
      </w:tr>
      <w:tr w:rsidR="001D5F6D" w:rsidRPr="00641BDE" w14:paraId="2E733074" w14:textId="77777777" w:rsidTr="007C1C97">
        <w:trPr>
          <w:jc w:val="center"/>
        </w:trPr>
        <w:tc>
          <w:tcPr>
            <w:tcW w:w="4876" w:type="dxa"/>
            <w:tcBorders>
              <w:top w:val="nil"/>
              <w:left w:val="nil"/>
              <w:bottom w:val="nil"/>
              <w:right w:val="nil"/>
            </w:tcBorders>
          </w:tcPr>
          <w:p w14:paraId="30978DCD" w14:textId="77777777" w:rsidR="001D5F6D" w:rsidRPr="00641BDE" w:rsidRDefault="001D5F6D" w:rsidP="007C1C97">
            <w:pPr>
              <w:pStyle w:val="Normal6a"/>
            </w:pPr>
            <w:r w:rsidRPr="00641BDE">
              <w:rPr>
                <w:b/>
                <w:i/>
              </w:rPr>
              <w:t>_________________</w:t>
            </w:r>
          </w:p>
        </w:tc>
        <w:tc>
          <w:tcPr>
            <w:tcW w:w="4876" w:type="dxa"/>
            <w:tcBorders>
              <w:top w:val="nil"/>
              <w:left w:val="nil"/>
              <w:bottom w:val="nil"/>
              <w:right w:val="nil"/>
            </w:tcBorders>
          </w:tcPr>
          <w:p w14:paraId="4127C9BD" w14:textId="77777777" w:rsidR="001D5F6D" w:rsidRPr="00641BDE" w:rsidRDefault="001D5F6D" w:rsidP="007C1C97">
            <w:pPr>
              <w:pStyle w:val="Normal6a"/>
            </w:pPr>
            <w:r w:rsidRPr="00641BDE">
              <w:rPr>
                <w:b/>
                <w:i/>
              </w:rPr>
              <w:t>_________________</w:t>
            </w:r>
          </w:p>
        </w:tc>
      </w:tr>
      <w:tr w:rsidR="001D5F6D" w:rsidRPr="00641BDE" w14:paraId="5B6CD043" w14:textId="77777777" w:rsidTr="007C1C97">
        <w:trPr>
          <w:jc w:val="center"/>
        </w:trPr>
        <w:tc>
          <w:tcPr>
            <w:tcW w:w="4876" w:type="dxa"/>
            <w:tcBorders>
              <w:top w:val="nil"/>
              <w:left w:val="nil"/>
              <w:bottom w:val="nil"/>
              <w:right w:val="nil"/>
            </w:tcBorders>
          </w:tcPr>
          <w:p w14:paraId="14168EFC" w14:textId="77777777" w:rsidR="001D5F6D" w:rsidRPr="00641BDE" w:rsidRDefault="001D5F6D" w:rsidP="007C1C97">
            <w:pPr>
              <w:pStyle w:val="Normal6a"/>
            </w:pPr>
            <w:r w:rsidRPr="00641BDE">
              <w:rPr>
                <w:vertAlign w:val="superscript"/>
              </w:rPr>
              <w:t>16</w:t>
            </w:r>
            <w:r w:rsidRPr="00641BDE">
              <w:t xml:space="preserve"> Rozporządzenie Parlamentu Europejskiego i Rady (UE, </w:t>
            </w:r>
            <w:proofErr w:type="spellStart"/>
            <w:r w:rsidRPr="00641BDE">
              <w:t>Euratom</w:t>
            </w:r>
            <w:proofErr w:type="spellEnd"/>
            <w:r w:rsidRPr="00641BDE">
              <w:t xml:space="preserve">) 2023/2841 z dnia 13 grudnia 2023 r. w sprawie ustanowienia środków na rzecz wysokiego wspólnego poziomu </w:t>
            </w:r>
            <w:proofErr w:type="spellStart"/>
            <w:r w:rsidRPr="00641BDE">
              <w:t>cyberbezpieczeństwa</w:t>
            </w:r>
            <w:proofErr w:type="spellEnd"/>
            <w:r w:rsidRPr="00641BDE">
              <w:t xml:space="preserve"> w instytucjach, organach i jednostkach organizacyjnych Unii (Dz.U. L, 2023/2841, 18.12.2023, ELI: http://data.europa.eu/eli/reg/2023/2841/oj).</w:t>
            </w:r>
          </w:p>
        </w:tc>
        <w:tc>
          <w:tcPr>
            <w:tcW w:w="4876" w:type="dxa"/>
            <w:tcBorders>
              <w:top w:val="nil"/>
              <w:left w:val="nil"/>
              <w:bottom w:val="nil"/>
              <w:right w:val="nil"/>
            </w:tcBorders>
          </w:tcPr>
          <w:p w14:paraId="40781FE8" w14:textId="77777777" w:rsidR="001D5F6D" w:rsidRPr="00641BDE" w:rsidRDefault="001D5F6D" w:rsidP="007C1C97">
            <w:pPr>
              <w:pStyle w:val="Normal6a"/>
            </w:pPr>
            <w:r w:rsidRPr="00641BDE">
              <w:rPr>
                <w:vertAlign w:val="superscript"/>
              </w:rPr>
              <w:t>16</w:t>
            </w:r>
            <w:r w:rsidRPr="00641BDE">
              <w:t xml:space="preserve"> Rozporządzenie Parlamentu Europejskiego i Rady (UE, </w:t>
            </w:r>
            <w:proofErr w:type="spellStart"/>
            <w:r w:rsidRPr="00641BDE">
              <w:t>Euratom</w:t>
            </w:r>
            <w:proofErr w:type="spellEnd"/>
            <w:r w:rsidRPr="00641BDE">
              <w:t xml:space="preserve">) 2023/2841 z dnia 13 grudnia 2023 r. w sprawie ustanowienia środków na rzecz wysokiego wspólnego poziomu </w:t>
            </w:r>
            <w:proofErr w:type="spellStart"/>
            <w:r w:rsidRPr="00641BDE">
              <w:t>cyberbezpieczeństwa</w:t>
            </w:r>
            <w:proofErr w:type="spellEnd"/>
            <w:r w:rsidRPr="00641BDE">
              <w:t xml:space="preserve"> w instytucjach, organach i jednostkach organizacyjnych Unii (Dz.U. L, 2023/2841, 18.12.2023, ELI: http://data.europa.eu/eli/reg/2023/2841/oj).</w:t>
            </w:r>
          </w:p>
        </w:tc>
      </w:tr>
    </w:tbl>
    <w:p w14:paraId="787E7107"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5C31FD1" w14:textId="77777777" w:rsidR="001D5F6D" w:rsidRPr="00641BDE" w:rsidRDefault="001D5F6D" w:rsidP="001D5F6D">
      <w:r w:rsidRPr="00641BDE">
        <w:rPr>
          <w:rStyle w:val="HideTWBExt"/>
        </w:rPr>
        <w:t>&lt;/Amend&gt;</w:t>
      </w:r>
    </w:p>
    <w:p w14:paraId="7198EAF5"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104</w:t>
      </w:r>
      <w:r w:rsidRPr="00641BDE">
        <w:rPr>
          <w:rStyle w:val="HideTWBExt"/>
          <w:b w:val="0"/>
        </w:rPr>
        <w:t>&lt;/NumAm&gt;</w:t>
      </w:r>
    </w:p>
    <w:p w14:paraId="127A9C36"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04C789FB" w14:textId="77777777" w:rsidR="001D5F6D" w:rsidRPr="00641BDE" w:rsidRDefault="001D5F6D" w:rsidP="001D5F6D">
      <w:pPr>
        <w:pStyle w:val="NormalBold"/>
      </w:pPr>
      <w:r w:rsidRPr="00641BDE">
        <w:rPr>
          <w:rStyle w:val="HideTWBExt"/>
          <w:b w:val="0"/>
        </w:rPr>
        <w:t>&lt;/RepeatBlock-By&gt;</w:t>
      </w:r>
    </w:p>
    <w:p w14:paraId="760504CC"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996032A" w14:textId="77777777" w:rsidR="001D5F6D" w:rsidRPr="00641BDE" w:rsidRDefault="001D5F6D" w:rsidP="001D5F6D">
      <w:pPr>
        <w:pStyle w:val="NormalBold"/>
      </w:pPr>
      <w:r w:rsidRPr="00641BDE">
        <w:rPr>
          <w:rStyle w:val="HideTWBExt"/>
          <w:b w:val="0"/>
        </w:rPr>
        <w:t>&lt;Article&gt;</w:t>
      </w:r>
      <w:r w:rsidRPr="00641BDE">
        <w:t>Ustęp 58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D6E1225" w14:textId="77777777" w:rsidTr="007C1C97">
        <w:trPr>
          <w:trHeight w:hRule="exact" w:val="240"/>
          <w:jc w:val="center"/>
        </w:trPr>
        <w:tc>
          <w:tcPr>
            <w:tcW w:w="9752" w:type="dxa"/>
            <w:gridSpan w:val="2"/>
            <w:tcBorders>
              <w:top w:val="nil"/>
              <w:left w:val="nil"/>
              <w:bottom w:val="nil"/>
              <w:right w:val="nil"/>
            </w:tcBorders>
          </w:tcPr>
          <w:p w14:paraId="4B04423E" w14:textId="77777777" w:rsidR="001D5F6D" w:rsidRPr="00641BDE" w:rsidRDefault="001D5F6D" w:rsidP="007C1C97"/>
        </w:tc>
      </w:tr>
      <w:tr w:rsidR="001D5F6D" w:rsidRPr="00641BDE" w14:paraId="1A1F4A3E" w14:textId="77777777" w:rsidTr="007C1C97">
        <w:trPr>
          <w:trHeight w:val="240"/>
          <w:jc w:val="center"/>
        </w:trPr>
        <w:tc>
          <w:tcPr>
            <w:tcW w:w="4876" w:type="dxa"/>
            <w:tcBorders>
              <w:top w:val="nil"/>
              <w:left w:val="nil"/>
              <w:bottom w:val="nil"/>
              <w:right w:val="nil"/>
            </w:tcBorders>
          </w:tcPr>
          <w:p w14:paraId="02BB1C8B"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F42A0CA" w14:textId="77777777" w:rsidR="001D5F6D" w:rsidRPr="00641BDE" w:rsidRDefault="001D5F6D" w:rsidP="007C1C97">
            <w:pPr>
              <w:pStyle w:val="AmColumnHeading"/>
            </w:pPr>
            <w:r w:rsidRPr="00641BDE">
              <w:t>Poprawka</w:t>
            </w:r>
          </w:p>
        </w:tc>
      </w:tr>
      <w:tr w:rsidR="001D5F6D" w:rsidRPr="00641BDE" w14:paraId="2D6C09F5" w14:textId="77777777" w:rsidTr="007C1C97">
        <w:trPr>
          <w:jc w:val="center"/>
        </w:trPr>
        <w:tc>
          <w:tcPr>
            <w:tcW w:w="4876" w:type="dxa"/>
            <w:tcBorders>
              <w:top w:val="nil"/>
              <w:left w:val="nil"/>
              <w:bottom w:val="nil"/>
              <w:right w:val="nil"/>
            </w:tcBorders>
          </w:tcPr>
          <w:p w14:paraId="3D6FE35F" w14:textId="77777777" w:rsidR="001D5F6D" w:rsidRPr="00641BDE" w:rsidRDefault="001D5F6D" w:rsidP="007C1C97">
            <w:pPr>
              <w:pStyle w:val="Normal6a"/>
            </w:pPr>
          </w:p>
        </w:tc>
        <w:tc>
          <w:tcPr>
            <w:tcW w:w="4876" w:type="dxa"/>
            <w:tcBorders>
              <w:top w:val="nil"/>
              <w:left w:val="nil"/>
              <w:bottom w:val="nil"/>
              <w:right w:val="nil"/>
            </w:tcBorders>
          </w:tcPr>
          <w:p w14:paraId="08728BDB" w14:textId="77777777" w:rsidR="001D5F6D" w:rsidRPr="00641BDE" w:rsidRDefault="001D5F6D" w:rsidP="007C1C97">
            <w:pPr>
              <w:pStyle w:val="Normal6a"/>
            </w:pPr>
            <w:r w:rsidRPr="00641BDE">
              <w:rPr>
                <w:b/>
                <w:i/>
              </w:rPr>
              <w:t>58a.</w:t>
            </w:r>
            <w:r w:rsidRPr="00641BDE">
              <w:tab/>
            </w:r>
            <w:r w:rsidRPr="00641BDE">
              <w:rPr>
                <w:b/>
                <w:i/>
              </w:rPr>
              <w:t xml:space="preserve">wzywa agencje do wzmocnienia zdolności monitorowania i wykrywania zagrożeń w czasie rzeczywistym w celu zminimalizowania narażenia i czasu reakcji w przypadku cyberataków; zachęca agencje do wdrożenia stałych programów podnoszenia świadomości i szkoleń w zakresie </w:t>
            </w:r>
            <w:proofErr w:type="spellStart"/>
            <w:r w:rsidRPr="00641BDE">
              <w:rPr>
                <w:b/>
                <w:i/>
              </w:rPr>
              <w:t>cyberbezpieczeństwa</w:t>
            </w:r>
            <w:proofErr w:type="spellEnd"/>
            <w:r w:rsidRPr="00641BDE">
              <w:rPr>
                <w:b/>
                <w:i/>
              </w:rPr>
              <w:t xml:space="preserve"> dla pracowników;</w:t>
            </w:r>
          </w:p>
        </w:tc>
      </w:tr>
    </w:tbl>
    <w:p w14:paraId="24C6B4BA"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6100A4D" w14:textId="77777777" w:rsidR="001D5F6D" w:rsidRPr="00641BDE" w:rsidRDefault="001D5F6D" w:rsidP="001D5F6D">
      <w:r w:rsidRPr="00641BDE">
        <w:rPr>
          <w:rStyle w:val="HideTWBExt"/>
        </w:rPr>
        <w:t>&lt;/Amend&gt;</w:t>
      </w:r>
    </w:p>
    <w:p w14:paraId="02530F3B"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105</w:t>
      </w:r>
      <w:r w:rsidRPr="00641BDE">
        <w:rPr>
          <w:rStyle w:val="HideTWBExt"/>
          <w:b w:val="0"/>
        </w:rPr>
        <w:t>&lt;/NumAm&gt;</w:t>
      </w:r>
    </w:p>
    <w:p w14:paraId="477BEB67"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7802BC41" w14:textId="77777777" w:rsidR="001D5F6D" w:rsidRPr="00641BDE" w:rsidRDefault="001D5F6D" w:rsidP="001D5F6D">
      <w:pPr>
        <w:pStyle w:val="NormalBold"/>
      </w:pPr>
      <w:r w:rsidRPr="00641BDE">
        <w:rPr>
          <w:rStyle w:val="HideTWBExt"/>
          <w:b w:val="0"/>
        </w:rPr>
        <w:t>&lt;/RepeatBlock-By&gt;</w:t>
      </w:r>
    </w:p>
    <w:p w14:paraId="1BFD0D1D"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5ECE2FB" w14:textId="77777777" w:rsidR="001D5F6D" w:rsidRPr="00641BDE" w:rsidRDefault="001D5F6D" w:rsidP="001D5F6D">
      <w:pPr>
        <w:pStyle w:val="NormalBold"/>
      </w:pPr>
      <w:r w:rsidRPr="00641BDE">
        <w:rPr>
          <w:rStyle w:val="HideTWBExt"/>
          <w:b w:val="0"/>
        </w:rPr>
        <w:t>&lt;Article&gt;</w:t>
      </w:r>
      <w:r w:rsidRPr="00641BDE">
        <w:t>Ustęp 59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470E77E" w14:textId="77777777" w:rsidTr="007C1C97">
        <w:trPr>
          <w:trHeight w:hRule="exact" w:val="240"/>
          <w:jc w:val="center"/>
        </w:trPr>
        <w:tc>
          <w:tcPr>
            <w:tcW w:w="9752" w:type="dxa"/>
            <w:gridSpan w:val="2"/>
            <w:tcBorders>
              <w:top w:val="nil"/>
              <w:left w:val="nil"/>
              <w:bottom w:val="nil"/>
              <w:right w:val="nil"/>
            </w:tcBorders>
          </w:tcPr>
          <w:p w14:paraId="7BCCA207" w14:textId="77777777" w:rsidR="001D5F6D" w:rsidRPr="00641BDE" w:rsidRDefault="001D5F6D" w:rsidP="007C1C97"/>
        </w:tc>
      </w:tr>
      <w:tr w:rsidR="001D5F6D" w:rsidRPr="00641BDE" w14:paraId="03586120" w14:textId="77777777" w:rsidTr="007C1C97">
        <w:trPr>
          <w:trHeight w:val="240"/>
          <w:jc w:val="center"/>
        </w:trPr>
        <w:tc>
          <w:tcPr>
            <w:tcW w:w="4876" w:type="dxa"/>
            <w:tcBorders>
              <w:top w:val="nil"/>
              <w:left w:val="nil"/>
              <w:bottom w:val="nil"/>
              <w:right w:val="nil"/>
            </w:tcBorders>
          </w:tcPr>
          <w:p w14:paraId="2A6DBDD8"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F18BEB1" w14:textId="77777777" w:rsidR="001D5F6D" w:rsidRPr="00641BDE" w:rsidRDefault="001D5F6D" w:rsidP="007C1C97">
            <w:pPr>
              <w:pStyle w:val="AmColumnHeading"/>
            </w:pPr>
            <w:r w:rsidRPr="00641BDE">
              <w:t>Poprawka</w:t>
            </w:r>
          </w:p>
        </w:tc>
      </w:tr>
      <w:tr w:rsidR="001D5F6D" w:rsidRPr="00641BDE" w14:paraId="79665CDD" w14:textId="77777777" w:rsidTr="007C1C97">
        <w:trPr>
          <w:jc w:val="center"/>
        </w:trPr>
        <w:tc>
          <w:tcPr>
            <w:tcW w:w="4876" w:type="dxa"/>
            <w:tcBorders>
              <w:top w:val="nil"/>
              <w:left w:val="nil"/>
              <w:bottom w:val="nil"/>
              <w:right w:val="nil"/>
            </w:tcBorders>
          </w:tcPr>
          <w:p w14:paraId="7092AD6A" w14:textId="77777777" w:rsidR="001D5F6D" w:rsidRPr="00641BDE" w:rsidRDefault="001D5F6D" w:rsidP="007C1C97">
            <w:pPr>
              <w:pStyle w:val="Normal6a"/>
            </w:pPr>
          </w:p>
        </w:tc>
        <w:tc>
          <w:tcPr>
            <w:tcW w:w="4876" w:type="dxa"/>
            <w:tcBorders>
              <w:top w:val="nil"/>
              <w:left w:val="nil"/>
              <w:bottom w:val="nil"/>
              <w:right w:val="nil"/>
            </w:tcBorders>
          </w:tcPr>
          <w:p w14:paraId="46139C77" w14:textId="77777777" w:rsidR="001D5F6D" w:rsidRPr="00641BDE" w:rsidRDefault="001D5F6D" w:rsidP="007C1C97">
            <w:pPr>
              <w:pStyle w:val="Normal6a"/>
            </w:pPr>
            <w:r w:rsidRPr="00641BDE">
              <w:rPr>
                <w:b/>
                <w:i/>
              </w:rPr>
              <w:t>59a.</w:t>
            </w:r>
            <w:r w:rsidRPr="00641BDE">
              <w:tab/>
            </w:r>
            <w:r w:rsidRPr="00641BDE">
              <w:rPr>
                <w:b/>
                <w:i/>
              </w:rPr>
              <w:t>odnotowuje niedostateczną reprezentację mężczyzn wśród pracowników EIGE na poziomie zaledwie 29 % i 21 % (8 mężczyzn) w zarządzie; zachęca EIGE do zapewnienia większej równowagi płci przy zatrudnianiu pracowników w przyszłości;</w:t>
            </w:r>
          </w:p>
        </w:tc>
      </w:tr>
    </w:tbl>
    <w:p w14:paraId="6705901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B764588" w14:textId="77777777" w:rsidR="001D5F6D" w:rsidRPr="00641BDE" w:rsidRDefault="001D5F6D" w:rsidP="001D5F6D">
      <w:r w:rsidRPr="00641BDE">
        <w:rPr>
          <w:rStyle w:val="HideTWBExt"/>
        </w:rPr>
        <w:t>&lt;/Amend&gt;</w:t>
      </w:r>
    </w:p>
    <w:p w14:paraId="27889B10"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106</w:t>
      </w:r>
      <w:r w:rsidRPr="00641BDE">
        <w:rPr>
          <w:rStyle w:val="HideTWBExt"/>
          <w:b w:val="0"/>
        </w:rPr>
        <w:t>&lt;/NumAm&gt;</w:t>
      </w:r>
    </w:p>
    <w:p w14:paraId="3EB18BF4"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3C52F2FF" w14:textId="77777777" w:rsidR="001D5F6D" w:rsidRPr="00641BDE" w:rsidRDefault="001D5F6D" w:rsidP="001D5F6D">
      <w:pPr>
        <w:pStyle w:val="NormalBold"/>
      </w:pPr>
      <w:r w:rsidRPr="00641BDE">
        <w:rPr>
          <w:rStyle w:val="HideTWBExt"/>
          <w:b w:val="0"/>
        </w:rPr>
        <w:t>&lt;/RepeatBlock-By&gt;</w:t>
      </w:r>
    </w:p>
    <w:p w14:paraId="5540F4EE"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8013590" w14:textId="77777777" w:rsidR="001D5F6D" w:rsidRPr="00641BDE" w:rsidRDefault="001D5F6D" w:rsidP="001D5F6D">
      <w:pPr>
        <w:pStyle w:val="NormalBold"/>
      </w:pPr>
      <w:r w:rsidRPr="00641BDE">
        <w:rPr>
          <w:rStyle w:val="HideTWBExt"/>
          <w:b w:val="0"/>
        </w:rPr>
        <w:t>&lt;Article&gt;</w:t>
      </w:r>
      <w:r w:rsidRPr="00641BDE">
        <w:t>Ustęp 59 – wprowadzenie</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AA040FA" w14:textId="77777777" w:rsidTr="007C1C97">
        <w:trPr>
          <w:trHeight w:hRule="exact" w:val="240"/>
          <w:jc w:val="center"/>
        </w:trPr>
        <w:tc>
          <w:tcPr>
            <w:tcW w:w="9752" w:type="dxa"/>
            <w:gridSpan w:val="2"/>
            <w:tcBorders>
              <w:top w:val="nil"/>
              <w:left w:val="nil"/>
              <w:bottom w:val="nil"/>
              <w:right w:val="nil"/>
            </w:tcBorders>
          </w:tcPr>
          <w:p w14:paraId="2170ACC2" w14:textId="77777777" w:rsidR="001D5F6D" w:rsidRPr="00641BDE" w:rsidRDefault="001D5F6D" w:rsidP="007C1C97"/>
        </w:tc>
      </w:tr>
      <w:tr w:rsidR="001D5F6D" w:rsidRPr="00641BDE" w14:paraId="1013F2AE" w14:textId="77777777" w:rsidTr="007C1C97">
        <w:trPr>
          <w:trHeight w:val="240"/>
          <w:jc w:val="center"/>
        </w:trPr>
        <w:tc>
          <w:tcPr>
            <w:tcW w:w="4876" w:type="dxa"/>
            <w:tcBorders>
              <w:top w:val="nil"/>
              <w:left w:val="nil"/>
              <w:bottom w:val="nil"/>
              <w:right w:val="nil"/>
            </w:tcBorders>
          </w:tcPr>
          <w:p w14:paraId="70E9A0FE"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DD218F3" w14:textId="77777777" w:rsidR="001D5F6D" w:rsidRPr="00641BDE" w:rsidRDefault="001D5F6D" w:rsidP="007C1C97">
            <w:pPr>
              <w:pStyle w:val="AmColumnHeading"/>
            </w:pPr>
            <w:r w:rsidRPr="00641BDE">
              <w:t>Poprawka</w:t>
            </w:r>
          </w:p>
        </w:tc>
      </w:tr>
      <w:tr w:rsidR="001D5F6D" w:rsidRPr="00641BDE" w14:paraId="58B31EA3" w14:textId="77777777" w:rsidTr="007C1C97">
        <w:trPr>
          <w:jc w:val="center"/>
        </w:trPr>
        <w:tc>
          <w:tcPr>
            <w:tcW w:w="4876" w:type="dxa"/>
            <w:tcBorders>
              <w:top w:val="nil"/>
              <w:left w:val="nil"/>
              <w:bottom w:val="nil"/>
              <w:right w:val="nil"/>
            </w:tcBorders>
          </w:tcPr>
          <w:p w14:paraId="6851ACDD" w14:textId="77777777" w:rsidR="001D5F6D" w:rsidRPr="00641BDE" w:rsidRDefault="001D5F6D" w:rsidP="007C1C97">
            <w:pPr>
              <w:pStyle w:val="Normal6a"/>
            </w:pPr>
            <w:r w:rsidRPr="00641BDE">
              <w:t>59.</w:t>
            </w:r>
            <w:r w:rsidRPr="00641BDE">
              <w:tab/>
              <w:t>odnotowuje uwagi Trybunału dotyczące systemów zarządzania i kontroli w EIGE, w tym</w:t>
            </w:r>
            <w:r w:rsidRPr="00641BDE">
              <w:rPr>
                <w:b/>
                <w:i/>
              </w:rPr>
              <w:t>:</w:t>
            </w:r>
          </w:p>
        </w:tc>
        <w:tc>
          <w:tcPr>
            <w:tcW w:w="4876" w:type="dxa"/>
            <w:tcBorders>
              <w:top w:val="nil"/>
              <w:left w:val="nil"/>
              <w:bottom w:val="nil"/>
              <w:right w:val="nil"/>
            </w:tcBorders>
          </w:tcPr>
          <w:p w14:paraId="20618835" w14:textId="77777777" w:rsidR="001D5F6D" w:rsidRPr="00641BDE" w:rsidRDefault="001D5F6D" w:rsidP="007C1C97">
            <w:pPr>
              <w:pStyle w:val="Normal6a"/>
            </w:pPr>
            <w:r w:rsidRPr="00641BDE">
              <w:t>59.</w:t>
            </w:r>
            <w:r w:rsidRPr="00641BDE">
              <w:tab/>
              <w:t xml:space="preserve">odnotowuje uwagi Trybunału dotyczące systemów zarządzania i kontroli w EIGE, w tym </w:t>
            </w:r>
            <w:r w:rsidRPr="00641BDE">
              <w:rPr>
                <w:b/>
                <w:i/>
              </w:rPr>
              <w:t xml:space="preserve">nadmiernych i restrykcyjnych kryteriów w przetargu na usługi sprzątania w 2024 r., niedociągnięć w dwóch ocenach ofert ze względu na brak wymogów dotyczących dowodów oraz słabego nadzoru nad trzema umowami z określonym nakładem czasu i środków, w przypadku których nie zweryfikowano przepracowanych dni, co stworzyło ryzyko nadpłaty; odnotowuje zobowiązanie EIGE do wzmocnienia kontroli ex </w:t>
            </w:r>
            <w:proofErr w:type="spellStart"/>
            <w:r w:rsidRPr="00641BDE">
              <w:rPr>
                <w:b/>
                <w:i/>
              </w:rPr>
              <w:t>ante</w:t>
            </w:r>
            <w:proofErr w:type="spellEnd"/>
            <w:r w:rsidRPr="00641BDE">
              <w:rPr>
                <w:b/>
                <w:i/>
              </w:rPr>
              <w:t>;</w:t>
            </w:r>
          </w:p>
        </w:tc>
      </w:tr>
    </w:tbl>
    <w:p w14:paraId="6AAB34B2"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5117691" w14:textId="77777777" w:rsidR="001D5F6D" w:rsidRPr="00641BDE" w:rsidRDefault="001D5F6D" w:rsidP="001D5F6D">
      <w:r w:rsidRPr="00641BDE">
        <w:rPr>
          <w:rStyle w:val="HideTWBExt"/>
        </w:rPr>
        <w:t>&lt;/Amend&gt;</w:t>
      </w:r>
    </w:p>
    <w:p w14:paraId="7566B907"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107</w:t>
      </w:r>
      <w:r w:rsidRPr="00641BDE">
        <w:rPr>
          <w:rStyle w:val="HideTWBExt"/>
          <w:b w:val="0"/>
        </w:rPr>
        <w:t>&lt;/NumAm&gt;</w:t>
      </w:r>
    </w:p>
    <w:p w14:paraId="00D52F78"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0D8AADB1" w14:textId="77777777" w:rsidR="001D5F6D" w:rsidRPr="00641BDE" w:rsidRDefault="001D5F6D" w:rsidP="001D5F6D">
      <w:pPr>
        <w:pStyle w:val="NormalBold"/>
      </w:pPr>
      <w:r w:rsidRPr="00641BDE">
        <w:rPr>
          <w:rStyle w:val="HideTWBExt"/>
          <w:b w:val="0"/>
        </w:rPr>
        <w:t>&lt;/RepeatBlock-By&gt;</w:t>
      </w:r>
    </w:p>
    <w:p w14:paraId="1C362164"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3ABC03F" w14:textId="77777777" w:rsidR="001D5F6D" w:rsidRPr="00641BDE" w:rsidRDefault="001D5F6D" w:rsidP="001D5F6D">
      <w:pPr>
        <w:pStyle w:val="NormalBold"/>
      </w:pPr>
      <w:r w:rsidRPr="00641BDE">
        <w:rPr>
          <w:rStyle w:val="HideTWBExt"/>
          <w:b w:val="0"/>
        </w:rPr>
        <w:t>&lt;Article&gt;</w:t>
      </w:r>
      <w:r w:rsidRPr="00641BDE">
        <w:t xml:space="preserve">Ustęp 59 – </w:t>
      </w:r>
      <w:proofErr w:type="spellStart"/>
      <w:r w:rsidRPr="00641BDE">
        <w:t>tiret</w:t>
      </w:r>
      <w:proofErr w:type="spellEnd"/>
      <w:r w:rsidRPr="00641BDE">
        <w:t xml:space="preserve"> 1</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245A735" w14:textId="77777777" w:rsidTr="007C1C97">
        <w:trPr>
          <w:trHeight w:hRule="exact" w:val="240"/>
          <w:jc w:val="center"/>
        </w:trPr>
        <w:tc>
          <w:tcPr>
            <w:tcW w:w="9752" w:type="dxa"/>
            <w:gridSpan w:val="2"/>
            <w:tcBorders>
              <w:top w:val="nil"/>
              <w:left w:val="nil"/>
              <w:bottom w:val="nil"/>
              <w:right w:val="nil"/>
            </w:tcBorders>
          </w:tcPr>
          <w:p w14:paraId="4EFB1AF2" w14:textId="77777777" w:rsidR="001D5F6D" w:rsidRPr="00641BDE" w:rsidRDefault="001D5F6D" w:rsidP="007C1C97"/>
        </w:tc>
      </w:tr>
      <w:tr w:rsidR="001D5F6D" w:rsidRPr="00641BDE" w14:paraId="1A38E1D7" w14:textId="77777777" w:rsidTr="007C1C97">
        <w:trPr>
          <w:trHeight w:val="240"/>
          <w:jc w:val="center"/>
        </w:trPr>
        <w:tc>
          <w:tcPr>
            <w:tcW w:w="4876" w:type="dxa"/>
            <w:tcBorders>
              <w:top w:val="nil"/>
              <w:left w:val="nil"/>
              <w:bottom w:val="nil"/>
              <w:right w:val="nil"/>
            </w:tcBorders>
          </w:tcPr>
          <w:p w14:paraId="152C684F"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3AA602F" w14:textId="77777777" w:rsidR="001D5F6D" w:rsidRPr="00641BDE" w:rsidRDefault="001D5F6D" w:rsidP="007C1C97">
            <w:pPr>
              <w:pStyle w:val="AmColumnHeading"/>
            </w:pPr>
            <w:r w:rsidRPr="00641BDE">
              <w:t>Poprawka</w:t>
            </w:r>
          </w:p>
        </w:tc>
      </w:tr>
      <w:tr w:rsidR="001D5F6D" w:rsidRPr="00641BDE" w14:paraId="710ED270" w14:textId="77777777" w:rsidTr="007C1C97">
        <w:trPr>
          <w:jc w:val="center"/>
        </w:trPr>
        <w:tc>
          <w:tcPr>
            <w:tcW w:w="4876" w:type="dxa"/>
            <w:tcBorders>
              <w:top w:val="nil"/>
              <w:left w:val="nil"/>
              <w:bottom w:val="nil"/>
              <w:right w:val="nil"/>
            </w:tcBorders>
          </w:tcPr>
          <w:p w14:paraId="133CA4C3" w14:textId="77777777" w:rsidR="001D5F6D" w:rsidRPr="00641BDE" w:rsidRDefault="001D5F6D" w:rsidP="007C1C97">
            <w:pPr>
              <w:pStyle w:val="Normal6a"/>
            </w:pPr>
            <w:r w:rsidRPr="00641BDE">
              <w:rPr>
                <w:b/>
                <w:i/>
              </w:rPr>
              <w:t>–</w:t>
            </w:r>
            <w:r w:rsidRPr="00641BDE">
              <w:tab/>
            </w:r>
            <w:r w:rsidRPr="00641BDE">
              <w:rPr>
                <w:b/>
                <w:i/>
              </w:rPr>
              <w:t xml:space="preserve">nieprawidłowości w zamówieniach: zwraca uwagę, że w 2024 r. EIGE zastosował nadmierne wymogi dotyczące zdolności finansowej oraz restrykcyjne kryteria kwalifikacji w postępowaniu o udzielenie zamówienia na usługi sprzątania, które, zdaniem Trybunału, mogły zniechęcić potencjalnych oferentów, a nawet uniemożliwić im udział w przetargu; przyjmuje do wiadomości, że – jak podkreśla EIGE – to instytucje </w:t>
            </w:r>
            <w:proofErr w:type="spellStart"/>
            <w:r w:rsidRPr="00641BDE">
              <w:rPr>
                <w:b/>
                <w:i/>
              </w:rPr>
              <w:t>współzamawiające</w:t>
            </w:r>
            <w:proofErr w:type="spellEnd"/>
            <w:r w:rsidRPr="00641BDE">
              <w:rPr>
                <w:b/>
                <w:i/>
              </w:rPr>
              <w:t xml:space="preserve"> (Komisja i Parlament) zażądały tak restrykcyjnych kryteriów, a żaden potencjalny oferent nie wniósł skargi na kryteria kwalifikacji;</w:t>
            </w:r>
          </w:p>
        </w:tc>
        <w:tc>
          <w:tcPr>
            <w:tcW w:w="4876" w:type="dxa"/>
            <w:tcBorders>
              <w:top w:val="nil"/>
              <w:left w:val="nil"/>
              <w:bottom w:val="nil"/>
              <w:right w:val="nil"/>
            </w:tcBorders>
          </w:tcPr>
          <w:p w14:paraId="18899466" w14:textId="77777777" w:rsidR="001D5F6D" w:rsidRPr="00641BDE" w:rsidRDefault="001D5F6D" w:rsidP="007C1C97">
            <w:pPr>
              <w:pStyle w:val="Normal6a"/>
            </w:pPr>
            <w:r w:rsidRPr="00641BDE">
              <w:rPr>
                <w:b/>
                <w:i/>
              </w:rPr>
              <w:t>skreśla się</w:t>
            </w:r>
          </w:p>
        </w:tc>
      </w:tr>
    </w:tbl>
    <w:p w14:paraId="60ABF42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FC2FB99" w14:textId="77777777" w:rsidR="001D5F6D" w:rsidRPr="00641BDE" w:rsidRDefault="001D5F6D" w:rsidP="001D5F6D">
      <w:r w:rsidRPr="00641BDE">
        <w:rPr>
          <w:rStyle w:val="HideTWBExt"/>
        </w:rPr>
        <w:t>&lt;/Amend&gt;</w:t>
      </w:r>
    </w:p>
    <w:p w14:paraId="2F47A45B"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108</w:t>
      </w:r>
      <w:r w:rsidRPr="00641BDE">
        <w:rPr>
          <w:rStyle w:val="HideTWBExt"/>
          <w:b w:val="0"/>
        </w:rPr>
        <w:t>&lt;/NumAm&gt;</w:t>
      </w:r>
    </w:p>
    <w:p w14:paraId="6A78FB77"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3E53FE37" w14:textId="77777777" w:rsidR="001D5F6D" w:rsidRPr="00641BDE" w:rsidRDefault="001D5F6D" w:rsidP="001D5F6D">
      <w:pPr>
        <w:pStyle w:val="NormalBold"/>
      </w:pPr>
      <w:r w:rsidRPr="00641BDE">
        <w:rPr>
          <w:rStyle w:val="HideTWBExt"/>
          <w:b w:val="0"/>
        </w:rPr>
        <w:t>&lt;/RepeatBlock-By&gt;</w:t>
      </w:r>
    </w:p>
    <w:p w14:paraId="374C52B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60EA61B" w14:textId="77777777" w:rsidR="001D5F6D" w:rsidRPr="00641BDE" w:rsidRDefault="001D5F6D" w:rsidP="001D5F6D">
      <w:pPr>
        <w:pStyle w:val="NormalBold"/>
      </w:pPr>
      <w:r w:rsidRPr="00641BDE">
        <w:rPr>
          <w:rStyle w:val="HideTWBExt"/>
          <w:b w:val="0"/>
        </w:rPr>
        <w:t>&lt;Article&gt;</w:t>
      </w:r>
      <w:r w:rsidRPr="00641BDE">
        <w:t xml:space="preserve">Ustęp 59 – </w:t>
      </w:r>
      <w:proofErr w:type="spellStart"/>
      <w:r w:rsidRPr="00641BDE">
        <w:t>tiret</w:t>
      </w:r>
      <w:proofErr w:type="spellEnd"/>
      <w:r w:rsidRPr="00641BDE">
        <w:t xml:space="preserve"> 2</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7EEC2B1" w14:textId="77777777" w:rsidTr="007C1C97">
        <w:trPr>
          <w:trHeight w:hRule="exact" w:val="240"/>
          <w:jc w:val="center"/>
        </w:trPr>
        <w:tc>
          <w:tcPr>
            <w:tcW w:w="9752" w:type="dxa"/>
            <w:gridSpan w:val="2"/>
            <w:tcBorders>
              <w:top w:val="nil"/>
              <w:left w:val="nil"/>
              <w:bottom w:val="nil"/>
              <w:right w:val="nil"/>
            </w:tcBorders>
          </w:tcPr>
          <w:p w14:paraId="7B0708EF" w14:textId="77777777" w:rsidR="001D5F6D" w:rsidRPr="00641BDE" w:rsidRDefault="001D5F6D" w:rsidP="007C1C97"/>
        </w:tc>
      </w:tr>
      <w:tr w:rsidR="001D5F6D" w:rsidRPr="00641BDE" w14:paraId="0C9DBB0C" w14:textId="77777777" w:rsidTr="007C1C97">
        <w:trPr>
          <w:trHeight w:val="240"/>
          <w:jc w:val="center"/>
        </w:trPr>
        <w:tc>
          <w:tcPr>
            <w:tcW w:w="4876" w:type="dxa"/>
            <w:tcBorders>
              <w:top w:val="nil"/>
              <w:left w:val="nil"/>
              <w:bottom w:val="nil"/>
              <w:right w:val="nil"/>
            </w:tcBorders>
          </w:tcPr>
          <w:p w14:paraId="7DAFE28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F925A44" w14:textId="77777777" w:rsidR="001D5F6D" w:rsidRPr="00641BDE" w:rsidRDefault="001D5F6D" w:rsidP="007C1C97">
            <w:pPr>
              <w:pStyle w:val="AmColumnHeading"/>
            </w:pPr>
            <w:r w:rsidRPr="00641BDE">
              <w:t>Poprawka</w:t>
            </w:r>
          </w:p>
        </w:tc>
      </w:tr>
      <w:tr w:rsidR="001D5F6D" w:rsidRPr="00641BDE" w14:paraId="79293E42" w14:textId="77777777" w:rsidTr="007C1C97">
        <w:trPr>
          <w:jc w:val="center"/>
        </w:trPr>
        <w:tc>
          <w:tcPr>
            <w:tcW w:w="4876" w:type="dxa"/>
            <w:tcBorders>
              <w:top w:val="nil"/>
              <w:left w:val="nil"/>
              <w:bottom w:val="nil"/>
              <w:right w:val="nil"/>
            </w:tcBorders>
          </w:tcPr>
          <w:p w14:paraId="1A1D74C2" w14:textId="77777777" w:rsidR="001D5F6D" w:rsidRPr="00641BDE" w:rsidRDefault="001D5F6D" w:rsidP="007C1C97">
            <w:pPr>
              <w:pStyle w:val="Normal6a"/>
            </w:pPr>
            <w:r w:rsidRPr="00641BDE">
              <w:rPr>
                <w:b/>
                <w:i/>
              </w:rPr>
              <w:t>–</w:t>
            </w:r>
            <w:r w:rsidRPr="00641BDE">
              <w:tab/>
            </w:r>
            <w:r w:rsidRPr="00641BDE">
              <w:rPr>
                <w:b/>
                <w:i/>
              </w:rPr>
              <w:t>niewystarczająca ocena ofert: zauważa, że w dwóch postępowaniach (220 000 EUR i 193 175 EUR) komisje oceniające EIGE nie dokonały właściwej oceny zdolności oferentów do zarządzania zespołami ekspertów, ponieważ w specyfikacji istotnych warunków zamówienia EIGE nie wymagał od oferentów przedstawienia odpowiednich dowodów w tym względzie, co wiązało się z ryzykiem niskiej jakości świadczenia usług;</w:t>
            </w:r>
          </w:p>
        </w:tc>
        <w:tc>
          <w:tcPr>
            <w:tcW w:w="4876" w:type="dxa"/>
            <w:tcBorders>
              <w:top w:val="nil"/>
              <w:left w:val="nil"/>
              <w:bottom w:val="nil"/>
              <w:right w:val="nil"/>
            </w:tcBorders>
          </w:tcPr>
          <w:p w14:paraId="7714EF32" w14:textId="77777777" w:rsidR="001D5F6D" w:rsidRPr="00641BDE" w:rsidRDefault="001D5F6D" w:rsidP="007C1C97">
            <w:pPr>
              <w:pStyle w:val="Normal6a"/>
            </w:pPr>
            <w:r w:rsidRPr="00641BDE">
              <w:rPr>
                <w:b/>
                <w:i/>
              </w:rPr>
              <w:t>skreśla się</w:t>
            </w:r>
          </w:p>
        </w:tc>
      </w:tr>
    </w:tbl>
    <w:p w14:paraId="3E4655C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B565BA3" w14:textId="77777777" w:rsidR="001D5F6D" w:rsidRPr="00641BDE" w:rsidRDefault="001D5F6D" w:rsidP="001D5F6D">
      <w:r w:rsidRPr="00641BDE">
        <w:rPr>
          <w:rStyle w:val="HideTWBExt"/>
        </w:rPr>
        <w:t>&lt;/Amend&gt;</w:t>
      </w:r>
    </w:p>
    <w:p w14:paraId="2B3855A2"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109</w:t>
      </w:r>
      <w:r w:rsidRPr="00641BDE">
        <w:rPr>
          <w:rStyle w:val="HideTWBExt"/>
          <w:b w:val="0"/>
        </w:rPr>
        <w:t>&lt;/NumAm&gt;</w:t>
      </w:r>
    </w:p>
    <w:p w14:paraId="2B39F5C7"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6996A989" w14:textId="77777777" w:rsidR="001D5F6D" w:rsidRPr="00641BDE" w:rsidRDefault="001D5F6D" w:rsidP="001D5F6D">
      <w:pPr>
        <w:pStyle w:val="NormalBold"/>
      </w:pPr>
      <w:r w:rsidRPr="00641BDE">
        <w:rPr>
          <w:rStyle w:val="HideTWBExt"/>
          <w:b w:val="0"/>
        </w:rPr>
        <w:t>&lt;/RepeatBlock-By&gt;</w:t>
      </w:r>
    </w:p>
    <w:p w14:paraId="53F2C93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41EBBD2" w14:textId="77777777" w:rsidR="001D5F6D" w:rsidRPr="00641BDE" w:rsidRDefault="001D5F6D" w:rsidP="001D5F6D">
      <w:pPr>
        <w:pStyle w:val="NormalBold"/>
      </w:pPr>
      <w:r w:rsidRPr="00641BDE">
        <w:rPr>
          <w:rStyle w:val="HideTWBExt"/>
          <w:b w:val="0"/>
        </w:rPr>
        <w:t>&lt;Article&gt;</w:t>
      </w:r>
      <w:r w:rsidRPr="00641BDE">
        <w:t xml:space="preserve">Ustęp 59 – </w:t>
      </w:r>
      <w:proofErr w:type="spellStart"/>
      <w:r w:rsidRPr="00641BDE">
        <w:t>tiret</w:t>
      </w:r>
      <w:proofErr w:type="spellEnd"/>
      <w:r w:rsidRPr="00641BDE">
        <w:t xml:space="preserve"> 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B17F3BF" w14:textId="77777777" w:rsidTr="007C1C97">
        <w:trPr>
          <w:trHeight w:hRule="exact" w:val="240"/>
          <w:jc w:val="center"/>
        </w:trPr>
        <w:tc>
          <w:tcPr>
            <w:tcW w:w="9752" w:type="dxa"/>
            <w:gridSpan w:val="2"/>
            <w:tcBorders>
              <w:top w:val="nil"/>
              <w:left w:val="nil"/>
              <w:bottom w:val="nil"/>
              <w:right w:val="nil"/>
            </w:tcBorders>
          </w:tcPr>
          <w:p w14:paraId="4A182388" w14:textId="77777777" w:rsidR="001D5F6D" w:rsidRPr="00641BDE" w:rsidRDefault="001D5F6D" w:rsidP="007C1C97"/>
        </w:tc>
      </w:tr>
      <w:tr w:rsidR="001D5F6D" w:rsidRPr="00641BDE" w14:paraId="72C972E2" w14:textId="77777777" w:rsidTr="007C1C97">
        <w:trPr>
          <w:trHeight w:val="240"/>
          <w:jc w:val="center"/>
        </w:trPr>
        <w:tc>
          <w:tcPr>
            <w:tcW w:w="4876" w:type="dxa"/>
            <w:tcBorders>
              <w:top w:val="nil"/>
              <w:left w:val="nil"/>
              <w:bottom w:val="nil"/>
              <w:right w:val="nil"/>
            </w:tcBorders>
          </w:tcPr>
          <w:p w14:paraId="00EEA9F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EFB8926" w14:textId="77777777" w:rsidR="001D5F6D" w:rsidRPr="00641BDE" w:rsidRDefault="001D5F6D" w:rsidP="007C1C97">
            <w:pPr>
              <w:pStyle w:val="AmColumnHeading"/>
            </w:pPr>
            <w:r w:rsidRPr="00641BDE">
              <w:t>Poprawka</w:t>
            </w:r>
          </w:p>
        </w:tc>
      </w:tr>
      <w:tr w:rsidR="001D5F6D" w:rsidRPr="00641BDE" w14:paraId="5A6C2CC2" w14:textId="77777777" w:rsidTr="007C1C97">
        <w:trPr>
          <w:jc w:val="center"/>
        </w:trPr>
        <w:tc>
          <w:tcPr>
            <w:tcW w:w="4876" w:type="dxa"/>
            <w:tcBorders>
              <w:top w:val="nil"/>
              <w:left w:val="nil"/>
              <w:bottom w:val="nil"/>
              <w:right w:val="nil"/>
            </w:tcBorders>
          </w:tcPr>
          <w:p w14:paraId="35494BFA" w14:textId="77777777" w:rsidR="001D5F6D" w:rsidRPr="00641BDE" w:rsidRDefault="001D5F6D" w:rsidP="007C1C97">
            <w:pPr>
              <w:pStyle w:val="Normal6a"/>
            </w:pPr>
            <w:r w:rsidRPr="00641BDE">
              <w:rPr>
                <w:b/>
                <w:i/>
              </w:rPr>
              <w:t>–</w:t>
            </w:r>
            <w:r w:rsidRPr="00641BDE">
              <w:tab/>
            </w:r>
            <w:r w:rsidRPr="00641BDE">
              <w:rPr>
                <w:b/>
                <w:i/>
              </w:rPr>
              <w:t xml:space="preserve">słaby nadzór nad umowami: przyjmuje do wiadomości, że EIGE opłacił faktury realizowane na podstawie trzech umów rozliczanych według przepracowanego czasu i wykorzystanych środków bez weryfikacji faktycznie przepracowanych dni, z naruszeniem art. 45 ust. 5 swojego rozporządzenia finansowego i narażając się na ryzyko zawyżonych płatności; zauważa, że EIGE odpowiednio wzmocni kontrole ex </w:t>
            </w:r>
            <w:proofErr w:type="spellStart"/>
            <w:r w:rsidRPr="00641BDE">
              <w:rPr>
                <w:b/>
                <w:i/>
              </w:rPr>
              <w:t>ante</w:t>
            </w:r>
            <w:proofErr w:type="spellEnd"/>
            <w:r w:rsidRPr="00641BDE">
              <w:rPr>
                <w:b/>
                <w:i/>
              </w:rPr>
              <w:t>;</w:t>
            </w:r>
          </w:p>
        </w:tc>
        <w:tc>
          <w:tcPr>
            <w:tcW w:w="4876" w:type="dxa"/>
            <w:tcBorders>
              <w:top w:val="nil"/>
              <w:left w:val="nil"/>
              <w:bottom w:val="nil"/>
              <w:right w:val="nil"/>
            </w:tcBorders>
          </w:tcPr>
          <w:p w14:paraId="57F483AB" w14:textId="77777777" w:rsidR="001D5F6D" w:rsidRPr="00641BDE" w:rsidRDefault="001D5F6D" w:rsidP="007C1C97">
            <w:pPr>
              <w:pStyle w:val="Normal6a"/>
            </w:pPr>
            <w:r w:rsidRPr="00641BDE">
              <w:rPr>
                <w:b/>
                <w:i/>
              </w:rPr>
              <w:t>skreśla się</w:t>
            </w:r>
          </w:p>
        </w:tc>
      </w:tr>
    </w:tbl>
    <w:p w14:paraId="02FDEF1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62C8F175" w14:textId="77777777" w:rsidR="001D5F6D" w:rsidRPr="00641BDE" w:rsidRDefault="001D5F6D" w:rsidP="001D5F6D">
      <w:r w:rsidRPr="00641BDE">
        <w:rPr>
          <w:rStyle w:val="HideTWBExt"/>
        </w:rPr>
        <w:t>&lt;/Amend&gt;</w:t>
      </w:r>
    </w:p>
    <w:p w14:paraId="488F3050"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110</w:t>
      </w:r>
      <w:r w:rsidRPr="00641BDE">
        <w:rPr>
          <w:rStyle w:val="HideTWBExt"/>
          <w:b w:val="0"/>
        </w:rPr>
        <w:t>&lt;/NumAm&gt;</w:t>
      </w:r>
    </w:p>
    <w:p w14:paraId="383D3944"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1FCAB521" w14:textId="77777777" w:rsidR="001D5F6D" w:rsidRPr="00641BDE" w:rsidRDefault="001D5F6D" w:rsidP="001D5F6D">
      <w:pPr>
        <w:pStyle w:val="NormalBold"/>
      </w:pPr>
      <w:r w:rsidRPr="00641BDE">
        <w:rPr>
          <w:rStyle w:val="HideTWBExt"/>
          <w:b w:val="0"/>
        </w:rPr>
        <w:t>&lt;/RepeatBlock-By&gt;</w:t>
      </w:r>
    </w:p>
    <w:p w14:paraId="3E937B25"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AE81136" w14:textId="77777777" w:rsidR="001D5F6D" w:rsidRPr="00641BDE" w:rsidRDefault="001D5F6D" w:rsidP="001D5F6D">
      <w:pPr>
        <w:pStyle w:val="NormalBold"/>
      </w:pPr>
      <w:r w:rsidRPr="00641BDE">
        <w:rPr>
          <w:rStyle w:val="HideTWBExt"/>
          <w:b w:val="0"/>
        </w:rPr>
        <w:t>&lt;Article&gt;</w:t>
      </w:r>
      <w:r w:rsidRPr="00641BDE">
        <w:t>Ustęp 60 – wprowadzenie</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D76ABE3" w14:textId="77777777" w:rsidTr="007C1C97">
        <w:trPr>
          <w:trHeight w:hRule="exact" w:val="240"/>
          <w:jc w:val="center"/>
        </w:trPr>
        <w:tc>
          <w:tcPr>
            <w:tcW w:w="9752" w:type="dxa"/>
            <w:gridSpan w:val="2"/>
            <w:tcBorders>
              <w:top w:val="nil"/>
              <w:left w:val="nil"/>
              <w:bottom w:val="nil"/>
              <w:right w:val="nil"/>
            </w:tcBorders>
          </w:tcPr>
          <w:p w14:paraId="73E90521" w14:textId="77777777" w:rsidR="001D5F6D" w:rsidRPr="00641BDE" w:rsidRDefault="001D5F6D" w:rsidP="007C1C97"/>
        </w:tc>
      </w:tr>
      <w:tr w:rsidR="001D5F6D" w:rsidRPr="00641BDE" w14:paraId="4DAAE47F" w14:textId="77777777" w:rsidTr="007C1C97">
        <w:trPr>
          <w:trHeight w:val="240"/>
          <w:jc w:val="center"/>
        </w:trPr>
        <w:tc>
          <w:tcPr>
            <w:tcW w:w="4876" w:type="dxa"/>
            <w:tcBorders>
              <w:top w:val="nil"/>
              <w:left w:val="nil"/>
              <w:bottom w:val="nil"/>
              <w:right w:val="nil"/>
            </w:tcBorders>
          </w:tcPr>
          <w:p w14:paraId="5CAD08B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5335759" w14:textId="77777777" w:rsidR="001D5F6D" w:rsidRPr="00641BDE" w:rsidRDefault="001D5F6D" w:rsidP="007C1C97">
            <w:pPr>
              <w:pStyle w:val="AmColumnHeading"/>
            </w:pPr>
            <w:r w:rsidRPr="00641BDE">
              <w:t>Poprawka</w:t>
            </w:r>
          </w:p>
        </w:tc>
      </w:tr>
      <w:tr w:rsidR="001D5F6D" w:rsidRPr="00641BDE" w14:paraId="1789E1E3" w14:textId="77777777" w:rsidTr="007C1C97">
        <w:trPr>
          <w:jc w:val="center"/>
        </w:trPr>
        <w:tc>
          <w:tcPr>
            <w:tcW w:w="4876" w:type="dxa"/>
            <w:tcBorders>
              <w:top w:val="nil"/>
              <w:left w:val="nil"/>
              <w:bottom w:val="nil"/>
              <w:right w:val="nil"/>
            </w:tcBorders>
          </w:tcPr>
          <w:p w14:paraId="300CBD05" w14:textId="77777777" w:rsidR="001D5F6D" w:rsidRPr="00641BDE" w:rsidRDefault="001D5F6D" w:rsidP="007C1C97">
            <w:pPr>
              <w:pStyle w:val="Normal6a"/>
            </w:pPr>
            <w:r w:rsidRPr="00641BDE">
              <w:t>60.</w:t>
            </w:r>
            <w:r w:rsidRPr="00641BDE">
              <w:tab/>
              <w:t xml:space="preserve">odnotowuje ustalenia Trybunału dotyczące </w:t>
            </w:r>
            <w:proofErr w:type="spellStart"/>
            <w:r w:rsidRPr="00641BDE">
              <w:t>eu</w:t>
            </w:r>
            <w:proofErr w:type="spellEnd"/>
            <w:r w:rsidRPr="00641BDE">
              <w:t xml:space="preserve">-LISA, </w:t>
            </w:r>
            <w:r w:rsidRPr="00641BDE">
              <w:rPr>
                <w:b/>
                <w:i/>
              </w:rPr>
              <w:t>z których większość odnosi</w:t>
            </w:r>
            <w:r w:rsidRPr="00641BDE">
              <w:t xml:space="preserve"> się do nieprawidłowości w zamówieniach publicznych </w:t>
            </w:r>
            <w:r w:rsidRPr="00641BDE">
              <w:rPr>
                <w:b/>
                <w:i/>
              </w:rPr>
              <w:t>zainicjowanych w poprzednich latach</w:t>
            </w:r>
            <w:r w:rsidRPr="00641BDE">
              <w:t xml:space="preserve">, </w:t>
            </w:r>
            <w:r w:rsidRPr="00641BDE">
              <w:rPr>
                <w:b/>
                <w:i/>
              </w:rPr>
              <w:t>skutkujących</w:t>
            </w:r>
            <w:r w:rsidRPr="00641BDE">
              <w:t xml:space="preserve"> nienależnymi płatnościami w 2024 r.</w:t>
            </w:r>
            <w:r w:rsidRPr="00641BDE">
              <w:rPr>
                <w:b/>
                <w:bCs/>
                <w:i/>
                <w:iCs/>
              </w:rPr>
              <w:t>, które obejmują:</w:t>
            </w:r>
          </w:p>
        </w:tc>
        <w:tc>
          <w:tcPr>
            <w:tcW w:w="4876" w:type="dxa"/>
            <w:tcBorders>
              <w:top w:val="nil"/>
              <w:left w:val="nil"/>
              <w:bottom w:val="nil"/>
              <w:right w:val="nil"/>
            </w:tcBorders>
          </w:tcPr>
          <w:p w14:paraId="73BC3D55" w14:textId="77777777" w:rsidR="001D5F6D" w:rsidRPr="00641BDE" w:rsidRDefault="001D5F6D" w:rsidP="007C1C97">
            <w:pPr>
              <w:pStyle w:val="Normal6a"/>
            </w:pPr>
            <w:r w:rsidRPr="00641BDE">
              <w:t>60.</w:t>
            </w:r>
            <w:r w:rsidRPr="00641BDE">
              <w:tab/>
              <w:t xml:space="preserve">odnotowuje ustalenia Trybunału dotyczące </w:t>
            </w:r>
            <w:proofErr w:type="spellStart"/>
            <w:r w:rsidRPr="00641BDE">
              <w:t>eu</w:t>
            </w:r>
            <w:proofErr w:type="spellEnd"/>
            <w:r w:rsidRPr="00641BDE">
              <w:t xml:space="preserve">-LISA, </w:t>
            </w:r>
            <w:r w:rsidRPr="00641BDE">
              <w:rPr>
                <w:b/>
                <w:i/>
              </w:rPr>
              <w:t>odnoszące się głównie</w:t>
            </w:r>
            <w:r w:rsidRPr="00641BDE">
              <w:t xml:space="preserve"> do nieprawidłowości w zamówieniach publicznych, </w:t>
            </w:r>
            <w:r w:rsidRPr="00641BDE">
              <w:rPr>
                <w:b/>
                <w:i/>
              </w:rPr>
              <w:t>które wynikały z wcześniejszych procedur i</w:t>
            </w:r>
            <w:r w:rsidRPr="00641BDE">
              <w:t xml:space="preserve"> skutkowały nienależnymi płatnościami w 2024 r.</w:t>
            </w:r>
            <w:r w:rsidRPr="00641BDE">
              <w:rPr>
                <w:b/>
                <w:i/>
              </w:rPr>
              <w:t xml:space="preserve">; podkreśla w szczególności nieprawidłową procedurę negocjacyjną dotyczącą wynajmu pomieszczeń w Strasburgu, w której renegocjowano kryteria udzielenia zamówienia, a pomieszczenia nie odpowiadały specyfikacji (850 000 EUR); modyfikacje ofert finansowych oferentów w trakcie postępowania o udzielenie zamówienia na instalacje elektryczne i roboty inżynieryjno-budowlane, skutkujące nieprawidłową umową (150 000 EUR); zmiany elementów cenowych ofert finansowych wykraczające poza korekty dozwolone na mocy art. 151 rozporządzenia finansowego, mające wpływ na udzielenie zamówienia (1,4 mln EUR); obawy dotyczące ponownego otwarcia konkursu na usługi monitorowania i obsługi w odniesieniu do wizowego systemu informacyjnego, w którym to konkursie zwycięska oferta (47,8 mln EUR) była niewspółmiernie niższa od ofert konkurentów i wiązała się ze znacznym ryzykiem operacyjnym i umownym, oraz nierozstrzygnięty spór dotyczący kosztów obsługi EES, który doprowadził do przerwy w obsłudze i spowodował, że </w:t>
            </w:r>
            <w:proofErr w:type="spellStart"/>
            <w:r w:rsidRPr="00641BDE">
              <w:rPr>
                <w:b/>
                <w:i/>
              </w:rPr>
              <w:t>eu</w:t>
            </w:r>
            <w:proofErr w:type="spellEnd"/>
            <w:r w:rsidRPr="00641BDE">
              <w:rPr>
                <w:b/>
                <w:i/>
              </w:rPr>
              <w:t>-LISA zapłaciła 5,3 mln EUR w 2023 r. i 1,3 mln EUR w 2024 r. z tytułu opłat za przywrócenie ciągłości wsparcia, które jej zdaniem powinien był ponieść wykonawca; ubolewa, że do końca 2024 r. nie wszczęto postępowania sądowego;</w:t>
            </w:r>
          </w:p>
        </w:tc>
      </w:tr>
    </w:tbl>
    <w:p w14:paraId="1FAB8C9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33E6A5C" w14:textId="77777777" w:rsidR="001D5F6D" w:rsidRPr="00641BDE" w:rsidRDefault="001D5F6D" w:rsidP="001D5F6D">
      <w:r w:rsidRPr="00641BDE">
        <w:rPr>
          <w:rStyle w:val="HideTWBExt"/>
        </w:rPr>
        <w:t>&lt;/Amend&gt;</w:t>
      </w:r>
    </w:p>
    <w:p w14:paraId="5B2A77A0"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111</w:t>
      </w:r>
      <w:r w:rsidRPr="00641BDE">
        <w:rPr>
          <w:rStyle w:val="HideTWBExt"/>
          <w:b w:val="0"/>
        </w:rPr>
        <w:t>&lt;/NumAm&gt;</w:t>
      </w:r>
    </w:p>
    <w:p w14:paraId="073C25D2"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2983A3F6" w14:textId="77777777" w:rsidR="001D5F6D" w:rsidRPr="00641BDE" w:rsidRDefault="001D5F6D" w:rsidP="001D5F6D">
      <w:pPr>
        <w:pStyle w:val="NormalBold"/>
      </w:pPr>
      <w:r w:rsidRPr="00641BDE">
        <w:rPr>
          <w:rStyle w:val="HideTWBExt"/>
          <w:b w:val="0"/>
        </w:rPr>
        <w:t>&lt;/RepeatBlock-By&gt;</w:t>
      </w:r>
    </w:p>
    <w:p w14:paraId="3A35D07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D8B0C45" w14:textId="77777777" w:rsidR="001D5F6D" w:rsidRPr="00641BDE" w:rsidRDefault="001D5F6D" w:rsidP="001D5F6D">
      <w:pPr>
        <w:pStyle w:val="NormalBold"/>
      </w:pPr>
      <w:r w:rsidRPr="00641BDE">
        <w:rPr>
          <w:rStyle w:val="HideTWBExt"/>
          <w:b w:val="0"/>
        </w:rPr>
        <w:t>&lt;Article&gt;</w:t>
      </w:r>
      <w:r w:rsidRPr="00641BDE">
        <w:t xml:space="preserve">Ustęp 60 – </w:t>
      </w:r>
      <w:proofErr w:type="spellStart"/>
      <w:r w:rsidRPr="00641BDE">
        <w:t>tiret</w:t>
      </w:r>
      <w:proofErr w:type="spellEnd"/>
      <w:r w:rsidRPr="00641BDE">
        <w:t xml:space="preserve"> 1</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FAAEA23" w14:textId="77777777" w:rsidTr="007C1C97">
        <w:trPr>
          <w:trHeight w:hRule="exact" w:val="240"/>
          <w:jc w:val="center"/>
        </w:trPr>
        <w:tc>
          <w:tcPr>
            <w:tcW w:w="9752" w:type="dxa"/>
            <w:gridSpan w:val="2"/>
            <w:tcBorders>
              <w:top w:val="nil"/>
              <w:left w:val="nil"/>
              <w:bottom w:val="nil"/>
              <w:right w:val="nil"/>
            </w:tcBorders>
          </w:tcPr>
          <w:p w14:paraId="1A627EE5" w14:textId="77777777" w:rsidR="001D5F6D" w:rsidRPr="00641BDE" w:rsidRDefault="001D5F6D" w:rsidP="007C1C97"/>
        </w:tc>
      </w:tr>
      <w:tr w:rsidR="001D5F6D" w:rsidRPr="00641BDE" w14:paraId="4AFD5E2D" w14:textId="77777777" w:rsidTr="007C1C97">
        <w:trPr>
          <w:trHeight w:val="240"/>
          <w:jc w:val="center"/>
        </w:trPr>
        <w:tc>
          <w:tcPr>
            <w:tcW w:w="4876" w:type="dxa"/>
            <w:tcBorders>
              <w:top w:val="nil"/>
              <w:left w:val="nil"/>
              <w:bottom w:val="nil"/>
              <w:right w:val="nil"/>
            </w:tcBorders>
          </w:tcPr>
          <w:p w14:paraId="6AE51D7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2A8A636" w14:textId="77777777" w:rsidR="001D5F6D" w:rsidRPr="00641BDE" w:rsidRDefault="001D5F6D" w:rsidP="007C1C97">
            <w:pPr>
              <w:pStyle w:val="AmColumnHeading"/>
            </w:pPr>
            <w:r w:rsidRPr="00641BDE">
              <w:t>Poprawka</w:t>
            </w:r>
          </w:p>
        </w:tc>
      </w:tr>
      <w:tr w:rsidR="001D5F6D" w:rsidRPr="00641BDE" w14:paraId="26A0BDE9" w14:textId="77777777" w:rsidTr="007C1C97">
        <w:trPr>
          <w:jc w:val="center"/>
        </w:trPr>
        <w:tc>
          <w:tcPr>
            <w:tcW w:w="4876" w:type="dxa"/>
            <w:tcBorders>
              <w:top w:val="nil"/>
              <w:left w:val="nil"/>
              <w:bottom w:val="nil"/>
              <w:right w:val="nil"/>
            </w:tcBorders>
          </w:tcPr>
          <w:p w14:paraId="7512C839" w14:textId="77777777" w:rsidR="001D5F6D" w:rsidRPr="00641BDE" w:rsidRDefault="001D5F6D" w:rsidP="007C1C97">
            <w:pPr>
              <w:pStyle w:val="Normal6a"/>
            </w:pPr>
            <w:r w:rsidRPr="00641BDE">
              <w:rPr>
                <w:b/>
                <w:i/>
              </w:rPr>
              <w:t>–</w:t>
            </w:r>
            <w:r w:rsidRPr="00641BDE">
              <w:tab/>
            </w:r>
            <w:r w:rsidRPr="00641BDE">
              <w:rPr>
                <w:b/>
                <w:i/>
              </w:rPr>
              <w:t>nieprawidłowości we wszczętej w 2019 r. i zakończonej w 2020 r. procedurze negocjacyjnej dotyczącej wynajmu pomieszczeń w Strasburgu, w której powierzchnia pomieszczeń i liczba miejsc pracy były poniżej potrzeb określonych w specyfikacji istotnych warunków zamówienia, a jakość oferty oceniono jako bardzo niską, ale jej nie odrzucono; zauważa ponadto, że kryteria udzielenia zamówienia również były następnie negocjowane z oferentem, co stanowi naruszenie art. 167 ust. 3 rozporządzenia finansowego i pkt. 6.5 załącznika I do tego rozporządzenia; podkreśla, że procedura negocjacyjna i wynikająca z niej umowa najmu są nieprawidłowe, a związane z nią płatności, które w 2024 r. wyniosły 850 000 EUR, są nienależne;</w:t>
            </w:r>
          </w:p>
        </w:tc>
        <w:tc>
          <w:tcPr>
            <w:tcW w:w="4876" w:type="dxa"/>
            <w:tcBorders>
              <w:top w:val="nil"/>
              <w:left w:val="nil"/>
              <w:bottom w:val="nil"/>
              <w:right w:val="nil"/>
            </w:tcBorders>
          </w:tcPr>
          <w:p w14:paraId="6C9837C7" w14:textId="77777777" w:rsidR="001D5F6D" w:rsidRPr="00641BDE" w:rsidRDefault="001D5F6D" w:rsidP="007C1C97">
            <w:pPr>
              <w:pStyle w:val="Normal6a"/>
            </w:pPr>
            <w:r w:rsidRPr="00641BDE">
              <w:rPr>
                <w:b/>
                <w:i/>
              </w:rPr>
              <w:t>skreśla się</w:t>
            </w:r>
          </w:p>
        </w:tc>
      </w:tr>
    </w:tbl>
    <w:p w14:paraId="7FA26DC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55A7F34" w14:textId="77777777" w:rsidR="001D5F6D" w:rsidRPr="00641BDE" w:rsidRDefault="001D5F6D" w:rsidP="001D5F6D">
      <w:r w:rsidRPr="00641BDE">
        <w:rPr>
          <w:rStyle w:val="HideTWBExt"/>
        </w:rPr>
        <w:t>&lt;/Amend&gt;</w:t>
      </w:r>
    </w:p>
    <w:p w14:paraId="12665B96"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112</w:t>
      </w:r>
      <w:r w:rsidRPr="00641BDE">
        <w:rPr>
          <w:rStyle w:val="HideTWBExt"/>
          <w:b w:val="0"/>
        </w:rPr>
        <w:t>&lt;/NumAm&gt;</w:t>
      </w:r>
    </w:p>
    <w:p w14:paraId="7BD44F3F"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1AF12836" w14:textId="77777777" w:rsidR="001D5F6D" w:rsidRPr="00641BDE" w:rsidRDefault="001D5F6D" w:rsidP="001D5F6D">
      <w:pPr>
        <w:pStyle w:val="NormalBold"/>
      </w:pPr>
      <w:r w:rsidRPr="00641BDE">
        <w:rPr>
          <w:rStyle w:val="HideTWBExt"/>
          <w:b w:val="0"/>
        </w:rPr>
        <w:t>&lt;/RepeatBlock-By&gt;</w:t>
      </w:r>
    </w:p>
    <w:p w14:paraId="30A07111"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61E5DAA" w14:textId="77777777" w:rsidR="001D5F6D" w:rsidRPr="00641BDE" w:rsidRDefault="001D5F6D" w:rsidP="001D5F6D">
      <w:pPr>
        <w:pStyle w:val="NormalBold"/>
      </w:pPr>
      <w:r w:rsidRPr="00641BDE">
        <w:rPr>
          <w:rStyle w:val="HideTWBExt"/>
          <w:b w:val="0"/>
        </w:rPr>
        <w:t>&lt;Article&gt;</w:t>
      </w:r>
      <w:r w:rsidRPr="00641BDE">
        <w:t xml:space="preserve">Ustęp 60 – </w:t>
      </w:r>
      <w:proofErr w:type="spellStart"/>
      <w:r w:rsidRPr="00641BDE">
        <w:t>tiret</w:t>
      </w:r>
      <w:proofErr w:type="spellEnd"/>
      <w:r w:rsidRPr="00641BDE">
        <w:t xml:space="preserve"> 2</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E3EEC2D" w14:textId="77777777" w:rsidTr="007C1C97">
        <w:trPr>
          <w:trHeight w:hRule="exact" w:val="240"/>
          <w:jc w:val="center"/>
        </w:trPr>
        <w:tc>
          <w:tcPr>
            <w:tcW w:w="9752" w:type="dxa"/>
            <w:gridSpan w:val="2"/>
            <w:tcBorders>
              <w:top w:val="nil"/>
              <w:left w:val="nil"/>
              <w:bottom w:val="nil"/>
              <w:right w:val="nil"/>
            </w:tcBorders>
          </w:tcPr>
          <w:p w14:paraId="25FBF6FC" w14:textId="77777777" w:rsidR="001D5F6D" w:rsidRPr="00641BDE" w:rsidRDefault="001D5F6D" w:rsidP="007C1C97"/>
        </w:tc>
      </w:tr>
      <w:tr w:rsidR="001D5F6D" w:rsidRPr="00641BDE" w14:paraId="4AE2E35F" w14:textId="77777777" w:rsidTr="007C1C97">
        <w:trPr>
          <w:trHeight w:val="240"/>
          <w:jc w:val="center"/>
        </w:trPr>
        <w:tc>
          <w:tcPr>
            <w:tcW w:w="4876" w:type="dxa"/>
            <w:tcBorders>
              <w:top w:val="nil"/>
              <w:left w:val="nil"/>
              <w:bottom w:val="nil"/>
              <w:right w:val="nil"/>
            </w:tcBorders>
          </w:tcPr>
          <w:p w14:paraId="5EF750E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0E70CCD" w14:textId="77777777" w:rsidR="001D5F6D" w:rsidRPr="00641BDE" w:rsidRDefault="001D5F6D" w:rsidP="007C1C97">
            <w:pPr>
              <w:pStyle w:val="AmColumnHeading"/>
            </w:pPr>
            <w:r w:rsidRPr="00641BDE">
              <w:t>Poprawka</w:t>
            </w:r>
          </w:p>
        </w:tc>
      </w:tr>
      <w:tr w:rsidR="001D5F6D" w:rsidRPr="00641BDE" w14:paraId="6134A5A2" w14:textId="77777777" w:rsidTr="007C1C97">
        <w:trPr>
          <w:jc w:val="center"/>
        </w:trPr>
        <w:tc>
          <w:tcPr>
            <w:tcW w:w="4876" w:type="dxa"/>
            <w:tcBorders>
              <w:top w:val="nil"/>
              <w:left w:val="nil"/>
              <w:bottom w:val="nil"/>
              <w:right w:val="nil"/>
            </w:tcBorders>
          </w:tcPr>
          <w:p w14:paraId="7D39979D" w14:textId="77777777" w:rsidR="001D5F6D" w:rsidRPr="00641BDE" w:rsidRDefault="001D5F6D" w:rsidP="007C1C97">
            <w:pPr>
              <w:pStyle w:val="Normal6a"/>
            </w:pPr>
            <w:r w:rsidRPr="00641BDE">
              <w:rPr>
                <w:b/>
                <w:i/>
              </w:rPr>
              <w:t>–</w:t>
            </w:r>
            <w:r w:rsidRPr="00641BDE">
              <w:tab/>
            </w:r>
            <w:r w:rsidRPr="00641BDE">
              <w:rPr>
                <w:b/>
                <w:i/>
              </w:rPr>
              <w:t>modyfikacje ofert finansowych oferentów w trakcie postępowania o udzielenie zamówienia na instalacje elektryczne i roboty inżynieryjno-budowlane w Strasburgu, mające wpływ na wynik postępowania i skutkujące nieprawidłową umową oraz powiązanymi płatnościami w wysokości 150 000 EUR w 2024 r.;</w:t>
            </w:r>
          </w:p>
        </w:tc>
        <w:tc>
          <w:tcPr>
            <w:tcW w:w="4876" w:type="dxa"/>
            <w:tcBorders>
              <w:top w:val="nil"/>
              <w:left w:val="nil"/>
              <w:bottom w:val="nil"/>
              <w:right w:val="nil"/>
            </w:tcBorders>
          </w:tcPr>
          <w:p w14:paraId="257A55A7" w14:textId="77777777" w:rsidR="001D5F6D" w:rsidRPr="00641BDE" w:rsidRDefault="001D5F6D" w:rsidP="007C1C97">
            <w:pPr>
              <w:pStyle w:val="Normal6a"/>
            </w:pPr>
            <w:r w:rsidRPr="00641BDE">
              <w:rPr>
                <w:b/>
                <w:i/>
              </w:rPr>
              <w:t>skreśla się</w:t>
            </w:r>
          </w:p>
        </w:tc>
      </w:tr>
    </w:tbl>
    <w:p w14:paraId="3BC31A02"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6C9969E" w14:textId="77777777" w:rsidR="001D5F6D" w:rsidRPr="00641BDE" w:rsidRDefault="001D5F6D" w:rsidP="001D5F6D">
      <w:r w:rsidRPr="00641BDE">
        <w:rPr>
          <w:rStyle w:val="HideTWBExt"/>
        </w:rPr>
        <w:t>&lt;/Amend&gt;</w:t>
      </w:r>
    </w:p>
    <w:p w14:paraId="5B424C36"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113</w:t>
      </w:r>
      <w:r w:rsidRPr="00641BDE">
        <w:rPr>
          <w:rStyle w:val="HideTWBExt"/>
          <w:b w:val="0"/>
        </w:rPr>
        <w:t>&lt;/NumAm&gt;</w:t>
      </w:r>
    </w:p>
    <w:p w14:paraId="197297A6"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5C308196" w14:textId="77777777" w:rsidR="001D5F6D" w:rsidRPr="00641BDE" w:rsidRDefault="001D5F6D" w:rsidP="001D5F6D">
      <w:pPr>
        <w:pStyle w:val="NormalBold"/>
      </w:pPr>
      <w:r w:rsidRPr="00641BDE">
        <w:rPr>
          <w:rStyle w:val="HideTWBExt"/>
          <w:b w:val="0"/>
        </w:rPr>
        <w:t>&lt;/RepeatBlock-By&gt;</w:t>
      </w:r>
    </w:p>
    <w:p w14:paraId="4BE83FDE"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7E70277" w14:textId="77777777" w:rsidR="001D5F6D" w:rsidRPr="00641BDE" w:rsidRDefault="001D5F6D" w:rsidP="001D5F6D">
      <w:pPr>
        <w:pStyle w:val="NormalBold"/>
      </w:pPr>
      <w:r w:rsidRPr="00641BDE">
        <w:rPr>
          <w:rStyle w:val="HideTWBExt"/>
          <w:b w:val="0"/>
        </w:rPr>
        <w:t>&lt;Article&gt;</w:t>
      </w:r>
      <w:r w:rsidRPr="00641BDE">
        <w:t xml:space="preserve">Ustęp 60 – </w:t>
      </w:r>
      <w:proofErr w:type="spellStart"/>
      <w:r w:rsidRPr="00641BDE">
        <w:t>tiret</w:t>
      </w:r>
      <w:proofErr w:type="spellEnd"/>
      <w:r w:rsidRPr="00641BDE">
        <w:t xml:space="preserve"> 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D246198" w14:textId="77777777" w:rsidTr="007C1C97">
        <w:trPr>
          <w:trHeight w:hRule="exact" w:val="240"/>
          <w:jc w:val="center"/>
        </w:trPr>
        <w:tc>
          <w:tcPr>
            <w:tcW w:w="9752" w:type="dxa"/>
            <w:gridSpan w:val="2"/>
            <w:tcBorders>
              <w:top w:val="nil"/>
              <w:left w:val="nil"/>
              <w:bottom w:val="nil"/>
              <w:right w:val="nil"/>
            </w:tcBorders>
          </w:tcPr>
          <w:p w14:paraId="64564866" w14:textId="77777777" w:rsidR="001D5F6D" w:rsidRPr="00641BDE" w:rsidRDefault="001D5F6D" w:rsidP="007C1C97"/>
        </w:tc>
      </w:tr>
      <w:tr w:rsidR="001D5F6D" w:rsidRPr="00641BDE" w14:paraId="60778782" w14:textId="77777777" w:rsidTr="007C1C97">
        <w:trPr>
          <w:trHeight w:val="240"/>
          <w:jc w:val="center"/>
        </w:trPr>
        <w:tc>
          <w:tcPr>
            <w:tcW w:w="4876" w:type="dxa"/>
            <w:tcBorders>
              <w:top w:val="nil"/>
              <w:left w:val="nil"/>
              <w:bottom w:val="nil"/>
              <w:right w:val="nil"/>
            </w:tcBorders>
          </w:tcPr>
          <w:p w14:paraId="57C0FDAD"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1D0C08C" w14:textId="77777777" w:rsidR="001D5F6D" w:rsidRPr="00641BDE" w:rsidRDefault="001D5F6D" w:rsidP="007C1C97">
            <w:pPr>
              <w:pStyle w:val="AmColumnHeading"/>
            </w:pPr>
            <w:r w:rsidRPr="00641BDE">
              <w:t>Poprawka</w:t>
            </w:r>
          </w:p>
        </w:tc>
      </w:tr>
      <w:tr w:rsidR="001D5F6D" w:rsidRPr="00641BDE" w14:paraId="53C0D769" w14:textId="77777777" w:rsidTr="007C1C97">
        <w:trPr>
          <w:jc w:val="center"/>
        </w:trPr>
        <w:tc>
          <w:tcPr>
            <w:tcW w:w="4876" w:type="dxa"/>
            <w:tcBorders>
              <w:top w:val="nil"/>
              <w:left w:val="nil"/>
              <w:bottom w:val="nil"/>
              <w:right w:val="nil"/>
            </w:tcBorders>
          </w:tcPr>
          <w:p w14:paraId="64967F75" w14:textId="77777777" w:rsidR="001D5F6D" w:rsidRPr="00641BDE" w:rsidRDefault="001D5F6D" w:rsidP="007C1C97">
            <w:pPr>
              <w:pStyle w:val="Normal6a"/>
            </w:pPr>
            <w:r w:rsidRPr="00641BDE">
              <w:rPr>
                <w:b/>
                <w:i/>
              </w:rPr>
              <w:t>–</w:t>
            </w:r>
            <w:r w:rsidRPr="00641BDE">
              <w:tab/>
            </w:r>
            <w:r w:rsidRPr="00641BDE">
              <w:rPr>
                <w:b/>
                <w:i/>
              </w:rPr>
              <w:t>zmiany elementów cenowych ofert finansowych wykraczające poza korekty dozwolone na mocy art. 151 rozporządzenia finansowego, mające decydujący wpływ na wynik przetargu i skutkujące nieprawidłowymi umowami i powiązanymi płatnościami na łączną kwotę 1,4 mln EUR w 2024 r.;</w:t>
            </w:r>
          </w:p>
        </w:tc>
        <w:tc>
          <w:tcPr>
            <w:tcW w:w="4876" w:type="dxa"/>
            <w:tcBorders>
              <w:top w:val="nil"/>
              <w:left w:val="nil"/>
              <w:bottom w:val="nil"/>
              <w:right w:val="nil"/>
            </w:tcBorders>
          </w:tcPr>
          <w:p w14:paraId="7CA4A7A8" w14:textId="77777777" w:rsidR="001D5F6D" w:rsidRPr="00641BDE" w:rsidRDefault="001D5F6D" w:rsidP="007C1C97">
            <w:pPr>
              <w:pStyle w:val="Normal6a"/>
            </w:pPr>
            <w:r w:rsidRPr="00641BDE">
              <w:rPr>
                <w:b/>
                <w:i/>
              </w:rPr>
              <w:t>skreśla się</w:t>
            </w:r>
          </w:p>
        </w:tc>
      </w:tr>
    </w:tbl>
    <w:p w14:paraId="2814A8E5"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BA01330" w14:textId="77777777" w:rsidR="001D5F6D" w:rsidRPr="00641BDE" w:rsidRDefault="001D5F6D" w:rsidP="001D5F6D">
      <w:r w:rsidRPr="00641BDE">
        <w:rPr>
          <w:rStyle w:val="HideTWBExt"/>
        </w:rPr>
        <w:t>&lt;/Amend&gt;</w:t>
      </w:r>
    </w:p>
    <w:p w14:paraId="3A41159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114</w:t>
      </w:r>
      <w:r w:rsidRPr="00641BDE">
        <w:rPr>
          <w:rStyle w:val="HideTWBExt"/>
          <w:b w:val="0"/>
        </w:rPr>
        <w:t>&lt;/NumAm&gt;</w:t>
      </w:r>
    </w:p>
    <w:p w14:paraId="6DE6DE35"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4CE77D9B" w14:textId="77777777" w:rsidR="001D5F6D" w:rsidRPr="00641BDE" w:rsidRDefault="001D5F6D" w:rsidP="001D5F6D">
      <w:pPr>
        <w:pStyle w:val="NormalBold"/>
      </w:pPr>
      <w:r w:rsidRPr="00641BDE">
        <w:rPr>
          <w:rStyle w:val="HideTWBExt"/>
          <w:b w:val="0"/>
        </w:rPr>
        <w:t>&lt;/RepeatBlock-By&gt;</w:t>
      </w:r>
    </w:p>
    <w:p w14:paraId="67CA81F1"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EE7E433" w14:textId="77777777" w:rsidR="001D5F6D" w:rsidRPr="00641BDE" w:rsidRDefault="001D5F6D" w:rsidP="001D5F6D">
      <w:pPr>
        <w:pStyle w:val="NormalBold"/>
      </w:pPr>
      <w:r w:rsidRPr="00641BDE">
        <w:rPr>
          <w:rStyle w:val="HideTWBExt"/>
          <w:b w:val="0"/>
        </w:rPr>
        <w:t>&lt;Article&gt;</w:t>
      </w:r>
      <w:r w:rsidRPr="00641BDE">
        <w:t xml:space="preserve">Ustęp 60 – </w:t>
      </w:r>
      <w:proofErr w:type="spellStart"/>
      <w:r w:rsidRPr="00641BDE">
        <w:t>tiret</w:t>
      </w:r>
      <w:proofErr w:type="spellEnd"/>
      <w:r w:rsidRPr="00641BDE">
        <w:t xml:space="preserve"> 4</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04D6A52" w14:textId="77777777" w:rsidTr="007C1C97">
        <w:trPr>
          <w:trHeight w:hRule="exact" w:val="240"/>
          <w:jc w:val="center"/>
        </w:trPr>
        <w:tc>
          <w:tcPr>
            <w:tcW w:w="9752" w:type="dxa"/>
            <w:gridSpan w:val="2"/>
            <w:tcBorders>
              <w:top w:val="nil"/>
              <w:left w:val="nil"/>
              <w:bottom w:val="nil"/>
              <w:right w:val="nil"/>
            </w:tcBorders>
          </w:tcPr>
          <w:p w14:paraId="012A56B7" w14:textId="77777777" w:rsidR="001D5F6D" w:rsidRPr="00641BDE" w:rsidRDefault="001D5F6D" w:rsidP="007C1C97"/>
        </w:tc>
      </w:tr>
      <w:tr w:rsidR="001D5F6D" w:rsidRPr="00641BDE" w14:paraId="67EDF70E" w14:textId="77777777" w:rsidTr="007C1C97">
        <w:trPr>
          <w:trHeight w:val="240"/>
          <w:jc w:val="center"/>
        </w:trPr>
        <w:tc>
          <w:tcPr>
            <w:tcW w:w="4876" w:type="dxa"/>
            <w:tcBorders>
              <w:top w:val="nil"/>
              <w:left w:val="nil"/>
              <w:bottom w:val="nil"/>
              <w:right w:val="nil"/>
            </w:tcBorders>
          </w:tcPr>
          <w:p w14:paraId="44F49C5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71E7EA8" w14:textId="77777777" w:rsidR="001D5F6D" w:rsidRPr="00641BDE" w:rsidRDefault="001D5F6D" w:rsidP="007C1C97">
            <w:pPr>
              <w:pStyle w:val="AmColumnHeading"/>
            </w:pPr>
            <w:r w:rsidRPr="00641BDE">
              <w:t>Poprawka</w:t>
            </w:r>
          </w:p>
        </w:tc>
      </w:tr>
      <w:tr w:rsidR="001D5F6D" w:rsidRPr="00641BDE" w14:paraId="130EA9E6" w14:textId="77777777" w:rsidTr="007C1C97">
        <w:trPr>
          <w:jc w:val="center"/>
        </w:trPr>
        <w:tc>
          <w:tcPr>
            <w:tcW w:w="4876" w:type="dxa"/>
            <w:tcBorders>
              <w:top w:val="nil"/>
              <w:left w:val="nil"/>
              <w:bottom w:val="nil"/>
              <w:right w:val="nil"/>
            </w:tcBorders>
          </w:tcPr>
          <w:p w14:paraId="2F2BB006" w14:textId="77777777" w:rsidR="001D5F6D" w:rsidRPr="00641BDE" w:rsidRDefault="001D5F6D" w:rsidP="007C1C97">
            <w:pPr>
              <w:pStyle w:val="Normal6a"/>
            </w:pPr>
            <w:r w:rsidRPr="00641BDE">
              <w:rPr>
                <w:b/>
                <w:i/>
              </w:rPr>
              <w:t>–</w:t>
            </w:r>
            <w:r w:rsidRPr="00641BDE">
              <w:tab/>
            </w:r>
            <w:r w:rsidRPr="00641BDE">
              <w:rPr>
                <w:b/>
                <w:i/>
              </w:rPr>
              <w:t xml:space="preserve">ponowne otwarcie konkursu na usługi monitorowania i obsługi w odniesieniu do wizowego systemu informacyjnego; wyraża zaniepokojenie faktem, że zwycięska oferta (47,8 mln EUR) była pięciokrotnie niższa niż druga oferta pod względem ceny (243,4 mln EUR) i 50-krotnie niższa niż najwyższa cenowo oferta (2,4 mld EUR), co budzi obawy co do jej prawidłowości; zwraca uwagę na fakt, że </w:t>
            </w:r>
            <w:proofErr w:type="spellStart"/>
            <w:r w:rsidRPr="00641BDE">
              <w:rPr>
                <w:b/>
                <w:i/>
              </w:rPr>
              <w:t>eu</w:t>
            </w:r>
            <w:proofErr w:type="spellEnd"/>
            <w:r w:rsidRPr="00641BDE">
              <w:rPr>
                <w:b/>
                <w:i/>
              </w:rPr>
              <w:t>‑LISA powołała grupę roboczą w celu przeanalizowania ponownego otwarcia konkursu, która to grupa potwierdziła ocenę urzędników finansowych, ale zgłosiła ryzyko operacyjne i umowne związane z tym, że agencja musiałaby zapłacić z góry większość ceny zamówienia; podkreśla, że Trybunał uznał to ryzyko za znaczące;</w:t>
            </w:r>
          </w:p>
        </w:tc>
        <w:tc>
          <w:tcPr>
            <w:tcW w:w="4876" w:type="dxa"/>
            <w:tcBorders>
              <w:top w:val="nil"/>
              <w:left w:val="nil"/>
              <w:bottom w:val="nil"/>
              <w:right w:val="nil"/>
            </w:tcBorders>
          </w:tcPr>
          <w:p w14:paraId="3A0CAB26" w14:textId="77777777" w:rsidR="001D5F6D" w:rsidRPr="00641BDE" w:rsidRDefault="001D5F6D" w:rsidP="007C1C97">
            <w:pPr>
              <w:pStyle w:val="Normal6a"/>
            </w:pPr>
            <w:r w:rsidRPr="00641BDE">
              <w:rPr>
                <w:b/>
                <w:i/>
              </w:rPr>
              <w:t>skreśla się</w:t>
            </w:r>
          </w:p>
        </w:tc>
      </w:tr>
    </w:tbl>
    <w:p w14:paraId="34988EE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BAF3684" w14:textId="77777777" w:rsidR="001D5F6D" w:rsidRPr="00641BDE" w:rsidRDefault="001D5F6D" w:rsidP="001D5F6D">
      <w:r w:rsidRPr="00641BDE">
        <w:rPr>
          <w:rStyle w:val="HideTWBExt"/>
        </w:rPr>
        <w:t>&lt;/Amend&gt;</w:t>
      </w:r>
    </w:p>
    <w:p w14:paraId="096BA53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115</w:t>
      </w:r>
      <w:r w:rsidRPr="00641BDE">
        <w:rPr>
          <w:rStyle w:val="HideTWBExt"/>
          <w:b w:val="0"/>
        </w:rPr>
        <w:t>&lt;/NumAm&gt;</w:t>
      </w:r>
    </w:p>
    <w:p w14:paraId="01AF0E66"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33C80E7C" w14:textId="77777777" w:rsidR="001D5F6D" w:rsidRPr="00641BDE" w:rsidRDefault="001D5F6D" w:rsidP="001D5F6D">
      <w:pPr>
        <w:pStyle w:val="NormalBold"/>
      </w:pPr>
      <w:r w:rsidRPr="00641BDE">
        <w:rPr>
          <w:rStyle w:val="HideTWBExt"/>
          <w:b w:val="0"/>
        </w:rPr>
        <w:t>&lt;/RepeatBlock-By&gt;</w:t>
      </w:r>
    </w:p>
    <w:p w14:paraId="1CE08411"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C37428F" w14:textId="77777777" w:rsidR="001D5F6D" w:rsidRPr="00641BDE" w:rsidRDefault="001D5F6D" w:rsidP="001D5F6D">
      <w:pPr>
        <w:pStyle w:val="NormalBold"/>
      </w:pPr>
      <w:r w:rsidRPr="00641BDE">
        <w:rPr>
          <w:rStyle w:val="HideTWBExt"/>
          <w:b w:val="0"/>
        </w:rPr>
        <w:t>&lt;Article&gt;</w:t>
      </w:r>
      <w:r w:rsidRPr="00641BDE">
        <w:t xml:space="preserve">Ustęp 60 – </w:t>
      </w:r>
      <w:proofErr w:type="spellStart"/>
      <w:r w:rsidRPr="00641BDE">
        <w:t>tiret</w:t>
      </w:r>
      <w:proofErr w:type="spellEnd"/>
      <w:r w:rsidRPr="00641BDE">
        <w:t xml:space="preserve"> 5</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3A3B651" w14:textId="77777777" w:rsidTr="007C1C97">
        <w:trPr>
          <w:trHeight w:hRule="exact" w:val="240"/>
          <w:jc w:val="center"/>
        </w:trPr>
        <w:tc>
          <w:tcPr>
            <w:tcW w:w="9752" w:type="dxa"/>
            <w:gridSpan w:val="2"/>
            <w:tcBorders>
              <w:top w:val="nil"/>
              <w:left w:val="nil"/>
              <w:bottom w:val="nil"/>
              <w:right w:val="nil"/>
            </w:tcBorders>
          </w:tcPr>
          <w:p w14:paraId="1F01659B" w14:textId="77777777" w:rsidR="001D5F6D" w:rsidRPr="00641BDE" w:rsidRDefault="001D5F6D" w:rsidP="007C1C97"/>
        </w:tc>
      </w:tr>
      <w:tr w:rsidR="001D5F6D" w:rsidRPr="00641BDE" w14:paraId="63B1BD31" w14:textId="77777777" w:rsidTr="007C1C97">
        <w:trPr>
          <w:trHeight w:val="240"/>
          <w:jc w:val="center"/>
        </w:trPr>
        <w:tc>
          <w:tcPr>
            <w:tcW w:w="4876" w:type="dxa"/>
            <w:tcBorders>
              <w:top w:val="nil"/>
              <w:left w:val="nil"/>
              <w:bottom w:val="nil"/>
              <w:right w:val="nil"/>
            </w:tcBorders>
          </w:tcPr>
          <w:p w14:paraId="0A95EE16"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4DB7F5C" w14:textId="77777777" w:rsidR="001D5F6D" w:rsidRPr="00641BDE" w:rsidRDefault="001D5F6D" w:rsidP="007C1C97">
            <w:pPr>
              <w:pStyle w:val="AmColumnHeading"/>
            </w:pPr>
            <w:r w:rsidRPr="00641BDE">
              <w:t>Poprawka</w:t>
            </w:r>
          </w:p>
        </w:tc>
      </w:tr>
      <w:tr w:rsidR="001D5F6D" w:rsidRPr="00641BDE" w14:paraId="29B18A60" w14:textId="77777777" w:rsidTr="007C1C97">
        <w:trPr>
          <w:jc w:val="center"/>
        </w:trPr>
        <w:tc>
          <w:tcPr>
            <w:tcW w:w="4876" w:type="dxa"/>
            <w:tcBorders>
              <w:top w:val="nil"/>
              <w:left w:val="nil"/>
              <w:bottom w:val="nil"/>
              <w:right w:val="nil"/>
            </w:tcBorders>
          </w:tcPr>
          <w:p w14:paraId="34B3F9A9" w14:textId="77777777" w:rsidR="001D5F6D" w:rsidRPr="00641BDE" w:rsidRDefault="001D5F6D" w:rsidP="007C1C97">
            <w:pPr>
              <w:pStyle w:val="Normal6a"/>
            </w:pPr>
            <w:r w:rsidRPr="00641BDE">
              <w:rPr>
                <w:b/>
                <w:i/>
              </w:rPr>
              <w:t>–</w:t>
            </w:r>
            <w:r w:rsidRPr="00641BDE">
              <w:tab/>
            </w:r>
            <w:r w:rsidRPr="00641BDE">
              <w:rPr>
                <w:b/>
                <w:i/>
              </w:rPr>
              <w:t xml:space="preserve">przypomina, że w następstwie opóźnień we wdrażaniu systemu wjazdu/wyjazdu (EES) wynikł spór, w którym wykonawca odmówił pokrycia dodatkowych kosztów obsługi niektórych produktów informatycznych, co doprowadziło do przerwy w obsługi między listopadem 2022 r. a kwietniem 2023 r. i naraziło </w:t>
            </w:r>
            <w:proofErr w:type="spellStart"/>
            <w:r w:rsidRPr="00641BDE">
              <w:rPr>
                <w:b/>
                <w:i/>
              </w:rPr>
              <w:t>eu</w:t>
            </w:r>
            <w:proofErr w:type="spellEnd"/>
            <w:r w:rsidRPr="00641BDE">
              <w:rPr>
                <w:b/>
                <w:i/>
              </w:rPr>
              <w:t xml:space="preserve">-LISA na ryzyko operacyjne; przypomina, że aby zaradzić bezpośredniemu ryzyku dla ciągłości działania, </w:t>
            </w:r>
            <w:proofErr w:type="spellStart"/>
            <w:r w:rsidRPr="00641BDE">
              <w:rPr>
                <w:b/>
                <w:i/>
              </w:rPr>
              <w:t>eu</w:t>
            </w:r>
            <w:proofErr w:type="spellEnd"/>
            <w:r w:rsidRPr="00641BDE">
              <w:rPr>
                <w:b/>
                <w:i/>
              </w:rPr>
              <w:t xml:space="preserve">-LISA zmieniła w 2023 r. umowę ramową dotyczącą operacji przekrojowych, tak aby uwzględnić opłaty za przywrócenie ciągłości wsparcia, tj. kary za nieprzedłużenie obsługi serwisowej w terminie, a następnie zapłaciła 5,3 mln EUR w 2023 r. i 1,3 mln EUR w 2024 r. za przedłużenie obsługi oprogramowania i związane z tym koszty przywrócenia systemu, które zgodnie z interpretacją agencji powinien był ponieść wykonawca; przypomina ponadto, że mimo wysokości spornych kwot i otwartego statusu uwagi Trybunału </w:t>
            </w:r>
            <w:proofErr w:type="spellStart"/>
            <w:r w:rsidRPr="00641BDE">
              <w:rPr>
                <w:b/>
                <w:i/>
              </w:rPr>
              <w:t>eu</w:t>
            </w:r>
            <w:proofErr w:type="spellEnd"/>
            <w:r w:rsidRPr="00641BDE">
              <w:rPr>
                <w:b/>
                <w:i/>
              </w:rPr>
              <w:t>-LISA do końca 2024 r. nie wszczęła postępowania sądowego przeciwko wykonawcy EES;</w:t>
            </w:r>
          </w:p>
        </w:tc>
        <w:tc>
          <w:tcPr>
            <w:tcW w:w="4876" w:type="dxa"/>
            <w:tcBorders>
              <w:top w:val="nil"/>
              <w:left w:val="nil"/>
              <w:bottom w:val="nil"/>
              <w:right w:val="nil"/>
            </w:tcBorders>
          </w:tcPr>
          <w:p w14:paraId="777DA1B5" w14:textId="77777777" w:rsidR="001D5F6D" w:rsidRPr="00641BDE" w:rsidRDefault="001D5F6D" w:rsidP="007C1C97">
            <w:pPr>
              <w:pStyle w:val="Normal6a"/>
            </w:pPr>
            <w:r w:rsidRPr="00641BDE">
              <w:rPr>
                <w:b/>
                <w:i/>
              </w:rPr>
              <w:t>skreśla się</w:t>
            </w:r>
          </w:p>
        </w:tc>
      </w:tr>
    </w:tbl>
    <w:p w14:paraId="1B1654D3"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2C0F539" w14:textId="77777777" w:rsidR="001D5F6D" w:rsidRPr="00641BDE" w:rsidRDefault="001D5F6D" w:rsidP="001D5F6D">
      <w:r w:rsidRPr="00641BDE">
        <w:rPr>
          <w:rStyle w:val="HideTWBExt"/>
        </w:rPr>
        <w:t>&lt;/Amend&gt;</w:t>
      </w:r>
    </w:p>
    <w:p w14:paraId="07F197C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116</w:t>
      </w:r>
      <w:r w:rsidRPr="00641BDE">
        <w:rPr>
          <w:rStyle w:val="HideTWBExt"/>
          <w:b w:val="0"/>
        </w:rPr>
        <w:t>&lt;/NumAm&gt;</w:t>
      </w:r>
    </w:p>
    <w:p w14:paraId="5A5924C8"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28E4E4EC" w14:textId="77777777" w:rsidR="001D5F6D" w:rsidRPr="00641BDE" w:rsidRDefault="001D5F6D" w:rsidP="001D5F6D">
      <w:pPr>
        <w:pStyle w:val="NormalBold"/>
      </w:pPr>
      <w:r w:rsidRPr="00641BDE">
        <w:rPr>
          <w:rStyle w:val="HideTWBExt"/>
          <w:b w:val="0"/>
        </w:rPr>
        <w:t>&lt;/RepeatBlock-By&gt;</w:t>
      </w:r>
    </w:p>
    <w:p w14:paraId="702F0A8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7B399E2" w14:textId="77777777" w:rsidR="001D5F6D" w:rsidRPr="00641BDE" w:rsidRDefault="001D5F6D" w:rsidP="001D5F6D">
      <w:pPr>
        <w:pStyle w:val="NormalBold"/>
      </w:pPr>
      <w:r w:rsidRPr="00641BDE">
        <w:rPr>
          <w:rStyle w:val="HideTWBExt"/>
          <w:b w:val="0"/>
        </w:rPr>
        <w:t>&lt;Article&gt;</w:t>
      </w:r>
      <w:r w:rsidRPr="00641BDE">
        <w:t>Ustęp 62</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81FEAA3" w14:textId="77777777" w:rsidTr="007C1C97">
        <w:trPr>
          <w:trHeight w:hRule="exact" w:val="240"/>
          <w:jc w:val="center"/>
        </w:trPr>
        <w:tc>
          <w:tcPr>
            <w:tcW w:w="9752" w:type="dxa"/>
            <w:gridSpan w:val="2"/>
            <w:tcBorders>
              <w:top w:val="nil"/>
              <w:left w:val="nil"/>
              <w:bottom w:val="nil"/>
              <w:right w:val="nil"/>
            </w:tcBorders>
          </w:tcPr>
          <w:p w14:paraId="20235FD3" w14:textId="77777777" w:rsidR="001D5F6D" w:rsidRPr="00641BDE" w:rsidRDefault="001D5F6D" w:rsidP="007C1C97"/>
        </w:tc>
      </w:tr>
      <w:tr w:rsidR="001D5F6D" w:rsidRPr="00641BDE" w14:paraId="460F1770" w14:textId="77777777" w:rsidTr="007C1C97">
        <w:trPr>
          <w:trHeight w:val="240"/>
          <w:jc w:val="center"/>
        </w:trPr>
        <w:tc>
          <w:tcPr>
            <w:tcW w:w="4876" w:type="dxa"/>
            <w:tcBorders>
              <w:top w:val="nil"/>
              <w:left w:val="nil"/>
              <w:bottom w:val="nil"/>
              <w:right w:val="nil"/>
            </w:tcBorders>
          </w:tcPr>
          <w:p w14:paraId="4B791F8B"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0BBF769" w14:textId="77777777" w:rsidR="001D5F6D" w:rsidRPr="00641BDE" w:rsidRDefault="001D5F6D" w:rsidP="007C1C97">
            <w:pPr>
              <w:pStyle w:val="AmColumnHeading"/>
            </w:pPr>
            <w:r w:rsidRPr="00641BDE">
              <w:t>Poprawka</w:t>
            </w:r>
          </w:p>
        </w:tc>
      </w:tr>
      <w:tr w:rsidR="001D5F6D" w:rsidRPr="00641BDE" w14:paraId="5839E102" w14:textId="77777777" w:rsidTr="007C1C97">
        <w:trPr>
          <w:jc w:val="center"/>
        </w:trPr>
        <w:tc>
          <w:tcPr>
            <w:tcW w:w="4876" w:type="dxa"/>
            <w:tcBorders>
              <w:top w:val="nil"/>
              <w:left w:val="nil"/>
              <w:bottom w:val="nil"/>
              <w:right w:val="nil"/>
            </w:tcBorders>
          </w:tcPr>
          <w:p w14:paraId="4C03088B" w14:textId="77777777" w:rsidR="001D5F6D" w:rsidRPr="00641BDE" w:rsidRDefault="001D5F6D" w:rsidP="007C1C97">
            <w:pPr>
              <w:pStyle w:val="Normal6a"/>
            </w:pPr>
            <w:r w:rsidRPr="00641BDE">
              <w:t>62.</w:t>
            </w:r>
            <w:r w:rsidRPr="00641BDE">
              <w:tab/>
              <w:t xml:space="preserve">przyznaje, że </w:t>
            </w:r>
            <w:proofErr w:type="spellStart"/>
            <w:r w:rsidRPr="00641BDE">
              <w:t>eu</w:t>
            </w:r>
            <w:proofErr w:type="spellEnd"/>
            <w:r w:rsidRPr="00641BDE">
              <w:t>-LISA stoi w obliczu poważnych wyzwań</w:t>
            </w:r>
            <w:r w:rsidRPr="00641BDE">
              <w:rPr>
                <w:b/>
                <w:bCs/>
                <w:i/>
                <w:iCs/>
              </w:rPr>
              <w:t>,</w:t>
            </w:r>
            <w:r w:rsidRPr="00641BDE">
              <w:t xml:space="preserve"> i podkreśla </w:t>
            </w:r>
            <w:r w:rsidRPr="00641BDE">
              <w:rPr>
                <w:b/>
                <w:i/>
              </w:rPr>
              <w:t>konieczność zwiększenia liczby jej personelu, aby umożliwić jej skuteczne stawianie czoła tym wyzwaniom i zapewnić ciągłość działania</w:t>
            </w:r>
            <w:r w:rsidRPr="00641BDE">
              <w:t xml:space="preserve">, </w:t>
            </w:r>
            <w:r w:rsidRPr="00641BDE">
              <w:rPr>
                <w:b/>
                <w:bCs/>
                <w:i/>
                <w:iCs/>
              </w:rPr>
              <w:t>oraz</w:t>
            </w:r>
            <w:r w:rsidRPr="00641BDE">
              <w:t xml:space="preserve"> że </w:t>
            </w:r>
            <w:r w:rsidRPr="00641BDE">
              <w:rPr>
                <w:b/>
                <w:i/>
              </w:rPr>
              <w:t>należy w tym celu zapewnić odpowiednie finansowanie</w:t>
            </w:r>
            <w:r w:rsidRPr="00641BDE">
              <w:t>;</w:t>
            </w:r>
          </w:p>
        </w:tc>
        <w:tc>
          <w:tcPr>
            <w:tcW w:w="4876" w:type="dxa"/>
            <w:tcBorders>
              <w:top w:val="nil"/>
              <w:left w:val="nil"/>
              <w:bottom w:val="nil"/>
              <w:right w:val="nil"/>
            </w:tcBorders>
          </w:tcPr>
          <w:p w14:paraId="2B6B8E2B" w14:textId="77777777" w:rsidR="001D5F6D" w:rsidRPr="00641BDE" w:rsidRDefault="001D5F6D" w:rsidP="007C1C97">
            <w:pPr>
              <w:pStyle w:val="Normal6a"/>
            </w:pPr>
            <w:r w:rsidRPr="00641BDE">
              <w:t>62.</w:t>
            </w:r>
            <w:r w:rsidRPr="00641BDE">
              <w:tab/>
              <w:t xml:space="preserve">przyznaje, że </w:t>
            </w:r>
            <w:proofErr w:type="spellStart"/>
            <w:r w:rsidRPr="00641BDE">
              <w:t>eu</w:t>
            </w:r>
            <w:proofErr w:type="spellEnd"/>
            <w:r w:rsidRPr="00641BDE">
              <w:t>-LISA stoi w obliczu poważnych wyzwań</w:t>
            </w:r>
            <w:r w:rsidRPr="00641BDE">
              <w:rPr>
                <w:b/>
                <w:i/>
              </w:rPr>
              <w:t xml:space="preserve">; zauważa jednak, że Trybunał wykrył utrzymujące się i systemowe nieprawidłowości w zamówieniach publicznych w operacjach </w:t>
            </w:r>
            <w:proofErr w:type="spellStart"/>
            <w:r w:rsidRPr="00641BDE">
              <w:rPr>
                <w:b/>
                <w:i/>
              </w:rPr>
              <w:t>eu</w:t>
            </w:r>
            <w:proofErr w:type="spellEnd"/>
            <w:r w:rsidRPr="00641BDE">
              <w:rPr>
                <w:b/>
                <w:i/>
              </w:rPr>
              <w:t xml:space="preserve">-LISA; </w:t>
            </w:r>
            <w:r w:rsidRPr="00641BDE">
              <w:t xml:space="preserve">podkreśla, że </w:t>
            </w:r>
            <w:r w:rsidRPr="00641BDE">
              <w:rPr>
                <w:b/>
                <w:i/>
              </w:rPr>
              <w:t>przed uzyskaniem zgody i środków finansowych na dodatkowy personel agencja musi najpierw wykazać, że zaradziła niedociągnięciom strukturalnym stwierdzonym przez Trybunał oraz że istniejące zasoby są skutecznie wykorzystywane</w:t>
            </w:r>
            <w:r w:rsidRPr="00641BDE">
              <w:t>;</w:t>
            </w:r>
          </w:p>
        </w:tc>
      </w:tr>
    </w:tbl>
    <w:p w14:paraId="3F79FE51"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61E352E" w14:textId="77777777" w:rsidR="001D5F6D" w:rsidRPr="00641BDE" w:rsidRDefault="001D5F6D" w:rsidP="001D5F6D">
      <w:r w:rsidRPr="00641BDE">
        <w:rPr>
          <w:rStyle w:val="HideTWBExt"/>
        </w:rPr>
        <w:t>&lt;/Amend&gt;</w:t>
      </w:r>
    </w:p>
    <w:p w14:paraId="712C19CA"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117</w:t>
      </w:r>
      <w:r w:rsidRPr="00641BDE">
        <w:rPr>
          <w:rStyle w:val="HideTWBExt"/>
          <w:b w:val="0"/>
        </w:rPr>
        <w:t>&lt;/NumAm&gt;</w:t>
      </w:r>
    </w:p>
    <w:p w14:paraId="43E651D2"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75DDAD71" w14:textId="77777777" w:rsidR="001D5F6D" w:rsidRPr="00641BDE" w:rsidRDefault="001D5F6D" w:rsidP="001D5F6D">
      <w:pPr>
        <w:pStyle w:val="NormalBold"/>
      </w:pPr>
      <w:r w:rsidRPr="00641BDE">
        <w:rPr>
          <w:rStyle w:val="HideTWBExt"/>
          <w:b w:val="0"/>
        </w:rPr>
        <w:t>&lt;/RepeatBlock-By&gt;</w:t>
      </w:r>
    </w:p>
    <w:p w14:paraId="5453C52E"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CC05CBD" w14:textId="77777777" w:rsidR="001D5F6D" w:rsidRPr="00641BDE" w:rsidRDefault="001D5F6D" w:rsidP="001D5F6D">
      <w:pPr>
        <w:pStyle w:val="NormalBold"/>
      </w:pPr>
      <w:r w:rsidRPr="00641BDE">
        <w:rPr>
          <w:rStyle w:val="HideTWBExt"/>
          <w:b w:val="0"/>
        </w:rPr>
        <w:t>&lt;Article&gt;</w:t>
      </w:r>
      <w:r w:rsidRPr="00641BDE">
        <w:t>Ustęp 70</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F29E856" w14:textId="77777777" w:rsidTr="007C1C97">
        <w:trPr>
          <w:trHeight w:hRule="exact" w:val="240"/>
          <w:jc w:val="center"/>
        </w:trPr>
        <w:tc>
          <w:tcPr>
            <w:tcW w:w="9752" w:type="dxa"/>
            <w:gridSpan w:val="2"/>
            <w:tcBorders>
              <w:top w:val="nil"/>
              <w:left w:val="nil"/>
              <w:bottom w:val="nil"/>
              <w:right w:val="nil"/>
            </w:tcBorders>
          </w:tcPr>
          <w:p w14:paraId="6AB28F22" w14:textId="77777777" w:rsidR="001D5F6D" w:rsidRPr="00641BDE" w:rsidRDefault="001D5F6D" w:rsidP="007C1C97"/>
        </w:tc>
      </w:tr>
      <w:tr w:rsidR="001D5F6D" w:rsidRPr="00641BDE" w14:paraId="2AF52613" w14:textId="77777777" w:rsidTr="007C1C97">
        <w:trPr>
          <w:trHeight w:val="240"/>
          <w:jc w:val="center"/>
        </w:trPr>
        <w:tc>
          <w:tcPr>
            <w:tcW w:w="4876" w:type="dxa"/>
            <w:tcBorders>
              <w:top w:val="nil"/>
              <w:left w:val="nil"/>
              <w:bottom w:val="nil"/>
              <w:right w:val="nil"/>
            </w:tcBorders>
          </w:tcPr>
          <w:p w14:paraId="65C3150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80B0CC2" w14:textId="77777777" w:rsidR="001D5F6D" w:rsidRPr="00641BDE" w:rsidRDefault="001D5F6D" w:rsidP="007C1C97">
            <w:pPr>
              <w:pStyle w:val="AmColumnHeading"/>
            </w:pPr>
            <w:r w:rsidRPr="00641BDE">
              <w:t>Poprawka</w:t>
            </w:r>
          </w:p>
        </w:tc>
      </w:tr>
      <w:tr w:rsidR="001D5F6D" w:rsidRPr="00641BDE" w14:paraId="50FEC084" w14:textId="77777777" w:rsidTr="007C1C97">
        <w:trPr>
          <w:jc w:val="center"/>
        </w:trPr>
        <w:tc>
          <w:tcPr>
            <w:tcW w:w="4876" w:type="dxa"/>
            <w:tcBorders>
              <w:top w:val="nil"/>
              <w:left w:val="nil"/>
              <w:bottom w:val="nil"/>
              <w:right w:val="nil"/>
            </w:tcBorders>
          </w:tcPr>
          <w:p w14:paraId="19C27834" w14:textId="77777777" w:rsidR="001D5F6D" w:rsidRPr="00641BDE" w:rsidRDefault="001D5F6D" w:rsidP="007C1C97">
            <w:pPr>
              <w:pStyle w:val="Normal6a"/>
            </w:pPr>
            <w:r w:rsidRPr="00641BDE">
              <w:t>70.</w:t>
            </w:r>
            <w:r w:rsidRPr="00641BDE">
              <w:tab/>
              <w:t xml:space="preserve">z zadowoleniem przyjmuje fakt, że operacyjne grupy zadaniowe i wspólne zespoły dochodzeniowo-śledcze (zespoły JIT) Europolu odegrały zasadniczą rolę w likwidacji szyfrowanej platformy komunikacyjnej Matrix, co potwierdza ich uzupełniającą, choć odrębną rolę w zwalczaniu transgranicznej przestępczości zorganizowanej; zauważa, że operację rozpoczęto w czerwcu 2024 r. od współpracy w ramach operacyjnej grupy zadaniowej między Niderlandami, Francją, Litwą, Włochami i Hiszpanią, aby ułatwić wymianę informacji wywiadowczych i monitorowanie działalności przestępczej; podkreśla, że zmiana formatu na zespół JIT pod nadzorem </w:t>
            </w:r>
            <w:proofErr w:type="spellStart"/>
            <w:r w:rsidRPr="00641BDE">
              <w:t>Eurojustu</w:t>
            </w:r>
            <w:proofErr w:type="spellEnd"/>
            <w:r w:rsidRPr="00641BDE">
              <w:t xml:space="preserve"> </w:t>
            </w:r>
            <w:r w:rsidRPr="00641BDE">
              <w:rPr>
                <w:b/>
                <w:bCs/>
                <w:i/>
                <w:iCs/>
              </w:rPr>
              <w:t>umożliwiło</w:t>
            </w:r>
            <w:r w:rsidRPr="00641BDE">
              <w:t xml:space="preserve"> formalną koordynację dochodzeń, co doprowadziło do aresztowań, konfiskat i odszyfrowania 2,3 mln wiadomości w 33 językach; zauważa, że władze niemieckie zapewniły wsparcie techniczne, a policja hiszpańska, francuska i niderlandzka współpracowały w toku całego dochodzenia; jest zdania, że sprawa ta uwydatnia skuteczność współpracy transgranicznej w rozbijaniu nielegalnych sieci oraz potrzebę trwałych inwestycji w zdolności egzekwowania prawa w celu przeciwdziałania zmieniającym się taktykom przestępczym;</w:t>
            </w:r>
          </w:p>
        </w:tc>
        <w:tc>
          <w:tcPr>
            <w:tcW w:w="4876" w:type="dxa"/>
            <w:tcBorders>
              <w:top w:val="nil"/>
              <w:left w:val="nil"/>
              <w:bottom w:val="nil"/>
              <w:right w:val="nil"/>
            </w:tcBorders>
          </w:tcPr>
          <w:p w14:paraId="548A1970" w14:textId="77777777" w:rsidR="001D5F6D" w:rsidRPr="00641BDE" w:rsidRDefault="001D5F6D" w:rsidP="007C1C97">
            <w:pPr>
              <w:pStyle w:val="Normal6a"/>
            </w:pPr>
            <w:r w:rsidRPr="00641BDE">
              <w:t>70.</w:t>
            </w:r>
            <w:r w:rsidRPr="00641BDE">
              <w:tab/>
              <w:t xml:space="preserve">z zadowoleniem przyjmuje fakt, że operacyjne grupy zadaniowe i wspólne zespoły dochodzeniowo-śledcze (zespoły JIT) Europolu odegrały zasadniczą rolę w likwidacji szyfrowanej platformy komunikacyjnej Matrix, co potwierdza ich uzupełniającą, choć odrębną rolę w zwalczaniu transgranicznej przestępczości zorganizowanej; zauważa, że operację rozpoczęto w czerwcu 2024 r. od współpracy w ramach operacyjnej grupy zadaniowej między Niderlandami, Francją, Litwą, Włochami i Hiszpanią, aby ułatwić wymianę informacji wywiadowczych i monitorowanie działalności przestępczej; podkreśla, że zmiana formatu na zespół JIT pod nadzorem </w:t>
            </w:r>
            <w:proofErr w:type="spellStart"/>
            <w:r w:rsidRPr="00641BDE">
              <w:t>Eurojustu</w:t>
            </w:r>
            <w:proofErr w:type="spellEnd"/>
            <w:r w:rsidRPr="00641BDE">
              <w:t xml:space="preserve"> </w:t>
            </w:r>
            <w:r w:rsidRPr="00641BDE">
              <w:rPr>
                <w:b/>
                <w:bCs/>
                <w:i/>
                <w:iCs/>
              </w:rPr>
              <w:t>umożliwiła</w:t>
            </w:r>
            <w:r w:rsidRPr="00641BDE">
              <w:t xml:space="preserve"> formalną koordynację dochodzeń, co doprowadziło do aresztowań, konfiskat i odszyfrowania 2,3 mln wiadomości w 33 językach; zauważa, że władze niemieckie zapewniły wsparcie techniczne, a policja hiszpańska, francuska i niderlandzka współpracowały w toku całego dochodzenia; jest zdania, że sprawa ta uwydatnia skuteczność współpracy transgranicznej w rozbijaniu nielegalnych sieci oraz potrzebę trwałych inwestycji w zdolności egzekwowania prawa w celu przeciwdziałania zmieniającym się taktykom przestępczym; </w:t>
            </w:r>
            <w:r w:rsidRPr="00641BDE">
              <w:rPr>
                <w:b/>
                <w:i/>
              </w:rPr>
              <w:t>podkreśla i z zadowoleniem przyjmuje pozytywne wyniki osiągnięte przez agencje organizujące współpracę między państwami członkowskimi; wyraża ubolewanie, że większość agencji stosuje natomiast bardziej odgórne, nakazowe i technokratyczne podejście scentralizowane w stosunku do państw członkowskich;</w:t>
            </w:r>
          </w:p>
        </w:tc>
      </w:tr>
    </w:tbl>
    <w:p w14:paraId="582C7832"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3D0BF3C0" w14:textId="77777777" w:rsidR="001D5F6D" w:rsidRPr="00641BDE" w:rsidRDefault="001D5F6D" w:rsidP="001D5F6D">
      <w:r w:rsidRPr="00641BDE">
        <w:rPr>
          <w:rStyle w:val="HideTWBExt"/>
        </w:rPr>
        <w:t>&lt;/Amend&gt;</w:t>
      </w:r>
    </w:p>
    <w:p w14:paraId="524591E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118</w:t>
      </w:r>
      <w:r w:rsidRPr="00641BDE">
        <w:rPr>
          <w:rStyle w:val="HideTWBExt"/>
          <w:b w:val="0"/>
        </w:rPr>
        <w:t>&lt;/NumAm&gt;</w:t>
      </w:r>
    </w:p>
    <w:p w14:paraId="51FC4EE5"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576B958F" w14:textId="77777777" w:rsidR="001D5F6D" w:rsidRPr="00641BDE" w:rsidRDefault="001D5F6D" w:rsidP="001D5F6D">
      <w:pPr>
        <w:pStyle w:val="NormalBold"/>
      </w:pPr>
      <w:r w:rsidRPr="00641BDE">
        <w:rPr>
          <w:rStyle w:val="HideTWBExt"/>
          <w:b w:val="0"/>
        </w:rPr>
        <w:t>&lt;/RepeatBlock-By&gt;</w:t>
      </w:r>
    </w:p>
    <w:p w14:paraId="55557E24"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BD51A32" w14:textId="77777777" w:rsidR="001D5F6D" w:rsidRPr="00641BDE" w:rsidRDefault="001D5F6D" w:rsidP="001D5F6D">
      <w:pPr>
        <w:pStyle w:val="NormalBold"/>
      </w:pPr>
      <w:r w:rsidRPr="00641BDE">
        <w:rPr>
          <w:rStyle w:val="HideTWBExt"/>
          <w:b w:val="0"/>
        </w:rPr>
        <w:t>&lt;Article&gt;</w:t>
      </w:r>
      <w:r w:rsidRPr="00641BDE">
        <w:t>Ustęp 71</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D296156" w14:textId="77777777" w:rsidTr="007C1C97">
        <w:trPr>
          <w:trHeight w:hRule="exact" w:val="240"/>
          <w:jc w:val="center"/>
        </w:trPr>
        <w:tc>
          <w:tcPr>
            <w:tcW w:w="9752" w:type="dxa"/>
            <w:gridSpan w:val="2"/>
            <w:tcBorders>
              <w:top w:val="nil"/>
              <w:left w:val="nil"/>
              <w:bottom w:val="nil"/>
              <w:right w:val="nil"/>
            </w:tcBorders>
          </w:tcPr>
          <w:p w14:paraId="495AD850" w14:textId="77777777" w:rsidR="001D5F6D" w:rsidRPr="00641BDE" w:rsidRDefault="001D5F6D" w:rsidP="007C1C97"/>
        </w:tc>
      </w:tr>
      <w:tr w:rsidR="001D5F6D" w:rsidRPr="00641BDE" w14:paraId="555A5011" w14:textId="77777777" w:rsidTr="007C1C97">
        <w:trPr>
          <w:trHeight w:val="240"/>
          <w:jc w:val="center"/>
        </w:trPr>
        <w:tc>
          <w:tcPr>
            <w:tcW w:w="4876" w:type="dxa"/>
            <w:tcBorders>
              <w:top w:val="nil"/>
              <w:left w:val="nil"/>
              <w:bottom w:val="nil"/>
              <w:right w:val="nil"/>
            </w:tcBorders>
          </w:tcPr>
          <w:p w14:paraId="7787E5C6"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386CC59" w14:textId="77777777" w:rsidR="001D5F6D" w:rsidRPr="00641BDE" w:rsidRDefault="001D5F6D" w:rsidP="007C1C97">
            <w:pPr>
              <w:pStyle w:val="AmColumnHeading"/>
            </w:pPr>
            <w:r w:rsidRPr="00641BDE">
              <w:t>Poprawka</w:t>
            </w:r>
          </w:p>
        </w:tc>
      </w:tr>
      <w:tr w:rsidR="001D5F6D" w:rsidRPr="00641BDE" w14:paraId="10376302" w14:textId="77777777" w:rsidTr="007C1C97">
        <w:trPr>
          <w:jc w:val="center"/>
        </w:trPr>
        <w:tc>
          <w:tcPr>
            <w:tcW w:w="4876" w:type="dxa"/>
            <w:tcBorders>
              <w:top w:val="nil"/>
              <w:left w:val="nil"/>
              <w:bottom w:val="nil"/>
              <w:right w:val="nil"/>
            </w:tcBorders>
          </w:tcPr>
          <w:p w14:paraId="04BE7EEF" w14:textId="77777777" w:rsidR="001D5F6D" w:rsidRPr="00641BDE" w:rsidRDefault="001D5F6D" w:rsidP="007C1C97">
            <w:pPr>
              <w:pStyle w:val="Normal6a"/>
            </w:pPr>
            <w:r w:rsidRPr="00641BDE">
              <w:t>71.</w:t>
            </w:r>
            <w:r w:rsidRPr="00641BDE">
              <w:tab/>
              <w:t>odnotowuje sprawozdanie Agencji Unii Europejskiej ds. Azylu (EUAA) z 31 października 2025 r. ze stanu wdrażania działań naprawczych, zgodnie z ustaleniami między dyrektor wykonawczą a zarządem, w następstwie rezolucji Parlamentu; zauważa, że zarząd zajmuje się uwagami Parlamentu zgodnie ze swoimi procedurami i dokona przeglądu postępów w zakresie pozostających do rozpatrzenia środków na posiedzeniu w listopadzie 2025 r.;</w:t>
            </w:r>
          </w:p>
        </w:tc>
        <w:tc>
          <w:tcPr>
            <w:tcW w:w="4876" w:type="dxa"/>
            <w:tcBorders>
              <w:top w:val="nil"/>
              <w:left w:val="nil"/>
              <w:bottom w:val="nil"/>
              <w:right w:val="nil"/>
            </w:tcBorders>
          </w:tcPr>
          <w:p w14:paraId="1B1859BD" w14:textId="77777777" w:rsidR="001D5F6D" w:rsidRPr="00641BDE" w:rsidRDefault="001D5F6D" w:rsidP="007C1C97">
            <w:pPr>
              <w:pStyle w:val="Normal6a"/>
            </w:pPr>
            <w:r w:rsidRPr="00641BDE">
              <w:t>71.</w:t>
            </w:r>
            <w:r w:rsidRPr="00641BDE">
              <w:tab/>
              <w:t xml:space="preserve">odnotowuje sprawozdanie Agencji Unii Europejskiej ds. Azylu (EUAA) z 31 października 2025 r. ze stanu wdrażania działań naprawczych, zgodnie z ustaleniami między dyrektor wykonawczą a zarządem, w następstwie rezolucji Parlamentu; zauważa, że zarząd zajmuje się uwagami Parlamentu zgodnie ze swoimi procedurami i dokona przeglądu postępów w zakresie pozostających do rozpatrzenia środków na posiedzeniu w listopadzie 2025 r.; </w:t>
            </w:r>
            <w:r w:rsidRPr="00641BDE">
              <w:rPr>
                <w:b/>
                <w:i/>
              </w:rPr>
              <w:t>wzywa Agencję do pełnego wyjaśnienia wszystkich otwartych kwestii, do wdrożenia zaleceń OLAF-u w sposób wiarygodny i przejrzysty oraz do ustanowienia solidnych mechanizmów kontroli wewnętrznej, nadzoru etycznego i rozliczalności; apeluje do Agencji, by niezwłocznie informowała organ udzielający absolutorium o wszelkich podejmowanych działaniach naprawczych; podkreśla pilną potrzebę wspierania państw członkowskich przez EUAA w działaniach mających na celu zapobieganie migracji nieuregulowanej oraz skuteczne rozpatrywanie decyzji nakazujących powrót;</w:t>
            </w:r>
          </w:p>
        </w:tc>
      </w:tr>
    </w:tbl>
    <w:p w14:paraId="37DDF1C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89260DF" w14:textId="77777777" w:rsidR="001D5F6D" w:rsidRPr="00641BDE" w:rsidRDefault="001D5F6D" w:rsidP="001D5F6D">
      <w:r w:rsidRPr="00641BDE">
        <w:rPr>
          <w:rStyle w:val="HideTWBExt"/>
        </w:rPr>
        <w:t>&lt;/Amend&gt;</w:t>
      </w:r>
    </w:p>
    <w:p w14:paraId="7F844985"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119</w:t>
      </w:r>
      <w:r w:rsidRPr="00641BDE">
        <w:rPr>
          <w:rStyle w:val="HideTWBExt"/>
          <w:b w:val="0"/>
        </w:rPr>
        <w:t>&lt;/NumAm&gt;</w:t>
      </w:r>
    </w:p>
    <w:p w14:paraId="1105758C"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197B23A6" w14:textId="77777777" w:rsidR="001D5F6D" w:rsidRPr="00641BDE" w:rsidRDefault="001D5F6D" w:rsidP="001D5F6D">
      <w:pPr>
        <w:pStyle w:val="NormalBold"/>
      </w:pPr>
      <w:r w:rsidRPr="00641BDE">
        <w:rPr>
          <w:rStyle w:val="HideTWBExt"/>
          <w:b w:val="0"/>
        </w:rPr>
        <w:t>&lt;/RepeatBlock-By&gt;</w:t>
      </w:r>
    </w:p>
    <w:p w14:paraId="24135C17"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5C0AE75" w14:textId="77777777" w:rsidR="001D5F6D" w:rsidRPr="00641BDE" w:rsidRDefault="001D5F6D" w:rsidP="001D5F6D">
      <w:pPr>
        <w:pStyle w:val="NormalBold"/>
      </w:pPr>
      <w:r w:rsidRPr="00641BDE">
        <w:rPr>
          <w:rStyle w:val="HideTWBExt"/>
          <w:b w:val="0"/>
        </w:rPr>
        <w:t>&lt;Article&gt;</w:t>
      </w:r>
      <w:r w:rsidRPr="00641BDE">
        <w:t>Ustęp 71</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9AE5059" w14:textId="77777777" w:rsidTr="007C1C97">
        <w:trPr>
          <w:trHeight w:hRule="exact" w:val="240"/>
          <w:jc w:val="center"/>
        </w:trPr>
        <w:tc>
          <w:tcPr>
            <w:tcW w:w="9752" w:type="dxa"/>
            <w:gridSpan w:val="2"/>
            <w:tcBorders>
              <w:top w:val="nil"/>
              <w:left w:val="nil"/>
              <w:bottom w:val="nil"/>
              <w:right w:val="nil"/>
            </w:tcBorders>
          </w:tcPr>
          <w:p w14:paraId="1BF178A7" w14:textId="77777777" w:rsidR="001D5F6D" w:rsidRPr="00641BDE" w:rsidRDefault="001D5F6D" w:rsidP="007C1C97"/>
        </w:tc>
      </w:tr>
      <w:tr w:rsidR="001D5F6D" w:rsidRPr="00641BDE" w14:paraId="28193975" w14:textId="77777777" w:rsidTr="007C1C97">
        <w:trPr>
          <w:trHeight w:val="240"/>
          <w:jc w:val="center"/>
        </w:trPr>
        <w:tc>
          <w:tcPr>
            <w:tcW w:w="4876" w:type="dxa"/>
            <w:tcBorders>
              <w:top w:val="nil"/>
              <w:left w:val="nil"/>
              <w:bottom w:val="nil"/>
              <w:right w:val="nil"/>
            </w:tcBorders>
          </w:tcPr>
          <w:p w14:paraId="4F4D2A3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E596F8C" w14:textId="77777777" w:rsidR="001D5F6D" w:rsidRPr="00641BDE" w:rsidRDefault="001D5F6D" w:rsidP="007C1C97">
            <w:pPr>
              <w:pStyle w:val="AmColumnHeading"/>
            </w:pPr>
            <w:r w:rsidRPr="00641BDE">
              <w:t>Poprawka</w:t>
            </w:r>
          </w:p>
        </w:tc>
      </w:tr>
      <w:tr w:rsidR="001D5F6D" w:rsidRPr="00641BDE" w14:paraId="6FDE1A26" w14:textId="77777777" w:rsidTr="007C1C97">
        <w:trPr>
          <w:jc w:val="center"/>
        </w:trPr>
        <w:tc>
          <w:tcPr>
            <w:tcW w:w="4876" w:type="dxa"/>
            <w:tcBorders>
              <w:top w:val="nil"/>
              <w:left w:val="nil"/>
              <w:bottom w:val="nil"/>
              <w:right w:val="nil"/>
            </w:tcBorders>
          </w:tcPr>
          <w:p w14:paraId="6ABE110C" w14:textId="77777777" w:rsidR="001D5F6D" w:rsidRPr="00641BDE" w:rsidRDefault="001D5F6D" w:rsidP="007C1C97">
            <w:pPr>
              <w:pStyle w:val="Normal6a"/>
            </w:pPr>
            <w:r w:rsidRPr="00641BDE">
              <w:t>71.</w:t>
            </w:r>
            <w:r w:rsidRPr="00641BDE">
              <w:tab/>
              <w:t>odnotowuje sprawozdanie Agencji Unii Europejskiej ds. Azylu (EUAA) z 31 października 2025 r. ze stanu wdrażania działań naprawczych, zgodnie z ustaleniami między dyrektor wykonawczą a zarządem, w następstwie rezolucji Parlamentu; zauważa, że zarząd zajmuje się uwagami Parlamentu zgodnie ze swoimi procedurami i dokona przeglądu postępów w zakresie pozostających do rozpatrzenia środków na posiedzeniu w listopadzie 2025 r.;</w:t>
            </w:r>
          </w:p>
        </w:tc>
        <w:tc>
          <w:tcPr>
            <w:tcW w:w="4876" w:type="dxa"/>
            <w:tcBorders>
              <w:top w:val="nil"/>
              <w:left w:val="nil"/>
              <w:bottom w:val="nil"/>
              <w:right w:val="nil"/>
            </w:tcBorders>
          </w:tcPr>
          <w:p w14:paraId="18A0E782" w14:textId="77777777" w:rsidR="001D5F6D" w:rsidRPr="00641BDE" w:rsidRDefault="001D5F6D" w:rsidP="007C1C97">
            <w:pPr>
              <w:pStyle w:val="Normal6a"/>
            </w:pPr>
            <w:r w:rsidRPr="00641BDE">
              <w:t>71.</w:t>
            </w:r>
            <w:r w:rsidRPr="00641BDE">
              <w:tab/>
              <w:t xml:space="preserve">odnotowuje sprawozdanie Agencji Unii Europejskiej ds. Azylu (EUAA) z 31 października 2025 r. ze stanu wdrażania działań naprawczych, zgodnie z ustaleniami między dyrektor wykonawczą a zarządem, w następstwie rezolucji Parlamentu; </w:t>
            </w:r>
            <w:r w:rsidRPr="00641BDE">
              <w:rPr>
                <w:b/>
                <w:i/>
              </w:rPr>
              <w:t>z zadowoleniem przyjmuje fakt, że po kilku latach EUAA w końcu rozwiązała umowy najmu pomieszczeń na Lesbos i w Rzymie, które to umowy od 2014 r. były uznawane przez Europejski Trybunał Obrachunkowy za nieprawidłowe i które w samym tylko roku budżetowym 2023 wiązały się z kosztami w wysokości 123 800 EUR, a w 2024 r. nie generowały już żadnych kosztów; ponownie wyraża zaniepokojenie zniekształceniem, jakie stanowiło tak długie opóźnienie w rozwiązaniu tego od dawna znanego problemu, oraz wynikającą z tego stratą finansową, ponieważ środki te mogły zostać przeznaczone na inne cele, w szczególności w ramach działań na rzecz zwalczania nielegalnej imigracji;</w:t>
            </w:r>
            <w:r w:rsidRPr="00641BDE">
              <w:t xml:space="preserve"> zauważa, że zarząd zajmuje się uwagami Parlamentu zgodnie ze swoimi procedurami i dokona przeglądu postępów w zakresie pozostających do rozpatrzenia środków na posiedzeniu w listopadzie 2025 r.;</w:t>
            </w:r>
          </w:p>
        </w:tc>
      </w:tr>
    </w:tbl>
    <w:p w14:paraId="369E1F4A"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6B231A8B" w14:textId="77777777" w:rsidR="001D5F6D" w:rsidRPr="00641BDE" w:rsidRDefault="001D5F6D" w:rsidP="001D5F6D">
      <w:r w:rsidRPr="00641BDE">
        <w:rPr>
          <w:rStyle w:val="HideTWBExt"/>
        </w:rPr>
        <w:t>&lt;/Amend&gt;</w:t>
      </w:r>
    </w:p>
    <w:p w14:paraId="5B567242"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120</w:t>
      </w:r>
      <w:r w:rsidRPr="00641BDE">
        <w:rPr>
          <w:rStyle w:val="HideTWBExt"/>
          <w:b w:val="0"/>
        </w:rPr>
        <w:t>&lt;/NumAm&gt;</w:t>
      </w:r>
    </w:p>
    <w:p w14:paraId="1E6A46D7"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6E2C590E"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36615BB5" w14:textId="77777777" w:rsidR="001D5F6D" w:rsidRPr="00641BDE" w:rsidRDefault="001D5F6D" w:rsidP="001D5F6D">
      <w:pPr>
        <w:pStyle w:val="NormalBold"/>
      </w:pPr>
      <w:r w:rsidRPr="00641BDE">
        <w:rPr>
          <w:rStyle w:val="HideTWBExt"/>
          <w:b w:val="0"/>
        </w:rPr>
        <w:t>&lt;/RepeatBlock-By&gt;</w:t>
      </w:r>
    </w:p>
    <w:p w14:paraId="5007FEB4"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DC311F6" w14:textId="77777777" w:rsidR="001D5F6D" w:rsidRPr="00641BDE" w:rsidRDefault="001D5F6D" w:rsidP="001D5F6D">
      <w:pPr>
        <w:pStyle w:val="NormalBold"/>
      </w:pPr>
      <w:r w:rsidRPr="00641BDE">
        <w:rPr>
          <w:rStyle w:val="HideTWBExt"/>
          <w:b w:val="0"/>
        </w:rPr>
        <w:t>&lt;Article&gt;</w:t>
      </w:r>
      <w:r w:rsidRPr="00641BDE">
        <w:t>Ustęp 72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EFACBCE" w14:textId="77777777" w:rsidTr="007C1C97">
        <w:trPr>
          <w:trHeight w:hRule="exact" w:val="240"/>
          <w:jc w:val="center"/>
        </w:trPr>
        <w:tc>
          <w:tcPr>
            <w:tcW w:w="9752" w:type="dxa"/>
            <w:gridSpan w:val="2"/>
            <w:tcBorders>
              <w:top w:val="nil"/>
              <w:left w:val="nil"/>
              <w:bottom w:val="nil"/>
              <w:right w:val="nil"/>
            </w:tcBorders>
          </w:tcPr>
          <w:p w14:paraId="1F94EAA7" w14:textId="77777777" w:rsidR="001D5F6D" w:rsidRPr="00641BDE" w:rsidRDefault="001D5F6D" w:rsidP="007C1C97"/>
        </w:tc>
      </w:tr>
      <w:tr w:rsidR="001D5F6D" w:rsidRPr="00641BDE" w14:paraId="23DC4AB4" w14:textId="77777777" w:rsidTr="007C1C97">
        <w:trPr>
          <w:trHeight w:val="240"/>
          <w:jc w:val="center"/>
        </w:trPr>
        <w:tc>
          <w:tcPr>
            <w:tcW w:w="4876" w:type="dxa"/>
            <w:tcBorders>
              <w:top w:val="nil"/>
              <w:left w:val="nil"/>
              <w:bottom w:val="nil"/>
              <w:right w:val="nil"/>
            </w:tcBorders>
          </w:tcPr>
          <w:p w14:paraId="66696E1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5B10A12" w14:textId="77777777" w:rsidR="001D5F6D" w:rsidRPr="00641BDE" w:rsidRDefault="001D5F6D" w:rsidP="007C1C97">
            <w:pPr>
              <w:pStyle w:val="AmColumnHeading"/>
            </w:pPr>
            <w:r w:rsidRPr="00641BDE">
              <w:t>Poprawka</w:t>
            </w:r>
          </w:p>
        </w:tc>
      </w:tr>
      <w:tr w:rsidR="001D5F6D" w:rsidRPr="00641BDE" w14:paraId="209DC209" w14:textId="77777777" w:rsidTr="007C1C97">
        <w:trPr>
          <w:jc w:val="center"/>
        </w:trPr>
        <w:tc>
          <w:tcPr>
            <w:tcW w:w="4876" w:type="dxa"/>
            <w:tcBorders>
              <w:top w:val="nil"/>
              <w:left w:val="nil"/>
              <w:bottom w:val="nil"/>
              <w:right w:val="nil"/>
            </w:tcBorders>
          </w:tcPr>
          <w:p w14:paraId="552AA019" w14:textId="77777777" w:rsidR="001D5F6D" w:rsidRPr="00641BDE" w:rsidRDefault="001D5F6D" w:rsidP="007C1C97">
            <w:pPr>
              <w:pStyle w:val="Normal6a"/>
            </w:pPr>
          </w:p>
        </w:tc>
        <w:tc>
          <w:tcPr>
            <w:tcW w:w="4876" w:type="dxa"/>
            <w:tcBorders>
              <w:top w:val="nil"/>
              <w:left w:val="nil"/>
              <w:bottom w:val="nil"/>
              <w:right w:val="nil"/>
            </w:tcBorders>
          </w:tcPr>
          <w:p w14:paraId="5F4CCE93" w14:textId="77777777" w:rsidR="001D5F6D" w:rsidRPr="00641BDE" w:rsidRDefault="001D5F6D" w:rsidP="007C1C97">
            <w:pPr>
              <w:pStyle w:val="Normal6a"/>
            </w:pPr>
            <w:r w:rsidRPr="00641BDE">
              <w:rPr>
                <w:b/>
                <w:i/>
              </w:rPr>
              <w:t>72a.</w:t>
            </w:r>
            <w:r w:rsidRPr="00641BDE">
              <w:tab/>
            </w:r>
            <w:r w:rsidRPr="00641BDE">
              <w:rPr>
                <w:b/>
                <w:i/>
              </w:rPr>
              <w:t>podkreśla, że zakończenie dochodzeń OLAF-u samo w sobie nie stanowi zamknięcia uchybień w zarządzaniu; przypomina, że organ udzielający absolutorium zachowuje pełne prawa do nadzoru, dopóki strukturalne uchybienia w zarządzaniu, przejrzystości i rozwiązywaniu konfliktów interesów nie zostaną w pełni usunięte i zweryfikowane;</w:t>
            </w:r>
          </w:p>
        </w:tc>
      </w:tr>
    </w:tbl>
    <w:p w14:paraId="5F298492"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6CFC2CF" w14:textId="77777777" w:rsidR="001D5F6D" w:rsidRPr="00641BDE" w:rsidRDefault="001D5F6D" w:rsidP="001D5F6D">
      <w:r w:rsidRPr="00641BDE">
        <w:rPr>
          <w:rStyle w:val="HideTWBExt"/>
        </w:rPr>
        <w:t>&lt;/Amend&gt;</w:t>
      </w:r>
    </w:p>
    <w:p w14:paraId="768CDF92"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121</w:t>
      </w:r>
      <w:r w:rsidRPr="00641BDE">
        <w:rPr>
          <w:rStyle w:val="HideTWBExt"/>
          <w:b w:val="0"/>
        </w:rPr>
        <w:t>&lt;/NumAm&gt;</w:t>
      </w:r>
    </w:p>
    <w:p w14:paraId="1569DFF9"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rPr>
          <w:rStyle w:val="HideTWBExt"/>
          <w:b w:val="0"/>
        </w:rPr>
        <w:t>&lt;/Members&gt;</w:t>
      </w:r>
    </w:p>
    <w:p w14:paraId="19C217B8" w14:textId="77777777" w:rsidR="001D5F6D" w:rsidRPr="00641BDE" w:rsidRDefault="001D5F6D" w:rsidP="001D5F6D">
      <w:pPr>
        <w:pStyle w:val="NormalBold"/>
      </w:pPr>
      <w:r w:rsidRPr="00641BDE">
        <w:rPr>
          <w:rStyle w:val="HideTWBExt"/>
          <w:b w:val="0"/>
        </w:rPr>
        <w:t>&lt;/RepeatBlock-By&gt;</w:t>
      </w:r>
    </w:p>
    <w:p w14:paraId="4614B387"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3381909" w14:textId="77777777" w:rsidR="001D5F6D" w:rsidRPr="00641BDE" w:rsidRDefault="001D5F6D" w:rsidP="001D5F6D">
      <w:pPr>
        <w:pStyle w:val="NormalBold"/>
      </w:pPr>
      <w:r w:rsidRPr="00641BDE">
        <w:rPr>
          <w:rStyle w:val="HideTWBExt"/>
          <w:b w:val="0"/>
        </w:rPr>
        <w:t>&lt;Article&gt;</w:t>
      </w:r>
      <w:r w:rsidRPr="00641BDE">
        <w:t>Ustęp 73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2A29379" w14:textId="77777777" w:rsidTr="007C1C97">
        <w:trPr>
          <w:trHeight w:hRule="exact" w:val="240"/>
          <w:jc w:val="center"/>
        </w:trPr>
        <w:tc>
          <w:tcPr>
            <w:tcW w:w="9752" w:type="dxa"/>
            <w:gridSpan w:val="2"/>
            <w:tcBorders>
              <w:top w:val="nil"/>
              <w:left w:val="nil"/>
              <w:bottom w:val="nil"/>
              <w:right w:val="nil"/>
            </w:tcBorders>
          </w:tcPr>
          <w:p w14:paraId="3A2543B0" w14:textId="77777777" w:rsidR="001D5F6D" w:rsidRPr="00641BDE" w:rsidRDefault="001D5F6D" w:rsidP="007C1C97"/>
        </w:tc>
      </w:tr>
      <w:tr w:rsidR="001D5F6D" w:rsidRPr="00641BDE" w14:paraId="4335CEDD" w14:textId="77777777" w:rsidTr="007C1C97">
        <w:trPr>
          <w:trHeight w:val="240"/>
          <w:jc w:val="center"/>
        </w:trPr>
        <w:tc>
          <w:tcPr>
            <w:tcW w:w="4876" w:type="dxa"/>
            <w:tcBorders>
              <w:top w:val="nil"/>
              <w:left w:val="nil"/>
              <w:bottom w:val="nil"/>
              <w:right w:val="nil"/>
            </w:tcBorders>
          </w:tcPr>
          <w:p w14:paraId="72006F4E"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5BB0830" w14:textId="77777777" w:rsidR="001D5F6D" w:rsidRPr="00641BDE" w:rsidRDefault="001D5F6D" w:rsidP="007C1C97">
            <w:pPr>
              <w:pStyle w:val="AmColumnHeading"/>
            </w:pPr>
            <w:r w:rsidRPr="00641BDE">
              <w:t>Poprawka</w:t>
            </w:r>
          </w:p>
        </w:tc>
      </w:tr>
      <w:tr w:rsidR="001D5F6D" w:rsidRPr="00641BDE" w14:paraId="60EF3171" w14:textId="77777777" w:rsidTr="007C1C97">
        <w:trPr>
          <w:jc w:val="center"/>
        </w:trPr>
        <w:tc>
          <w:tcPr>
            <w:tcW w:w="4876" w:type="dxa"/>
            <w:tcBorders>
              <w:top w:val="nil"/>
              <w:left w:val="nil"/>
              <w:bottom w:val="nil"/>
              <w:right w:val="nil"/>
            </w:tcBorders>
          </w:tcPr>
          <w:p w14:paraId="024DBB52" w14:textId="77777777" w:rsidR="001D5F6D" w:rsidRPr="00641BDE" w:rsidRDefault="001D5F6D" w:rsidP="007C1C97">
            <w:pPr>
              <w:pStyle w:val="Normal6a"/>
            </w:pPr>
          </w:p>
        </w:tc>
        <w:tc>
          <w:tcPr>
            <w:tcW w:w="4876" w:type="dxa"/>
            <w:tcBorders>
              <w:top w:val="nil"/>
              <w:left w:val="nil"/>
              <w:bottom w:val="nil"/>
              <w:right w:val="nil"/>
            </w:tcBorders>
          </w:tcPr>
          <w:p w14:paraId="7B17F3C1" w14:textId="77777777" w:rsidR="001D5F6D" w:rsidRPr="00641BDE" w:rsidRDefault="001D5F6D" w:rsidP="007C1C97">
            <w:pPr>
              <w:pStyle w:val="Normal6a"/>
            </w:pPr>
            <w:r w:rsidRPr="00641BDE">
              <w:rPr>
                <w:b/>
                <w:i/>
              </w:rPr>
              <w:t>73a.</w:t>
            </w:r>
            <w:r w:rsidRPr="00641BDE">
              <w:tab/>
            </w:r>
            <w:r w:rsidRPr="00641BDE">
              <w:rPr>
                <w:b/>
                <w:i/>
              </w:rPr>
              <w:t>podkreśla, że wybór organizacji pozarządowych lub ekspertów społeczeństwa obywatelskiego zaangażowanych w debaty w agencjach musi odzwierciedlać równowagę sił politycznych w Parlamencie Europejskim (EUAA);</w:t>
            </w:r>
          </w:p>
        </w:tc>
      </w:tr>
    </w:tbl>
    <w:p w14:paraId="5348B66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278AA560" w14:textId="77777777" w:rsidR="001D5F6D" w:rsidRPr="00641BDE" w:rsidRDefault="001D5F6D" w:rsidP="001D5F6D">
      <w:r w:rsidRPr="00641BDE">
        <w:rPr>
          <w:rStyle w:val="HideTWBExt"/>
        </w:rPr>
        <w:t>&lt;/Amend&gt;</w:t>
      </w:r>
    </w:p>
    <w:p w14:paraId="4D3EFBB8"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122</w:t>
      </w:r>
      <w:r w:rsidRPr="00641BDE">
        <w:rPr>
          <w:rStyle w:val="HideTWBExt"/>
          <w:b w:val="0"/>
        </w:rPr>
        <w:t>&lt;/NumAm&gt;</w:t>
      </w:r>
    </w:p>
    <w:p w14:paraId="044BA2CE" w14:textId="77777777" w:rsidR="001D5F6D" w:rsidRPr="00641BDE" w:rsidRDefault="001D5F6D" w:rsidP="001D5F6D">
      <w:pPr>
        <w:pStyle w:val="NormalBold"/>
      </w:pPr>
      <w:r w:rsidRPr="00641BDE">
        <w:rPr>
          <w:rStyle w:val="HideTWBExt"/>
          <w:b w:val="0"/>
        </w:rPr>
        <w:t>&lt;RepeatBlock-By&gt;&lt;Members&gt;</w:t>
      </w:r>
      <w:r w:rsidRPr="00641BDE">
        <w:t>Erik Marquardt</w:t>
      </w:r>
      <w:r w:rsidRPr="00641BDE">
        <w:rPr>
          <w:rStyle w:val="HideTWBExt"/>
          <w:b w:val="0"/>
        </w:rPr>
        <w:t>&lt;/Members&gt;</w:t>
      </w:r>
    </w:p>
    <w:p w14:paraId="64B16DF5" w14:textId="77777777" w:rsidR="001D5F6D" w:rsidRPr="00641BDE" w:rsidRDefault="001D5F6D" w:rsidP="001D5F6D">
      <w:r w:rsidRPr="00641BDE">
        <w:rPr>
          <w:rStyle w:val="HideTWBExt"/>
        </w:rPr>
        <w:t>&lt;AuNomDe&gt;</w:t>
      </w:r>
      <w:r w:rsidRPr="00641BDE">
        <w:rPr>
          <w:rStyle w:val="HideTWBInt"/>
        </w:rPr>
        <w:t>{Verts/ALE}</w:t>
      </w:r>
      <w:r w:rsidRPr="00641BDE">
        <w:t xml:space="preserve">w imieniu grupy </w:t>
      </w:r>
      <w:proofErr w:type="spellStart"/>
      <w:r w:rsidRPr="00641BDE">
        <w:t>Verts</w:t>
      </w:r>
      <w:proofErr w:type="spellEnd"/>
      <w:r w:rsidRPr="00641BDE">
        <w:t>/ALE</w:t>
      </w:r>
      <w:r w:rsidRPr="00641BDE">
        <w:rPr>
          <w:rStyle w:val="HideTWBExt"/>
        </w:rPr>
        <w:t>&lt;/AuNomDe&gt;</w:t>
      </w:r>
    </w:p>
    <w:p w14:paraId="05D447E5" w14:textId="77777777" w:rsidR="001D5F6D" w:rsidRPr="00641BDE" w:rsidRDefault="001D5F6D" w:rsidP="001D5F6D">
      <w:pPr>
        <w:pStyle w:val="NormalBold"/>
      </w:pPr>
      <w:r w:rsidRPr="00641BDE">
        <w:rPr>
          <w:rStyle w:val="HideTWBExt"/>
          <w:b w:val="0"/>
        </w:rPr>
        <w:t>&lt;/RepeatBlock-By&gt;</w:t>
      </w:r>
    </w:p>
    <w:p w14:paraId="3BD6C148"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8C1BDA0" w14:textId="77777777" w:rsidR="001D5F6D" w:rsidRPr="00641BDE" w:rsidRDefault="001D5F6D" w:rsidP="001D5F6D">
      <w:pPr>
        <w:pStyle w:val="NormalBold"/>
      </w:pPr>
      <w:r w:rsidRPr="00641BDE">
        <w:rPr>
          <w:rStyle w:val="HideTWBExt"/>
          <w:b w:val="0"/>
        </w:rPr>
        <w:t>&lt;Article&gt;</w:t>
      </w:r>
      <w:r w:rsidRPr="00641BDE">
        <w:t>Ustęp 73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851BB03" w14:textId="77777777" w:rsidTr="007C1C97">
        <w:trPr>
          <w:trHeight w:hRule="exact" w:val="240"/>
          <w:jc w:val="center"/>
        </w:trPr>
        <w:tc>
          <w:tcPr>
            <w:tcW w:w="9752" w:type="dxa"/>
            <w:gridSpan w:val="2"/>
            <w:tcBorders>
              <w:top w:val="nil"/>
              <w:left w:val="nil"/>
              <w:bottom w:val="nil"/>
              <w:right w:val="nil"/>
            </w:tcBorders>
          </w:tcPr>
          <w:p w14:paraId="7B946E20" w14:textId="77777777" w:rsidR="001D5F6D" w:rsidRPr="00641BDE" w:rsidRDefault="001D5F6D" w:rsidP="007C1C97"/>
        </w:tc>
      </w:tr>
      <w:tr w:rsidR="001D5F6D" w:rsidRPr="00641BDE" w14:paraId="64CF2249" w14:textId="77777777" w:rsidTr="007C1C97">
        <w:trPr>
          <w:trHeight w:val="240"/>
          <w:jc w:val="center"/>
        </w:trPr>
        <w:tc>
          <w:tcPr>
            <w:tcW w:w="4876" w:type="dxa"/>
            <w:tcBorders>
              <w:top w:val="nil"/>
              <w:left w:val="nil"/>
              <w:bottom w:val="nil"/>
              <w:right w:val="nil"/>
            </w:tcBorders>
          </w:tcPr>
          <w:p w14:paraId="42801F7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8439C47" w14:textId="77777777" w:rsidR="001D5F6D" w:rsidRPr="00641BDE" w:rsidRDefault="001D5F6D" w:rsidP="007C1C97">
            <w:pPr>
              <w:pStyle w:val="AmColumnHeading"/>
            </w:pPr>
            <w:r w:rsidRPr="00641BDE">
              <w:t>Poprawka</w:t>
            </w:r>
          </w:p>
        </w:tc>
      </w:tr>
      <w:tr w:rsidR="001D5F6D" w:rsidRPr="00641BDE" w14:paraId="4C0EE7F8" w14:textId="77777777" w:rsidTr="007C1C97">
        <w:trPr>
          <w:jc w:val="center"/>
        </w:trPr>
        <w:tc>
          <w:tcPr>
            <w:tcW w:w="4876" w:type="dxa"/>
            <w:tcBorders>
              <w:top w:val="nil"/>
              <w:left w:val="nil"/>
              <w:bottom w:val="nil"/>
              <w:right w:val="nil"/>
            </w:tcBorders>
          </w:tcPr>
          <w:p w14:paraId="79634A32" w14:textId="77777777" w:rsidR="001D5F6D" w:rsidRPr="00641BDE" w:rsidRDefault="001D5F6D" w:rsidP="007C1C97">
            <w:pPr>
              <w:pStyle w:val="Normal6a"/>
            </w:pPr>
          </w:p>
        </w:tc>
        <w:tc>
          <w:tcPr>
            <w:tcW w:w="4876" w:type="dxa"/>
            <w:tcBorders>
              <w:top w:val="nil"/>
              <w:left w:val="nil"/>
              <w:bottom w:val="nil"/>
              <w:right w:val="nil"/>
            </w:tcBorders>
          </w:tcPr>
          <w:p w14:paraId="71224DC8" w14:textId="77777777" w:rsidR="001D5F6D" w:rsidRPr="00641BDE" w:rsidRDefault="001D5F6D" w:rsidP="007C1C97">
            <w:pPr>
              <w:pStyle w:val="Normal6a"/>
            </w:pPr>
            <w:r w:rsidRPr="00641BDE">
              <w:rPr>
                <w:b/>
                <w:i/>
              </w:rPr>
              <w:t>73a.</w:t>
            </w:r>
            <w:r w:rsidRPr="00641BDE">
              <w:tab/>
            </w:r>
            <w:r w:rsidRPr="00641BDE">
              <w:rPr>
                <w:b/>
                <w:i/>
              </w:rPr>
              <w:t xml:space="preserve">zastrzega sobie prawo do uzależnienia od spełnienia warunków lub odraczania przyszłych decyzji o udzieleniu absolutorium, w </w:t>
            </w:r>
            <w:proofErr w:type="gramStart"/>
            <w:r w:rsidRPr="00641BDE">
              <w:rPr>
                <w:b/>
                <w:i/>
              </w:rPr>
              <w:t>przypadku</w:t>
            </w:r>
            <w:proofErr w:type="gramEnd"/>
            <w:r w:rsidRPr="00641BDE">
              <w:rPr>
                <w:b/>
                <w:i/>
              </w:rPr>
              <w:t xml:space="preserve"> gdy agencje nie przeprowadzą pełnych i weryfikowalnych reform strukturalnych w następstwie ustaleń poważnych uchybień;</w:t>
            </w:r>
          </w:p>
        </w:tc>
      </w:tr>
    </w:tbl>
    <w:p w14:paraId="72E5E7BD"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8F824E9" w14:textId="77777777" w:rsidR="001D5F6D" w:rsidRPr="00641BDE" w:rsidRDefault="001D5F6D" w:rsidP="001D5F6D">
      <w:r w:rsidRPr="00641BDE">
        <w:rPr>
          <w:rStyle w:val="HideTWBExt"/>
        </w:rPr>
        <w:t>&lt;/Amend&gt;</w:t>
      </w:r>
    </w:p>
    <w:p w14:paraId="446E0879"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123</w:t>
      </w:r>
      <w:r w:rsidRPr="00641BDE">
        <w:rPr>
          <w:rStyle w:val="HideTWBExt"/>
          <w:b w:val="0"/>
        </w:rPr>
        <w:t>&lt;/NumAm&gt;</w:t>
      </w:r>
    </w:p>
    <w:p w14:paraId="4C47DAF4" w14:textId="77777777" w:rsidR="001D5F6D" w:rsidRPr="00641BDE" w:rsidRDefault="001D5F6D" w:rsidP="001D5F6D">
      <w:pPr>
        <w:pStyle w:val="NormalBold"/>
      </w:pPr>
      <w:r w:rsidRPr="00641BDE">
        <w:rPr>
          <w:rStyle w:val="HideTWBExt"/>
          <w:b w:val="0"/>
        </w:rPr>
        <w:t>&lt;RepeatBlock-By&gt;&lt;Members&gt;</w:t>
      </w:r>
      <w:proofErr w:type="spellStart"/>
      <w:r w:rsidRPr="00641BDE">
        <w:t>Jonas</w:t>
      </w:r>
      <w:proofErr w:type="spellEnd"/>
      <w:r w:rsidRPr="00641BDE">
        <w:t xml:space="preserve"> </w:t>
      </w:r>
      <w:proofErr w:type="spellStart"/>
      <w:r w:rsidRPr="00641BDE">
        <w:t>Sjöstedt</w:t>
      </w:r>
      <w:proofErr w:type="spellEnd"/>
      <w:r w:rsidRPr="00641BDE">
        <w:rPr>
          <w:rStyle w:val="HideTWBExt"/>
          <w:b w:val="0"/>
        </w:rPr>
        <w:t>&lt;/Members&gt;</w:t>
      </w:r>
    </w:p>
    <w:p w14:paraId="7BA7AA0A" w14:textId="77777777" w:rsidR="001D5F6D" w:rsidRPr="00641BDE" w:rsidRDefault="001D5F6D" w:rsidP="001D5F6D">
      <w:pPr>
        <w:pStyle w:val="NormalBold"/>
      </w:pPr>
      <w:r w:rsidRPr="00641BDE">
        <w:rPr>
          <w:rStyle w:val="HideTWBExt"/>
          <w:b w:val="0"/>
        </w:rPr>
        <w:t>&lt;/RepeatBlock-By&gt;</w:t>
      </w:r>
    </w:p>
    <w:p w14:paraId="6A3334F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98316BC" w14:textId="77777777" w:rsidR="001D5F6D" w:rsidRPr="00641BDE" w:rsidRDefault="001D5F6D" w:rsidP="001D5F6D">
      <w:pPr>
        <w:pStyle w:val="NormalBold"/>
      </w:pPr>
      <w:r w:rsidRPr="00641BDE">
        <w:rPr>
          <w:rStyle w:val="HideTWBExt"/>
          <w:b w:val="0"/>
        </w:rPr>
        <w:t>&lt;Article&gt;</w:t>
      </w:r>
      <w:r w:rsidRPr="00641BDE">
        <w:t>Ustęp 73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6FF3BCB" w14:textId="77777777" w:rsidTr="007C1C97">
        <w:trPr>
          <w:trHeight w:hRule="exact" w:val="240"/>
          <w:jc w:val="center"/>
        </w:trPr>
        <w:tc>
          <w:tcPr>
            <w:tcW w:w="9752" w:type="dxa"/>
            <w:gridSpan w:val="2"/>
            <w:tcBorders>
              <w:top w:val="nil"/>
              <w:left w:val="nil"/>
              <w:bottom w:val="nil"/>
              <w:right w:val="nil"/>
            </w:tcBorders>
          </w:tcPr>
          <w:p w14:paraId="450BF693" w14:textId="77777777" w:rsidR="001D5F6D" w:rsidRPr="00641BDE" w:rsidRDefault="001D5F6D" w:rsidP="007C1C97"/>
        </w:tc>
      </w:tr>
      <w:tr w:rsidR="001D5F6D" w:rsidRPr="00641BDE" w14:paraId="02F57E7D" w14:textId="77777777" w:rsidTr="007C1C97">
        <w:trPr>
          <w:trHeight w:val="240"/>
          <w:jc w:val="center"/>
        </w:trPr>
        <w:tc>
          <w:tcPr>
            <w:tcW w:w="4876" w:type="dxa"/>
            <w:tcBorders>
              <w:top w:val="nil"/>
              <w:left w:val="nil"/>
              <w:bottom w:val="nil"/>
              <w:right w:val="nil"/>
            </w:tcBorders>
          </w:tcPr>
          <w:p w14:paraId="38A5C52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A88F395" w14:textId="77777777" w:rsidR="001D5F6D" w:rsidRPr="00641BDE" w:rsidRDefault="001D5F6D" w:rsidP="007C1C97">
            <w:pPr>
              <w:pStyle w:val="AmColumnHeading"/>
            </w:pPr>
            <w:r w:rsidRPr="00641BDE">
              <w:t>Poprawka</w:t>
            </w:r>
          </w:p>
        </w:tc>
      </w:tr>
      <w:tr w:rsidR="001D5F6D" w:rsidRPr="00641BDE" w14:paraId="539E2533" w14:textId="77777777" w:rsidTr="007C1C97">
        <w:trPr>
          <w:jc w:val="center"/>
        </w:trPr>
        <w:tc>
          <w:tcPr>
            <w:tcW w:w="4876" w:type="dxa"/>
            <w:tcBorders>
              <w:top w:val="nil"/>
              <w:left w:val="nil"/>
              <w:bottom w:val="nil"/>
              <w:right w:val="nil"/>
            </w:tcBorders>
          </w:tcPr>
          <w:p w14:paraId="1F022F58" w14:textId="77777777" w:rsidR="001D5F6D" w:rsidRPr="00641BDE" w:rsidRDefault="001D5F6D" w:rsidP="007C1C97">
            <w:pPr>
              <w:pStyle w:val="Normal6a"/>
            </w:pPr>
          </w:p>
        </w:tc>
        <w:tc>
          <w:tcPr>
            <w:tcW w:w="4876" w:type="dxa"/>
            <w:tcBorders>
              <w:top w:val="nil"/>
              <w:left w:val="nil"/>
              <w:bottom w:val="nil"/>
              <w:right w:val="nil"/>
            </w:tcBorders>
          </w:tcPr>
          <w:p w14:paraId="31DF03B6" w14:textId="77777777" w:rsidR="001D5F6D" w:rsidRPr="00641BDE" w:rsidRDefault="001D5F6D" w:rsidP="007C1C97">
            <w:pPr>
              <w:pStyle w:val="Normal6a"/>
            </w:pPr>
            <w:r w:rsidRPr="00641BDE">
              <w:rPr>
                <w:b/>
                <w:i/>
              </w:rPr>
              <w:t>73a.</w:t>
            </w:r>
            <w:r w:rsidRPr="00641BDE">
              <w:tab/>
            </w:r>
            <w:r w:rsidRPr="00641BDE">
              <w:rPr>
                <w:b/>
                <w:i/>
              </w:rPr>
              <w:t>zauważa, że w maju 2025 r. absolutorium dla EUAA zostało odroczone ze względu na „bardzo niepokojące” ustalenia Europejskiego Urzędu ds. Zwalczania Nadużyć Finansowych (OLAF) dotyczące zarządzania i stabilności;</w:t>
            </w:r>
          </w:p>
        </w:tc>
      </w:tr>
    </w:tbl>
    <w:p w14:paraId="7505E553"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E3B8C25" w14:textId="77777777" w:rsidR="001D5F6D" w:rsidRPr="00641BDE" w:rsidRDefault="001D5F6D" w:rsidP="001D5F6D">
      <w:r w:rsidRPr="00641BDE">
        <w:rPr>
          <w:rStyle w:val="HideTWBExt"/>
        </w:rPr>
        <w:t>&lt;/Amend&gt;</w:t>
      </w:r>
    </w:p>
    <w:p w14:paraId="2EFE6C2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124</w:t>
      </w:r>
      <w:r w:rsidRPr="00641BDE">
        <w:rPr>
          <w:rStyle w:val="HideTWBExt"/>
          <w:b w:val="0"/>
        </w:rPr>
        <w:t>&lt;/NumAm&gt;</w:t>
      </w:r>
    </w:p>
    <w:p w14:paraId="71874019" w14:textId="77777777" w:rsidR="001D5F6D" w:rsidRPr="00641BDE" w:rsidRDefault="001D5F6D" w:rsidP="001D5F6D">
      <w:pPr>
        <w:pStyle w:val="NormalBold"/>
      </w:pPr>
      <w:r w:rsidRPr="00641BDE">
        <w:rPr>
          <w:rStyle w:val="HideTWBExt"/>
          <w:b w:val="0"/>
        </w:rPr>
        <w:t>&lt;RepeatBlock-By&gt;&lt;Members&gt;</w:t>
      </w:r>
      <w:proofErr w:type="spellStart"/>
      <w:r w:rsidRPr="00641BDE">
        <w:t>Jonas</w:t>
      </w:r>
      <w:proofErr w:type="spellEnd"/>
      <w:r w:rsidRPr="00641BDE">
        <w:t xml:space="preserve"> </w:t>
      </w:r>
      <w:proofErr w:type="spellStart"/>
      <w:r w:rsidRPr="00641BDE">
        <w:t>Sjöstedt</w:t>
      </w:r>
      <w:proofErr w:type="spellEnd"/>
      <w:r w:rsidRPr="00641BDE">
        <w:rPr>
          <w:rStyle w:val="HideTWBExt"/>
          <w:b w:val="0"/>
        </w:rPr>
        <w:t>&lt;/Members&gt;</w:t>
      </w:r>
    </w:p>
    <w:p w14:paraId="6CB2E090" w14:textId="77777777" w:rsidR="001D5F6D" w:rsidRPr="00641BDE" w:rsidRDefault="001D5F6D" w:rsidP="001D5F6D">
      <w:pPr>
        <w:pStyle w:val="NormalBold"/>
      </w:pPr>
      <w:r w:rsidRPr="00641BDE">
        <w:rPr>
          <w:rStyle w:val="HideTWBExt"/>
          <w:b w:val="0"/>
        </w:rPr>
        <w:t>&lt;/RepeatBlock-By&gt;</w:t>
      </w:r>
    </w:p>
    <w:p w14:paraId="255DDA4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C8C2AF7" w14:textId="77777777" w:rsidR="001D5F6D" w:rsidRPr="00641BDE" w:rsidRDefault="001D5F6D" w:rsidP="001D5F6D">
      <w:pPr>
        <w:pStyle w:val="NormalBold"/>
      </w:pPr>
      <w:r w:rsidRPr="00641BDE">
        <w:rPr>
          <w:rStyle w:val="HideTWBExt"/>
          <w:b w:val="0"/>
        </w:rPr>
        <w:t>&lt;Article&gt;</w:t>
      </w:r>
      <w:r w:rsidRPr="00641BDE">
        <w:t>Ustęp 73 b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CC6E51A" w14:textId="77777777" w:rsidTr="007C1C97">
        <w:trPr>
          <w:trHeight w:hRule="exact" w:val="240"/>
          <w:jc w:val="center"/>
        </w:trPr>
        <w:tc>
          <w:tcPr>
            <w:tcW w:w="9752" w:type="dxa"/>
            <w:gridSpan w:val="2"/>
            <w:tcBorders>
              <w:top w:val="nil"/>
              <w:left w:val="nil"/>
              <w:bottom w:val="nil"/>
              <w:right w:val="nil"/>
            </w:tcBorders>
          </w:tcPr>
          <w:p w14:paraId="485916A7" w14:textId="77777777" w:rsidR="001D5F6D" w:rsidRPr="00641BDE" w:rsidRDefault="001D5F6D" w:rsidP="007C1C97"/>
        </w:tc>
      </w:tr>
      <w:tr w:rsidR="001D5F6D" w:rsidRPr="00641BDE" w14:paraId="6346B5FB" w14:textId="77777777" w:rsidTr="007C1C97">
        <w:trPr>
          <w:trHeight w:val="240"/>
          <w:jc w:val="center"/>
        </w:trPr>
        <w:tc>
          <w:tcPr>
            <w:tcW w:w="4876" w:type="dxa"/>
            <w:tcBorders>
              <w:top w:val="nil"/>
              <w:left w:val="nil"/>
              <w:bottom w:val="nil"/>
              <w:right w:val="nil"/>
            </w:tcBorders>
          </w:tcPr>
          <w:p w14:paraId="154FE78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571A153" w14:textId="77777777" w:rsidR="001D5F6D" w:rsidRPr="00641BDE" w:rsidRDefault="001D5F6D" w:rsidP="007C1C97">
            <w:pPr>
              <w:pStyle w:val="AmColumnHeading"/>
            </w:pPr>
            <w:r w:rsidRPr="00641BDE">
              <w:t>Poprawka</w:t>
            </w:r>
          </w:p>
        </w:tc>
      </w:tr>
      <w:tr w:rsidR="001D5F6D" w:rsidRPr="00641BDE" w14:paraId="10B47089" w14:textId="77777777" w:rsidTr="007C1C97">
        <w:trPr>
          <w:jc w:val="center"/>
        </w:trPr>
        <w:tc>
          <w:tcPr>
            <w:tcW w:w="4876" w:type="dxa"/>
            <w:tcBorders>
              <w:top w:val="nil"/>
              <w:left w:val="nil"/>
              <w:bottom w:val="nil"/>
              <w:right w:val="nil"/>
            </w:tcBorders>
          </w:tcPr>
          <w:p w14:paraId="2AC04D4E" w14:textId="77777777" w:rsidR="001D5F6D" w:rsidRPr="00641BDE" w:rsidRDefault="001D5F6D" w:rsidP="007C1C97">
            <w:pPr>
              <w:pStyle w:val="Normal6a"/>
            </w:pPr>
          </w:p>
        </w:tc>
        <w:tc>
          <w:tcPr>
            <w:tcW w:w="4876" w:type="dxa"/>
            <w:tcBorders>
              <w:top w:val="nil"/>
              <w:left w:val="nil"/>
              <w:bottom w:val="nil"/>
              <w:right w:val="nil"/>
            </w:tcBorders>
          </w:tcPr>
          <w:p w14:paraId="2E626B20" w14:textId="77777777" w:rsidR="001D5F6D" w:rsidRPr="00641BDE" w:rsidRDefault="001D5F6D" w:rsidP="007C1C97">
            <w:pPr>
              <w:pStyle w:val="Normal6a"/>
            </w:pPr>
            <w:r w:rsidRPr="00641BDE">
              <w:rPr>
                <w:b/>
                <w:i/>
              </w:rPr>
              <w:t>73b.</w:t>
            </w:r>
            <w:r w:rsidRPr="00641BDE">
              <w:tab/>
            </w:r>
            <w:r w:rsidRPr="00641BDE">
              <w:rPr>
                <w:b/>
                <w:i/>
              </w:rPr>
              <w:t>zauważa, że kadra kierownicza wyższego szczebla w Agencji Unii Europejskiej ds. Azylu ominęła regulamin pracowniczy w celu promowania „przyjaznego kręgu” na wyższych stanowiskach, jak stwierdzono w poufnym dochodzeniu OLAF-u; zwraca uwagę, że śledczy OLAF-u zauważyli, iż takie praktyki zatrudniania są sprzeczne z regulaminem pracowniczym UE, ponieważ kierownictwo jest oskarżane o omijanie ustalonych procedur i ignorowanie wewnętrznych zaleceń</w:t>
            </w:r>
            <w:r w:rsidRPr="00641BDE">
              <w:rPr>
                <w:b/>
                <w:i/>
                <w:vertAlign w:val="superscript"/>
              </w:rPr>
              <w:t>1a</w:t>
            </w:r>
            <w:r w:rsidRPr="00641BDE">
              <w:rPr>
                <w:b/>
                <w:i/>
              </w:rPr>
              <w:t>;</w:t>
            </w:r>
          </w:p>
        </w:tc>
      </w:tr>
      <w:tr w:rsidR="001D5F6D" w:rsidRPr="00641BDE" w14:paraId="05FA7411" w14:textId="77777777" w:rsidTr="007C1C97">
        <w:trPr>
          <w:jc w:val="center"/>
        </w:trPr>
        <w:tc>
          <w:tcPr>
            <w:tcW w:w="4876" w:type="dxa"/>
            <w:tcBorders>
              <w:top w:val="nil"/>
              <w:left w:val="nil"/>
              <w:bottom w:val="nil"/>
              <w:right w:val="nil"/>
            </w:tcBorders>
          </w:tcPr>
          <w:p w14:paraId="754DFD4D" w14:textId="77777777" w:rsidR="001D5F6D" w:rsidRPr="00641BDE" w:rsidRDefault="001D5F6D" w:rsidP="007C1C97"/>
        </w:tc>
        <w:tc>
          <w:tcPr>
            <w:tcW w:w="4876" w:type="dxa"/>
            <w:tcBorders>
              <w:top w:val="nil"/>
              <w:left w:val="nil"/>
              <w:bottom w:val="nil"/>
              <w:right w:val="nil"/>
            </w:tcBorders>
          </w:tcPr>
          <w:p w14:paraId="4BFB6264" w14:textId="77777777" w:rsidR="001D5F6D" w:rsidRPr="00641BDE" w:rsidRDefault="001D5F6D" w:rsidP="007C1C97">
            <w:pPr>
              <w:pStyle w:val="Normal6a"/>
            </w:pPr>
            <w:r w:rsidRPr="00641BDE">
              <w:rPr>
                <w:b/>
                <w:i/>
              </w:rPr>
              <w:t>_________________</w:t>
            </w:r>
          </w:p>
        </w:tc>
      </w:tr>
      <w:tr w:rsidR="001D5F6D" w:rsidRPr="00641BDE" w14:paraId="3EA44F0F" w14:textId="77777777" w:rsidTr="007C1C97">
        <w:trPr>
          <w:jc w:val="center"/>
        </w:trPr>
        <w:tc>
          <w:tcPr>
            <w:tcW w:w="4876" w:type="dxa"/>
            <w:tcBorders>
              <w:top w:val="nil"/>
              <w:left w:val="nil"/>
              <w:bottom w:val="nil"/>
              <w:right w:val="nil"/>
            </w:tcBorders>
          </w:tcPr>
          <w:p w14:paraId="74436C91" w14:textId="77777777" w:rsidR="001D5F6D" w:rsidRPr="00641BDE" w:rsidRDefault="001D5F6D" w:rsidP="007C1C97"/>
        </w:tc>
        <w:tc>
          <w:tcPr>
            <w:tcW w:w="4876" w:type="dxa"/>
            <w:tcBorders>
              <w:top w:val="nil"/>
              <w:left w:val="nil"/>
              <w:bottom w:val="nil"/>
              <w:right w:val="nil"/>
            </w:tcBorders>
          </w:tcPr>
          <w:p w14:paraId="59A8DFF3" w14:textId="77777777" w:rsidR="001D5F6D" w:rsidRPr="00641BDE" w:rsidRDefault="001D5F6D" w:rsidP="007C1C97">
            <w:pPr>
              <w:pStyle w:val="Normal6a"/>
            </w:pPr>
            <w:r w:rsidRPr="00641BDE">
              <w:rPr>
                <w:b/>
                <w:i/>
                <w:vertAlign w:val="superscript"/>
              </w:rPr>
              <w:t>1a</w:t>
            </w:r>
            <w:r w:rsidRPr="00641BDE">
              <w:t xml:space="preserve"> </w:t>
            </w:r>
            <w:r w:rsidRPr="00641BDE">
              <w:rPr>
                <w:b/>
                <w:i/>
              </w:rPr>
              <w:t>https://www.politico.eu/article/eu-asylum-agency-bosses-promotions-watchdog-probe/</w:t>
            </w:r>
          </w:p>
        </w:tc>
      </w:tr>
    </w:tbl>
    <w:p w14:paraId="4079CDDD"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BDB61D7" w14:textId="77777777" w:rsidR="001D5F6D" w:rsidRPr="00641BDE" w:rsidRDefault="001D5F6D" w:rsidP="001D5F6D">
      <w:r w:rsidRPr="00641BDE">
        <w:rPr>
          <w:rStyle w:val="HideTWBExt"/>
        </w:rPr>
        <w:t>&lt;/Amend&gt;</w:t>
      </w:r>
    </w:p>
    <w:p w14:paraId="3025517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125</w:t>
      </w:r>
      <w:r w:rsidRPr="00641BDE">
        <w:rPr>
          <w:rStyle w:val="HideTWBExt"/>
          <w:b w:val="0"/>
        </w:rPr>
        <w:t>&lt;/NumAm&gt;</w:t>
      </w:r>
    </w:p>
    <w:p w14:paraId="22B266AC" w14:textId="77777777" w:rsidR="001D5F6D" w:rsidRPr="00641BDE" w:rsidRDefault="001D5F6D" w:rsidP="001D5F6D">
      <w:pPr>
        <w:pStyle w:val="NormalBold"/>
      </w:pPr>
      <w:r w:rsidRPr="00641BDE">
        <w:rPr>
          <w:rStyle w:val="HideTWBExt"/>
          <w:b w:val="0"/>
        </w:rPr>
        <w:t>&lt;RepeatBlock-By&gt;&lt;Members&gt;</w:t>
      </w:r>
      <w:proofErr w:type="spellStart"/>
      <w:r w:rsidRPr="00641BDE">
        <w:t>Jonas</w:t>
      </w:r>
      <w:proofErr w:type="spellEnd"/>
      <w:r w:rsidRPr="00641BDE">
        <w:t xml:space="preserve"> </w:t>
      </w:r>
      <w:proofErr w:type="spellStart"/>
      <w:r w:rsidRPr="00641BDE">
        <w:t>Sjöstedt</w:t>
      </w:r>
      <w:proofErr w:type="spellEnd"/>
      <w:r w:rsidRPr="00641BDE">
        <w:rPr>
          <w:rStyle w:val="HideTWBExt"/>
          <w:b w:val="0"/>
        </w:rPr>
        <w:t>&lt;/Members&gt;</w:t>
      </w:r>
    </w:p>
    <w:p w14:paraId="3119894F" w14:textId="77777777" w:rsidR="001D5F6D" w:rsidRPr="00641BDE" w:rsidRDefault="001D5F6D" w:rsidP="001D5F6D">
      <w:pPr>
        <w:pStyle w:val="NormalBold"/>
      </w:pPr>
      <w:r w:rsidRPr="00641BDE">
        <w:rPr>
          <w:rStyle w:val="HideTWBExt"/>
          <w:b w:val="0"/>
        </w:rPr>
        <w:t>&lt;/RepeatBlock-By&gt;</w:t>
      </w:r>
    </w:p>
    <w:p w14:paraId="3BB577B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BBE5D0E" w14:textId="77777777" w:rsidR="001D5F6D" w:rsidRPr="00641BDE" w:rsidRDefault="001D5F6D" w:rsidP="001D5F6D">
      <w:pPr>
        <w:pStyle w:val="NormalBold"/>
      </w:pPr>
      <w:r w:rsidRPr="00641BDE">
        <w:rPr>
          <w:rStyle w:val="HideTWBExt"/>
          <w:b w:val="0"/>
        </w:rPr>
        <w:t>&lt;Article&gt;</w:t>
      </w:r>
      <w:r w:rsidRPr="00641BDE">
        <w:t>Ustęp 75 – punkt v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CEF6D2C" w14:textId="77777777" w:rsidTr="007C1C97">
        <w:trPr>
          <w:trHeight w:hRule="exact" w:val="240"/>
          <w:jc w:val="center"/>
        </w:trPr>
        <w:tc>
          <w:tcPr>
            <w:tcW w:w="9752" w:type="dxa"/>
            <w:gridSpan w:val="2"/>
            <w:tcBorders>
              <w:top w:val="nil"/>
              <w:left w:val="nil"/>
              <w:bottom w:val="nil"/>
              <w:right w:val="nil"/>
            </w:tcBorders>
          </w:tcPr>
          <w:p w14:paraId="1104B70F" w14:textId="77777777" w:rsidR="001D5F6D" w:rsidRPr="00641BDE" w:rsidRDefault="001D5F6D" w:rsidP="007C1C97"/>
        </w:tc>
      </w:tr>
      <w:tr w:rsidR="001D5F6D" w:rsidRPr="00641BDE" w14:paraId="6A176733" w14:textId="77777777" w:rsidTr="007C1C97">
        <w:trPr>
          <w:trHeight w:val="240"/>
          <w:jc w:val="center"/>
        </w:trPr>
        <w:tc>
          <w:tcPr>
            <w:tcW w:w="4876" w:type="dxa"/>
            <w:tcBorders>
              <w:top w:val="nil"/>
              <w:left w:val="nil"/>
              <w:bottom w:val="nil"/>
              <w:right w:val="nil"/>
            </w:tcBorders>
          </w:tcPr>
          <w:p w14:paraId="083C301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80CB20E" w14:textId="77777777" w:rsidR="001D5F6D" w:rsidRPr="00641BDE" w:rsidRDefault="001D5F6D" w:rsidP="007C1C97">
            <w:pPr>
              <w:pStyle w:val="AmColumnHeading"/>
            </w:pPr>
            <w:r w:rsidRPr="00641BDE">
              <w:t>Poprawka</w:t>
            </w:r>
          </w:p>
        </w:tc>
      </w:tr>
      <w:tr w:rsidR="001D5F6D" w:rsidRPr="00641BDE" w14:paraId="11D6D2D9" w14:textId="77777777" w:rsidTr="007C1C97">
        <w:trPr>
          <w:jc w:val="center"/>
        </w:trPr>
        <w:tc>
          <w:tcPr>
            <w:tcW w:w="4876" w:type="dxa"/>
            <w:tcBorders>
              <w:top w:val="nil"/>
              <w:left w:val="nil"/>
              <w:bottom w:val="nil"/>
              <w:right w:val="nil"/>
            </w:tcBorders>
          </w:tcPr>
          <w:p w14:paraId="1EDEFE80" w14:textId="77777777" w:rsidR="001D5F6D" w:rsidRPr="00641BDE" w:rsidRDefault="001D5F6D" w:rsidP="007C1C97">
            <w:pPr>
              <w:pStyle w:val="Normal6a"/>
            </w:pPr>
          </w:p>
        </w:tc>
        <w:tc>
          <w:tcPr>
            <w:tcW w:w="4876" w:type="dxa"/>
            <w:tcBorders>
              <w:top w:val="nil"/>
              <w:left w:val="nil"/>
              <w:bottom w:val="nil"/>
              <w:right w:val="nil"/>
            </w:tcBorders>
          </w:tcPr>
          <w:p w14:paraId="6BD62859" w14:textId="77777777" w:rsidR="001D5F6D" w:rsidRPr="00641BDE" w:rsidRDefault="001D5F6D" w:rsidP="007C1C97">
            <w:pPr>
              <w:pStyle w:val="Normal6a"/>
            </w:pPr>
            <w:r w:rsidRPr="00641BDE">
              <w:rPr>
                <w:b/>
                <w:i/>
              </w:rPr>
              <w:t>(</w:t>
            </w:r>
            <w:proofErr w:type="spellStart"/>
            <w:r w:rsidRPr="00641BDE">
              <w:rPr>
                <w:b/>
                <w:i/>
              </w:rPr>
              <w:t>va</w:t>
            </w:r>
            <w:proofErr w:type="spellEnd"/>
            <w:r w:rsidRPr="00641BDE">
              <w:rPr>
                <w:b/>
                <w:i/>
              </w:rPr>
              <w:t>)</w:t>
            </w:r>
            <w:r w:rsidRPr="00641BDE">
              <w:tab/>
            </w:r>
            <w:r w:rsidRPr="00641BDE">
              <w:rPr>
                <w:b/>
                <w:i/>
              </w:rPr>
              <w:t xml:space="preserve">nalega, aby </w:t>
            </w:r>
            <w:proofErr w:type="spellStart"/>
            <w:r w:rsidRPr="00641BDE">
              <w:rPr>
                <w:b/>
                <w:i/>
              </w:rPr>
              <w:t>Frontex</w:t>
            </w:r>
            <w:proofErr w:type="spellEnd"/>
            <w:r w:rsidRPr="00641BDE">
              <w:rPr>
                <w:b/>
                <w:i/>
              </w:rPr>
              <w:t xml:space="preserve"> miał obowiązki w zakresie praw człowieka wynikające z Karty praw podstawowych Unii Europejskiej, a także z rozporządzenia w sprawie </w:t>
            </w:r>
            <w:proofErr w:type="spellStart"/>
            <w:r w:rsidRPr="00641BDE">
              <w:rPr>
                <w:b/>
                <w:i/>
              </w:rPr>
              <w:t>Fronteksu</w:t>
            </w:r>
            <w:proofErr w:type="spellEnd"/>
            <w:r w:rsidRPr="00641BDE">
              <w:rPr>
                <w:b/>
                <w:i/>
              </w:rPr>
              <w:t xml:space="preserve"> z 2019 r. i własnego planu działania Agencji w zakresie praw podstawowych; podkreśla, że międzynarodowe prawo dotyczące praw człowieka zobowiązuje </w:t>
            </w:r>
            <w:proofErr w:type="spellStart"/>
            <w:r w:rsidRPr="00641BDE">
              <w:rPr>
                <w:b/>
                <w:i/>
              </w:rPr>
              <w:t>Frontex</w:t>
            </w:r>
            <w:proofErr w:type="spellEnd"/>
            <w:r w:rsidRPr="00641BDE">
              <w:rPr>
                <w:b/>
                <w:i/>
              </w:rPr>
              <w:t xml:space="preserve"> do powstrzymywania się od bezpośredniego naruszania czyichkolwiek praw człowieka i do nienarażania takich osób pośrednio na poważne naruszenia tych praw, takie jak tortury, w innych miejscach; w związku z tym wzywa Agencję do podjęcia kroków w celu złagodzenia zagrożeń dla praw człowieka związanych z jej działaniami w zakresie gromadzenia danych wywiadowczych i zarządzania granicami; przypomina ponadto, że </w:t>
            </w:r>
            <w:proofErr w:type="spellStart"/>
            <w:r w:rsidRPr="00641BDE">
              <w:rPr>
                <w:b/>
                <w:i/>
              </w:rPr>
              <w:t>Frontex</w:t>
            </w:r>
            <w:proofErr w:type="spellEnd"/>
            <w:r w:rsidRPr="00641BDE">
              <w:rPr>
                <w:b/>
                <w:i/>
              </w:rPr>
              <w:t xml:space="preserve"> jest również zobowiązany do ochrony prawa do życia, w tym poprzez podejmowanie pozytywnych kroków w celu zapobiegania ofiarom śmiertelnym w przypadku przewidywalnych zagrożeń życia i sytuacji zagrażających życiu</w:t>
            </w:r>
            <w:r w:rsidRPr="00641BDE">
              <w:rPr>
                <w:b/>
                <w:i/>
                <w:vertAlign w:val="superscript"/>
              </w:rPr>
              <w:t>1a</w:t>
            </w:r>
            <w:r w:rsidRPr="00641BDE">
              <w:rPr>
                <w:b/>
                <w:i/>
              </w:rPr>
              <w:t>;</w:t>
            </w:r>
          </w:p>
        </w:tc>
      </w:tr>
      <w:tr w:rsidR="001D5F6D" w:rsidRPr="00641BDE" w14:paraId="4FEB26AF" w14:textId="77777777" w:rsidTr="007C1C97">
        <w:trPr>
          <w:jc w:val="center"/>
        </w:trPr>
        <w:tc>
          <w:tcPr>
            <w:tcW w:w="4876" w:type="dxa"/>
            <w:tcBorders>
              <w:top w:val="nil"/>
              <w:left w:val="nil"/>
              <w:bottom w:val="nil"/>
              <w:right w:val="nil"/>
            </w:tcBorders>
          </w:tcPr>
          <w:p w14:paraId="796393B0" w14:textId="77777777" w:rsidR="001D5F6D" w:rsidRPr="00641BDE" w:rsidRDefault="001D5F6D" w:rsidP="007C1C97"/>
        </w:tc>
        <w:tc>
          <w:tcPr>
            <w:tcW w:w="4876" w:type="dxa"/>
            <w:tcBorders>
              <w:top w:val="nil"/>
              <w:left w:val="nil"/>
              <w:bottom w:val="nil"/>
              <w:right w:val="nil"/>
            </w:tcBorders>
          </w:tcPr>
          <w:p w14:paraId="7C25C45D" w14:textId="77777777" w:rsidR="001D5F6D" w:rsidRPr="00641BDE" w:rsidRDefault="001D5F6D" w:rsidP="007C1C97">
            <w:pPr>
              <w:pStyle w:val="Normal6a"/>
            </w:pPr>
            <w:r w:rsidRPr="00641BDE">
              <w:rPr>
                <w:b/>
                <w:i/>
              </w:rPr>
              <w:t>_________________</w:t>
            </w:r>
          </w:p>
        </w:tc>
      </w:tr>
      <w:tr w:rsidR="001D5F6D" w:rsidRPr="00641BDE" w14:paraId="046B48BC" w14:textId="77777777" w:rsidTr="007C1C97">
        <w:trPr>
          <w:jc w:val="center"/>
        </w:trPr>
        <w:tc>
          <w:tcPr>
            <w:tcW w:w="4876" w:type="dxa"/>
            <w:tcBorders>
              <w:top w:val="nil"/>
              <w:left w:val="nil"/>
              <w:bottom w:val="nil"/>
              <w:right w:val="nil"/>
            </w:tcBorders>
          </w:tcPr>
          <w:p w14:paraId="0B37EE01" w14:textId="77777777" w:rsidR="001D5F6D" w:rsidRPr="00641BDE" w:rsidRDefault="001D5F6D" w:rsidP="007C1C97"/>
        </w:tc>
        <w:tc>
          <w:tcPr>
            <w:tcW w:w="4876" w:type="dxa"/>
            <w:tcBorders>
              <w:top w:val="nil"/>
              <w:left w:val="nil"/>
              <w:bottom w:val="nil"/>
              <w:right w:val="nil"/>
            </w:tcBorders>
          </w:tcPr>
          <w:p w14:paraId="7BB25B73" w14:textId="77777777" w:rsidR="001D5F6D" w:rsidRPr="00641BDE" w:rsidRDefault="001D5F6D" w:rsidP="007C1C97">
            <w:pPr>
              <w:pStyle w:val="Normal6a"/>
            </w:pPr>
            <w:r w:rsidRPr="00641BDE">
              <w:rPr>
                <w:b/>
                <w:i/>
                <w:vertAlign w:val="superscript"/>
              </w:rPr>
              <w:t>1a</w:t>
            </w:r>
            <w:r w:rsidRPr="00641BDE">
              <w:t xml:space="preserve"> </w:t>
            </w:r>
            <w:r w:rsidRPr="00641BDE">
              <w:rPr>
                <w:b/>
                <w:i/>
              </w:rPr>
              <w:t>https://www.hrw.org/news/2025/04/14/eu-border-agency-use-aerial-surveillance-save-lives-sea</w:t>
            </w:r>
          </w:p>
        </w:tc>
      </w:tr>
    </w:tbl>
    <w:p w14:paraId="22D214D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0753219" w14:textId="77777777" w:rsidR="001D5F6D" w:rsidRPr="00641BDE" w:rsidRDefault="001D5F6D" w:rsidP="001D5F6D">
      <w:r w:rsidRPr="00641BDE">
        <w:rPr>
          <w:rStyle w:val="HideTWBExt"/>
        </w:rPr>
        <w:t>&lt;/Amend&gt;</w:t>
      </w:r>
    </w:p>
    <w:p w14:paraId="465A3B2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126</w:t>
      </w:r>
      <w:r w:rsidRPr="00641BDE">
        <w:rPr>
          <w:rStyle w:val="HideTWBExt"/>
          <w:b w:val="0"/>
        </w:rPr>
        <w:t>&lt;/NumAm&gt;</w:t>
      </w:r>
    </w:p>
    <w:p w14:paraId="0E9B9B57"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02A3021F" w14:textId="77777777" w:rsidR="001D5F6D" w:rsidRPr="00641BDE" w:rsidRDefault="001D5F6D" w:rsidP="001D5F6D">
      <w:pPr>
        <w:pStyle w:val="NormalBold"/>
      </w:pPr>
      <w:r w:rsidRPr="00641BDE">
        <w:rPr>
          <w:rStyle w:val="HideTWBExt"/>
          <w:b w:val="0"/>
        </w:rPr>
        <w:t>&lt;/RepeatBlock-By&gt;</w:t>
      </w:r>
    </w:p>
    <w:p w14:paraId="42950480"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9DA86E7" w14:textId="77777777" w:rsidR="001D5F6D" w:rsidRPr="00641BDE" w:rsidRDefault="001D5F6D" w:rsidP="001D5F6D">
      <w:pPr>
        <w:pStyle w:val="NormalBold"/>
      </w:pPr>
      <w:r w:rsidRPr="00641BDE">
        <w:rPr>
          <w:rStyle w:val="HideTWBExt"/>
          <w:b w:val="0"/>
        </w:rPr>
        <w:t>&lt;Article&gt;</w:t>
      </w:r>
      <w:r w:rsidRPr="00641BDE">
        <w:t>Ustęp 75 – punkt v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850330F" w14:textId="77777777" w:rsidTr="007C1C97">
        <w:trPr>
          <w:trHeight w:hRule="exact" w:val="240"/>
          <w:jc w:val="center"/>
        </w:trPr>
        <w:tc>
          <w:tcPr>
            <w:tcW w:w="9752" w:type="dxa"/>
            <w:gridSpan w:val="2"/>
            <w:tcBorders>
              <w:top w:val="nil"/>
              <w:left w:val="nil"/>
              <w:bottom w:val="nil"/>
              <w:right w:val="nil"/>
            </w:tcBorders>
          </w:tcPr>
          <w:p w14:paraId="7F764C0B" w14:textId="77777777" w:rsidR="001D5F6D" w:rsidRPr="00641BDE" w:rsidRDefault="001D5F6D" w:rsidP="007C1C97"/>
        </w:tc>
      </w:tr>
      <w:tr w:rsidR="001D5F6D" w:rsidRPr="00641BDE" w14:paraId="2B915F66" w14:textId="77777777" w:rsidTr="007C1C97">
        <w:trPr>
          <w:trHeight w:val="240"/>
          <w:jc w:val="center"/>
        </w:trPr>
        <w:tc>
          <w:tcPr>
            <w:tcW w:w="4876" w:type="dxa"/>
            <w:tcBorders>
              <w:top w:val="nil"/>
              <w:left w:val="nil"/>
              <w:bottom w:val="nil"/>
              <w:right w:val="nil"/>
            </w:tcBorders>
          </w:tcPr>
          <w:p w14:paraId="37C3CA66"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D387FF2" w14:textId="77777777" w:rsidR="001D5F6D" w:rsidRPr="00641BDE" w:rsidRDefault="001D5F6D" w:rsidP="007C1C97">
            <w:pPr>
              <w:pStyle w:val="AmColumnHeading"/>
            </w:pPr>
            <w:r w:rsidRPr="00641BDE">
              <w:t>Poprawka</w:t>
            </w:r>
          </w:p>
        </w:tc>
      </w:tr>
      <w:tr w:rsidR="001D5F6D" w:rsidRPr="00641BDE" w14:paraId="5A996A4D" w14:textId="77777777" w:rsidTr="007C1C97">
        <w:trPr>
          <w:jc w:val="center"/>
        </w:trPr>
        <w:tc>
          <w:tcPr>
            <w:tcW w:w="4876" w:type="dxa"/>
            <w:tcBorders>
              <w:top w:val="nil"/>
              <w:left w:val="nil"/>
              <w:bottom w:val="nil"/>
              <w:right w:val="nil"/>
            </w:tcBorders>
          </w:tcPr>
          <w:p w14:paraId="0305A8E5" w14:textId="77777777" w:rsidR="001D5F6D" w:rsidRPr="00641BDE" w:rsidRDefault="001D5F6D" w:rsidP="007C1C97">
            <w:pPr>
              <w:pStyle w:val="Normal6a"/>
            </w:pPr>
          </w:p>
        </w:tc>
        <w:tc>
          <w:tcPr>
            <w:tcW w:w="4876" w:type="dxa"/>
            <w:tcBorders>
              <w:top w:val="nil"/>
              <w:left w:val="nil"/>
              <w:bottom w:val="nil"/>
              <w:right w:val="nil"/>
            </w:tcBorders>
          </w:tcPr>
          <w:p w14:paraId="0B2D0EB2" w14:textId="77777777" w:rsidR="001D5F6D" w:rsidRPr="00641BDE" w:rsidRDefault="001D5F6D" w:rsidP="007C1C97">
            <w:pPr>
              <w:pStyle w:val="Normal6a"/>
            </w:pPr>
            <w:r w:rsidRPr="00641BDE">
              <w:rPr>
                <w:b/>
                <w:i/>
              </w:rPr>
              <w:t>(</w:t>
            </w:r>
            <w:proofErr w:type="spellStart"/>
            <w:r w:rsidRPr="00641BDE">
              <w:rPr>
                <w:b/>
                <w:i/>
              </w:rPr>
              <w:t>va</w:t>
            </w:r>
            <w:proofErr w:type="spellEnd"/>
            <w:r w:rsidRPr="00641BDE">
              <w:rPr>
                <w:b/>
                <w:i/>
              </w:rPr>
              <w:t>)</w:t>
            </w:r>
            <w:r w:rsidRPr="00641BDE">
              <w:tab/>
            </w:r>
            <w:r w:rsidRPr="00641BDE">
              <w:rPr>
                <w:b/>
                <w:i/>
              </w:rPr>
              <w:t xml:space="preserve">wzywa </w:t>
            </w:r>
            <w:proofErr w:type="spellStart"/>
            <w:r w:rsidRPr="00641BDE">
              <w:rPr>
                <w:b/>
                <w:i/>
              </w:rPr>
              <w:t>Frontex</w:t>
            </w:r>
            <w:proofErr w:type="spellEnd"/>
            <w:r w:rsidRPr="00641BDE">
              <w:rPr>
                <w:b/>
                <w:i/>
              </w:rPr>
              <w:t xml:space="preserve"> do wzmocnienia planowania i wykonania budżetu w celu zapewnienia zgodności z zasadą jednoroczności; podkreśla, że skala i złożoność mandatu Agencji wymaga solidnych mechanizmów wewnętrznych, i zachęca Agencję do wzmocnienia nadzoru nad procedurami udzielania zamówień i zarządzania umowami; zachęca </w:t>
            </w:r>
            <w:proofErr w:type="spellStart"/>
            <w:r w:rsidRPr="00641BDE">
              <w:rPr>
                <w:b/>
                <w:i/>
              </w:rPr>
              <w:t>Frontex</w:t>
            </w:r>
            <w:proofErr w:type="spellEnd"/>
            <w:r w:rsidRPr="00641BDE">
              <w:rPr>
                <w:b/>
                <w:i/>
              </w:rPr>
              <w:t xml:space="preserve"> do wzmocnienia procedur monitorowania wyników kontroli oraz do informowania organu udzielającego absolutorium o wymiernych postępach;</w:t>
            </w:r>
          </w:p>
        </w:tc>
      </w:tr>
    </w:tbl>
    <w:p w14:paraId="4A90002D"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163A4B4" w14:textId="77777777" w:rsidR="001D5F6D" w:rsidRPr="00641BDE" w:rsidRDefault="001D5F6D" w:rsidP="001D5F6D">
      <w:r w:rsidRPr="00641BDE">
        <w:rPr>
          <w:rStyle w:val="HideTWBExt"/>
        </w:rPr>
        <w:t>&lt;/Amend&gt;</w:t>
      </w:r>
    </w:p>
    <w:p w14:paraId="50ED37D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127</w:t>
      </w:r>
      <w:r w:rsidRPr="00641BDE">
        <w:rPr>
          <w:rStyle w:val="HideTWBExt"/>
          <w:b w:val="0"/>
        </w:rPr>
        <w:t>&lt;/NumAm&gt;</w:t>
      </w:r>
    </w:p>
    <w:p w14:paraId="3785210F" w14:textId="77777777" w:rsidR="001D5F6D" w:rsidRPr="00641BDE" w:rsidRDefault="001D5F6D" w:rsidP="001D5F6D">
      <w:pPr>
        <w:pStyle w:val="NormalBold"/>
      </w:pPr>
      <w:r w:rsidRPr="00641BDE">
        <w:rPr>
          <w:rStyle w:val="HideTWBExt"/>
          <w:b w:val="0"/>
        </w:rPr>
        <w:t>&lt;RepeatBlock-By&gt;&lt;Members&gt;</w:t>
      </w:r>
      <w:proofErr w:type="spellStart"/>
      <w:r w:rsidRPr="00641BDE">
        <w:t>Jonas</w:t>
      </w:r>
      <w:proofErr w:type="spellEnd"/>
      <w:r w:rsidRPr="00641BDE">
        <w:t xml:space="preserve"> </w:t>
      </w:r>
      <w:proofErr w:type="spellStart"/>
      <w:r w:rsidRPr="00641BDE">
        <w:t>Sjöstedt</w:t>
      </w:r>
      <w:proofErr w:type="spellEnd"/>
      <w:r w:rsidRPr="00641BDE">
        <w:rPr>
          <w:rStyle w:val="HideTWBExt"/>
          <w:b w:val="0"/>
        </w:rPr>
        <w:t>&lt;/Members&gt;</w:t>
      </w:r>
    </w:p>
    <w:p w14:paraId="09520C07" w14:textId="77777777" w:rsidR="001D5F6D" w:rsidRPr="00641BDE" w:rsidRDefault="001D5F6D" w:rsidP="001D5F6D">
      <w:pPr>
        <w:pStyle w:val="NormalBold"/>
      </w:pPr>
      <w:r w:rsidRPr="00641BDE">
        <w:rPr>
          <w:rStyle w:val="HideTWBExt"/>
          <w:b w:val="0"/>
        </w:rPr>
        <w:t>&lt;/RepeatBlock-By&gt;</w:t>
      </w:r>
    </w:p>
    <w:p w14:paraId="2BA4184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14403F4" w14:textId="77777777" w:rsidR="001D5F6D" w:rsidRPr="00641BDE" w:rsidRDefault="001D5F6D" w:rsidP="001D5F6D">
      <w:pPr>
        <w:pStyle w:val="NormalBold"/>
      </w:pPr>
      <w:r w:rsidRPr="00641BDE">
        <w:rPr>
          <w:rStyle w:val="HideTWBExt"/>
          <w:b w:val="0"/>
        </w:rPr>
        <w:t>&lt;Article&gt;</w:t>
      </w:r>
      <w:r w:rsidRPr="00641BDE">
        <w:t>Ustęp 75 – punkt v b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57D0590" w14:textId="77777777" w:rsidTr="007C1C97">
        <w:trPr>
          <w:trHeight w:hRule="exact" w:val="240"/>
          <w:jc w:val="center"/>
        </w:trPr>
        <w:tc>
          <w:tcPr>
            <w:tcW w:w="9752" w:type="dxa"/>
            <w:gridSpan w:val="2"/>
            <w:tcBorders>
              <w:top w:val="nil"/>
              <w:left w:val="nil"/>
              <w:bottom w:val="nil"/>
              <w:right w:val="nil"/>
            </w:tcBorders>
          </w:tcPr>
          <w:p w14:paraId="39588F44" w14:textId="77777777" w:rsidR="001D5F6D" w:rsidRPr="00641BDE" w:rsidRDefault="001D5F6D" w:rsidP="007C1C97"/>
        </w:tc>
      </w:tr>
      <w:tr w:rsidR="001D5F6D" w:rsidRPr="00641BDE" w14:paraId="46294D03" w14:textId="77777777" w:rsidTr="007C1C97">
        <w:trPr>
          <w:trHeight w:val="240"/>
          <w:jc w:val="center"/>
        </w:trPr>
        <w:tc>
          <w:tcPr>
            <w:tcW w:w="4876" w:type="dxa"/>
            <w:tcBorders>
              <w:top w:val="nil"/>
              <w:left w:val="nil"/>
              <w:bottom w:val="nil"/>
              <w:right w:val="nil"/>
            </w:tcBorders>
          </w:tcPr>
          <w:p w14:paraId="784B215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54A804F" w14:textId="77777777" w:rsidR="001D5F6D" w:rsidRPr="00641BDE" w:rsidRDefault="001D5F6D" w:rsidP="007C1C97">
            <w:pPr>
              <w:pStyle w:val="AmColumnHeading"/>
            </w:pPr>
            <w:r w:rsidRPr="00641BDE">
              <w:t>Poprawka</w:t>
            </w:r>
          </w:p>
        </w:tc>
      </w:tr>
      <w:tr w:rsidR="001D5F6D" w:rsidRPr="00641BDE" w14:paraId="3032753D" w14:textId="77777777" w:rsidTr="007C1C97">
        <w:trPr>
          <w:jc w:val="center"/>
        </w:trPr>
        <w:tc>
          <w:tcPr>
            <w:tcW w:w="4876" w:type="dxa"/>
            <w:tcBorders>
              <w:top w:val="nil"/>
              <w:left w:val="nil"/>
              <w:bottom w:val="nil"/>
              <w:right w:val="nil"/>
            </w:tcBorders>
          </w:tcPr>
          <w:p w14:paraId="397C3EBD" w14:textId="77777777" w:rsidR="001D5F6D" w:rsidRPr="00641BDE" w:rsidRDefault="001D5F6D" w:rsidP="007C1C97">
            <w:pPr>
              <w:pStyle w:val="Normal6a"/>
            </w:pPr>
          </w:p>
        </w:tc>
        <w:tc>
          <w:tcPr>
            <w:tcW w:w="4876" w:type="dxa"/>
            <w:tcBorders>
              <w:top w:val="nil"/>
              <w:left w:val="nil"/>
              <w:bottom w:val="nil"/>
              <w:right w:val="nil"/>
            </w:tcBorders>
          </w:tcPr>
          <w:p w14:paraId="6E7F998C" w14:textId="77777777" w:rsidR="001D5F6D" w:rsidRPr="00641BDE" w:rsidRDefault="001D5F6D" w:rsidP="007C1C97">
            <w:pPr>
              <w:pStyle w:val="Normal6a"/>
            </w:pPr>
            <w:r w:rsidRPr="00641BDE">
              <w:rPr>
                <w:b/>
                <w:i/>
              </w:rPr>
              <w:t>(</w:t>
            </w:r>
            <w:proofErr w:type="spellStart"/>
            <w:r w:rsidRPr="00641BDE">
              <w:rPr>
                <w:b/>
                <w:i/>
              </w:rPr>
              <w:t>vb</w:t>
            </w:r>
            <w:proofErr w:type="spellEnd"/>
            <w:r w:rsidRPr="00641BDE">
              <w:rPr>
                <w:b/>
                <w:i/>
              </w:rPr>
              <w:t>)</w:t>
            </w:r>
            <w:r w:rsidRPr="00641BDE">
              <w:tab/>
            </w:r>
            <w:r w:rsidRPr="00641BDE">
              <w:rPr>
                <w:b/>
                <w:i/>
              </w:rPr>
              <w:t xml:space="preserve">podkreśla, że zmiany w mandacie i budżecie </w:t>
            </w:r>
            <w:proofErr w:type="spellStart"/>
            <w:r w:rsidRPr="00641BDE">
              <w:rPr>
                <w:b/>
                <w:i/>
              </w:rPr>
              <w:t>Fronteksu</w:t>
            </w:r>
            <w:proofErr w:type="spellEnd"/>
            <w:r w:rsidRPr="00641BDE">
              <w:rPr>
                <w:b/>
                <w:i/>
              </w:rPr>
              <w:t xml:space="preserve"> powinny raczej wzmacniać, a nie osłabiać standardy w zakresie praw człowieka, przejrzystość i rozliczalność, oraz że obejmowałoby to dopilnowanie, aby dostarczanie państwom członkowskim zasobów i usług </w:t>
            </w:r>
            <w:proofErr w:type="spellStart"/>
            <w:r w:rsidRPr="00641BDE">
              <w:rPr>
                <w:b/>
                <w:i/>
              </w:rPr>
              <w:t>Fronteksu</w:t>
            </w:r>
            <w:proofErr w:type="spellEnd"/>
            <w:r w:rsidRPr="00641BDE">
              <w:rPr>
                <w:b/>
                <w:i/>
              </w:rPr>
              <w:t xml:space="preserve"> było uzależnione od szerokiej definicji zagrożenia bezpieczeństwa, współpracy z organizacjami humanitarnymi oraz od monitorowania przypadków niebezpieczeństwa i operacji ratunkowych;</w:t>
            </w:r>
          </w:p>
        </w:tc>
      </w:tr>
    </w:tbl>
    <w:p w14:paraId="1AC875D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75E4474" w14:textId="77777777" w:rsidR="001D5F6D" w:rsidRPr="00641BDE" w:rsidRDefault="001D5F6D" w:rsidP="001D5F6D">
      <w:r w:rsidRPr="00641BDE">
        <w:rPr>
          <w:rStyle w:val="HideTWBExt"/>
        </w:rPr>
        <w:t>&lt;/Amend&gt;</w:t>
      </w:r>
    </w:p>
    <w:p w14:paraId="6F8BB63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128</w:t>
      </w:r>
      <w:r w:rsidRPr="00641BDE">
        <w:rPr>
          <w:rStyle w:val="HideTWBExt"/>
          <w:b w:val="0"/>
        </w:rPr>
        <w:t>&lt;/NumAm&gt;</w:t>
      </w:r>
    </w:p>
    <w:p w14:paraId="5DD9A6B4"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01DD420D" w14:textId="77777777" w:rsidR="001D5F6D" w:rsidRPr="00641BDE" w:rsidRDefault="001D5F6D" w:rsidP="001D5F6D">
      <w:pPr>
        <w:pStyle w:val="NormalBold"/>
      </w:pPr>
      <w:r w:rsidRPr="00641BDE">
        <w:rPr>
          <w:rStyle w:val="HideTWBExt"/>
          <w:b w:val="0"/>
        </w:rPr>
        <w:t>&lt;/RepeatBlock-By&gt;</w:t>
      </w:r>
    </w:p>
    <w:p w14:paraId="203BAD77"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C7A5F50" w14:textId="77777777" w:rsidR="001D5F6D" w:rsidRPr="00641BDE" w:rsidRDefault="001D5F6D" w:rsidP="001D5F6D">
      <w:pPr>
        <w:pStyle w:val="NormalBold"/>
      </w:pPr>
      <w:r w:rsidRPr="00641BDE">
        <w:rPr>
          <w:rStyle w:val="HideTWBExt"/>
          <w:b w:val="0"/>
        </w:rPr>
        <w:t>&lt;Article&gt;</w:t>
      </w:r>
      <w:r w:rsidRPr="00641BDE">
        <w:t>Ustęp 75 – punkt v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5BE20C8" w14:textId="77777777" w:rsidTr="007C1C97">
        <w:trPr>
          <w:trHeight w:hRule="exact" w:val="240"/>
          <w:jc w:val="center"/>
        </w:trPr>
        <w:tc>
          <w:tcPr>
            <w:tcW w:w="9752" w:type="dxa"/>
            <w:gridSpan w:val="2"/>
            <w:tcBorders>
              <w:top w:val="nil"/>
              <w:left w:val="nil"/>
              <w:bottom w:val="nil"/>
              <w:right w:val="nil"/>
            </w:tcBorders>
          </w:tcPr>
          <w:p w14:paraId="6DA74991" w14:textId="77777777" w:rsidR="001D5F6D" w:rsidRPr="00641BDE" w:rsidRDefault="001D5F6D" w:rsidP="007C1C97"/>
        </w:tc>
      </w:tr>
      <w:tr w:rsidR="001D5F6D" w:rsidRPr="00641BDE" w14:paraId="2E893ED9" w14:textId="77777777" w:rsidTr="007C1C97">
        <w:trPr>
          <w:trHeight w:val="240"/>
          <w:jc w:val="center"/>
        </w:trPr>
        <w:tc>
          <w:tcPr>
            <w:tcW w:w="4876" w:type="dxa"/>
            <w:tcBorders>
              <w:top w:val="nil"/>
              <w:left w:val="nil"/>
              <w:bottom w:val="nil"/>
              <w:right w:val="nil"/>
            </w:tcBorders>
          </w:tcPr>
          <w:p w14:paraId="29FC821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71728E8" w14:textId="77777777" w:rsidR="001D5F6D" w:rsidRPr="00641BDE" w:rsidRDefault="001D5F6D" w:rsidP="007C1C97">
            <w:pPr>
              <w:pStyle w:val="AmColumnHeading"/>
            </w:pPr>
            <w:r w:rsidRPr="00641BDE">
              <w:t>Poprawka</w:t>
            </w:r>
          </w:p>
        </w:tc>
      </w:tr>
      <w:tr w:rsidR="001D5F6D" w:rsidRPr="00641BDE" w14:paraId="048F951F" w14:textId="77777777" w:rsidTr="007C1C97">
        <w:trPr>
          <w:jc w:val="center"/>
        </w:trPr>
        <w:tc>
          <w:tcPr>
            <w:tcW w:w="4876" w:type="dxa"/>
            <w:tcBorders>
              <w:top w:val="nil"/>
              <w:left w:val="nil"/>
              <w:bottom w:val="nil"/>
              <w:right w:val="nil"/>
            </w:tcBorders>
          </w:tcPr>
          <w:p w14:paraId="623CDA41" w14:textId="77777777" w:rsidR="001D5F6D" w:rsidRPr="00641BDE" w:rsidRDefault="001D5F6D" w:rsidP="007C1C97">
            <w:pPr>
              <w:pStyle w:val="Normal6a"/>
            </w:pPr>
          </w:p>
        </w:tc>
        <w:tc>
          <w:tcPr>
            <w:tcW w:w="4876" w:type="dxa"/>
            <w:tcBorders>
              <w:top w:val="nil"/>
              <w:left w:val="nil"/>
              <w:bottom w:val="nil"/>
              <w:right w:val="nil"/>
            </w:tcBorders>
          </w:tcPr>
          <w:p w14:paraId="538DDE22" w14:textId="77777777" w:rsidR="001D5F6D" w:rsidRPr="00641BDE" w:rsidRDefault="001D5F6D" w:rsidP="007C1C97">
            <w:pPr>
              <w:pStyle w:val="Normal6a"/>
            </w:pPr>
            <w:r w:rsidRPr="00641BDE">
              <w:rPr>
                <w:b/>
                <w:i/>
              </w:rPr>
              <w:t>(</w:t>
            </w:r>
            <w:proofErr w:type="spellStart"/>
            <w:r w:rsidRPr="00641BDE">
              <w:rPr>
                <w:b/>
                <w:i/>
              </w:rPr>
              <w:t>va</w:t>
            </w:r>
            <w:proofErr w:type="spellEnd"/>
            <w:r w:rsidRPr="00641BDE">
              <w:rPr>
                <w:b/>
                <w:i/>
              </w:rPr>
              <w:t>)</w:t>
            </w:r>
            <w:r w:rsidRPr="00641BDE">
              <w:tab/>
            </w:r>
            <w:proofErr w:type="spellStart"/>
            <w:r w:rsidRPr="00641BDE">
              <w:rPr>
                <w:b/>
                <w:i/>
              </w:rPr>
              <w:t>Eurojust</w:t>
            </w:r>
            <w:proofErr w:type="spellEnd"/>
            <w:r w:rsidRPr="00641BDE">
              <w:rPr>
                <w:b/>
                <w:i/>
              </w:rPr>
              <w:t xml:space="preserve"> – do podzielenia się z Komisją przyszłymi potrzebami budżetowymi dotyczącymi przyszłego rozszerzenia mandatu, przy czym apeluje o zapewnienie odpowiedniego finansowania oraz personelu w celu rozwiązania problemu tego rozszerzenia mandatu;</w:t>
            </w:r>
          </w:p>
        </w:tc>
      </w:tr>
    </w:tbl>
    <w:p w14:paraId="135886C7"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63742D4" w14:textId="77777777" w:rsidR="001D5F6D" w:rsidRPr="00641BDE" w:rsidRDefault="001D5F6D" w:rsidP="001D5F6D">
      <w:r w:rsidRPr="00641BDE">
        <w:rPr>
          <w:rStyle w:val="HideTWBExt"/>
        </w:rPr>
        <w:t>&lt;/Amend&gt;</w:t>
      </w:r>
    </w:p>
    <w:p w14:paraId="134DADD9"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129</w:t>
      </w:r>
      <w:r w:rsidRPr="00641BDE">
        <w:rPr>
          <w:rStyle w:val="HideTWBExt"/>
          <w:b w:val="0"/>
        </w:rPr>
        <w:t>&lt;/NumAm&gt;</w:t>
      </w:r>
    </w:p>
    <w:p w14:paraId="26132C0F"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rPr>
          <w:rStyle w:val="HideTWBExt"/>
          <w:b w:val="0"/>
        </w:rPr>
        <w:t>&lt;/Members&gt;</w:t>
      </w:r>
    </w:p>
    <w:p w14:paraId="488E0734" w14:textId="77777777" w:rsidR="001D5F6D" w:rsidRPr="00641BDE" w:rsidRDefault="001D5F6D" w:rsidP="001D5F6D">
      <w:pPr>
        <w:pStyle w:val="NormalBold"/>
      </w:pPr>
      <w:r w:rsidRPr="00641BDE">
        <w:rPr>
          <w:rStyle w:val="HideTWBExt"/>
          <w:b w:val="0"/>
        </w:rPr>
        <w:t>&lt;/RepeatBlock-By&gt;</w:t>
      </w:r>
    </w:p>
    <w:p w14:paraId="0BB721DF"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B9B2289" w14:textId="77777777" w:rsidR="001D5F6D" w:rsidRPr="00641BDE" w:rsidRDefault="001D5F6D" w:rsidP="001D5F6D">
      <w:pPr>
        <w:pStyle w:val="NormalBold"/>
      </w:pPr>
      <w:r w:rsidRPr="00641BDE">
        <w:rPr>
          <w:rStyle w:val="HideTWBExt"/>
          <w:b w:val="0"/>
        </w:rPr>
        <w:t>&lt;Article&gt;</w:t>
      </w:r>
      <w:r w:rsidRPr="00641BDE">
        <w:t>Ustęp 78</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7064CBD" w14:textId="77777777" w:rsidTr="007C1C97">
        <w:trPr>
          <w:trHeight w:hRule="exact" w:val="240"/>
          <w:jc w:val="center"/>
        </w:trPr>
        <w:tc>
          <w:tcPr>
            <w:tcW w:w="9752" w:type="dxa"/>
            <w:gridSpan w:val="2"/>
            <w:tcBorders>
              <w:top w:val="nil"/>
              <w:left w:val="nil"/>
              <w:bottom w:val="nil"/>
              <w:right w:val="nil"/>
            </w:tcBorders>
          </w:tcPr>
          <w:p w14:paraId="59888FED" w14:textId="77777777" w:rsidR="001D5F6D" w:rsidRPr="00641BDE" w:rsidRDefault="001D5F6D" w:rsidP="007C1C97"/>
        </w:tc>
      </w:tr>
      <w:tr w:rsidR="001D5F6D" w:rsidRPr="00641BDE" w14:paraId="05A6C503" w14:textId="77777777" w:rsidTr="007C1C97">
        <w:trPr>
          <w:trHeight w:val="240"/>
          <w:jc w:val="center"/>
        </w:trPr>
        <w:tc>
          <w:tcPr>
            <w:tcW w:w="4876" w:type="dxa"/>
            <w:tcBorders>
              <w:top w:val="nil"/>
              <w:left w:val="nil"/>
              <w:bottom w:val="nil"/>
              <w:right w:val="nil"/>
            </w:tcBorders>
          </w:tcPr>
          <w:p w14:paraId="77BAE01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7341F6F" w14:textId="77777777" w:rsidR="001D5F6D" w:rsidRPr="00641BDE" w:rsidRDefault="001D5F6D" w:rsidP="007C1C97">
            <w:pPr>
              <w:pStyle w:val="AmColumnHeading"/>
            </w:pPr>
            <w:r w:rsidRPr="00641BDE">
              <w:t>Poprawka</w:t>
            </w:r>
          </w:p>
        </w:tc>
      </w:tr>
      <w:tr w:rsidR="001D5F6D" w:rsidRPr="00641BDE" w14:paraId="40A6373D" w14:textId="77777777" w:rsidTr="007C1C97">
        <w:trPr>
          <w:jc w:val="center"/>
        </w:trPr>
        <w:tc>
          <w:tcPr>
            <w:tcW w:w="4876" w:type="dxa"/>
            <w:tcBorders>
              <w:top w:val="nil"/>
              <w:left w:val="nil"/>
              <w:bottom w:val="nil"/>
              <w:right w:val="nil"/>
            </w:tcBorders>
          </w:tcPr>
          <w:p w14:paraId="69E0B5D7" w14:textId="77777777" w:rsidR="001D5F6D" w:rsidRPr="00641BDE" w:rsidRDefault="001D5F6D" w:rsidP="007C1C97">
            <w:pPr>
              <w:pStyle w:val="Normal6a"/>
            </w:pPr>
            <w:r w:rsidRPr="00641BDE">
              <w:t>78.</w:t>
            </w:r>
            <w:r w:rsidRPr="00641BDE">
              <w:tab/>
              <w:t>z zaniepokojeniem zauważa, że Europejski Urząd ds. Pracy nadal w nadmiernym stopniu zatrudnia do podstawowych funkcji operacyjnych i finansowych pracowników tymczasowych, oddelegowanych ekspertów krajowych i personel tymczasowy; zauważa, że na koniec 2022 r. pracownicy tymczasowi stanowili 58 % siły roboczej Europejskiego Urzędu ds. Pracy, a mimo niewielkiego spadku na koniec 2023 r. i 2024 r. odsetek ten pozostał bardzo wysoki i wynosił 47 %; zauważa ponadto, że wbrew art. 41 ust. 1 jego przepisów finansowych Europejski Urząd ds. Pracy zatrudniał pracownika tymczasowego i stażystę do realizacji podstawowych działań finansowych związanych z wykonaniem budżetu w okresie od listopada 2022 r. do marca 2023 r., a praktyka ta była kontynuowana w 2023 r. i utrzymywała się w 2024 r., kiedy to podstawowe zadania finansowe w dalszym ciągu wykonywał pracownika tymczasowy;</w:t>
            </w:r>
          </w:p>
        </w:tc>
        <w:tc>
          <w:tcPr>
            <w:tcW w:w="4876" w:type="dxa"/>
            <w:tcBorders>
              <w:top w:val="nil"/>
              <w:left w:val="nil"/>
              <w:bottom w:val="nil"/>
              <w:right w:val="nil"/>
            </w:tcBorders>
          </w:tcPr>
          <w:p w14:paraId="6CACEA52" w14:textId="77777777" w:rsidR="001D5F6D" w:rsidRPr="00641BDE" w:rsidRDefault="001D5F6D" w:rsidP="007C1C97">
            <w:pPr>
              <w:pStyle w:val="Normal6a"/>
            </w:pPr>
            <w:r w:rsidRPr="00641BDE">
              <w:t>78.</w:t>
            </w:r>
            <w:r w:rsidRPr="00641BDE">
              <w:tab/>
              <w:t xml:space="preserve">z zaniepokojeniem zauważa, że Europejski Urząd ds. Pracy nadal w nadmiernym stopniu zatrudnia do podstawowych funkcji operacyjnych i finansowych pracowników tymczasowych, oddelegowanych ekspertów krajowych i personel tymczasowy; zauważa, że na koniec 2022 r. pracownicy tymczasowi stanowili 58 % siły roboczej Europejskiego Urzędu ds. Pracy, a mimo niewielkiego spadku na koniec 2023 r. i 2024 r. odsetek ten pozostał bardzo wysoki i wynosił 47 %; zauważa ponadto, że wbrew art. 41 ust. 1 jego przepisów finansowych Europejski Urząd ds. Pracy zatrudniał pracownika tymczasowego i stażystę do realizacji podstawowych działań finansowych związanych z wykonaniem budżetu w okresie od listopada 2022 r. do marca 2023 r., a praktyka ta była kontynuowana w 2023 r. i utrzymywała się w 2024 r., kiedy to podstawowe zadania finansowe w dalszym ciągu wykonywał pracownika tymczasowy; </w:t>
            </w:r>
            <w:r w:rsidRPr="00641BDE">
              <w:rPr>
                <w:b/>
                <w:i/>
              </w:rPr>
              <w:t xml:space="preserve">odnotowuje, że dyrektor Europejskiego Urzędu ds. Pracy regularnie zwraca się do Parlamentu podczas </w:t>
            </w:r>
            <w:proofErr w:type="spellStart"/>
            <w:r w:rsidRPr="00641BDE">
              <w:rPr>
                <w:b/>
                <w:i/>
              </w:rPr>
              <w:t>wysłuchań</w:t>
            </w:r>
            <w:proofErr w:type="spellEnd"/>
            <w:r w:rsidRPr="00641BDE">
              <w:rPr>
                <w:b/>
                <w:i/>
              </w:rPr>
              <w:t xml:space="preserve"> i na piśmie o przekształcenie stanowisk oddelegowanych ekspertów krajowych w stałe stanowiska pracowników zatrudnionych na czas określony; przypomina, że Trybunał orzekł, iż wszystkie konkursy muszą być otwarte i nie mogą obejmować stanowisk zarezerwowanych dla kandydatów wewnętrznych;</w:t>
            </w:r>
          </w:p>
        </w:tc>
      </w:tr>
    </w:tbl>
    <w:p w14:paraId="43A1E4EB"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34D7E955" w14:textId="77777777" w:rsidR="001D5F6D" w:rsidRPr="00641BDE" w:rsidRDefault="001D5F6D" w:rsidP="001D5F6D">
      <w:r w:rsidRPr="00641BDE">
        <w:rPr>
          <w:rStyle w:val="HideTWBExt"/>
        </w:rPr>
        <w:t>&lt;/Amend&gt;</w:t>
      </w:r>
    </w:p>
    <w:p w14:paraId="7969F3EB"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130</w:t>
      </w:r>
      <w:r w:rsidRPr="00641BDE">
        <w:rPr>
          <w:rStyle w:val="HideTWBExt"/>
          <w:b w:val="0"/>
        </w:rPr>
        <w:t>&lt;/NumAm&gt;</w:t>
      </w:r>
    </w:p>
    <w:p w14:paraId="70BF6565"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79A1CA99" w14:textId="77777777" w:rsidR="001D5F6D" w:rsidRPr="00641BDE" w:rsidRDefault="001D5F6D" w:rsidP="001D5F6D">
      <w:pPr>
        <w:pStyle w:val="NormalBold"/>
      </w:pPr>
      <w:r w:rsidRPr="00641BDE">
        <w:rPr>
          <w:rStyle w:val="HideTWBExt"/>
          <w:b w:val="0"/>
        </w:rPr>
        <w:t>&lt;/RepeatBlock-By&gt;</w:t>
      </w:r>
    </w:p>
    <w:p w14:paraId="4EE659F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616922D" w14:textId="77777777" w:rsidR="001D5F6D" w:rsidRPr="00641BDE" w:rsidRDefault="001D5F6D" w:rsidP="001D5F6D">
      <w:pPr>
        <w:pStyle w:val="NormalBold"/>
      </w:pPr>
      <w:r w:rsidRPr="00641BDE">
        <w:rPr>
          <w:rStyle w:val="HideTWBExt"/>
          <w:b w:val="0"/>
        </w:rPr>
        <w:t>&lt;Article&gt;</w:t>
      </w:r>
      <w:r w:rsidRPr="00641BDE">
        <w:t>Ustęp 79</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C7DD825" w14:textId="77777777" w:rsidTr="007C1C97">
        <w:trPr>
          <w:trHeight w:hRule="exact" w:val="240"/>
          <w:jc w:val="center"/>
        </w:trPr>
        <w:tc>
          <w:tcPr>
            <w:tcW w:w="9752" w:type="dxa"/>
            <w:gridSpan w:val="2"/>
            <w:tcBorders>
              <w:top w:val="nil"/>
              <w:left w:val="nil"/>
              <w:bottom w:val="nil"/>
              <w:right w:val="nil"/>
            </w:tcBorders>
          </w:tcPr>
          <w:p w14:paraId="5AF2B7B1" w14:textId="77777777" w:rsidR="001D5F6D" w:rsidRPr="00641BDE" w:rsidRDefault="001D5F6D" w:rsidP="007C1C97"/>
        </w:tc>
      </w:tr>
      <w:tr w:rsidR="001D5F6D" w:rsidRPr="00641BDE" w14:paraId="52961B44" w14:textId="77777777" w:rsidTr="007C1C97">
        <w:trPr>
          <w:trHeight w:val="240"/>
          <w:jc w:val="center"/>
        </w:trPr>
        <w:tc>
          <w:tcPr>
            <w:tcW w:w="4876" w:type="dxa"/>
            <w:tcBorders>
              <w:top w:val="nil"/>
              <w:left w:val="nil"/>
              <w:bottom w:val="nil"/>
              <w:right w:val="nil"/>
            </w:tcBorders>
          </w:tcPr>
          <w:p w14:paraId="72D9CAEC"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84AA484" w14:textId="77777777" w:rsidR="001D5F6D" w:rsidRPr="00641BDE" w:rsidRDefault="001D5F6D" w:rsidP="007C1C97">
            <w:pPr>
              <w:pStyle w:val="AmColumnHeading"/>
            </w:pPr>
            <w:r w:rsidRPr="00641BDE">
              <w:t>Poprawka</w:t>
            </w:r>
          </w:p>
        </w:tc>
      </w:tr>
      <w:tr w:rsidR="001D5F6D" w:rsidRPr="00641BDE" w14:paraId="17ECF8CA" w14:textId="77777777" w:rsidTr="007C1C97">
        <w:trPr>
          <w:jc w:val="center"/>
        </w:trPr>
        <w:tc>
          <w:tcPr>
            <w:tcW w:w="4876" w:type="dxa"/>
            <w:tcBorders>
              <w:top w:val="nil"/>
              <w:left w:val="nil"/>
              <w:bottom w:val="nil"/>
              <w:right w:val="nil"/>
            </w:tcBorders>
          </w:tcPr>
          <w:p w14:paraId="63A0EC33" w14:textId="77777777" w:rsidR="001D5F6D" w:rsidRPr="00641BDE" w:rsidRDefault="001D5F6D" w:rsidP="007C1C97">
            <w:pPr>
              <w:pStyle w:val="Normal6a"/>
            </w:pPr>
            <w:r w:rsidRPr="00641BDE">
              <w:t>79.</w:t>
            </w:r>
            <w:r w:rsidRPr="00641BDE">
              <w:tab/>
              <w:t xml:space="preserve">odnotowuje wyjaśnienia przedstawione podczas wysłuchania 1 grudnia 2025 r. przez dyrektora wykonawczego Europejskiego Urzędu ds. Pracy dotyczące strukturalnie wysokiego odsetka pracowników tymczasowych, w szczególności oddelegowanych ekspertów krajowych, którzy stanowią obecnie około 42–50 % personelu operacyjnego i nie mogą zgodnie z prawem pełnić podstawowych funkcji, </w:t>
            </w:r>
            <w:r w:rsidRPr="00641BDE">
              <w:rPr>
                <w:b/>
                <w:i/>
              </w:rPr>
              <w:t>takich jak reprezentowanie urzędu lub zarządzanie dokumentacją finansową i dotyczącą zamówień publicznych,</w:t>
            </w:r>
            <w:r w:rsidRPr="00641BDE">
              <w:t xml:space="preserve"> co powoduje koncentrację obowiązków i większe ryzyko błędów; popiera </w:t>
            </w:r>
            <w:r w:rsidRPr="00641BDE">
              <w:rPr>
                <w:b/>
                <w:i/>
              </w:rPr>
              <w:t>wniosek dyrektora wykonawczego o</w:t>
            </w:r>
            <w:r w:rsidRPr="00641BDE">
              <w:t xml:space="preserve"> dostosowanie planu zatrudnienia, aby </w:t>
            </w:r>
            <w:r w:rsidRPr="00641BDE">
              <w:rPr>
                <w:b/>
                <w:i/>
              </w:rPr>
              <w:t>umożliwić odejście od zasobów opartych</w:t>
            </w:r>
            <w:r w:rsidRPr="00641BDE">
              <w:t xml:space="preserve"> na oddelegowanych ekspertach krajowych </w:t>
            </w:r>
            <w:r w:rsidRPr="00641BDE">
              <w:rPr>
                <w:b/>
                <w:i/>
              </w:rPr>
              <w:t>na rzecz dodatkowych stanowisk</w:t>
            </w:r>
            <w:r w:rsidRPr="00641BDE">
              <w:t xml:space="preserve"> dla pracowników zatrudnionych na czas określony, </w:t>
            </w:r>
            <w:r w:rsidRPr="00641BDE">
              <w:rPr>
                <w:b/>
                <w:i/>
              </w:rPr>
              <w:t>które powinny zostać obsadzone</w:t>
            </w:r>
            <w:r w:rsidRPr="00641BDE">
              <w:t xml:space="preserve"> w drodze otwartych i konkurencyjnych procedur w ramach istniejącego pułapu budżetowego; jest zdania, że urząd ds. pracy powinien </w:t>
            </w:r>
            <w:r w:rsidRPr="00641BDE">
              <w:rPr>
                <w:b/>
                <w:i/>
              </w:rPr>
              <w:t>być wzorem do naśladowania</w:t>
            </w:r>
            <w:r w:rsidRPr="00641BDE">
              <w:t xml:space="preserve"> pod względem </w:t>
            </w:r>
            <w:r w:rsidRPr="00641BDE">
              <w:rPr>
                <w:b/>
                <w:bCs/>
                <w:i/>
                <w:iCs/>
              </w:rPr>
              <w:t>standardów</w:t>
            </w:r>
            <w:r w:rsidRPr="00641BDE">
              <w:t xml:space="preserve"> pracy i dążyć do oferowania dłuższych umów</w:t>
            </w:r>
            <w:r w:rsidRPr="00641BDE">
              <w:rPr>
                <w:b/>
                <w:i/>
              </w:rPr>
              <w:t>, co leżałoby</w:t>
            </w:r>
            <w:r w:rsidRPr="00641BDE">
              <w:t xml:space="preserve"> w </w:t>
            </w:r>
            <w:r w:rsidRPr="00641BDE">
              <w:rPr>
                <w:b/>
                <w:i/>
              </w:rPr>
              <w:t>interesie</w:t>
            </w:r>
            <w:r w:rsidRPr="00641BDE">
              <w:t xml:space="preserve"> pracowników </w:t>
            </w:r>
            <w:r w:rsidRPr="00641BDE">
              <w:rPr>
                <w:b/>
                <w:i/>
              </w:rPr>
              <w:t>i służyło</w:t>
            </w:r>
            <w:r w:rsidRPr="00641BDE">
              <w:t xml:space="preserve"> ciągłości działania</w:t>
            </w:r>
            <w:r w:rsidRPr="00641BDE">
              <w:rPr>
                <w:b/>
                <w:i/>
              </w:rPr>
              <w:t>, utrzymaniu</w:t>
            </w:r>
            <w:r w:rsidRPr="00641BDE">
              <w:t xml:space="preserve"> wiedzy </w:t>
            </w:r>
            <w:r w:rsidRPr="00641BDE">
              <w:rPr>
                <w:b/>
                <w:bCs/>
                <w:i/>
                <w:iCs/>
              </w:rPr>
              <w:t>i unikaniu wąskich gardeł</w:t>
            </w:r>
            <w:r w:rsidRPr="00641BDE">
              <w:t>;</w:t>
            </w:r>
          </w:p>
        </w:tc>
        <w:tc>
          <w:tcPr>
            <w:tcW w:w="4876" w:type="dxa"/>
            <w:tcBorders>
              <w:top w:val="nil"/>
              <w:left w:val="nil"/>
              <w:bottom w:val="nil"/>
              <w:right w:val="nil"/>
            </w:tcBorders>
          </w:tcPr>
          <w:p w14:paraId="2F923AF8" w14:textId="77777777" w:rsidR="001D5F6D" w:rsidRPr="00641BDE" w:rsidRDefault="001D5F6D" w:rsidP="007C1C97">
            <w:pPr>
              <w:pStyle w:val="Normal6a"/>
            </w:pPr>
            <w:r w:rsidRPr="00641BDE">
              <w:t>79.</w:t>
            </w:r>
            <w:r w:rsidRPr="00641BDE">
              <w:tab/>
              <w:t xml:space="preserve">odnotowuje wyjaśnienia przedstawione podczas wysłuchania 1 grudnia 2025 r. przez dyrektora wykonawczego Europejskiego Urzędu ds. Pracy dotyczące strukturalnie wysokiego odsetka pracowników tymczasowych, w szczególności oddelegowanych ekspertów krajowych, którzy stanowią obecnie około 42–50 % personelu operacyjnego i nie mogą zgodnie z prawem pełnić podstawowych funkcji, co powoduje koncentrację obowiązków i większe ryzyko błędów; popiera dostosowanie planu zatrudnienia, aby </w:t>
            </w:r>
            <w:r w:rsidRPr="00641BDE">
              <w:rPr>
                <w:b/>
                <w:i/>
              </w:rPr>
              <w:t>zastąpić zasoby oparte</w:t>
            </w:r>
            <w:r w:rsidRPr="00641BDE">
              <w:t xml:space="preserve"> na oddelegowanych ekspertach krajowych </w:t>
            </w:r>
            <w:r w:rsidRPr="00641BDE">
              <w:rPr>
                <w:b/>
                <w:i/>
              </w:rPr>
              <w:t>dodatkowymi stanowiskami</w:t>
            </w:r>
            <w:r w:rsidRPr="00641BDE">
              <w:t xml:space="preserve"> dla pracowników zatrudnionych na czas określony, </w:t>
            </w:r>
            <w:r w:rsidRPr="00641BDE">
              <w:rPr>
                <w:b/>
                <w:bCs/>
                <w:i/>
                <w:iCs/>
              </w:rPr>
              <w:t>obsadzanymi</w:t>
            </w:r>
            <w:r w:rsidRPr="00641BDE">
              <w:t xml:space="preserve"> w drodze otwartych i konkurencyjnych procedur w ramach istniejącego pułapu budżetowego; jest zdania, że Urząd ds. Pracy powinien </w:t>
            </w:r>
            <w:r w:rsidRPr="00641BDE">
              <w:rPr>
                <w:b/>
                <w:i/>
              </w:rPr>
              <w:t>dawać przykład</w:t>
            </w:r>
            <w:r w:rsidRPr="00641BDE">
              <w:t xml:space="preserve"> pod względem </w:t>
            </w:r>
            <w:r w:rsidRPr="00641BDE">
              <w:rPr>
                <w:b/>
                <w:bCs/>
                <w:i/>
                <w:iCs/>
              </w:rPr>
              <w:t>norm</w:t>
            </w:r>
            <w:r w:rsidRPr="00641BDE">
              <w:t xml:space="preserve"> pracy i dążyć do oferowania dłuższych umów </w:t>
            </w:r>
            <w:r w:rsidRPr="00641BDE">
              <w:rPr>
                <w:b/>
                <w:i/>
              </w:rPr>
              <w:t>w celu wspierania</w:t>
            </w:r>
            <w:r w:rsidRPr="00641BDE">
              <w:t xml:space="preserve"> pracowników</w:t>
            </w:r>
            <w:r w:rsidRPr="00641BDE">
              <w:rPr>
                <w:b/>
                <w:i/>
              </w:rPr>
              <w:t>,</w:t>
            </w:r>
            <w:r w:rsidRPr="00641BDE">
              <w:t xml:space="preserve"> ciągłości działania </w:t>
            </w:r>
            <w:r w:rsidRPr="00641BDE">
              <w:rPr>
                <w:b/>
                <w:i/>
              </w:rPr>
              <w:t>i utrzymania</w:t>
            </w:r>
            <w:r w:rsidRPr="00641BDE">
              <w:t xml:space="preserve"> wiedzy;</w:t>
            </w:r>
          </w:p>
        </w:tc>
      </w:tr>
    </w:tbl>
    <w:p w14:paraId="791115CD"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F7E510F" w14:textId="77777777" w:rsidR="001D5F6D" w:rsidRPr="00641BDE" w:rsidRDefault="001D5F6D" w:rsidP="001D5F6D">
      <w:r w:rsidRPr="00641BDE">
        <w:rPr>
          <w:rStyle w:val="HideTWBExt"/>
        </w:rPr>
        <w:t>&lt;/Amend&gt;</w:t>
      </w:r>
    </w:p>
    <w:p w14:paraId="487DC95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131</w:t>
      </w:r>
      <w:r w:rsidRPr="00641BDE">
        <w:rPr>
          <w:rStyle w:val="HideTWBExt"/>
          <w:b w:val="0"/>
        </w:rPr>
        <w:t>&lt;/NumAm&gt;</w:t>
      </w:r>
    </w:p>
    <w:p w14:paraId="1CA2EA20"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30FC9256" w14:textId="77777777" w:rsidR="001D5F6D" w:rsidRPr="00641BDE" w:rsidRDefault="001D5F6D" w:rsidP="001D5F6D">
      <w:pPr>
        <w:pStyle w:val="NormalBold"/>
      </w:pPr>
      <w:r w:rsidRPr="00641BDE">
        <w:rPr>
          <w:rStyle w:val="HideTWBExt"/>
          <w:b w:val="0"/>
        </w:rPr>
        <w:t>&lt;/RepeatBlock-By&gt;</w:t>
      </w:r>
    </w:p>
    <w:p w14:paraId="6486B65F"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F0F3F25" w14:textId="77777777" w:rsidR="001D5F6D" w:rsidRPr="00641BDE" w:rsidRDefault="001D5F6D" w:rsidP="001D5F6D">
      <w:pPr>
        <w:pStyle w:val="NormalBold"/>
      </w:pPr>
      <w:r w:rsidRPr="00641BDE">
        <w:rPr>
          <w:rStyle w:val="HideTWBExt"/>
          <w:b w:val="0"/>
        </w:rPr>
        <w:t>&lt;Article&gt;</w:t>
      </w:r>
      <w:r w:rsidRPr="00641BDE">
        <w:t>Ustęp 79</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B2CA9CB" w14:textId="77777777" w:rsidTr="007C1C97">
        <w:trPr>
          <w:trHeight w:hRule="exact" w:val="240"/>
          <w:jc w:val="center"/>
        </w:trPr>
        <w:tc>
          <w:tcPr>
            <w:tcW w:w="9752" w:type="dxa"/>
            <w:gridSpan w:val="2"/>
            <w:tcBorders>
              <w:top w:val="nil"/>
              <w:left w:val="nil"/>
              <w:bottom w:val="nil"/>
              <w:right w:val="nil"/>
            </w:tcBorders>
          </w:tcPr>
          <w:p w14:paraId="26F61FBF" w14:textId="77777777" w:rsidR="001D5F6D" w:rsidRPr="00641BDE" w:rsidRDefault="001D5F6D" w:rsidP="007C1C97"/>
        </w:tc>
      </w:tr>
      <w:tr w:rsidR="001D5F6D" w:rsidRPr="00641BDE" w14:paraId="719326DA" w14:textId="77777777" w:rsidTr="007C1C97">
        <w:trPr>
          <w:trHeight w:val="240"/>
          <w:jc w:val="center"/>
        </w:trPr>
        <w:tc>
          <w:tcPr>
            <w:tcW w:w="4876" w:type="dxa"/>
            <w:tcBorders>
              <w:top w:val="nil"/>
              <w:left w:val="nil"/>
              <w:bottom w:val="nil"/>
              <w:right w:val="nil"/>
            </w:tcBorders>
          </w:tcPr>
          <w:p w14:paraId="0B7AAE8F"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C87674E" w14:textId="77777777" w:rsidR="001D5F6D" w:rsidRPr="00641BDE" w:rsidRDefault="001D5F6D" w:rsidP="007C1C97">
            <w:pPr>
              <w:pStyle w:val="AmColumnHeading"/>
            </w:pPr>
            <w:r w:rsidRPr="00641BDE">
              <w:t>Poprawka</w:t>
            </w:r>
          </w:p>
        </w:tc>
      </w:tr>
      <w:tr w:rsidR="001D5F6D" w:rsidRPr="00641BDE" w14:paraId="74E19790" w14:textId="77777777" w:rsidTr="007C1C97">
        <w:trPr>
          <w:jc w:val="center"/>
        </w:trPr>
        <w:tc>
          <w:tcPr>
            <w:tcW w:w="4876" w:type="dxa"/>
            <w:tcBorders>
              <w:top w:val="nil"/>
              <w:left w:val="nil"/>
              <w:bottom w:val="nil"/>
              <w:right w:val="nil"/>
            </w:tcBorders>
          </w:tcPr>
          <w:p w14:paraId="35465B6D" w14:textId="77777777" w:rsidR="001D5F6D" w:rsidRPr="00641BDE" w:rsidRDefault="001D5F6D" w:rsidP="007C1C97">
            <w:pPr>
              <w:pStyle w:val="Normal6a"/>
            </w:pPr>
            <w:r w:rsidRPr="00641BDE">
              <w:t>79.</w:t>
            </w:r>
            <w:r w:rsidRPr="00641BDE">
              <w:tab/>
              <w:t>odnotowuje wyjaśnienia przedstawione podczas wysłuchania 1 grudnia 2025 r. przez dyrektora wykonawczego Europejskiego Urzędu ds. Pracy dotyczące strukturalnie wysokiego odsetka pracowników tymczasowych, w szczególności oddelegowanych ekspertów krajowych, którzy stanowią obecnie około 42–50 % personelu operacyjnego i nie mogą zgodnie z prawem pełnić podstawowych funkcji, takich jak reprezentowanie urzędu lub zarządzanie dokumentacją finansową i dotyczącą zamówień publicznych, co powoduje koncentrację obowiązków i większe ryzyko błędów; popiera wniosek dyrektora wykonawczego o dostosowanie planu zatrudnienia, aby umożliwić odejście od zasobów opartych na oddelegowanych ekspertach krajowych na rzecz dodatkowych stanowisk dla pracowników zatrudnionych na czas określony, które powinny zostać obsadzone w drodze otwartych i konkurencyjnych procedur w ramach istniejącego pułapu budżetowego; jest zdania, że urząd ds. pracy powinien być wzorem do naśladowania pod względem standardów pracy i dążyć do oferowania dłuższych umów, co leżałoby w interesie pracowników i służyło ciągłości działania, utrzymaniu wiedzy i unikaniu wąskich gardeł;</w:t>
            </w:r>
          </w:p>
        </w:tc>
        <w:tc>
          <w:tcPr>
            <w:tcW w:w="4876" w:type="dxa"/>
            <w:tcBorders>
              <w:top w:val="nil"/>
              <w:left w:val="nil"/>
              <w:bottom w:val="nil"/>
              <w:right w:val="nil"/>
            </w:tcBorders>
          </w:tcPr>
          <w:p w14:paraId="672E4388" w14:textId="77777777" w:rsidR="001D5F6D" w:rsidRPr="00641BDE" w:rsidRDefault="001D5F6D" w:rsidP="007C1C97">
            <w:pPr>
              <w:pStyle w:val="Normal6a"/>
            </w:pPr>
            <w:r w:rsidRPr="00641BDE">
              <w:t>79.</w:t>
            </w:r>
            <w:r w:rsidRPr="00641BDE">
              <w:tab/>
              <w:t xml:space="preserve">odnotowuje wyjaśnienia przedstawione podczas wysłuchania 1 grudnia 2025 r. przez dyrektora wykonawczego Europejskiego Urzędu ds. Pracy dotyczące strukturalnie wysokiego odsetka pracowników tymczasowych, w szczególności oddelegowanych ekspertów krajowych, którzy stanowią obecnie około 42–50 % personelu operacyjnego i nie mogą zgodnie z prawem pełnić podstawowych funkcji, takich jak reprezentowanie urzędu lub zarządzanie dokumentacją finansową i dotyczącą zamówień publicznych, co powoduje koncentrację obowiązków i większe ryzyko błędów; popiera wniosek dyrektora wykonawczego o dostosowanie planu zatrudnienia, aby umożliwić odejście od zasobów opartych na oddelegowanych ekspertach krajowych na rzecz dodatkowych stanowisk dla pracowników zatrudnionych na czas określony, które powinny zostać obsadzone w drodze otwartych i konkurencyjnych procedur w ramach istniejącego pułapu budżetowego; jest zdania, że Urząd ds. Pracy powinien być wzorem do naśladowania pod względem standardów pracy i dążyć do oferowania dłuższych umów, co leżałoby w interesie pracowników i służyło ciągłości działania, utrzymaniu wiedzy i unikaniu wąskich gardeł; </w:t>
            </w:r>
            <w:r w:rsidRPr="00641BDE">
              <w:rPr>
                <w:b/>
                <w:i/>
              </w:rPr>
              <w:t>wzywa urząd do dalszego zacieśniania współpracy z krajowymi organami ds. pracy, aby uniknąć powielania działań i usprawnić wymianę informacji; </w:t>
            </w:r>
          </w:p>
        </w:tc>
      </w:tr>
    </w:tbl>
    <w:p w14:paraId="0D806361"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17141A7" w14:textId="77777777" w:rsidR="001D5F6D" w:rsidRPr="00641BDE" w:rsidRDefault="001D5F6D" w:rsidP="001D5F6D">
      <w:r w:rsidRPr="00641BDE">
        <w:rPr>
          <w:rStyle w:val="HideTWBExt"/>
        </w:rPr>
        <w:t>&lt;/Amend&gt;</w:t>
      </w:r>
    </w:p>
    <w:p w14:paraId="3F9C50D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132</w:t>
      </w:r>
      <w:r w:rsidRPr="00641BDE">
        <w:rPr>
          <w:rStyle w:val="HideTWBExt"/>
          <w:b w:val="0"/>
        </w:rPr>
        <w:t>&lt;/NumAm&gt;</w:t>
      </w:r>
    </w:p>
    <w:p w14:paraId="6AD73CF2"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5E4A0A1F" w14:textId="77777777" w:rsidR="001D5F6D" w:rsidRPr="00641BDE" w:rsidRDefault="001D5F6D" w:rsidP="001D5F6D">
      <w:pPr>
        <w:pStyle w:val="NormalBold"/>
      </w:pPr>
      <w:r w:rsidRPr="00641BDE">
        <w:rPr>
          <w:rStyle w:val="HideTWBExt"/>
          <w:b w:val="0"/>
        </w:rPr>
        <w:t>&lt;/RepeatBlock-By&gt;</w:t>
      </w:r>
    </w:p>
    <w:p w14:paraId="59732AFD"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245230C" w14:textId="77777777" w:rsidR="001D5F6D" w:rsidRPr="00641BDE" w:rsidRDefault="001D5F6D" w:rsidP="001D5F6D">
      <w:pPr>
        <w:pStyle w:val="NormalBold"/>
      </w:pPr>
      <w:r w:rsidRPr="00641BDE">
        <w:rPr>
          <w:rStyle w:val="HideTWBExt"/>
          <w:b w:val="0"/>
        </w:rPr>
        <w:t>&lt;Article&gt;</w:t>
      </w:r>
      <w:r w:rsidRPr="00641BDE">
        <w:t>Ustęp 81</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B108BE0" w14:textId="77777777" w:rsidTr="007C1C97">
        <w:trPr>
          <w:trHeight w:hRule="exact" w:val="240"/>
          <w:jc w:val="center"/>
        </w:trPr>
        <w:tc>
          <w:tcPr>
            <w:tcW w:w="9752" w:type="dxa"/>
            <w:gridSpan w:val="2"/>
            <w:tcBorders>
              <w:top w:val="nil"/>
              <w:left w:val="nil"/>
              <w:bottom w:val="nil"/>
              <w:right w:val="nil"/>
            </w:tcBorders>
          </w:tcPr>
          <w:p w14:paraId="215E55DC" w14:textId="77777777" w:rsidR="001D5F6D" w:rsidRPr="00641BDE" w:rsidRDefault="001D5F6D" w:rsidP="007C1C97"/>
        </w:tc>
      </w:tr>
      <w:tr w:rsidR="001D5F6D" w:rsidRPr="00641BDE" w14:paraId="542B782C" w14:textId="77777777" w:rsidTr="007C1C97">
        <w:trPr>
          <w:trHeight w:val="240"/>
          <w:jc w:val="center"/>
        </w:trPr>
        <w:tc>
          <w:tcPr>
            <w:tcW w:w="4876" w:type="dxa"/>
            <w:tcBorders>
              <w:top w:val="nil"/>
              <w:left w:val="nil"/>
              <w:bottom w:val="nil"/>
              <w:right w:val="nil"/>
            </w:tcBorders>
          </w:tcPr>
          <w:p w14:paraId="04D2D7A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7A731BA" w14:textId="77777777" w:rsidR="001D5F6D" w:rsidRPr="00641BDE" w:rsidRDefault="001D5F6D" w:rsidP="007C1C97">
            <w:pPr>
              <w:pStyle w:val="AmColumnHeading"/>
            </w:pPr>
            <w:r w:rsidRPr="00641BDE">
              <w:t>Poprawka</w:t>
            </w:r>
          </w:p>
        </w:tc>
      </w:tr>
      <w:tr w:rsidR="001D5F6D" w:rsidRPr="00641BDE" w14:paraId="3DF05D20" w14:textId="77777777" w:rsidTr="007C1C97">
        <w:trPr>
          <w:jc w:val="center"/>
        </w:trPr>
        <w:tc>
          <w:tcPr>
            <w:tcW w:w="4876" w:type="dxa"/>
            <w:tcBorders>
              <w:top w:val="nil"/>
              <w:left w:val="nil"/>
              <w:bottom w:val="nil"/>
              <w:right w:val="nil"/>
            </w:tcBorders>
          </w:tcPr>
          <w:p w14:paraId="22AE1464" w14:textId="77777777" w:rsidR="001D5F6D" w:rsidRPr="00641BDE" w:rsidRDefault="001D5F6D" w:rsidP="007C1C97">
            <w:pPr>
              <w:pStyle w:val="Normal6a"/>
            </w:pPr>
            <w:r w:rsidRPr="00641BDE">
              <w:t>81.</w:t>
            </w:r>
            <w:r w:rsidRPr="00641BDE">
              <w:tab/>
              <w:t>zauważa, że należy wzmocnić systemy monitorowania we wszystkich agencjach, w tym cele SMART i kluczowe wskaźniki efektywności, z myślą o poprawie oceny skuteczności działania i zaangażowania zainteresowanych stron; podkreśla, że luki w danych (szczególnie w ETF), brakujące cele w zakresie skuteczności działania i brak wskaźników na poziomie krajowym osłabiają skuteczność; zauważa, że wyzwania te wymagają poprawy kompletności danych, jaśniejszego wyznaczania celów i ulepszonych ram monitorowania w celu zapewnienia kompleksowej oceny skuteczności działania i dostosowania do potrzeb zainteresowanych stron;</w:t>
            </w:r>
          </w:p>
        </w:tc>
        <w:tc>
          <w:tcPr>
            <w:tcW w:w="4876" w:type="dxa"/>
            <w:tcBorders>
              <w:top w:val="nil"/>
              <w:left w:val="nil"/>
              <w:bottom w:val="nil"/>
              <w:right w:val="nil"/>
            </w:tcBorders>
          </w:tcPr>
          <w:p w14:paraId="0B510318" w14:textId="77777777" w:rsidR="001D5F6D" w:rsidRPr="00641BDE" w:rsidRDefault="001D5F6D" w:rsidP="007C1C97">
            <w:pPr>
              <w:pStyle w:val="Normal6a"/>
            </w:pPr>
            <w:r w:rsidRPr="00641BDE">
              <w:t>81.</w:t>
            </w:r>
            <w:r w:rsidRPr="00641BDE">
              <w:tab/>
              <w:t xml:space="preserve">zauważa, że należy wzmocnić systemy monitorowania we wszystkich agencjach, w tym cele SMART i kluczowe wskaźniki efektywności, z myślą o poprawie oceny skuteczności działania i zaangażowania zainteresowanych stron; podkreśla, że luki w danych (szczególnie w ETF), brakujące cele w zakresie skuteczności działania i brak wskaźników na poziomie krajowym osłabiają skuteczność; zauważa, że wyzwania te wymagają poprawy kompletności danych, jaśniejszego wyznaczania celów i ulepszonych ram monitorowania w celu zapewnienia kompleksowej oceny skuteczności działania i dostosowania do potrzeb zainteresowanych stron; </w:t>
            </w:r>
            <w:r w:rsidRPr="00641BDE">
              <w:rPr>
                <w:b/>
                <w:i/>
              </w:rPr>
              <w:t>podkreśla, jak ważne są przejrzyste struktury zarządzania i zabezpieczenia przed konfliktami interesów dla wspierania zaufania zainteresowanych stron do ich pracy; </w:t>
            </w:r>
          </w:p>
        </w:tc>
      </w:tr>
    </w:tbl>
    <w:p w14:paraId="4931715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08D4D7FE" w14:textId="77777777" w:rsidR="001D5F6D" w:rsidRPr="00641BDE" w:rsidRDefault="001D5F6D" w:rsidP="001D5F6D">
      <w:r w:rsidRPr="00641BDE">
        <w:rPr>
          <w:rStyle w:val="HideTWBExt"/>
        </w:rPr>
        <w:t>&lt;/Amend&gt;</w:t>
      </w:r>
    </w:p>
    <w:p w14:paraId="797AA7B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133</w:t>
      </w:r>
      <w:r w:rsidRPr="00641BDE">
        <w:rPr>
          <w:rStyle w:val="HideTWBExt"/>
          <w:b w:val="0"/>
        </w:rPr>
        <w:t>&lt;/NumAm&gt;</w:t>
      </w:r>
    </w:p>
    <w:p w14:paraId="71809A06"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Ondřej</w:t>
      </w:r>
      <w:proofErr w:type="spellEnd"/>
      <w:r w:rsidRPr="00641BDE">
        <w:t xml:space="preserve"> Knotek,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6DA1DF46" w14:textId="77777777" w:rsidR="001D5F6D" w:rsidRPr="00641BDE" w:rsidRDefault="001D5F6D" w:rsidP="001D5F6D">
      <w:pPr>
        <w:pStyle w:val="NormalBold"/>
      </w:pPr>
      <w:r w:rsidRPr="00641BDE">
        <w:rPr>
          <w:rStyle w:val="HideTWBExt"/>
          <w:b w:val="0"/>
        </w:rPr>
        <w:t>&lt;/RepeatBlock-By&gt;</w:t>
      </w:r>
    </w:p>
    <w:p w14:paraId="75FF6D73"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316B9B4" w14:textId="77777777" w:rsidR="001D5F6D" w:rsidRPr="00641BDE" w:rsidRDefault="001D5F6D" w:rsidP="001D5F6D">
      <w:pPr>
        <w:pStyle w:val="NormalBold"/>
      </w:pPr>
      <w:r w:rsidRPr="00641BDE">
        <w:rPr>
          <w:rStyle w:val="HideTWBExt"/>
          <w:b w:val="0"/>
        </w:rPr>
        <w:t>&lt;Article&gt;</w:t>
      </w:r>
      <w:r w:rsidRPr="00641BDE">
        <w:t>Ustęp 82</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028649F" w14:textId="77777777" w:rsidTr="007C1C97">
        <w:trPr>
          <w:trHeight w:hRule="exact" w:val="240"/>
          <w:jc w:val="center"/>
        </w:trPr>
        <w:tc>
          <w:tcPr>
            <w:tcW w:w="9752" w:type="dxa"/>
            <w:gridSpan w:val="2"/>
            <w:tcBorders>
              <w:top w:val="nil"/>
              <w:left w:val="nil"/>
              <w:bottom w:val="nil"/>
              <w:right w:val="nil"/>
            </w:tcBorders>
          </w:tcPr>
          <w:p w14:paraId="79DF2200" w14:textId="77777777" w:rsidR="001D5F6D" w:rsidRPr="00641BDE" w:rsidRDefault="001D5F6D" w:rsidP="007C1C97"/>
        </w:tc>
      </w:tr>
      <w:tr w:rsidR="001D5F6D" w:rsidRPr="00641BDE" w14:paraId="4D480CF8" w14:textId="77777777" w:rsidTr="007C1C97">
        <w:trPr>
          <w:trHeight w:val="240"/>
          <w:jc w:val="center"/>
        </w:trPr>
        <w:tc>
          <w:tcPr>
            <w:tcW w:w="4876" w:type="dxa"/>
            <w:tcBorders>
              <w:top w:val="nil"/>
              <w:left w:val="nil"/>
              <w:bottom w:val="nil"/>
              <w:right w:val="nil"/>
            </w:tcBorders>
          </w:tcPr>
          <w:p w14:paraId="28A8DCBD"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129023F" w14:textId="77777777" w:rsidR="001D5F6D" w:rsidRPr="00641BDE" w:rsidRDefault="001D5F6D" w:rsidP="007C1C97">
            <w:pPr>
              <w:pStyle w:val="AmColumnHeading"/>
            </w:pPr>
            <w:r w:rsidRPr="00641BDE">
              <w:t>Poprawka</w:t>
            </w:r>
          </w:p>
        </w:tc>
      </w:tr>
      <w:tr w:rsidR="001D5F6D" w:rsidRPr="00641BDE" w14:paraId="12A5836E" w14:textId="77777777" w:rsidTr="007C1C97">
        <w:trPr>
          <w:jc w:val="center"/>
        </w:trPr>
        <w:tc>
          <w:tcPr>
            <w:tcW w:w="4876" w:type="dxa"/>
            <w:tcBorders>
              <w:top w:val="nil"/>
              <w:left w:val="nil"/>
              <w:bottom w:val="nil"/>
              <w:right w:val="nil"/>
            </w:tcBorders>
          </w:tcPr>
          <w:p w14:paraId="60265717" w14:textId="77777777" w:rsidR="001D5F6D" w:rsidRPr="00641BDE" w:rsidRDefault="001D5F6D" w:rsidP="007C1C97">
            <w:pPr>
              <w:pStyle w:val="Normal6a"/>
            </w:pPr>
            <w:r w:rsidRPr="00641BDE">
              <w:t>82.</w:t>
            </w:r>
            <w:r w:rsidRPr="00641BDE">
              <w:tab/>
              <w:t>odnotowuje, że cztery agencje (</w:t>
            </w:r>
            <w:proofErr w:type="spellStart"/>
            <w:r w:rsidRPr="00641BDE">
              <w:t>Cedefop</w:t>
            </w:r>
            <w:proofErr w:type="spellEnd"/>
            <w:r w:rsidRPr="00641BDE">
              <w:t xml:space="preserve">, EU‑OSHA, </w:t>
            </w:r>
            <w:proofErr w:type="spellStart"/>
            <w:r w:rsidRPr="00641BDE">
              <w:t>Eurofound</w:t>
            </w:r>
            <w:proofErr w:type="spellEnd"/>
            <w:r w:rsidRPr="00641BDE">
              <w:t xml:space="preserve"> i ETF) mają potencjał zmniejszenia obciążenia administracyjnego i poprawy wydajności dzięki usługom wspólnym</w:t>
            </w:r>
            <w:r w:rsidRPr="00641BDE">
              <w:rPr>
                <w:vertAlign w:val="superscript"/>
              </w:rPr>
              <w:t>20</w:t>
            </w:r>
            <w:r w:rsidRPr="00641BDE">
              <w:t>; podkreśla, że agencje powinny zmniejszyć obciążenia administracyjne pracowników, aby utrzymać zrównoważone obciążenie pracą przez wspólne korzystanie z usług w zakresie kadr, prawa, IT i funkcji technicznych; zwraca uwagę, że umożliwiłoby to agencjom zmniejszenie liczby pracowników zaangażowanych w działania administracyjne i większą koncentrację na podstawowych operacjach;</w:t>
            </w:r>
          </w:p>
        </w:tc>
        <w:tc>
          <w:tcPr>
            <w:tcW w:w="4876" w:type="dxa"/>
            <w:tcBorders>
              <w:top w:val="nil"/>
              <w:left w:val="nil"/>
              <w:bottom w:val="nil"/>
              <w:right w:val="nil"/>
            </w:tcBorders>
          </w:tcPr>
          <w:p w14:paraId="39E7F4C2" w14:textId="77777777" w:rsidR="001D5F6D" w:rsidRPr="00641BDE" w:rsidRDefault="001D5F6D" w:rsidP="007C1C97">
            <w:pPr>
              <w:pStyle w:val="Normal6a"/>
            </w:pPr>
            <w:r w:rsidRPr="00641BDE">
              <w:t>82.</w:t>
            </w:r>
            <w:r w:rsidRPr="00641BDE">
              <w:tab/>
              <w:t>odnotowuje, że cztery agencje (</w:t>
            </w:r>
            <w:proofErr w:type="spellStart"/>
            <w:r w:rsidRPr="00641BDE">
              <w:t>Cedefop</w:t>
            </w:r>
            <w:proofErr w:type="spellEnd"/>
            <w:r w:rsidRPr="00641BDE">
              <w:t xml:space="preserve">, EU‑OSHA, </w:t>
            </w:r>
            <w:proofErr w:type="spellStart"/>
            <w:r w:rsidRPr="00641BDE">
              <w:t>Eurofound</w:t>
            </w:r>
            <w:proofErr w:type="spellEnd"/>
            <w:r w:rsidRPr="00641BDE">
              <w:t xml:space="preserve"> i ETF) mają potencjał zmniejszenia obciążenia administracyjnego i poprawy wydajności dzięki usługom wspólnym</w:t>
            </w:r>
            <w:r w:rsidRPr="00641BDE">
              <w:rPr>
                <w:vertAlign w:val="superscript"/>
              </w:rPr>
              <w:t>20</w:t>
            </w:r>
            <w:r w:rsidRPr="00641BDE">
              <w:t xml:space="preserve">; podkreśla, że </w:t>
            </w:r>
            <w:r w:rsidRPr="00641BDE">
              <w:rPr>
                <w:b/>
                <w:i/>
              </w:rPr>
              <w:t>wszystkie</w:t>
            </w:r>
            <w:r w:rsidRPr="00641BDE">
              <w:t xml:space="preserve"> agencje powinny zmniejszyć obciążenia administracyjne pracowników, aby utrzymać zrównoważone obciążenie pracą przez wspólne korzystanie z usług w zakresie kadr, prawa, </w:t>
            </w:r>
            <w:r w:rsidRPr="00641BDE">
              <w:rPr>
                <w:b/>
                <w:i/>
              </w:rPr>
              <w:t>finansów,</w:t>
            </w:r>
            <w:r w:rsidRPr="00641BDE">
              <w:t xml:space="preserve"> IT i funkcji technicznych; zwraca uwagę, że umożliwiłoby to agencjom zmniejszenie liczby pracowników zaangażowanych w działania administracyjne</w:t>
            </w:r>
            <w:r w:rsidRPr="00641BDE">
              <w:rPr>
                <w:b/>
                <w:i/>
              </w:rPr>
              <w:t>, którzy zyskaliby wiedzę fachową; apeluje ponadto o dzielenie się zbudowanymi zasobami i zdolnościami poprzez scentralizowanie, w miarę możliwości za pośrednictwem jednej platformy, funkcji wsparcia, co pozwoliłoby każdej z tych agencji osiągnąć oszczędności finansowe</w:t>
            </w:r>
            <w:r w:rsidRPr="00641BDE">
              <w:t xml:space="preserve"> i większą koncentrację na podstawowych operacjach;</w:t>
            </w:r>
          </w:p>
        </w:tc>
      </w:tr>
      <w:tr w:rsidR="001D5F6D" w:rsidRPr="00641BDE" w14:paraId="13A57262" w14:textId="77777777" w:rsidTr="007C1C97">
        <w:trPr>
          <w:jc w:val="center"/>
        </w:trPr>
        <w:tc>
          <w:tcPr>
            <w:tcW w:w="4876" w:type="dxa"/>
            <w:tcBorders>
              <w:top w:val="nil"/>
              <w:left w:val="nil"/>
              <w:bottom w:val="nil"/>
              <w:right w:val="nil"/>
            </w:tcBorders>
          </w:tcPr>
          <w:p w14:paraId="72AFDB57" w14:textId="77777777" w:rsidR="001D5F6D" w:rsidRPr="00641BDE" w:rsidRDefault="001D5F6D" w:rsidP="007C1C97">
            <w:pPr>
              <w:pStyle w:val="Normal6a"/>
            </w:pPr>
            <w:r w:rsidRPr="00641BDE">
              <w:rPr>
                <w:b/>
                <w:i/>
              </w:rPr>
              <w:t>_________________</w:t>
            </w:r>
          </w:p>
        </w:tc>
        <w:tc>
          <w:tcPr>
            <w:tcW w:w="4876" w:type="dxa"/>
            <w:tcBorders>
              <w:top w:val="nil"/>
              <w:left w:val="nil"/>
              <w:bottom w:val="nil"/>
              <w:right w:val="nil"/>
            </w:tcBorders>
          </w:tcPr>
          <w:p w14:paraId="5F7E8447" w14:textId="77777777" w:rsidR="001D5F6D" w:rsidRPr="00641BDE" w:rsidRDefault="001D5F6D" w:rsidP="007C1C97">
            <w:pPr>
              <w:pStyle w:val="Normal6a"/>
            </w:pPr>
            <w:r w:rsidRPr="00641BDE">
              <w:rPr>
                <w:b/>
                <w:i/>
              </w:rPr>
              <w:t>_________________</w:t>
            </w:r>
          </w:p>
        </w:tc>
      </w:tr>
      <w:tr w:rsidR="001D5F6D" w:rsidRPr="00641BDE" w14:paraId="5AB025CA" w14:textId="77777777" w:rsidTr="007C1C97">
        <w:trPr>
          <w:jc w:val="center"/>
        </w:trPr>
        <w:tc>
          <w:tcPr>
            <w:tcW w:w="4876" w:type="dxa"/>
            <w:tcBorders>
              <w:top w:val="nil"/>
              <w:left w:val="nil"/>
              <w:bottom w:val="nil"/>
              <w:right w:val="nil"/>
            </w:tcBorders>
          </w:tcPr>
          <w:p w14:paraId="4D21E43B" w14:textId="77777777" w:rsidR="001D5F6D" w:rsidRPr="00641BDE" w:rsidRDefault="001D5F6D" w:rsidP="007C1C97">
            <w:pPr>
              <w:pStyle w:val="Normal6a"/>
            </w:pPr>
            <w:r w:rsidRPr="00641BDE">
              <w:rPr>
                <w:vertAlign w:val="superscript"/>
              </w:rPr>
              <w:t>20</w:t>
            </w:r>
            <w:r w:rsidRPr="00641BDE">
              <w:t xml:space="preserve"> </w:t>
            </w:r>
            <w:proofErr w:type="gramStart"/>
            <w:r w:rsidRPr="00641BDE">
              <w:t>SWD(</w:t>
            </w:r>
            <w:proofErr w:type="gramEnd"/>
            <w:r w:rsidRPr="00641BDE">
              <w:t>2024) 222.</w:t>
            </w:r>
          </w:p>
        </w:tc>
        <w:tc>
          <w:tcPr>
            <w:tcW w:w="4876" w:type="dxa"/>
            <w:tcBorders>
              <w:top w:val="nil"/>
              <w:left w:val="nil"/>
              <w:bottom w:val="nil"/>
              <w:right w:val="nil"/>
            </w:tcBorders>
          </w:tcPr>
          <w:p w14:paraId="283D81FA" w14:textId="77777777" w:rsidR="001D5F6D" w:rsidRPr="00641BDE" w:rsidRDefault="001D5F6D" w:rsidP="007C1C97">
            <w:pPr>
              <w:pStyle w:val="Normal6a"/>
            </w:pPr>
            <w:r w:rsidRPr="00641BDE">
              <w:rPr>
                <w:vertAlign w:val="superscript"/>
              </w:rPr>
              <w:t>20</w:t>
            </w:r>
            <w:r w:rsidRPr="00641BDE">
              <w:t xml:space="preserve"> </w:t>
            </w:r>
            <w:proofErr w:type="gramStart"/>
            <w:r w:rsidRPr="00641BDE">
              <w:t>SWD(</w:t>
            </w:r>
            <w:proofErr w:type="gramEnd"/>
            <w:r w:rsidRPr="00641BDE">
              <w:t>2024) 222.</w:t>
            </w:r>
          </w:p>
        </w:tc>
      </w:tr>
    </w:tbl>
    <w:p w14:paraId="32A6ABA6"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3F13BD0C" w14:textId="77777777" w:rsidR="001D5F6D" w:rsidRPr="00641BDE" w:rsidRDefault="001D5F6D" w:rsidP="001D5F6D">
      <w:r w:rsidRPr="00641BDE">
        <w:rPr>
          <w:rStyle w:val="HideTWBExt"/>
        </w:rPr>
        <w:t>&lt;/Amend&gt;</w:t>
      </w:r>
    </w:p>
    <w:p w14:paraId="540FCB59"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134</w:t>
      </w:r>
      <w:r w:rsidRPr="00641BDE">
        <w:rPr>
          <w:rStyle w:val="HideTWBExt"/>
          <w:b w:val="0"/>
        </w:rPr>
        <w:t>&lt;/NumAm&gt;</w:t>
      </w:r>
    </w:p>
    <w:p w14:paraId="7CF9063F"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787194D2" w14:textId="77777777" w:rsidR="001D5F6D" w:rsidRPr="00641BDE" w:rsidRDefault="001D5F6D" w:rsidP="001D5F6D">
      <w:pPr>
        <w:pStyle w:val="NormalBold"/>
      </w:pPr>
      <w:r w:rsidRPr="00641BDE">
        <w:rPr>
          <w:rStyle w:val="HideTWBExt"/>
          <w:b w:val="0"/>
        </w:rPr>
        <w:t>&lt;/RepeatBlock-By&gt;</w:t>
      </w:r>
    </w:p>
    <w:p w14:paraId="386738E5"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AFE85BA" w14:textId="77777777" w:rsidR="001D5F6D" w:rsidRPr="00641BDE" w:rsidRDefault="001D5F6D" w:rsidP="001D5F6D">
      <w:pPr>
        <w:pStyle w:val="NormalBold"/>
      </w:pPr>
      <w:r w:rsidRPr="00641BDE">
        <w:rPr>
          <w:rStyle w:val="HideTWBExt"/>
          <w:b w:val="0"/>
        </w:rPr>
        <w:t>&lt;Article&gt;</w:t>
      </w:r>
      <w:r w:rsidRPr="00641BDE">
        <w:t>Ustęp 82</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B453A5F" w14:textId="77777777" w:rsidTr="007C1C97">
        <w:trPr>
          <w:trHeight w:hRule="exact" w:val="240"/>
          <w:jc w:val="center"/>
        </w:trPr>
        <w:tc>
          <w:tcPr>
            <w:tcW w:w="9752" w:type="dxa"/>
            <w:gridSpan w:val="2"/>
            <w:tcBorders>
              <w:top w:val="nil"/>
              <w:left w:val="nil"/>
              <w:bottom w:val="nil"/>
              <w:right w:val="nil"/>
            </w:tcBorders>
          </w:tcPr>
          <w:p w14:paraId="415D16EC" w14:textId="77777777" w:rsidR="001D5F6D" w:rsidRPr="00641BDE" w:rsidRDefault="001D5F6D" w:rsidP="007C1C97"/>
        </w:tc>
      </w:tr>
      <w:tr w:rsidR="001D5F6D" w:rsidRPr="00641BDE" w14:paraId="1F9F2C73" w14:textId="77777777" w:rsidTr="007C1C97">
        <w:trPr>
          <w:trHeight w:val="240"/>
          <w:jc w:val="center"/>
        </w:trPr>
        <w:tc>
          <w:tcPr>
            <w:tcW w:w="4876" w:type="dxa"/>
            <w:tcBorders>
              <w:top w:val="nil"/>
              <w:left w:val="nil"/>
              <w:bottom w:val="nil"/>
              <w:right w:val="nil"/>
            </w:tcBorders>
          </w:tcPr>
          <w:p w14:paraId="19DD11CD"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1009D4B" w14:textId="77777777" w:rsidR="001D5F6D" w:rsidRPr="00641BDE" w:rsidRDefault="001D5F6D" w:rsidP="007C1C97">
            <w:pPr>
              <w:pStyle w:val="AmColumnHeading"/>
            </w:pPr>
            <w:r w:rsidRPr="00641BDE">
              <w:t>Poprawka</w:t>
            </w:r>
          </w:p>
        </w:tc>
      </w:tr>
      <w:tr w:rsidR="001D5F6D" w:rsidRPr="00641BDE" w14:paraId="5FABBD7C" w14:textId="77777777" w:rsidTr="007C1C97">
        <w:trPr>
          <w:jc w:val="center"/>
        </w:trPr>
        <w:tc>
          <w:tcPr>
            <w:tcW w:w="4876" w:type="dxa"/>
            <w:tcBorders>
              <w:top w:val="nil"/>
              <w:left w:val="nil"/>
              <w:bottom w:val="nil"/>
              <w:right w:val="nil"/>
            </w:tcBorders>
          </w:tcPr>
          <w:p w14:paraId="38790853" w14:textId="77777777" w:rsidR="001D5F6D" w:rsidRPr="00641BDE" w:rsidRDefault="001D5F6D" w:rsidP="007C1C97">
            <w:pPr>
              <w:pStyle w:val="Normal6a"/>
            </w:pPr>
            <w:r w:rsidRPr="00641BDE">
              <w:t>82.</w:t>
            </w:r>
            <w:r w:rsidRPr="00641BDE">
              <w:tab/>
              <w:t>odnotowuje, że cztery agencje (</w:t>
            </w:r>
            <w:proofErr w:type="spellStart"/>
            <w:r w:rsidRPr="00641BDE">
              <w:t>Cedefop</w:t>
            </w:r>
            <w:proofErr w:type="spellEnd"/>
            <w:r w:rsidRPr="00641BDE">
              <w:t xml:space="preserve">, EU-OSHA, </w:t>
            </w:r>
            <w:proofErr w:type="spellStart"/>
            <w:r w:rsidRPr="00641BDE">
              <w:t>Eurofound</w:t>
            </w:r>
            <w:proofErr w:type="spellEnd"/>
            <w:r w:rsidRPr="00641BDE">
              <w:t xml:space="preserve"> i ETF) mają potencjał zmniejszenia obciążenia administracyjnego i poprawy wydajności dzięki usługom wspólnym</w:t>
            </w:r>
            <w:r w:rsidRPr="00641BDE">
              <w:rPr>
                <w:vertAlign w:val="superscript"/>
              </w:rPr>
              <w:t>20</w:t>
            </w:r>
            <w:r w:rsidRPr="00641BDE">
              <w:t>; podkreśla, że agencje powinny zmniejszyć obciążenia administracyjne pracowników, aby utrzymać zrównoważone obciążenie pracą przez wspólne korzystanie z usług w zakresie kadr, prawa, IT i funkcji technicznych; zwraca uwagę, że umożliwiłoby to agencjom zmniejszenie liczby pracowników zaangażowanych w działania administracyjne i większą koncentrację na podstawowych operacjach;</w:t>
            </w:r>
          </w:p>
        </w:tc>
        <w:tc>
          <w:tcPr>
            <w:tcW w:w="4876" w:type="dxa"/>
            <w:tcBorders>
              <w:top w:val="nil"/>
              <w:left w:val="nil"/>
              <w:bottom w:val="nil"/>
              <w:right w:val="nil"/>
            </w:tcBorders>
          </w:tcPr>
          <w:p w14:paraId="16413C1C" w14:textId="77777777" w:rsidR="001D5F6D" w:rsidRPr="00641BDE" w:rsidRDefault="001D5F6D" w:rsidP="007C1C97">
            <w:pPr>
              <w:pStyle w:val="Normal6a"/>
            </w:pPr>
            <w:r w:rsidRPr="00641BDE">
              <w:t>82.</w:t>
            </w:r>
            <w:r w:rsidRPr="00641BDE">
              <w:tab/>
              <w:t>odnotowuje, że cztery agencje (</w:t>
            </w:r>
            <w:proofErr w:type="spellStart"/>
            <w:r w:rsidRPr="00641BDE">
              <w:t>Cedefop</w:t>
            </w:r>
            <w:proofErr w:type="spellEnd"/>
            <w:r w:rsidRPr="00641BDE">
              <w:t xml:space="preserve">, EU-OSHA, </w:t>
            </w:r>
            <w:proofErr w:type="spellStart"/>
            <w:r w:rsidRPr="00641BDE">
              <w:t>Eurofound</w:t>
            </w:r>
            <w:proofErr w:type="spellEnd"/>
            <w:r w:rsidRPr="00641BDE">
              <w:t xml:space="preserve"> i ETF) mają potencjał zmniejszenia obciążenia administracyjnego i poprawy wydajności dzięki usługom wspólnym</w:t>
            </w:r>
            <w:r w:rsidRPr="00641BDE">
              <w:rPr>
                <w:vertAlign w:val="superscript"/>
              </w:rPr>
              <w:t>20</w:t>
            </w:r>
            <w:r w:rsidRPr="00641BDE">
              <w:t xml:space="preserve">; podkreśla, że agencje powinny zmniejszyć obciążenia administracyjne pracowników, aby utrzymać zrównoważone obciążenie pracą przez wspólne korzystanie z usług w zakresie kadr, prawa, IT i funkcji technicznych; zwraca uwagę, że umożliwiłoby to agencjom zmniejszenie liczby pracowników zaangażowanych w działania administracyjne i większą koncentrację na podstawowych operacjach; </w:t>
            </w:r>
            <w:r w:rsidRPr="00641BDE">
              <w:rPr>
                <w:b/>
                <w:i/>
              </w:rPr>
              <w:t>wzywa te agencje, aby w ścisłej współpracy z Trybunałem Obrachunkowym opracowały ustrukturyzowany plan wdrażania wspólnych usług zawierający konkretne kamienie milowe, w tym wymierne cele dotyczące przyrostu wydajności i prognozowanych oszczędności w euro; nalega, aby plan ten ułatwiał wzajemną wymianę najlepszych praktyk i zaleceń między zainteresowanymi agencjami, a także w całej sieci agencji UE, z uwzględnieniem ustaleń kontroli Trybunału i ocen przekrojowych; wzywa Komisję, aby co roku składała organowi udzielającemu absolutorium sprawozdanie z postępów osiągniętych w ramach tego planu, zawierające informacje na temat poprawy wyników poszczególnych agencji i faktycznie uzyskanych oszczędności; podkreśla, że pierwsze sprawozdanie z postępów powinno zostać przedłożone do końca 2026 r.;</w:t>
            </w:r>
          </w:p>
        </w:tc>
      </w:tr>
      <w:tr w:rsidR="001D5F6D" w:rsidRPr="00641BDE" w14:paraId="143CE3E2" w14:textId="77777777" w:rsidTr="007C1C97">
        <w:trPr>
          <w:jc w:val="center"/>
        </w:trPr>
        <w:tc>
          <w:tcPr>
            <w:tcW w:w="4876" w:type="dxa"/>
            <w:tcBorders>
              <w:top w:val="nil"/>
              <w:left w:val="nil"/>
              <w:bottom w:val="nil"/>
              <w:right w:val="nil"/>
            </w:tcBorders>
          </w:tcPr>
          <w:p w14:paraId="5A912A8B" w14:textId="77777777" w:rsidR="001D5F6D" w:rsidRPr="00641BDE" w:rsidRDefault="001D5F6D" w:rsidP="007C1C97">
            <w:pPr>
              <w:pStyle w:val="Normal6a"/>
            </w:pPr>
            <w:r w:rsidRPr="00641BDE">
              <w:rPr>
                <w:b/>
                <w:i/>
              </w:rPr>
              <w:t>_________________</w:t>
            </w:r>
          </w:p>
        </w:tc>
        <w:tc>
          <w:tcPr>
            <w:tcW w:w="4876" w:type="dxa"/>
            <w:tcBorders>
              <w:top w:val="nil"/>
              <w:left w:val="nil"/>
              <w:bottom w:val="nil"/>
              <w:right w:val="nil"/>
            </w:tcBorders>
          </w:tcPr>
          <w:p w14:paraId="0E19F0F0" w14:textId="77777777" w:rsidR="001D5F6D" w:rsidRPr="00641BDE" w:rsidRDefault="001D5F6D" w:rsidP="007C1C97">
            <w:pPr>
              <w:pStyle w:val="Normal6a"/>
            </w:pPr>
            <w:r w:rsidRPr="00641BDE">
              <w:rPr>
                <w:b/>
                <w:i/>
              </w:rPr>
              <w:t>_________________</w:t>
            </w:r>
          </w:p>
        </w:tc>
      </w:tr>
      <w:tr w:rsidR="001D5F6D" w:rsidRPr="00641BDE" w14:paraId="0DFAD9DD" w14:textId="77777777" w:rsidTr="007C1C97">
        <w:trPr>
          <w:jc w:val="center"/>
        </w:trPr>
        <w:tc>
          <w:tcPr>
            <w:tcW w:w="4876" w:type="dxa"/>
            <w:tcBorders>
              <w:top w:val="nil"/>
              <w:left w:val="nil"/>
              <w:bottom w:val="nil"/>
              <w:right w:val="nil"/>
            </w:tcBorders>
          </w:tcPr>
          <w:p w14:paraId="7EFF0D85" w14:textId="77777777" w:rsidR="001D5F6D" w:rsidRPr="00641BDE" w:rsidRDefault="001D5F6D" w:rsidP="007C1C97">
            <w:pPr>
              <w:pStyle w:val="Normal6a"/>
            </w:pPr>
            <w:r w:rsidRPr="00641BDE">
              <w:rPr>
                <w:vertAlign w:val="superscript"/>
              </w:rPr>
              <w:t>20</w:t>
            </w:r>
            <w:r w:rsidRPr="00641BDE">
              <w:t xml:space="preserve"> </w:t>
            </w:r>
            <w:proofErr w:type="gramStart"/>
            <w:r w:rsidRPr="00641BDE">
              <w:t>SWD(</w:t>
            </w:r>
            <w:proofErr w:type="gramEnd"/>
            <w:r w:rsidRPr="00641BDE">
              <w:t>2024)0222.</w:t>
            </w:r>
          </w:p>
        </w:tc>
        <w:tc>
          <w:tcPr>
            <w:tcW w:w="4876" w:type="dxa"/>
            <w:tcBorders>
              <w:top w:val="nil"/>
              <w:left w:val="nil"/>
              <w:bottom w:val="nil"/>
              <w:right w:val="nil"/>
            </w:tcBorders>
          </w:tcPr>
          <w:p w14:paraId="19B69EE8" w14:textId="77777777" w:rsidR="001D5F6D" w:rsidRPr="00641BDE" w:rsidRDefault="001D5F6D" w:rsidP="007C1C97">
            <w:pPr>
              <w:pStyle w:val="Normal6a"/>
            </w:pPr>
            <w:r w:rsidRPr="00641BDE">
              <w:rPr>
                <w:vertAlign w:val="superscript"/>
              </w:rPr>
              <w:t>20</w:t>
            </w:r>
            <w:r w:rsidRPr="00641BDE">
              <w:t xml:space="preserve"> </w:t>
            </w:r>
            <w:proofErr w:type="gramStart"/>
            <w:r w:rsidRPr="00641BDE">
              <w:t>SWD(</w:t>
            </w:r>
            <w:proofErr w:type="gramEnd"/>
            <w:r w:rsidRPr="00641BDE">
              <w:t>2024)0222.</w:t>
            </w:r>
          </w:p>
        </w:tc>
      </w:tr>
    </w:tbl>
    <w:p w14:paraId="6B84B3D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CF561E1" w14:textId="77777777" w:rsidR="001D5F6D" w:rsidRPr="00641BDE" w:rsidRDefault="001D5F6D" w:rsidP="001D5F6D">
      <w:r w:rsidRPr="00641BDE">
        <w:rPr>
          <w:rStyle w:val="HideTWBExt"/>
        </w:rPr>
        <w:t>&lt;/Amend&gt;</w:t>
      </w:r>
    </w:p>
    <w:p w14:paraId="6A7AB428"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135</w:t>
      </w:r>
      <w:r w:rsidRPr="00641BDE">
        <w:rPr>
          <w:rStyle w:val="HideTWBExt"/>
          <w:b w:val="0"/>
        </w:rPr>
        <w:t>&lt;/NumAm&gt;</w:t>
      </w:r>
    </w:p>
    <w:p w14:paraId="005E5626"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3E1BADB2" w14:textId="77777777" w:rsidR="001D5F6D" w:rsidRPr="00641BDE" w:rsidRDefault="001D5F6D" w:rsidP="001D5F6D">
      <w:pPr>
        <w:pStyle w:val="NormalBold"/>
      </w:pPr>
      <w:r w:rsidRPr="00641BDE">
        <w:rPr>
          <w:rStyle w:val="HideTWBExt"/>
          <w:b w:val="0"/>
        </w:rPr>
        <w:t>&lt;/RepeatBlock-By&gt;</w:t>
      </w:r>
    </w:p>
    <w:p w14:paraId="46E360DA"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C077599" w14:textId="77777777" w:rsidR="001D5F6D" w:rsidRPr="00641BDE" w:rsidRDefault="001D5F6D" w:rsidP="001D5F6D">
      <w:pPr>
        <w:pStyle w:val="NormalBold"/>
      </w:pPr>
      <w:r w:rsidRPr="00641BDE">
        <w:rPr>
          <w:rStyle w:val="HideTWBExt"/>
          <w:b w:val="0"/>
        </w:rPr>
        <w:t>&lt;Article&gt;</w:t>
      </w:r>
      <w:r w:rsidRPr="00641BDE">
        <w:t>Ustęp 83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EBAEFC8" w14:textId="77777777" w:rsidTr="007C1C97">
        <w:trPr>
          <w:trHeight w:hRule="exact" w:val="240"/>
          <w:jc w:val="center"/>
        </w:trPr>
        <w:tc>
          <w:tcPr>
            <w:tcW w:w="9752" w:type="dxa"/>
            <w:gridSpan w:val="2"/>
            <w:tcBorders>
              <w:top w:val="nil"/>
              <w:left w:val="nil"/>
              <w:bottom w:val="nil"/>
              <w:right w:val="nil"/>
            </w:tcBorders>
          </w:tcPr>
          <w:p w14:paraId="65371F5C" w14:textId="77777777" w:rsidR="001D5F6D" w:rsidRPr="00641BDE" w:rsidRDefault="001D5F6D" w:rsidP="007C1C97"/>
        </w:tc>
      </w:tr>
      <w:tr w:rsidR="001D5F6D" w:rsidRPr="00641BDE" w14:paraId="33CCDCA9" w14:textId="77777777" w:rsidTr="007C1C97">
        <w:trPr>
          <w:trHeight w:val="240"/>
          <w:jc w:val="center"/>
        </w:trPr>
        <w:tc>
          <w:tcPr>
            <w:tcW w:w="4876" w:type="dxa"/>
            <w:tcBorders>
              <w:top w:val="nil"/>
              <w:left w:val="nil"/>
              <w:bottom w:val="nil"/>
              <w:right w:val="nil"/>
            </w:tcBorders>
          </w:tcPr>
          <w:p w14:paraId="348D799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27E5698" w14:textId="77777777" w:rsidR="001D5F6D" w:rsidRPr="00641BDE" w:rsidRDefault="001D5F6D" w:rsidP="007C1C97">
            <w:pPr>
              <w:pStyle w:val="AmColumnHeading"/>
            </w:pPr>
            <w:r w:rsidRPr="00641BDE">
              <w:t>Poprawka</w:t>
            </w:r>
          </w:p>
        </w:tc>
      </w:tr>
      <w:tr w:rsidR="001D5F6D" w:rsidRPr="00641BDE" w14:paraId="0B444868" w14:textId="77777777" w:rsidTr="007C1C97">
        <w:trPr>
          <w:jc w:val="center"/>
        </w:trPr>
        <w:tc>
          <w:tcPr>
            <w:tcW w:w="4876" w:type="dxa"/>
            <w:tcBorders>
              <w:top w:val="nil"/>
              <w:left w:val="nil"/>
              <w:bottom w:val="nil"/>
              <w:right w:val="nil"/>
            </w:tcBorders>
          </w:tcPr>
          <w:p w14:paraId="553A1842" w14:textId="77777777" w:rsidR="001D5F6D" w:rsidRPr="00641BDE" w:rsidRDefault="001D5F6D" w:rsidP="007C1C97">
            <w:pPr>
              <w:pStyle w:val="Normal6a"/>
            </w:pPr>
            <w:r w:rsidRPr="00641BDE">
              <w:t>83.</w:t>
            </w:r>
            <w:r w:rsidRPr="00641BDE">
              <w:tab/>
              <w:t xml:space="preserve">zauważa, że </w:t>
            </w:r>
            <w:proofErr w:type="spellStart"/>
            <w:r w:rsidRPr="00641BDE">
              <w:t>Cedefop</w:t>
            </w:r>
            <w:proofErr w:type="spellEnd"/>
            <w:r w:rsidRPr="00641BDE">
              <w:t xml:space="preserve"> było zaangażowane w spór prawny z byłym pracownikiem, którego umowa nie została przedłużona w 2017 r.; przypomina, że w 2020 r. Sąd stwierdził nieważność decyzji </w:t>
            </w:r>
            <w:proofErr w:type="spellStart"/>
            <w:r w:rsidRPr="00641BDE">
              <w:t>Cedefop</w:t>
            </w:r>
            <w:proofErr w:type="spellEnd"/>
            <w:r w:rsidRPr="00641BDE">
              <w:t xml:space="preserve"> i nakazał wypłatę rekompensaty finansowej, a </w:t>
            </w:r>
            <w:proofErr w:type="spellStart"/>
            <w:r w:rsidRPr="00641BDE">
              <w:t>Cedefop</w:t>
            </w:r>
            <w:proofErr w:type="spellEnd"/>
            <w:r w:rsidRPr="00641BDE">
              <w:t xml:space="preserve"> wdrożyło to działanie; zauważa, że późniejsza skarga wniesiona przez byłego pracownika w związku z wykonaniem tego wyroku została oddalona przez Sąd w lutym 2024 r.; zauważa, że były pracownik odwołał się od tego wyroku do Trybunału Sprawiedliwości Unii Europejskiej (sprawa C-209/24 P), który jeszcze nie wydał wyroku kończącego postępowanie w tej sprawie; przypomina, że Sąd stwierdził naruszenie podstawowych gwarancji proceduralnych, w tym prawa do bycia wysłuchanym, prawa do obrony, obowiązku dochowania należytej staranności i zasady dobrej administracji; </w:t>
            </w:r>
            <w:r w:rsidRPr="00641BDE">
              <w:rPr>
                <w:b/>
                <w:i/>
              </w:rPr>
              <w:t>z zaniepokojeniem zauważa</w:t>
            </w:r>
            <w:r w:rsidRPr="00641BDE">
              <w:t xml:space="preserve">, że </w:t>
            </w:r>
            <w:r w:rsidRPr="00641BDE">
              <w:rPr>
                <w:b/>
                <w:i/>
              </w:rPr>
              <w:t>– jak się wydaje –</w:t>
            </w:r>
            <w:r w:rsidRPr="00641BDE">
              <w:t xml:space="preserve"> w </w:t>
            </w:r>
            <w:r w:rsidRPr="00641BDE">
              <w:rPr>
                <w:b/>
                <w:bCs/>
                <w:i/>
                <w:iCs/>
              </w:rPr>
              <w:t>następstwie tych ustaleń nie wszczęto żadnego postępowania dyscyplinarnego</w:t>
            </w:r>
            <w:r w:rsidRPr="00641BDE">
              <w:t>; krytykuje zbyt długi czas trwania procesu decyzyjnego oraz fakt, że sprawa pozostaje w toku</w:t>
            </w:r>
            <w:r w:rsidRPr="00641BDE">
              <w:rPr>
                <w:b/>
                <w:i/>
              </w:rPr>
              <w:t>; nalega, aby pracownik, o którym mowa, otrzymał rekompensatę za utracone dochody</w:t>
            </w:r>
            <w:r w:rsidRPr="00641BDE">
              <w:t>; nalega, aby decyzje dotyczące personelu były podejmowane w sposób przejrzysty i możliwy do prześledzenia;</w:t>
            </w:r>
          </w:p>
        </w:tc>
        <w:tc>
          <w:tcPr>
            <w:tcW w:w="4876" w:type="dxa"/>
            <w:tcBorders>
              <w:top w:val="nil"/>
              <w:left w:val="nil"/>
              <w:bottom w:val="nil"/>
              <w:right w:val="nil"/>
            </w:tcBorders>
          </w:tcPr>
          <w:p w14:paraId="30C18627" w14:textId="77777777" w:rsidR="001D5F6D" w:rsidRPr="00641BDE" w:rsidRDefault="001D5F6D" w:rsidP="007C1C97">
            <w:pPr>
              <w:pStyle w:val="Normal6a"/>
            </w:pPr>
            <w:r w:rsidRPr="00641BDE">
              <w:t>83.</w:t>
            </w:r>
            <w:r w:rsidRPr="00641BDE">
              <w:tab/>
              <w:t xml:space="preserve">zauważa, że </w:t>
            </w:r>
            <w:proofErr w:type="spellStart"/>
            <w:r w:rsidRPr="00641BDE">
              <w:t>Cedefop</w:t>
            </w:r>
            <w:proofErr w:type="spellEnd"/>
            <w:r w:rsidRPr="00641BDE">
              <w:t xml:space="preserve"> było zaangażowane w spór prawny z byłym pracownikiem, którego umowa nie została przedłużona w 2017 r.; przypomina, że w 2020 r. Sąd stwierdził nieważność decyzji </w:t>
            </w:r>
            <w:proofErr w:type="spellStart"/>
            <w:r w:rsidRPr="00641BDE">
              <w:t>Cedefop</w:t>
            </w:r>
            <w:proofErr w:type="spellEnd"/>
            <w:r w:rsidRPr="00641BDE">
              <w:t xml:space="preserve"> i nakazał wypłatę rekompensaty finansowej, a </w:t>
            </w:r>
            <w:proofErr w:type="spellStart"/>
            <w:r w:rsidRPr="00641BDE">
              <w:t>Cedefop</w:t>
            </w:r>
            <w:proofErr w:type="spellEnd"/>
            <w:r w:rsidRPr="00641BDE">
              <w:t xml:space="preserve"> wdrożyło to działanie; zauważa, że późniejsza skarga wniesiona przez byłego pracownika w związku z wykonaniem tego wyroku została oddalona przez Sąd w lutym 2024 r.; zauważa, że były pracownik odwołał się od tego wyroku do Trybunału Sprawiedliwości Unii Europejskiej (sprawa C-209/24 P), który jeszcze nie wydał wyroku kończącego postępowanie w tej sprawie; przypomina, że Sąd stwierdził naruszenie podstawowych gwarancji proceduralnych, w tym prawa do bycia wysłuchanym, prawa do obrony, obowiązku dochowania należytej staranności i zasady dobrej administracji; </w:t>
            </w:r>
            <w:r w:rsidRPr="00641BDE">
              <w:rPr>
                <w:b/>
                <w:i/>
              </w:rPr>
              <w:t>podkreśla</w:t>
            </w:r>
            <w:r w:rsidRPr="00641BDE">
              <w:t xml:space="preserve">, że w </w:t>
            </w:r>
            <w:r w:rsidRPr="00641BDE">
              <w:rPr>
                <w:b/>
                <w:i/>
              </w:rPr>
              <w:t>związku z nieprzestrzeganiem przez dyrektora kodeksu postępowania oraz przepisów administracyjnych i proceduralnych zarząd odmówił przedłużenia umowy z dyrektorem</w:t>
            </w:r>
            <w:r w:rsidRPr="00641BDE">
              <w:t>; krytykuje zbyt długi czas trwania procesu decyzyjnego</w:t>
            </w:r>
            <w:r w:rsidRPr="00641BDE">
              <w:rPr>
                <w:b/>
                <w:i/>
              </w:rPr>
              <w:t>, nadmierne koszty procedury prawnej i doradców prawnych</w:t>
            </w:r>
            <w:r w:rsidRPr="00641BDE">
              <w:t xml:space="preserve"> oraz fakt, że sprawa pozostaje w toku; nalega, aby decyzje dotyczące personelu były podejmowane w sposób przejrzysty i możliwy do prześledzenia; </w:t>
            </w:r>
            <w:r w:rsidRPr="00641BDE">
              <w:rPr>
                <w:b/>
                <w:i/>
              </w:rPr>
              <w:t>wzywa Komisję i agencje do ustanowienia mechanizmów zapewniających agencjom większą elastyczność w zajmowaniu się sporami pracowniczymi na wczesnym etapie i w ich rozwiązywaniu, w tym w stosownych przypadkach w drodze ugodowego rozstrzygania, aby uniknąć długotrwałych i kosztownych sporów; ponadto wzywa Komisję i sieć agencji UE do utworzenia wspólnej służby prawnej dla agencji, która to służba zajmowałaby się ich sprawami prawnymi i zapewniałaby im terminowe wytyczne prawne;</w:t>
            </w:r>
          </w:p>
        </w:tc>
      </w:tr>
    </w:tbl>
    <w:p w14:paraId="559A8723"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43F1CE3" w14:textId="77777777" w:rsidR="001D5F6D" w:rsidRPr="00641BDE" w:rsidRDefault="001D5F6D" w:rsidP="001D5F6D">
      <w:r w:rsidRPr="00641BDE">
        <w:rPr>
          <w:rStyle w:val="HideTWBExt"/>
        </w:rPr>
        <w:t>&lt;/Amend&gt;</w:t>
      </w:r>
    </w:p>
    <w:p w14:paraId="2445C8E7"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136</w:t>
      </w:r>
      <w:r w:rsidRPr="00641BDE">
        <w:rPr>
          <w:rStyle w:val="HideTWBExt"/>
          <w:b w:val="0"/>
        </w:rPr>
        <w:t>&lt;/NumAm&gt;</w:t>
      </w:r>
    </w:p>
    <w:p w14:paraId="2438FBF1"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392624F8" w14:textId="77777777" w:rsidR="001D5F6D" w:rsidRPr="00641BDE" w:rsidRDefault="001D5F6D" w:rsidP="001D5F6D">
      <w:pPr>
        <w:pStyle w:val="NormalBold"/>
      </w:pPr>
      <w:r w:rsidRPr="00641BDE">
        <w:rPr>
          <w:rStyle w:val="HideTWBExt"/>
          <w:b w:val="0"/>
        </w:rPr>
        <w:t>&lt;/RepeatBlock-By&gt;</w:t>
      </w:r>
    </w:p>
    <w:p w14:paraId="0764FE7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882A977" w14:textId="77777777" w:rsidR="001D5F6D" w:rsidRPr="00641BDE" w:rsidRDefault="001D5F6D" w:rsidP="001D5F6D">
      <w:pPr>
        <w:pStyle w:val="NormalBold"/>
      </w:pPr>
      <w:r w:rsidRPr="00641BDE">
        <w:rPr>
          <w:rStyle w:val="HideTWBExt"/>
          <w:b w:val="0"/>
        </w:rPr>
        <w:t>&lt;Article&gt;</w:t>
      </w:r>
      <w:r w:rsidRPr="00641BDE">
        <w:t>Ustęp 83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27BE655" w14:textId="77777777" w:rsidTr="007C1C97">
        <w:trPr>
          <w:trHeight w:hRule="exact" w:val="240"/>
          <w:jc w:val="center"/>
        </w:trPr>
        <w:tc>
          <w:tcPr>
            <w:tcW w:w="9752" w:type="dxa"/>
            <w:gridSpan w:val="2"/>
            <w:tcBorders>
              <w:top w:val="nil"/>
              <w:left w:val="nil"/>
              <w:bottom w:val="nil"/>
              <w:right w:val="nil"/>
            </w:tcBorders>
          </w:tcPr>
          <w:p w14:paraId="57AC27B3" w14:textId="77777777" w:rsidR="001D5F6D" w:rsidRPr="00641BDE" w:rsidRDefault="001D5F6D" w:rsidP="007C1C97"/>
        </w:tc>
      </w:tr>
      <w:tr w:rsidR="001D5F6D" w:rsidRPr="00641BDE" w14:paraId="73C07112" w14:textId="77777777" w:rsidTr="007C1C97">
        <w:trPr>
          <w:trHeight w:val="240"/>
          <w:jc w:val="center"/>
        </w:trPr>
        <w:tc>
          <w:tcPr>
            <w:tcW w:w="4876" w:type="dxa"/>
            <w:tcBorders>
              <w:top w:val="nil"/>
              <w:left w:val="nil"/>
              <w:bottom w:val="nil"/>
              <w:right w:val="nil"/>
            </w:tcBorders>
          </w:tcPr>
          <w:p w14:paraId="663FF85C"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F27C514" w14:textId="77777777" w:rsidR="001D5F6D" w:rsidRPr="00641BDE" w:rsidRDefault="001D5F6D" w:rsidP="007C1C97">
            <w:pPr>
              <w:pStyle w:val="AmColumnHeading"/>
            </w:pPr>
            <w:r w:rsidRPr="00641BDE">
              <w:t>Poprawka</w:t>
            </w:r>
          </w:p>
        </w:tc>
      </w:tr>
      <w:tr w:rsidR="001D5F6D" w:rsidRPr="00641BDE" w14:paraId="56D168DB" w14:textId="77777777" w:rsidTr="007C1C97">
        <w:trPr>
          <w:jc w:val="center"/>
        </w:trPr>
        <w:tc>
          <w:tcPr>
            <w:tcW w:w="4876" w:type="dxa"/>
            <w:tcBorders>
              <w:top w:val="nil"/>
              <w:left w:val="nil"/>
              <w:bottom w:val="nil"/>
              <w:right w:val="nil"/>
            </w:tcBorders>
          </w:tcPr>
          <w:p w14:paraId="38BEB374" w14:textId="77777777" w:rsidR="001D5F6D" w:rsidRPr="00641BDE" w:rsidRDefault="001D5F6D" w:rsidP="007C1C97">
            <w:pPr>
              <w:pStyle w:val="Normal6a"/>
            </w:pPr>
            <w:r w:rsidRPr="00641BDE">
              <w:t>83.</w:t>
            </w:r>
            <w:r w:rsidRPr="00641BDE">
              <w:tab/>
              <w:t xml:space="preserve">zauważa, że </w:t>
            </w:r>
            <w:proofErr w:type="spellStart"/>
            <w:r w:rsidRPr="00641BDE">
              <w:t>Cedefop</w:t>
            </w:r>
            <w:proofErr w:type="spellEnd"/>
            <w:r w:rsidRPr="00641BDE">
              <w:t xml:space="preserve"> było zaangażowane w spór prawny z byłym pracownikiem, którego umowa nie została przedłużona w 2017 r.; przypomina, że w 2020 r. Sąd stwierdził nieważność decyzji </w:t>
            </w:r>
            <w:proofErr w:type="spellStart"/>
            <w:r w:rsidRPr="00641BDE">
              <w:t>Cedefop</w:t>
            </w:r>
            <w:proofErr w:type="spellEnd"/>
            <w:r w:rsidRPr="00641BDE">
              <w:t xml:space="preserve"> i nakazał wypłatę rekompensaty finansowej, a </w:t>
            </w:r>
            <w:proofErr w:type="spellStart"/>
            <w:r w:rsidRPr="00641BDE">
              <w:t>Cedefop</w:t>
            </w:r>
            <w:proofErr w:type="spellEnd"/>
            <w:r w:rsidRPr="00641BDE">
              <w:t xml:space="preserve"> wdrożyło to działanie; zauważa, że późniejsza skarga wniesiona przez byłego pracownika w związku z wykonaniem tego wyroku została oddalona przez Sąd w lutym 2024 r.; zauważa, że były pracownik odwołał się od tego wyroku do Trybunału Sprawiedliwości Unii Europejskiej (sprawa C-209/24 P), który jeszcze nie wydał wyroku kończącego postępowanie w tej sprawie; przypomina, że Sąd stwierdził naruszenie podstawowych gwarancji proceduralnych, </w:t>
            </w:r>
            <w:r w:rsidRPr="00641BDE">
              <w:rPr>
                <w:b/>
                <w:i/>
              </w:rPr>
              <w:t>w tym prawa do bycia wysłuchanym, prawa do obrony, obowiązku dochowania należytej staranności i zasady dobrej administracji; z zaniepokojeniem zauważa, że</w:t>
            </w:r>
            <w:r w:rsidRPr="00641BDE">
              <w:t xml:space="preserve"> – jak się wydaje – </w:t>
            </w:r>
            <w:r w:rsidRPr="00641BDE">
              <w:rPr>
                <w:b/>
                <w:i/>
              </w:rPr>
              <w:t>w następstwie tych ustaleń</w:t>
            </w:r>
            <w:r w:rsidRPr="00641BDE">
              <w:t xml:space="preserve"> nie </w:t>
            </w:r>
            <w:r w:rsidRPr="00641BDE">
              <w:rPr>
                <w:b/>
                <w:i/>
              </w:rPr>
              <w:t>wszczęto żadnego postępowania dyscyplinarnego</w:t>
            </w:r>
            <w:r w:rsidRPr="00641BDE">
              <w:t>; krytykuje zbyt długi czas trwania procesu decyzyjnego oraz fakt, że sprawa pozostaje w toku; nalega, aby pracownik</w:t>
            </w:r>
            <w:r w:rsidRPr="00641BDE">
              <w:rPr>
                <w:b/>
                <w:i/>
              </w:rPr>
              <w:t>, o którym mowa,</w:t>
            </w:r>
            <w:r w:rsidRPr="00641BDE">
              <w:t xml:space="preserve"> otrzymał rekompensatę za utracone dochody; nalega, aby decyzje dotyczące personelu były podejmowane w sposób przejrzysty i możliwy do prześledzenia;</w:t>
            </w:r>
          </w:p>
        </w:tc>
        <w:tc>
          <w:tcPr>
            <w:tcW w:w="4876" w:type="dxa"/>
            <w:tcBorders>
              <w:top w:val="nil"/>
              <w:left w:val="nil"/>
              <w:bottom w:val="nil"/>
              <w:right w:val="nil"/>
            </w:tcBorders>
          </w:tcPr>
          <w:p w14:paraId="06F742FC" w14:textId="77777777" w:rsidR="001D5F6D" w:rsidRPr="00641BDE" w:rsidRDefault="001D5F6D" w:rsidP="007C1C97">
            <w:pPr>
              <w:pStyle w:val="Normal6a"/>
            </w:pPr>
            <w:r w:rsidRPr="00641BDE">
              <w:t>83.</w:t>
            </w:r>
            <w:r w:rsidRPr="00641BDE">
              <w:tab/>
              <w:t xml:space="preserve">zauważa, że </w:t>
            </w:r>
            <w:proofErr w:type="spellStart"/>
            <w:r w:rsidRPr="00641BDE">
              <w:t>Cedefop</w:t>
            </w:r>
            <w:proofErr w:type="spellEnd"/>
            <w:r w:rsidRPr="00641BDE">
              <w:t xml:space="preserve"> było zaangażowane w spór prawny z byłym pracownikiem, którego umowa nie została przedłużona w 2017 r.; przypomina, że w 2020 r. Sąd stwierdził nieważność decyzji </w:t>
            </w:r>
            <w:proofErr w:type="spellStart"/>
            <w:r w:rsidRPr="00641BDE">
              <w:t>Cedefop</w:t>
            </w:r>
            <w:proofErr w:type="spellEnd"/>
            <w:r w:rsidRPr="00641BDE">
              <w:t xml:space="preserve"> i nakazał wypłatę rekompensaty finansowej, a </w:t>
            </w:r>
            <w:proofErr w:type="spellStart"/>
            <w:r w:rsidRPr="00641BDE">
              <w:t>Cedefop</w:t>
            </w:r>
            <w:proofErr w:type="spellEnd"/>
            <w:r w:rsidRPr="00641BDE">
              <w:t xml:space="preserve"> wdrożyło to działanie; zauważa, że późniejsza skarga wniesiona przez byłego pracownika w związku z wykonaniem tego wyroku została oddalona przez Sąd w lutym 2024 r.; zauważa, że były pracownik odwołał się od tego wyroku do Trybunału Sprawiedliwości Unii Europejskiej (sprawa C-209/24 P), który jeszcze nie wydał wyroku kończącego postępowanie w tej sprawie; przypomina, że Sąd stwierdził naruszenie podstawowych gwarancji proceduralnych, </w:t>
            </w:r>
            <w:r w:rsidRPr="00641BDE">
              <w:rPr>
                <w:b/>
                <w:i/>
              </w:rPr>
              <w:t>jednak</w:t>
            </w:r>
            <w:r w:rsidRPr="00641BDE">
              <w:t xml:space="preserve"> – jak się wydaje – nie </w:t>
            </w:r>
            <w:r w:rsidRPr="00641BDE">
              <w:rPr>
                <w:b/>
                <w:i/>
              </w:rPr>
              <w:t>podjęto żadnych działań dyscyplinarnych</w:t>
            </w:r>
            <w:r w:rsidRPr="00641BDE">
              <w:t xml:space="preserve">; krytykuje zbyt długi czas trwania procesu decyzyjnego oraz fakt, że sprawa pozostaje w toku; nalega, aby </w:t>
            </w:r>
            <w:r w:rsidRPr="00641BDE">
              <w:rPr>
                <w:b/>
                <w:i/>
              </w:rPr>
              <w:t>dany</w:t>
            </w:r>
            <w:r w:rsidRPr="00641BDE">
              <w:t xml:space="preserve"> pracownik otrzymał rekompensatę za utracone dochody; nalega, aby decyzje dotyczące personelu były podejmowane w sposób przejrzysty i możliwy do prześledzenia;</w:t>
            </w:r>
          </w:p>
        </w:tc>
      </w:tr>
    </w:tbl>
    <w:p w14:paraId="3AB072F3"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E36A281" w14:textId="77777777" w:rsidR="001D5F6D" w:rsidRPr="00641BDE" w:rsidRDefault="001D5F6D" w:rsidP="001D5F6D">
      <w:r w:rsidRPr="00641BDE">
        <w:rPr>
          <w:rStyle w:val="HideTWBExt"/>
        </w:rPr>
        <w:t>&lt;/Amend&gt;</w:t>
      </w:r>
    </w:p>
    <w:p w14:paraId="4931E29A"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137</w:t>
      </w:r>
      <w:r w:rsidRPr="00641BDE">
        <w:rPr>
          <w:rStyle w:val="HideTWBExt"/>
          <w:b w:val="0"/>
        </w:rPr>
        <w:t>&lt;/NumAm&gt;</w:t>
      </w:r>
    </w:p>
    <w:p w14:paraId="19CF04B7"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35F4A0FF" w14:textId="77777777" w:rsidR="001D5F6D" w:rsidRPr="00641BDE" w:rsidRDefault="001D5F6D" w:rsidP="001D5F6D">
      <w:pPr>
        <w:pStyle w:val="NormalBold"/>
      </w:pPr>
      <w:r w:rsidRPr="00641BDE">
        <w:rPr>
          <w:rStyle w:val="HideTWBExt"/>
          <w:b w:val="0"/>
        </w:rPr>
        <w:t>&lt;/RepeatBlock-By&gt;</w:t>
      </w:r>
    </w:p>
    <w:p w14:paraId="04D1192D"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4BF9236" w14:textId="77777777" w:rsidR="001D5F6D" w:rsidRPr="00641BDE" w:rsidRDefault="001D5F6D" w:rsidP="001D5F6D">
      <w:pPr>
        <w:pStyle w:val="NormalBold"/>
      </w:pPr>
      <w:r w:rsidRPr="00641BDE">
        <w:rPr>
          <w:rStyle w:val="HideTWBExt"/>
          <w:b w:val="0"/>
        </w:rPr>
        <w:t>&lt;Article&gt;</w:t>
      </w:r>
      <w:r w:rsidRPr="00641BDE">
        <w:t>Ustęp 84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6FB0EED" w14:textId="77777777" w:rsidTr="007C1C97">
        <w:trPr>
          <w:trHeight w:hRule="exact" w:val="240"/>
          <w:jc w:val="center"/>
        </w:trPr>
        <w:tc>
          <w:tcPr>
            <w:tcW w:w="9752" w:type="dxa"/>
            <w:gridSpan w:val="2"/>
            <w:tcBorders>
              <w:top w:val="nil"/>
              <w:left w:val="nil"/>
              <w:bottom w:val="nil"/>
              <w:right w:val="nil"/>
            </w:tcBorders>
          </w:tcPr>
          <w:p w14:paraId="24590AAB" w14:textId="77777777" w:rsidR="001D5F6D" w:rsidRPr="00641BDE" w:rsidRDefault="001D5F6D" w:rsidP="007C1C97"/>
        </w:tc>
      </w:tr>
      <w:tr w:rsidR="001D5F6D" w:rsidRPr="00641BDE" w14:paraId="7CD0741F" w14:textId="77777777" w:rsidTr="007C1C97">
        <w:trPr>
          <w:trHeight w:val="240"/>
          <w:jc w:val="center"/>
        </w:trPr>
        <w:tc>
          <w:tcPr>
            <w:tcW w:w="4876" w:type="dxa"/>
            <w:tcBorders>
              <w:top w:val="nil"/>
              <w:left w:val="nil"/>
              <w:bottom w:val="nil"/>
              <w:right w:val="nil"/>
            </w:tcBorders>
          </w:tcPr>
          <w:p w14:paraId="6878548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B50260B" w14:textId="77777777" w:rsidR="001D5F6D" w:rsidRPr="00641BDE" w:rsidRDefault="001D5F6D" w:rsidP="007C1C97">
            <w:pPr>
              <w:pStyle w:val="AmColumnHeading"/>
            </w:pPr>
            <w:r w:rsidRPr="00641BDE">
              <w:t>Poprawka</w:t>
            </w:r>
          </w:p>
        </w:tc>
      </w:tr>
      <w:tr w:rsidR="001D5F6D" w:rsidRPr="00641BDE" w14:paraId="2453BC0C" w14:textId="77777777" w:rsidTr="007C1C97">
        <w:trPr>
          <w:jc w:val="center"/>
        </w:trPr>
        <w:tc>
          <w:tcPr>
            <w:tcW w:w="4876" w:type="dxa"/>
            <w:tcBorders>
              <w:top w:val="nil"/>
              <w:left w:val="nil"/>
              <w:bottom w:val="nil"/>
              <w:right w:val="nil"/>
            </w:tcBorders>
          </w:tcPr>
          <w:p w14:paraId="6403BA7A" w14:textId="77777777" w:rsidR="001D5F6D" w:rsidRPr="00641BDE" w:rsidRDefault="001D5F6D" w:rsidP="007C1C97">
            <w:pPr>
              <w:pStyle w:val="Normal6a"/>
            </w:pPr>
          </w:p>
        </w:tc>
        <w:tc>
          <w:tcPr>
            <w:tcW w:w="4876" w:type="dxa"/>
            <w:tcBorders>
              <w:top w:val="nil"/>
              <w:left w:val="nil"/>
              <w:bottom w:val="nil"/>
              <w:right w:val="nil"/>
            </w:tcBorders>
          </w:tcPr>
          <w:p w14:paraId="7E15C5D7" w14:textId="77777777" w:rsidR="001D5F6D" w:rsidRPr="00641BDE" w:rsidRDefault="001D5F6D" w:rsidP="007C1C97">
            <w:pPr>
              <w:pStyle w:val="Normal6a"/>
            </w:pPr>
            <w:r w:rsidRPr="00641BDE">
              <w:rPr>
                <w:b/>
                <w:i/>
              </w:rPr>
              <w:t>84a.</w:t>
            </w:r>
            <w:r w:rsidRPr="00641BDE">
              <w:tab/>
            </w:r>
            <w:r w:rsidRPr="00641BDE">
              <w:rPr>
                <w:b/>
                <w:i/>
              </w:rPr>
              <w:t>zauważa, że 75 % nowotworów pochodzenia zawodowego jest związanych z narażeniem na działanie azbestu, uznaje wkład EU-OSHA w 2024 r. w nowe wytyczne Komisji dotyczące azbestu i zachęca EU-OSHA, by dalej przeznaczała zasoby kadrowe i budżetowe na zwiększanie świadomości na temat azbestu i opracowywanie metod rozwiązywania powszechnego problemu azbestu w całej Europie;</w:t>
            </w:r>
          </w:p>
        </w:tc>
      </w:tr>
    </w:tbl>
    <w:p w14:paraId="3B61E46A"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58477FF" w14:textId="77777777" w:rsidR="001D5F6D" w:rsidRPr="00641BDE" w:rsidRDefault="001D5F6D" w:rsidP="001D5F6D">
      <w:r w:rsidRPr="00641BDE">
        <w:rPr>
          <w:rStyle w:val="HideTWBExt"/>
        </w:rPr>
        <w:t>&lt;/Amend&gt;</w:t>
      </w:r>
    </w:p>
    <w:p w14:paraId="41400EE9"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138</w:t>
      </w:r>
      <w:r w:rsidRPr="00641BDE">
        <w:rPr>
          <w:rStyle w:val="HideTWBExt"/>
          <w:b w:val="0"/>
        </w:rPr>
        <w:t>&lt;/NumAm&gt;</w:t>
      </w:r>
    </w:p>
    <w:p w14:paraId="5188C5F4"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071EFC28" w14:textId="77777777" w:rsidR="001D5F6D" w:rsidRPr="00641BDE" w:rsidRDefault="001D5F6D" w:rsidP="001D5F6D">
      <w:pPr>
        <w:pStyle w:val="NormalBold"/>
      </w:pPr>
      <w:r w:rsidRPr="00641BDE">
        <w:rPr>
          <w:rStyle w:val="HideTWBExt"/>
          <w:b w:val="0"/>
        </w:rPr>
        <w:t>&lt;/RepeatBlock-By&gt;</w:t>
      </w:r>
    </w:p>
    <w:p w14:paraId="4ABC4E31"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5108877" w14:textId="77777777" w:rsidR="001D5F6D" w:rsidRPr="00641BDE" w:rsidRDefault="001D5F6D" w:rsidP="001D5F6D">
      <w:pPr>
        <w:pStyle w:val="NormalBold"/>
      </w:pPr>
      <w:r w:rsidRPr="00641BDE">
        <w:rPr>
          <w:rStyle w:val="HideTWBExt"/>
          <w:b w:val="0"/>
        </w:rPr>
        <w:t>&lt;Article&gt;</w:t>
      </w:r>
      <w:r w:rsidRPr="00641BDE">
        <w:t>Ustęp 94</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855AD70" w14:textId="77777777" w:rsidTr="007C1C97">
        <w:trPr>
          <w:trHeight w:hRule="exact" w:val="240"/>
          <w:jc w:val="center"/>
        </w:trPr>
        <w:tc>
          <w:tcPr>
            <w:tcW w:w="9752" w:type="dxa"/>
            <w:gridSpan w:val="2"/>
            <w:tcBorders>
              <w:top w:val="nil"/>
              <w:left w:val="nil"/>
              <w:bottom w:val="nil"/>
              <w:right w:val="nil"/>
            </w:tcBorders>
          </w:tcPr>
          <w:p w14:paraId="56500ED4" w14:textId="77777777" w:rsidR="001D5F6D" w:rsidRPr="00641BDE" w:rsidRDefault="001D5F6D" w:rsidP="007C1C97"/>
        </w:tc>
      </w:tr>
      <w:tr w:rsidR="001D5F6D" w:rsidRPr="00641BDE" w14:paraId="1322D7CF" w14:textId="77777777" w:rsidTr="007C1C97">
        <w:trPr>
          <w:trHeight w:val="240"/>
          <w:jc w:val="center"/>
        </w:trPr>
        <w:tc>
          <w:tcPr>
            <w:tcW w:w="4876" w:type="dxa"/>
            <w:tcBorders>
              <w:top w:val="nil"/>
              <w:left w:val="nil"/>
              <w:bottom w:val="nil"/>
              <w:right w:val="nil"/>
            </w:tcBorders>
          </w:tcPr>
          <w:p w14:paraId="69EB7408"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8CF48A7" w14:textId="77777777" w:rsidR="001D5F6D" w:rsidRPr="00641BDE" w:rsidRDefault="001D5F6D" w:rsidP="007C1C97">
            <w:pPr>
              <w:pStyle w:val="AmColumnHeading"/>
            </w:pPr>
            <w:r w:rsidRPr="00641BDE">
              <w:t>Poprawka</w:t>
            </w:r>
          </w:p>
        </w:tc>
      </w:tr>
      <w:tr w:rsidR="001D5F6D" w:rsidRPr="00641BDE" w14:paraId="4FE45257" w14:textId="77777777" w:rsidTr="007C1C97">
        <w:trPr>
          <w:jc w:val="center"/>
        </w:trPr>
        <w:tc>
          <w:tcPr>
            <w:tcW w:w="4876" w:type="dxa"/>
            <w:tcBorders>
              <w:top w:val="nil"/>
              <w:left w:val="nil"/>
              <w:bottom w:val="nil"/>
              <w:right w:val="nil"/>
            </w:tcBorders>
          </w:tcPr>
          <w:p w14:paraId="3ABDC8F6" w14:textId="77777777" w:rsidR="001D5F6D" w:rsidRPr="00641BDE" w:rsidRDefault="001D5F6D" w:rsidP="007C1C97">
            <w:pPr>
              <w:pStyle w:val="Normal6a"/>
            </w:pPr>
            <w:r w:rsidRPr="00641BDE">
              <w:t>94.</w:t>
            </w:r>
            <w:r w:rsidRPr="00641BDE">
              <w:tab/>
              <w:t>zwraca uwagę na decyzję wykonawczą Komisji z dnia 28 czerwca 2024 r. uchylającą decyzję Komisji C(2018)4831 (</w:t>
            </w:r>
            <w:proofErr w:type="spellStart"/>
            <w:r w:rsidRPr="00641BDE">
              <w:t>final</w:t>
            </w:r>
            <w:proofErr w:type="spellEnd"/>
            <w:r w:rsidRPr="00641BDE">
              <w:t>), w której odmówiono wydania pozwolenia na wprowadzenie do obrotu na podstawie rozporządzenia (WE) nr 726/2004 dla produktu leczniczego stosowanego u ludzi „</w:t>
            </w:r>
            <w:proofErr w:type="spellStart"/>
            <w:r w:rsidRPr="00641BDE">
              <w:t>Aplidin</w:t>
            </w:r>
            <w:proofErr w:type="spellEnd"/>
            <w:r w:rsidRPr="00641BDE">
              <w:t xml:space="preserve"> - </w:t>
            </w:r>
            <w:proofErr w:type="spellStart"/>
            <w:r w:rsidRPr="00641BDE">
              <w:t>Plitydepsyna</w:t>
            </w:r>
            <w:proofErr w:type="spellEnd"/>
            <w:r w:rsidRPr="00641BDE">
              <w:t>”; podkreśla, że cofnięcie pozwolenia opierało się na stwierdzeniu konfliktu interesów dotyczącego jednego z doradców naukowych, którzy uczestniczyli w grupie doradczej – doradca ten odgrywał aktywną rolę w opracowywaniu konkurencyjnego produktu leczniczego, co powinno dyskwalifikować jego udział zgodnie z zasadą obiektywnej bezstronności; podkreśla, że EMA znacznie wzmocniła swoją politykę dotyczącą postępowania w przypadku sprzecznych interesów członków komitetów naukowych i ekspertów – nowa polityka została przyjęta przez zarząd EMA w grudniu 2024 r. weszła w życie 1 maja 2025 r.;</w:t>
            </w:r>
          </w:p>
        </w:tc>
        <w:tc>
          <w:tcPr>
            <w:tcW w:w="4876" w:type="dxa"/>
            <w:tcBorders>
              <w:top w:val="nil"/>
              <w:left w:val="nil"/>
              <w:bottom w:val="nil"/>
              <w:right w:val="nil"/>
            </w:tcBorders>
          </w:tcPr>
          <w:p w14:paraId="1DD35804" w14:textId="77777777" w:rsidR="001D5F6D" w:rsidRPr="00641BDE" w:rsidRDefault="001D5F6D" w:rsidP="007C1C97">
            <w:pPr>
              <w:pStyle w:val="Normal6a"/>
            </w:pPr>
            <w:r w:rsidRPr="00641BDE">
              <w:t>94.</w:t>
            </w:r>
            <w:r w:rsidRPr="00641BDE">
              <w:tab/>
              <w:t>zwraca uwagę na decyzję wykonawczą Komisji z dnia 28 czerwca 2024 r. uchylającą decyzję Komisji C(2018)4831 (</w:t>
            </w:r>
            <w:proofErr w:type="spellStart"/>
            <w:r w:rsidRPr="00641BDE">
              <w:t>final</w:t>
            </w:r>
            <w:proofErr w:type="spellEnd"/>
            <w:r w:rsidRPr="00641BDE">
              <w:t>), w której odmówiono wydania pozwolenia na wprowadzenie do obrotu na podstawie rozporządzenia (WE) nr 726/2004 dla produktu leczniczego stosowanego u ludzi „</w:t>
            </w:r>
            <w:proofErr w:type="spellStart"/>
            <w:r w:rsidRPr="00641BDE">
              <w:t>Aplidin</w:t>
            </w:r>
            <w:proofErr w:type="spellEnd"/>
            <w:r w:rsidRPr="00641BDE">
              <w:t xml:space="preserve"> - </w:t>
            </w:r>
            <w:proofErr w:type="spellStart"/>
            <w:r w:rsidRPr="00641BDE">
              <w:t>Plitydepsyna</w:t>
            </w:r>
            <w:proofErr w:type="spellEnd"/>
            <w:r w:rsidRPr="00641BDE">
              <w:t xml:space="preserve">”; podkreśla, że cofnięcie pozwolenia opierało się na stwierdzeniu konfliktu interesów dotyczącego jednego z doradców naukowych, którzy uczestniczyli w grupie doradczej – doradca ten odgrywał aktywną rolę w opracowywaniu konkurencyjnego produktu leczniczego, co powinno dyskwalifikować jego udział zgodnie z zasadą obiektywnej bezstronności; </w:t>
            </w:r>
            <w:r w:rsidRPr="00641BDE">
              <w:rPr>
                <w:b/>
                <w:i/>
              </w:rPr>
              <w:t>przypomina również, że w 2024 r. Trybunał Sprawiedliwości stwierdził nieważność</w:t>
            </w:r>
            <w:r w:rsidRPr="00641BDE">
              <w:rPr>
                <w:b/>
                <w:i/>
                <w:vertAlign w:val="superscript"/>
              </w:rPr>
              <w:t>1 a</w:t>
            </w:r>
            <w:r w:rsidRPr="00641BDE">
              <w:rPr>
                <w:b/>
                <w:i/>
              </w:rPr>
              <w:t xml:space="preserve"> odmowy wydania pozwolenia na dopuszczenie do obrotu produktu leczniczego </w:t>
            </w:r>
            <w:proofErr w:type="spellStart"/>
            <w:r w:rsidRPr="00641BDE">
              <w:rPr>
                <w:b/>
                <w:i/>
              </w:rPr>
              <w:t>Hopveus</w:t>
            </w:r>
            <w:proofErr w:type="spellEnd"/>
            <w:r w:rsidRPr="00641BDE">
              <w:rPr>
                <w:b/>
                <w:i/>
              </w:rPr>
              <w:t xml:space="preserve"> (znanego również pod nazwą </w:t>
            </w:r>
            <w:proofErr w:type="spellStart"/>
            <w:r w:rsidRPr="00641BDE">
              <w:rPr>
                <w:b/>
                <w:i/>
              </w:rPr>
              <w:t>Debrégeas</w:t>
            </w:r>
            <w:proofErr w:type="spellEnd"/>
            <w:r w:rsidRPr="00641BDE">
              <w:rPr>
                <w:b/>
                <w:i/>
              </w:rPr>
              <w:t xml:space="preserve"> et </w:t>
            </w:r>
            <w:proofErr w:type="spellStart"/>
            <w:r w:rsidRPr="00641BDE">
              <w:rPr>
                <w:b/>
                <w:i/>
              </w:rPr>
              <w:t>associés</w:t>
            </w:r>
            <w:proofErr w:type="spellEnd"/>
            <w:r w:rsidRPr="00641BDE">
              <w:rPr>
                <w:b/>
                <w:i/>
              </w:rPr>
              <w:t xml:space="preserve"> Pharma lub D &amp; A Pharma), produktu opracowanego przez francuską spółkę </w:t>
            </w:r>
            <w:proofErr w:type="spellStart"/>
            <w:r w:rsidRPr="00641BDE">
              <w:rPr>
                <w:b/>
                <w:i/>
              </w:rPr>
              <w:t>Debrégeas</w:t>
            </w:r>
            <w:proofErr w:type="spellEnd"/>
            <w:r w:rsidRPr="00641BDE">
              <w:rPr>
                <w:b/>
                <w:i/>
              </w:rPr>
              <w:t xml:space="preserve">, w następstwie konfliktu interesów z udziałem eksperta pełniącego funkcję „głównego badacza” w badaniu klinicznym konkurencyjnego produktu (sprawa C-291/22 P); przypomina o powtarzającej się krytyce, która dotyczy stronniczego lub zbyt pobieżnego uwzględniania i analizowania poważnych skutków ubocznych przez EMA; zauważa, że EMA jest regularnie oskarżana o bagatelizowanie zgłoszeń przypadków poważnych skutków ubocznych, niewystarczające badanie nieprzetworzonych sprawozdań klinicznych lub zbyt powolne reagowanie w przypadku zidentyfikowania zagrożeń, co wzbudza polemikę i powoduje brak zaufania do jej ocen (szczepionki przeciwko COVID-19, szczepionka przeciwko HPV itp.); przypomina o zależności EMA od danych dostarczanych przez przemysł: krytycy podkreślają, że EMA w zbyt dużym stopniu polega na sponsorowanych badaniach klinicznych, co ma duży wpływ na zaufanie publiczne; kontrowersje te przyczyniły się do spadku wskaźnika </w:t>
            </w:r>
            <w:proofErr w:type="spellStart"/>
            <w:r w:rsidRPr="00641BDE">
              <w:rPr>
                <w:b/>
                <w:i/>
              </w:rPr>
              <w:t>wyszczepienia</w:t>
            </w:r>
            <w:proofErr w:type="spellEnd"/>
            <w:r w:rsidRPr="00641BDE">
              <w:rPr>
                <w:b/>
                <w:i/>
              </w:rPr>
              <w:t xml:space="preserve"> w niektórych krajach oraz do składania skarg dotyczących braku niezależności EMA i jej bliskich powiązań z gigantami farmaceutycznymi;</w:t>
            </w:r>
            <w:r w:rsidRPr="00641BDE">
              <w:t xml:space="preserve"> podkreśla, że EMA znacznie wzmocniła swoją politykę dotyczącą postępowania w przypadku sprzecznych interesów członków komitetów naukowych i ekspertów – nowa polityka została przyjęta przez zarząd EMA w grudniu 2024 r. weszła w życie 1 maja 2025 r.;</w:t>
            </w:r>
          </w:p>
        </w:tc>
      </w:tr>
      <w:tr w:rsidR="001D5F6D" w:rsidRPr="00641BDE" w14:paraId="0202988C" w14:textId="77777777" w:rsidTr="007C1C97">
        <w:trPr>
          <w:jc w:val="center"/>
        </w:trPr>
        <w:tc>
          <w:tcPr>
            <w:tcW w:w="4876" w:type="dxa"/>
            <w:tcBorders>
              <w:top w:val="nil"/>
              <w:left w:val="nil"/>
              <w:bottom w:val="nil"/>
              <w:right w:val="nil"/>
            </w:tcBorders>
          </w:tcPr>
          <w:p w14:paraId="0537B8FD" w14:textId="77777777" w:rsidR="001D5F6D" w:rsidRPr="00641BDE" w:rsidRDefault="001D5F6D" w:rsidP="007C1C97"/>
        </w:tc>
        <w:tc>
          <w:tcPr>
            <w:tcW w:w="4876" w:type="dxa"/>
            <w:tcBorders>
              <w:top w:val="nil"/>
              <w:left w:val="nil"/>
              <w:bottom w:val="nil"/>
              <w:right w:val="nil"/>
            </w:tcBorders>
          </w:tcPr>
          <w:p w14:paraId="45C06C2B" w14:textId="77777777" w:rsidR="001D5F6D" w:rsidRPr="00641BDE" w:rsidRDefault="001D5F6D" w:rsidP="007C1C97">
            <w:pPr>
              <w:pStyle w:val="Normal6a"/>
            </w:pPr>
            <w:r w:rsidRPr="00641BDE">
              <w:rPr>
                <w:b/>
                <w:i/>
              </w:rPr>
              <w:t>_________________</w:t>
            </w:r>
          </w:p>
        </w:tc>
      </w:tr>
      <w:tr w:rsidR="001D5F6D" w:rsidRPr="00641BDE" w14:paraId="78479623" w14:textId="77777777" w:rsidTr="007C1C97">
        <w:trPr>
          <w:jc w:val="center"/>
        </w:trPr>
        <w:tc>
          <w:tcPr>
            <w:tcW w:w="4876" w:type="dxa"/>
            <w:tcBorders>
              <w:top w:val="nil"/>
              <w:left w:val="nil"/>
              <w:bottom w:val="nil"/>
              <w:right w:val="nil"/>
            </w:tcBorders>
          </w:tcPr>
          <w:p w14:paraId="38A2EE0E" w14:textId="77777777" w:rsidR="001D5F6D" w:rsidRPr="00641BDE" w:rsidRDefault="001D5F6D" w:rsidP="007C1C97"/>
        </w:tc>
        <w:tc>
          <w:tcPr>
            <w:tcW w:w="4876" w:type="dxa"/>
            <w:tcBorders>
              <w:top w:val="nil"/>
              <w:left w:val="nil"/>
              <w:bottom w:val="nil"/>
              <w:right w:val="nil"/>
            </w:tcBorders>
          </w:tcPr>
          <w:p w14:paraId="5D935598" w14:textId="77777777" w:rsidR="001D5F6D" w:rsidRPr="00641BDE" w:rsidRDefault="001D5F6D" w:rsidP="007C1C97">
            <w:pPr>
              <w:pStyle w:val="Normal6a"/>
            </w:pPr>
            <w:r w:rsidRPr="00641BDE">
              <w:rPr>
                <w:b/>
                <w:i/>
                <w:vertAlign w:val="superscript"/>
              </w:rPr>
              <w:t>1 a</w:t>
            </w:r>
            <w:r w:rsidRPr="00641BDE">
              <w:t xml:space="preserve"> </w:t>
            </w:r>
            <w:r w:rsidRPr="00641BDE">
              <w:rPr>
                <w:b/>
                <w:i/>
              </w:rPr>
              <w:t>https://eur-lex.europa.eu/legal-content/PL/TXT/PDF/?uri=CELEX:62022CJ0291</w:t>
            </w:r>
          </w:p>
        </w:tc>
      </w:tr>
    </w:tbl>
    <w:p w14:paraId="6D57A876"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56E6987F" w14:textId="77777777" w:rsidR="001D5F6D" w:rsidRPr="00641BDE" w:rsidRDefault="001D5F6D" w:rsidP="001D5F6D">
      <w:r w:rsidRPr="00641BDE">
        <w:rPr>
          <w:rStyle w:val="HideTWBExt"/>
        </w:rPr>
        <w:t>&lt;/Amend&gt;</w:t>
      </w:r>
    </w:p>
    <w:p w14:paraId="5807B0F9"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139</w:t>
      </w:r>
      <w:r w:rsidRPr="00641BDE">
        <w:rPr>
          <w:rStyle w:val="HideTWBExt"/>
          <w:b w:val="0"/>
        </w:rPr>
        <w:t>&lt;/NumAm&gt;</w:t>
      </w:r>
    </w:p>
    <w:p w14:paraId="3A1D16DA"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09026D3C" w14:textId="77777777" w:rsidR="001D5F6D" w:rsidRPr="00641BDE" w:rsidRDefault="001D5F6D" w:rsidP="001D5F6D">
      <w:pPr>
        <w:pStyle w:val="NormalBold"/>
      </w:pPr>
      <w:r w:rsidRPr="00641BDE">
        <w:rPr>
          <w:rStyle w:val="HideTWBExt"/>
          <w:b w:val="0"/>
        </w:rPr>
        <w:t>&lt;/RepeatBlock-By&gt;</w:t>
      </w:r>
    </w:p>
    <w:p w14:paraId="3D254793"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A37B5C2" w14:textId="77777777" w:rsidR="001D5F6D" w:rsidRPr="00641BDE" w:rsidRDefault="001D5F6D" w:rsidP="001D5F6D">
      <w:pPr>
        <w:pStyle w:val="NormalBold"/>
      </w:pPr>
      <w:r w:rsidRPr="00641BDE">
        <w:rPr>
          <w:rStyle w:val="HideTWBExt"/>
          <w:b w:val="0"/>
        </w:rPr>
        <w:t>&lt;Article&gt;</w:t>
      </w:r>
      <w:r w:rsidRPr="00641BDE">
        <w:t>Ustęp 94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2E517AB" w14:textId="77777777" w:rsidTr="007C1C97">
        <w:trPr>
          <w:trHeight w:hRule="exact" w:val="240"/>
          <w:jc w:val="center"/>
        </w:trPr>
        <w:tc>
          <w:tcPr>
            <w:tcW w:w="9752" w:type="dxa"/>
            <w:gridSpan w:val="2"/>
            <w:tcBorders>
              <w:top w:val="nil"/>
              <w:left w:val="nil"/>
              <w:bottom w:val="nil"/>
              <w:right w:val="nil"/>
            </w:tcBorders>
          </w:tcPr>
          <w:p w14:paraId="2644A7C6" w14:textId="77777777" w:rsidR="001D5F6D" w:rsidRPr="00641BDE" w:rsidRDefault="001D5F6D" w:rsidP="007C1C97"/>
        </w:tc>
      </w:tr>
      <w:tr w:rsidR="001D5F6D" w:rsidRPr="00641BDE" w14:paraId="00432386" w14:textId="77777777" w:rsidTr="007C1C97">
        <w:trPr>
          <w:trHeight w:val="240"/>
          <w:jc w:val="center"/>
        </w:trPr>
        <w:tc>
          <w:tcPr>
            <w:tcW w:w="4876" w:type="dxa"/>
            <w:tcBorders>
              <w:top w:val="nil"/>
              <w:left w:val="nil"/>
              <w:bottom w:val="nil"/>
              <w:right w:val="nil"/>
            </w:tcBorders>
          </w:tcPr>
          <w:p w14:paraId="19C9D29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E9FB72D" w14:textId="77777777" w:rsidR="001D5F6D" w:rsidRPr="00641BDE" w:rsidRDefault="001D5F6D" w:rsidP="007C1C97">
            <w:pPr>
              <w:pStyle w:val="AmColumnHeading"/>
            </w:pPr>
            <w:r w:rsidRPr="00641BDE">
              <w:t>Poprawka</w:t>
            </w:r>
          </w:p>
        </w:tc>
      </w:tr>
      <w:tr w:rsidR="001D5F6D" w:rsidRPr="00641BDE" w14:paraId="0C4CE005" w14:textId="77777777" w:rsidTr="007C1C97">
        <w:trPr>
          <w:jc w:val="center"/>
        </w:trPr>
        <w:tc>
          <w:tcPr>
            <w:tcW w:w="4876" w:type="dxa"/>
            <w:tcBorders>
              <w:top w:val="nil"/>
              <w:left w:val="nil"/>
              <w:bottom w:val="nil"/>
              <w:right w:val="nil"/>
            </w:tcBorders>
          </w:tcPr>
          <w:p w14:paraId="2AB68DFE" w14:textId="77777777" w:rsidR="001D5F6D" w:rsidRPr="00641BDE" w:rsidRDefault="001D5F6D" w:rsidP="007C1C97">
            <w:pPr>
              <w:pStyle w:val="Normal6a"/>
            </w:pPr>
          </w:p>
        </w:tc>
        <w:tc>
          <w:tcPr>
            <w:tcW w:w="4876" w:type="dxa"/>
            <w:tcBorders>
              <w:top w:val="nil"/>
              <w:left w:val="nil"/>
              <w:bottom w:val="nil"/>
              <w:right w:val="nil"/>
            </w:tcBorders>
          </w:tcPr>
          <w:p w14:paraId="38721999" w14:textId="77777777" w:rsidR="001D5F6D" w:rsidRPr="00641BDE" w:rsidRDefault="001D5F6D" w:rsidP="007C1C97">
            <w:pPr>
              <w:pStyle w:val="Normal6a"/>
            </w:pPr>
            <w:r w:rsidRPr="00641BDE">
              <w:rPr>
                <w:b/>
                <w:i/>
              </w:rPr>
              <w:t>94a.</w:t>
            </w:r>
            <w:r w:rsidRPr="00641BDE">
              <w:tab/>
            </w:r>
            <w:r w:rsidRPr="00641BDE">
              <w:rPr>
                <w:b/>
                <w:i/>
              </w:rPr>
              <w:t xml:space="preserve">pochwala prace Europejskiej Agencji Leków nad rozwiązaniem problemu niedoboru </w:t>
            </w:r>
            <w:proofErr w:type="spellStart"/>
            <w:r w:rsidRPr="00641BDE">
              <w:rPr>
                <w:b/>
                <w:i/>
              </w:rPr>
              <w:t>amoksycyliny</w:t>
            </w:r>
            <w:proofErr w:type="spellEnd"/>
            <w:r w:rsidRPr="00641BDE">
              <w:rPr>
                <w:b/>
                <w:i/>
              </w:rPr>
              <w:t xml:space="preserve"> w Europie oraz współpracę z krajowymi agencjami leków w tym zakresie, w wyniku czego w 2024 r. </w:t>
            </w:r>
            <w:proofErr w:type="spellStart"/>
            <w:r w:rsidRPr="00641BDE">
              <w:rPr>
                <w:b/>
                <w:i/>
              </w:rPr>
              <w:t>amoksycylina</w:t>
            </w:r>
            <w:proofErr w:type="spellEnd"/>
            <w:r w:rsidRPr="00641BDE">
              <w:rPr>
                <w:b/>
                <w:i/>
              </w:rPr>
              <w:t xml:space="preserve"> została usunięta z wykazu niedoborów; zachęca EMA do dalszego wykorzystywania zasobów kadrowych i budżetowych na podobne cele;</w:t>
            </w:r>
          </w:p>
        </w:tc>
      </w:tr>
    </w:tbl>
    <w:p w14:paraId="7C3AE6B2"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AB1346B" w14:textId="77777777" w:rsidR="001D5F6D" w:rsidRPr="00641BDE" w:rsidRDefault="001D5F6D" w:rsidP="001D5F6D">
      <w:r w:rsidRPr="00641BDE">
        <w:rPr>
          <w:rStyle w:val="HideTWBExt"/>
        </w:rPr>
        <w:t>&lt;/Amend&gt;</w:t>
      </w:r>
    </w:p>
    <w:p w14:paraId="381FECFA"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140</w:t>
      </w:r>
      <w:r w:rsidRPr="00641BDE">
        <w:rPr>
          <w:rStyle w:val="HideTWBExt"/>
          <w:b w:val="0"/>
        </w:rPr>
        <w:t>&lt;/NumAm&gt;</w:t>
      </w:r>
    </w:p>
    <w:p w14:paraId="3BD3076A"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rPr>
          <w:rStyle w:val="HideTWBExt"/>
          <w:b w:val="0"/>
        </w:rPr>
        <w:t>&lt;/Members&gt;</w:t>
      </w:r>
    </w:p>
    <w:p w14:paraId="29D04A1F" w14:textId="77777777" w:rsidR="001D5F6D" w:rsidRPr="00641BDE" w:rsidRDefault="001D5F6D" w:rsidP="001D5F6D">
      <w:pPr>
        <w:pStyle w:val="NormalBold"/>
      </w:pPr>
      <w:r w:rsidRPr="00641BDE">
        <w:rPr>
          <w:rStyle w:val="HideTWBExt"/>
          <w:b w:val="0"/>
        </w:rPr>
        <w:t>&lt;/RepeatBlock-By&gt;</w:t>
      </w:r>
    </w:p>
    <w:p w14:paraId="36B84E38"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79D94B5" w14:textId="77777777" w:rsidR="001D5F6D" w:rsidRPr="00641BDE" w:rsidRDefault="001D5F6D" w:rsidP="001D5F6D">
      <w:pPr>
        <w:pStyle w:val="NormalBold"/>
      </w:pPr>
      <w:r w:rsidRPr="00641BDE">
        <w:rPr>
          <w:rStyle w:val="HideTWBExt"/>
          <w:b w:val="0"/>
        </w:rPr>
        <w:t>&lt;Article&gt;</w:t>
      </w:r>
      <w:r w:rsidRPr="00641BDE">
        <w:t>Ustęp 94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4F27E02" w14:textId="77777777" w:rsidTr="007C1C97">
        <w:trPr>
          <w:trHeight w:hRule="exact" w:val="240"/>
          <w:jc w:val="center"/>
        </w:trPr>
        <w:tc>
          <w:tcPr>
            <w:tcW w:w="9752" w:type="dxa"/>
            <w:gridSpan w:val="2"/>
            <w:tcBorders>
              <w:top w:val="nil"/>
              <w:left w:val="nil"/>
              <w:bottom w:val="nil"/>
              <w:right w:val="nil"/>
            </w:tcBorders>
          </w:tcPr>
          <w:p w14:paraId="535EBFD7" w14:textId="77777777" w:rsidR="001D5F6D" w:rsidRPr="00641BDE" w:rsidRDefault="001D5F6D" w:rsidP="007C1C97"/>
        </w:tc>
      </w:tr>
      <w:tr w:rsidR="001D5F6D" w:rsidRPr="00641BDE" w14:paraId="54D15CBB" w14:textId="77777777" w:rsidTr="007C1C97">
        <w:trPr>
          <w:trHeight w:val="240"/>
          <w:jc w:val="center"/>
        </w:trPr>
        <w:tc>
          <w:tcPr>
            <w:tcW w:w="4876" w:type="dxa"/>
            <w:tcBorders>
              <w:top w:val="nil"/>
              <w:left w:val="nil"/>
              <w:bottom w:val="nil"/>
              <w:right w:val="nil"/>
            </w:tcBorders>
          </w:tcPr>
          <w:p w14:paraId="15D909F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25F15BA" w14:textId="77777777" w:rsidR="001D5F6D" w:rsidRPr="00641BDE" w:rsidRDefault="001D5F6D" w:rsidP="007C1C97">
            <w:pPr>
              <w:pStyle w:val="AmColumnHeading"/>
            </w:pPr>
            <w:r w:rsidRPr="00641BDE">
              <w:t>Poprawka</w:t>
            </w:r>
          </w:p>
        </w:tc>
      </w:tr>
      <w:tr w:rsidR="001D5F6D" w:rsidRPr="00641BDE" w14:paraId="63AEBDEF" w14:textId="77777777" w:rsidTr="007C1C97">
        <w:trPr>
          <w:jc w:val="center"/>
        </w:trPr>
        <w:tc>
          <w:tcPr>
            <w:tcW w:w="4876" w:type="dxa"/>
            <w:tcBorders>
              <w:top w:val="nil"/>
              <w:left w:val="nil"/>
              <w:bottom w:val="nil"/>
              <w:right w:val="nil"/>
            </w:tcBorders>
          </w:tcPr>
          <w:p w14:paraId="7EDF5BCE" w14:textId="77777777" w:rsidR="001D5F6D" w:rsidRPr="00641BDE" w:rsidRDefault="001D5F6D" w:rsidP="007C1C97">
            <w:pPr>
              <w:pStyle w:val="Normal6a"/>
            </w:pPr>
          </w:p>
        </w:tc>
        <w:tc>
          <w:tcPr>
            <w:tcW w:w="4876" w:type="dxa"/>
            <w:tcBorders>
              <w:top w:val="nil"/>
              <w:left w:val="nil"/>
              <w:bottom w:val="nil"/>
              <w:right w:val="nil"/>
            </w:tcBorders>
          </w:tcPr>
          <w:p w14:paraId="59D1E0ED" w14:textId="77777777" w:rsidR="001D5F6D" w:rsidRPr="00641BDE" w:rsidRDefault="001D5F6D" w:rsidP="007C1C97">
            <w:pPr>
              <w:pStyle w:val="Normal6a"/>
            </w:pPr>
            <w:r w:rsidRPr="00641BDE">
              <w:rPr>
                <w:b/>
                <w:i/>
              </w:rPr>
              <w:t>94a.</w:t>
            </w:r>
            <w:r w:rsidRPr="00641BDE">
              <w:tab/>
            </w:r>
            <w:r w:rsidRPr="00641BDE">
              <w:rPr>
                <w:b/>
                <w:i/>
              </w:rPr>
              <w:t>potępia ponadto przyznanie 72 000 EUR na dekoracje świąteczne w 2024 r. za pośrednictwem przedsiębiorstwa „</w:t>
            </w:r>
            <w:proofErr w:type="spellStart"/>
            <w:r w:rsidRPr="00641BDE">
              <w:rPr>
                <w:b/>
                <w:i/>
              </w:rPr>
              <w:t>Santa’s</w:t>
            </w:r>
            <w:proofErr w:type="spellEnd"/>
            <w:r w:rsidRPr="00641BDE">
              <w:rPr>
                <w:b/>
                <w:i/>
              </w:rPr>
              <w:t xml:space="preserve"> Office”</w:t>
            </w:r>
            <w:r w:rsidRPr="00641BDE">
              <w:rPr>
                <w:b/>
                <w:i/>
                <w:vertAlign w:val="superscript"/>
              </w:rPr>
              <w:t>1 a</w:t>
            </w:r>
            <w:r w:rsidRPr="00641BDE">
              <w:rPr>
                <w:b/>
                <w:i/>
              </w:rPr>
              <w:t>;</w:t>
            </w:r>
          </w:p>
        </w:tc>
      </w:tr>
      <w:tr w:rsidR="001D5F6D" w:rsidRPr="00641BDE" w14:paraId="19CA714A" w14:textId="77777777" w:rsidTr="007C1C97">
        <w:trPr>
          <w:jc w:val="center"/>
        </w:trPr>
        <w:tc>
          <w:tcPr>
            <w:tcW w:w="4876" w:type="dxa"/>
            <w:tcBorders>
              <w:top w:val="nil"/>
              <w:left w:val="nil"/>
              <w:bottom w:val="nil"/>
              <w:right w:val="nil"/>
            </w:tcBorders>
          </w:tcPr>
          <w:p w14:paraId="41B971DC" w14:textId="77777777" w:rsidR="001D5F6D" w:rsidRPr="00641BDE" w:rsidRDefault="001D5F6D" w:rsidP="007C1C97"/>
        </w:tc>
        <w:tc>
          <w:tcPr>
            <w:tcW w:w="4876" w:type="dxa"/>
            <w:tcBorders>
              <w:top w:val="nil"/>
              <w:left w:val="nil"/>
              <w:bottom w:val="nil"/>
              <w:right w:val="nil"/>
            </w:tcBorders>
          </w:tcPr>
          <w:p w14:paraId="0251DE51" w14:textId="77777777" w:rsidR="001D5F6D" w:rsidRPr="00641BDE" w:rsidRDefault="001D5F6D" w:rsidP="007C1C97">
            <w:pPr>
              <w:pStyle w:val="Normal6a"/>
            </w:pPr>
            <w:r w:rsidRPr="00641BDE">
              <w:rPr>
                <w:b/>
                <w:i/>
              </w:rPr>
              <w:t>_________________</w:t>
            </w:r>
          </w:p>
        </w:tc>
      </w:tr>
      <w:tr w:rsidR="001D5F6D" w:rsidRPr="00641BDE" w14:paraId="53590CFB" w14:textId="77777777" w:rsidTr="007C1C97">
        <w:trPr>
          <w:jc w:val="center"/>
        </w:trPr>
        <w:tc>
          <w:tcPr>
            <w:tcW w:w="4876" w:type="dxa"/>
            <w:tcBorders>
              <w:top w:val="nil"/>
              <w:left w:val="nil"/>
              <w:bottom w:val="nil"/>
              <w:right w:val="nil"/>
            </w:tcBorders>
          </w:tcPr>
          <w:p w14:paraId="0668EFA4" w14:textId="77777777" w:rsidR="001D5F6D" w:rsidRPr="00641BDE" w:rsidRDefault="001D5F6D" w:rsidP="007C1C97"/>
        </w:tc>
        <w:tc>
          <w:tcPr>
            <w:tcW w:w="4876" w:type="dxa"/>
            <w:tcBorders>
              <w:top w:val="nil"/>
              <w:left w:val="nil"/>
              <w:bottom w:val="nil"/>
              <w:right w:val="nil"/>
            </w:tcBorders>
          </w:tcPr>
          <w:p w14:paraId="02BE2333" w14:textId="77777777" w:rsidR="001D5F6D" w:rsidRPr="00641BDE" w:rsidRDefault="001D5F6D" w:rsidP="007C1C97">
            <w:pPr>
              <w:pStyle w:val="Normal6a"/>
            </w:pPr>
            <w:r w:rsidRPr="00641BDE">
              <w:rPr>
                <w:b/>
                <w:i/>
                <w:vertAlign w:val="superscript"/>
              </w:rPr>
              <w:t>1 a</w:t>
            </w:r>
            <w:r w:rsidRPr="00641BDE">
              <w:t xml:space="preserve"> </w:t>
            </w:r>
            <w:r w:rsidRPr="00641BDE">
              <w:rPr>
                <w:b/>
                <w:i/>
              </w:rPr>
              <w:t>https://www.ema.europa.eu/en/documents/other/annual-list-contracts-2024_en.pdf</w:t>
            </w:r>
          </w:p>
        </w:tc>
      </w:tr>
    </w:tbl>
    <w:p w14:paraId="1A53CE8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1C26FD9E" w14:textId="77777777" w:rsidR="001D5F6D" w:rsidRPr="00641BDE" w:rsidRDefault="001D5F6D" w:rsidP="001D5F6D">
      <w:r w:rsidRPr="00641BDE">
        <w:rPr>
          <w:rStyle w:val="HideTWBExt"/>
        </w:rPr>
        <w:t>&lt;/Amend&gt;</w:t>
      </w:r>
    </w:p>
    <w:p w14:paraId="01F155C8"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141</w:t>
      </w:r>
      <w:r w:rsidRPr="00641BDE">
        <w:rPr>
          <w:rStyle w:val="HideTWBExt"/>
          <w:b w:val="0"/>
        </w:rPr>
        <w:t>&lt;/NumAm&gt;</w:t>
      </w:r>
    </w:p>
    <w:p w14:paraId="22749BBF"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6E87A9CE" w14:textId="77777777" w:rsidR="001D5F6D" w:rsidRPr="00641BDE" w:rsidRDefault="001D5F6D" w:rsidP="001D5F6D">
      <w:pPr>
        <w:pStyle w:val="NormalBold"/>
      </w:pPr>
      <w:r w:rsidRPr="00641BDE">
        <w:rPr>
          <w:rStyle w:val="HideTWBExt"/>
          <w:b w:val="0"/>
        </w:rPr>
        <w:t>&lt;/RepeatBlock-By&gt;</w:t>
      </w:r>
    </w:p>
    <w:p w14:paraId="658A3640"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2501D2E" w14:textId="77777777" w:rsidR="001D5F6D" w:rsidRPr="00641BDE" w:rsidRDefault="001D5F6D" w:rsidP="001D5F6D">
      <w:pPr>
        <w:pStyle w:val="NormalBold"/>
      </w:pPr>
      <w:r w:rsidRPr="00641BDE">
        <w:rPr>
          <w:rStyle w:val="HideTWBExt"/>
          <w:b w:val="0"/>
        </w:rPr>
        <w:t>&lt;Article&gt;</w:t>
      </w:r>
      <w:r w:rsidRPr="00641BDE">
        <w:t>Ustęp 94 b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2B32460" w14:textId="77777777" w:rsidTr="007C1C97">
        <w:trPr>
          <w:trHeight w:hRule="exact" w:val="240"/>
          <w:jc w:val="center"/>
        </w:trPr>
        <w:tc>
          <w:tcPr>
            <w:tcW w:w="9752" w:type="dxa"/>
            <w:gridSpan w:val="2"/>
            <w:tcBorders>
              <w:top w:val="nil"/>
              <w:left w:val="nil"/>
              <w:bottom w:val="nil"/>
              <w:right w:val="nil"/>
            </w:tcBorders>
          </w:tcPr>
          <w:p w14:paraId="567C1EB7" w14:textId="77777777" w:rsidR="001D5F6D" w:rsidRPr="00641BDE" w:rsidRDefault="001D5F6D" w:rsidP="007C1C97"/>
        </w:tc>
      </w:tr>
      <w:tr w:rsidR="001D5F6D" w:rsidRPr="00641BDE" w14:paraId="4EBDD003" w14:textId="77777777" w:rsidTr="007C1C97">
        <w:trPr>
          <w:trHeight w:val="240"/>
          <w:jc w:val="center"/>
        </w:trPr>
        <w:tc>
          <w:tcPr>
            <w:tcW w:w="4876" w:type="dxa"/>
            <w:tcBorders>
              <w:top w:val="nil"/>
              <w:left w:val="nil"/>
              <w:bottom w:val="nil"/>
              <w:right w:val="nil"/>
            </w:tcBorders>
          </w:tcPr>
          <w:p w14:paraId="5D877C2C"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1B38338" w14:textId="77777777" w:rsidR="001D5F6D" w:rsidRPr="00641BDE" w:rsidRDefault="001D5F6D" w:rsidP="007C1C97">
            <w:pPr>
              <w:pStyle w:val="AmColumnHeading"/>
            </w:pPr>
            <w:r w:rsidRPr="00641BDE">
              <w:t>Poprawka</w:t>
            </w:r>
          </w:p>
        </w:tc>
      </w:tr>
      <w:tr w:rsidR="001D5F6D" w:rsidRPr="00641BDE" w14:paraId="349A7F87" w14:textId="77777777" w:rsidTr="007C1C97">
        <w:trPr>
          <w:jc w:val="center"/>
        </w:trPr>
        <w:tc>
          <w:tcPr>
            <w:tcW w:w="4876" w:type="dxa"/>
            <w:tcBorders>
              <w:top w:val="nil"/>
              <w:left w:val="nil"/>
              <w:bottom w:val="nil"/>
              <w:right w:val="nil"/>
            </w:tcBorders>
          </w:tcPr>
          <w:p w14:paraId="62E1E6AB" w14:textId="77777777" w:rsidR="001D5F6D" w:rsidRPr="00641BDE" w:rsidRDefault="001D5F6D" w:rsidP="007C1C97">
            <w:pPr>
              <w:pStyle w:val="Normal6a"/>
            </w:pPr>
          </w:p>
        </w:tc>
        <w:tc>
          <w:tcPr>
            <w:tcW w:w="4876" w:type="dxa"/>
            <w:tcBorders>
              <w:top w:val="nil"/>
              <w:left w:val="nil"/>
              <w:bottom w:val="nil"/>
              <w:right w:val="nil"/>
            </w:tcBorders>
          </w:tcPr>
          <w:p w14:paraId="0F5B1753" w14:textId="77777777" w:rsidR="001D5F6D" w:rsidRPr="00641BDE" w:rsidRDefault="001D5F6D" w:rsidP="007C1C97">
            <w:pPr>
              <w:pStyle w:val="Normal6a"/>
            </w:pPr>
            <w:r w:rsidRPr="00641BDE">
              <w:rPr>
                <w:b/>
                <w:i/>
              </w:rPr>
              <w:t>94b.</w:t>
            </w:r>
            <w:r w:rsidRPr="00641BDE">
              <w:tab/>
            </w:r>
            <w:r w:rsidRPr="00641BDE">
              <w:rPr>
                <w:b/>
                <w:i/>
              </w:rPr>
              <w:t>zauważa, że Trybunał Obrachunkowy zalecił w swoim sprawozdaniu specjalnym 12/2024, aby Europejska Agencja Leków kontynuowała prace nad zapewnieniem łatwego publicznego dostępu do swoich komunikatów, dzięki czemu opinia publiczna miałaby lepszy wgląd w wykorzystanie unijnych środków finansowych przez tę agencję;</w:t>
            </w:r>
          </w:p>
        </w:tc>
      </w:tr>
    </w:tbl>
    <w:p w14:paraId="261B369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D0ACCF8" w14:textId="77777777" w:rsidR="001D5F6D" w:rsidRPr="00641BDE" w:rsidRDefault="001D5F6D" w:rsidP="001D5F6D">
      <w:r w:rsidRPr="00641BDE">
        <w:rPr>
          <w:rStyle w:val="HideTWBExt"/>
        </w:rPr>
        <w:t>&lt;/Amend&gt;</w:t>
      </w:r>
    </w:p>
    <w:p w14:paraId="12FC5F16"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142</w:t>
      </w:r>
      <w:r w:rsidRPr="00641BDE">
        <w:rPr>
          <w:rStyle w:val="HideTWBExt"/>
          <w:b w:val="0"/>
        </w:rPr>
        <w:t>&lt;/NumAm&gt;</w:t>
      </w:r>
    </w:p>
    <w:p w14:paraId="76D89A4B"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6EA41E23" w14:textId="77777777" w:rsidR="001D5F6D" w:rsidRPr="00641BDE" w:rsidRDefault="001D5F6D" w:rsidP="001D5F6D">
      <w:pPr>
        <w:pStyle w:val="NormalBold"/>
      </w:pPr>
      <w:r w:rsidRPr="00641BDE">
        <w:rPr>
          <w:rStyle w:val="HideTWBExt"/>
          <w:b w:val="0"/>
        </w:rPr>
        <w:t>&lt;/RepeatBlock-By&gt;</w:t>
      </w:r>
    </w:p>
    <w:p w14:paraId="29251E53"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0092880" w14:textId="77777777" w:rsidR="001D5F6D" w:rsidRPr="00641BDE" w:rsidRDefault="001D5F6D" w:rsidP="001D5F6D">
      <w:pPr>
        <w:pStyle w:val="NormalBold"/>
      </w:pPr>
      <w:r w:rsidRPr="00641BDE">
        <w:rPr>
          <w:rStyle w:val="HideTWBExt"/>
          <w:b w:val="0"/>
        </w:rPr>
        <w:t>&lt;Article&gt;</w:t>
      </w:r>
      <w:r w:rsidRPr="00641BDE">
        <w:t>Ustęp 94 c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67A643C" w14:textId="77777777" w:rsidTr="007C1C97">
        <w:trPr>
          <w:trHeight w:hRule="exact" w:val="240"/>
          <w:jc w:val="center"/>
        </w:trPr>
        <w:tc>
          <w:tcPr>
            <w:tcW w:w="9752" w:type="dxa"/>
            <w:gridSpan w:val="2"/>
            <w:tcBorders>
              <w:top w:val="nil"/>
              <w:left w:val="nil"/>
              <w:bottom w:val="nil"/>
              <w:right w:val="nil"/>
            </w:tcBorders>
          </w:tcPr>
          <w:p w14:paraId="4A6381E1" w14:textId="77777777" w:rsidR="001D5F6D" w:rsidRPr="00641BDE" w:rsidRDefault="001D5F6D" w:rsidP="007C1C97"/>
        </w:tc>
      </w:tr>
      <w:tr w:rsidR="001D5F6D" w:rsidRPr="00641BDE" w14:paraId="49CDC883" w14:textId="77777777" w:rsidTr="007C1C97">
        <w:trPr>
          <w:trHeight w:val="240"/>
          <w:jc w:val="center"/>
        </w:trPr>
        <w:tc>
          <w:tcPr>
            <w:tcW w:w="4876" w:type="dxa"/>
            <w:tcBorders>
              <w:top w:val="nil"/>
              <w:left w:val="nil"/>
              <w:bottom w:val="nil"/>
              <w:right w:val="nil"/>
            </w:tcBorders>
          </w:tcPr>
          <w:p w14:paraId="0064474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20F8E2B" w14:textId="77777777" w:rsidR="001D5F6D" w:rsidRPr="00641BDE" w:rsidRDefault="001D5F6D" w:rsidP="007C1C97">
            <w:pPr>
              <w:pStyle w:val="AmColumnHeading"/>
            </w:pPr>
            <w:r w:rsidRPr="00641BDE">
              <w:t>Poprawka</w:t>
            </w:r>
          </w:p>
        </w:tc>
      </w:tr>
      <w:tr w:rsidR="001D5F6D" w:rsidRPr="00641BDE" w14:paraId="6623EA64" w14:textId="77777777" w:rsidTr="007C1C97">
        <w:trPr>
          <w:jc w:val="center"/>
        </w:trPr>
        <w:tc>
          <w:tcPr>
            <w:tcW w:w="4876" w:type="dxa"/>
            <w:tcBorders>
              <w:top w:val="nil"/>
              <w:left w:val="nil"/>
              <w:bottom w:val="nil"/>
              <w:right w:val="nil"/>
            </w:tcBorders>
          </w:tcPr>
          <w:p w14:paraId="769216FD" w14:textId="77777777" w:rsidR="001D5F6D" w:rsidRPr="00641BDE" w:rsidRDefault="001D5F6D" w:rsidP="007C1C97">
            <w:pPr>
              <w:pStyle w:val="Normal6a"/>
            </w:pPr>
          </w:p>
        </w:tc>
        <w:tc>
          <w:tcPr>
            <w:tcW w:w="4876" w:type="dxa"/>
            <w:tcBorders>
              <w:top w:val="nil"/>
              <w:left w:val="nil"/>
              <w:bottom w:val="nil"/>
              <w:right w:val="nil"/>
            </w:tcBorders>
          </w:tcPr>
          <w:p w14:paraId="5D88DA19" w14:textId="77777777" w:rsidR="001D5F6D" w:rsidRPr="00641BDE" w:rsidRDefault="001D5F6D" w:rsidP="007C1C97">
            <w:pPr>
              <w:pStyle w:val="Normal6a"/>
            </w:pPr>
            <w:r w:rsidRPr="00641BDE">
              <w:rPr>
                <w:b/>
                <w:i/>
              </w:rPr>
              <w:t>94c.</w:t>
            </w:r>
            <w:r w:rsidRPr="00641BDE">
              <w:tab/>
            </w:r>
            <w:r w:rsidRPr="00641BDE">
              <w:rPr>
                <w:b/>
                <w:i/>
              </w:rPr>
              <w:t>zauważa, że w sprawozdaniu specjalnym nr 12/2024 Trybunał Obrachunkowy zalecił Europejskiej Agencji Leków dalszą współpracę i koordynację z ECDC i HERA w celu zapewnienia lepszej gotowości na przyszłe pandemie, w tym jaśniejszego podziału pracy i obowiązków oraz skuteczniejszego wykorzystania unijnych środków finansowych;</w:t>
            </w:r>
          </w:p>
        </w:tc>
      </w:tr>
    </w:tbl>
    <w:p w14:paraId="0AE3DB1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6258D63F" w14:textId="77777777" w:rsidR="001D5F6D" w:rsidRPr="00641BDE" w:rsidRDefault="001D5F6D" w:rsidP="001D5F6D">
      <w:r w:rsidRPr="00641BDE">
        <w:rPr>
          <w:rStyle w:val="HideTWBExt"/>
        </w:rPr>
        <w:t>&lt;/Amend&gt;</w:t>
      </w:r>
    </w:p>
    <w:p w14:paraId="4F017F7D"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143</w:t>
      </w:r>
      <w:r w:rsidRPr="00641BDE">
        <w:rPr>
          <w:rStyle w:val="HideTWBExt"/>
          <w:b w:val="0"/>
        </w:rPr>
        <w:t>&lt;/NumAm&gt;</w:t>
      </w:r>
    </w:p>
    <w:p w14:paraId="0784CF08"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0D07199C" w14:textId="77777777" w:rsidR="001D5F6D" w:rsidRPr="00641BDE" w:rsidRDefault="001D5F6D" w:rsidP="001D5F6D">
      <w:pPr>
        <w:pStyle w:val="NormalBold"/>
      </w:pPr>
      <w:r w:rsidRPr="00641BDE">
        <w:rPr>
          <w:rStyle w:val="HideTWBExt"/>
          <w:b w:val="0"/>
        </w:rPr>
        <w:t>&lt;/RepeatBlock-By&gt;</w:t>
      </w:r>
    </w:p>
    <w:p w14:paraId="646E35E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316127D" w14:textId="77777777" w:rsidR="001D5F6D" w:rsidRPr="00641BDE" w:rsidRDefault="001D5F6D" w:rsidP="001D5F6D">
      <w:pPr>
        <w:pStyle w:val="NormalBold"/>
      </w:pPr>
      <w:r w:rsidRPr="00641BDE">
        <w:rPr>
          <w:rStyle w:val="HideTWBExt"/>
          <w:b w:val="0"/>
        </w:rPr>
        <w:t>&lt;Article&gt;</w:t>
      </w:r>
      <w:r w:rsidRPr="00641BDE">
        <w:t>Ustęp 94 d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F78FBE3" w14:textId="77777777" w:rsidTr="007C1C97">
        <w:trPr>
          <w:trHeight w:hRule="exact" w:val="240"/>
          <w:jc w:val="center"/>
        </w:trPr>
        <w:tc>
          <w:tcPr>
            <w:tcW w:w="9752" w:type="dxa"/>
            <w:gridSpan w:val="2"/>
            <w:tcBorders>
              <w:top w:val="nil"/>
              <w:left w:val="nil"/>
              <w:bottom w:val="nil"/>
              <w:right w:val="nil"/>
            </w:tcBorders>
          </w:tcPr>
          <w:p w14:paraId="30D03B20" w14:textId="77777777" w:rsidR="001D5F6D" w:rsidRPr="00641BDE" w:rsidRDefault="001D5F6D" w:rsidP="007C1C97"/>
        </w:tc>
      </w:tr>
      <w:tr w:rsidR="001D5F6D" w:rsidRPr="00641BDE" w14:paraId="63D5D76A" w14:textId="77777777" w:rsidTr="007C1C97">
        <w:trPr>
          <w:trHeight w:val="240"/>
          <w:jc w:val="center"/>
        </w:trPr>
        <w:tc>
          <w:tcPr>
            <w:tcW w:w="4876" w:type="dxa"/>
            <w:tcBorders>
              <w:top w:val="nil"/>
              <w:left w:val="nil"/>
              <w:bottom w:val="nil"/>
              <w:right w:val="nil"/>
            </w:tcBorders>
          </w:tcPr>
          <w:p w14:paraId="1F64155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D92CD2B" w14:textId="77777777" w:rsidR="001D5F6D" w:rsidRPr="00641BDE" w:rsidRDefault="001D5F6D" w:rsidP="007C1C97">
            <w:pPr>
              <w:pStyle w:val="AmColumnHeading"/>
            </w:pPr>
            <w:r w:rsidRPr="00641BDE">
              <w:t>Poprawka</w:t>
            </w:r>
          </w:p>
        </w:tc>
      </w:tr>
      <w:tr w:rsidR="001D5F6D" w:rsidRPr="00641BDE" w14:paraId="02838535" w14:textId="77777777" w:rsidTr="007C1C97">
        <w:trPr>
          <w:jc w:val="center"/>
        </w:trPr>
        <w:tc>
          <w:tcPr>
            <w:tcW w:w="4876" w:type="dxa"/>
            <w:tcBorders>
              <w:top w:val="nil"/>
              <w:left w:val="nil"/>
              <w:bottom w:val="nil"/>
              <w:right w:val="nil"/>
            </w:tcBorders>
          </w:tcPr>
          <w:p w14:paraId="1DB5F3D2" w14:textId="77777777" w:rsidR="001D5F6D" w:rsidRPr="00641BDE" w:rsidRDefault="001D5F6D" w:rsidP="007C1C97">
            <w:pPr>
              <w:pStyle w:val="Normal6a"/>
            </w:pPr>
          </w:p>
        </w:tc>
        <w:tc>
          <w:tcPr>
            <w:tcW w:w="4876" w:type="dxa"/>
            <w:tcBorders>
              <w:top w:val="nil"/>
              <w:left w:val="nil"/>
              <w:bottom w:val="nil"/>
              <w:right w:val="nil"/>
            </w:tcBorders>
          </w:tcPr>
          <w:p w14:paraId="685791DC" w14:textId="77777777" w:rsidR="001D5F6D" w:rsidRPr="00641BDE" w:rsidRDefault="001D5F6D" w:rsidP="007C1C97">
            <w:pPr>
              <w:pStyle w:val="Normal6a"/>
            </w:pPr>
            <w:r w:rsidRPr="00641BDE">
              <w:rPr>
                <w:b/>
                <w:i/>
              </w:rPr>
              <w:t>94d.</w:t>
            </w:r>
            <w:r w:rsidRPr="00641BDE">
              <w:tab/>
            </w:r>
            <w:r w:rsidRPr="00641BDE">
              <w:rPr>
                <w:b/>
                <w:i/>
              </w:rPr>
              <w:t>zauważa, że w sprawozdaniu specjalnym 12/24 Trybunał Obrachunkowy zalecił, aby EMA przeprowadziła przegląd narzędzi, procedur i wytycznych wprowadzonych w czasie pandemii, określiła, które z nich należy utrzymać na wypadek przyszłych pandemii lub innych sytuacji kryzysowych, oraz dostosowała je do postępu naukowego i technologicznego; zachęca do przeznaczenia na ten cel odpowiednich zasobów;</w:t>
            </w:r>
          </w:p>
        </w:tc>
      </w:tr>
    </w:tbl>
    <w:p w14:paraId="0A9A0565"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1CD9D94" w14:textId="77777777" w:rsidR="001D5F6D" w:rsidRPr="00641BDE" w:rsidRDefault="001D5F6D" w:rsidP="001D5F6D">
      <w:r w:rsidRPr="00641BDE">
        <w:rPr>
          <w:rStyle w:val="HideTWBExt"/>
        </w:rPr>
        <w:t>&lt;/Amend&gt;</w:t>
      </w:r>
    </w:p>
    <w:p w14:paraId="34411081"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144</w:t>
      </w:r>
      <w:r w:rsidRPr="00641BDE">
        <w:rPr>
          <w:rStyle w:val="HideTWBExt"/>
          <w:b w:val="0"/>
        </w:rPr>
        <w:t>&lt;/NumAm&gt;</w:t>
      </w:r>
    </w:p>
    <w:p w14:paraId="3F22EB85"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39B2322C" w14:textId="77777777" w:rsidR="001D5F6D" w:rsidRPr="00641BDE" w:rsidRDefault="001D5F6D" w:rsidP="001D5F6D">
      <w:pPr>
        <w:pStyle w:val="NormalBold"/>
      </w:pPr>
      <w:r w:rsidRPr="00641BDE">
        <w:rPr>
          <w:rStyle w:val="HideTWBExt"/>
          <w:b w:val="0"/>
        </w:rPr>
        <w:t>&lt;/RepeatBlock-By&gt;</w:t>
      </w:r>
    </w:p>
    <w:p w14:paraId="043B883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AE4A134" w14:textId="77777777" w:rsidR="001D5F6D" w:rsidRPr="00641BDE" w:rsidRDefault="001D5F6D" w:rsidP="001D5F6D">
      <w:pPr>
        <w:pStyle w:val="NormalBold"/>
      </w:pPr>
      <w:r w:rsidRPr="00641BDE">
        <w:rPr>
          <w:rStyle w:val="HideTWBExt"/>
          <w:b w:val="0"/>
        </w:rPr>
        <w:t>&lt;Article&gt;</w:t>
      </w:r>
      <w:r w:rsidRPr="00641BDE">
        <w:t>Ustęp 94 e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FE309AB" w14:textId="77777777" w:rsidTr="007C1C97">
        <w:trPr>
          <w:trHeight w:hRule="exact" w:val="240"/>
          <w:jc w:val="center"/>
        </w:trPr>
        <w:tc>
          <w:tcPr>
            <w:tcW w:w="9752" w:type="dxa"/>
            <w:gridSpan w:val="2"/>
            <w:tcBorders>
              <w:top w:val="nil"/>
              <w:left w:val="nil"/>
              <w:bottom w:val="nil"/>
              <w:right w:val="nil"/>
            </w:tcBorders>
          </w:tcPr>
          <w:p w14:paraId="30094D30" w14:textId="77777777" w:rsidR="001D5F6D" w:rsidRPr="00641BDE" w:rsidRDefault="001D5F6D" w:rsidP="007C1C97"/>
        </w:tc>
      </w:tr>
      <w:tr w:rsidR="001D5F6D" w:rsidRPr="00641BDE" w14:paraId="28F51767" w14:textId="77777777" w:rsidTr="007C1C97">
        <w:trPr>
          <w:trHeight w:val="240"/>
          <w:jc w:val="center"/>
        </w:trPr>
        <w:tc>
          <w:tcPr>
            <w:tcW w:w="4876" w:type="dxa"/>
            <w:tcBorders>
              <w:top w:val="nil"/>
              <w:left w:val="nil"/>
              <w:bottom w:val="nil"/>
              <w:right w:val="nil"/>
            </w:tcBorders>
          </w:tcPr>
          <w:p w14:paraId="73F6E02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1021BE5" w14:textId="77777777" w:rsidR="001D5F6D" w:rsidRPr="00641BDE" w:rsidRDefault="001D5F6D" w:rsidP="007C1C97">
            <w:pPr>
              <w:pStyle w:val="AmColumnHeading"/>
            </w:pPr>
            <w:r w:rsidRPr="00641BDE">
              <w:t>Poprawka</w:t>
            </w:r>
          </w:p>
        </w:tc>
      </w:tr>
      <w:tr w:rsidR="001D5F6D" w:rsidRPr="00641BDE" w14:paraId="07BF2D3F" w14:textId="77777777" w:rsidTr="007C1C97">
        <w:trPr>
          <w:jc w:val="center"/>
        </w:trPr>
        <w:tc>
          <w:tcPr>
            <w:tcW w:w="4876" w:type="dxa"/>
            <w:tcBorders>
              <w:top w:val="nil"/>
              <w:left w:val="nil"/>
              <w:bottom w:val="nil"/>
              <w:right w:val="nil"/>
            </w:tcBorders>
          </w:tcPr>
          <w:p w14:paraId="5D8FA3E2" w14:textId="77777777" w:rsidR="001D5F6D" w:rsidRPr="00641BDE" w:rsidRDefault="001D5F6D" w:rsidP="007C1C97">
            <w:pPr>
              <w:pStyle w:val="Normal6a"/>
            </w:pPr>
          </w:p>
        </w:tc>
        <w:tc>
          <w:tcPr>
            <w:tcW w:w="4876" w:type="dxa"/>
            <w:tcBorders>
              <w:top w:val="nil"/>
              <w:left w:val="nil"/>
              <w:bottom w:val="nil"/>
              <w:right w:val="nil"/>
            </w:tcBorders>
          </w:tcPr>
          <w:p w14:paraId="6A8EEA4B" w14:textId="77777777" w:rsidR="001D5F6D" w:rsidRPr="00641BDE" w:rsidRDefault="001D5F6D" w:rsidP="007C1C97">
            <w:pPr>
              <w:pStyle w:val="Normal6a"/>
            </w:pPr>
            <w:r w:rsidRPr="00641BDE">
              <w:rPr>
                <w:b/>
                <w:i/>
              </w:rPr>
              <w:t>94e.</w:t>
            </w:r>
            <w:r w:rsidRPr="00641BDE">
              <w:tab/>
            </w:r>
            <w:r w:rsidRPr="00641BDE">
              <w:rPr>
                <w:b/>
                <w:i/>
              </w:rPr>
              <w:t xml:space="preserve">podkreśla, że EMA sygnalizowała utrzymujący się niedobór leków przeciwnowotworowych o krytycznym znaczeniu, w tym </w:t>
            </w:r>
            <w:proofErr w:type="spellStart"/>
            <w:r w:rsidRPr="00641BDE">
              <w:rPr>
                <w:b/>
                <w:i/>
              </w:rPr>
              <w:t>fludarabiny</w:t>
            </w:r>
            <w:proofErr w:type="spellEnd"/>
            <w:r w:rsidRPr="00641BDE">
              <w:rPr>
                <w:b/>
                <w:i/>
              </w:rPr>
              <w:t xml:space="preserve">, </w:t>
            </w:r>
            <w:proofErr w:type="spellStart"/>
            <w:r w:rsidRPr="00641BDE">
              <w:rPr>
                <w:b/>
                <w:i/>
              </w:rPr>
              <w:t>windezyny</w:t>
            </w:r>
            <w:proofErr w:type="spellEnd"/>
            <w:r w:rsidRPr="00641BDE">
              <w:rPr>
                <w:b/>
                <w:i/>
              </w:rPr>
              <w:t xml:space="preserve">, </w:t>
            </w:r>
            <w:proofErr w:type="spellStart"/>
            <w:r w:rsidRPr="00641BDE">
              <w:rPr>
                <w:b/>
                <w:i/>
              </w:rPr>
              <w:t>fluorouracylu</w:t>
            </w:r>
            <w:proofErr w:type="spellEnd"/>
            <w:r w:rsidRPr="00641BDE">
              <w:rPr>
                <w:b/>
                <w:i/>
              </w:rPr>
              <w:t xml:space="preserve">, </w:t>
            </w:r>
            <w:proofErr w:type="spellStart"/>
            <w:r w:rsidRPr="00641BDE">
              <w:rPr>
                <w:b/>
                <w:i/>
              </w:rPr>
              <w:t>cysplatyny</w:t>
            </w:r>
            <w:proofErr w:type="spellEnd"/>
            <w:r w:rsidRPr="00641BDE">
              <w:rPr>
                <w:b/>
                <w:i/>
              </w:rPr>
              <w:t xml:space="preserve">, </w:t>
            </w:r>
            <w:proofErr w:type="spellStart"/>
            <w:r w:rsidRPr="00641BDE">
              <w:rPr>
                <w:b/>
                <w:i/>
              </w:rPr>
              <w:t>topotekanu</w:t>
            </w:r>
            <w:proofErr w:type="spellEnd"/>
            <w:r w:rsidRPr="00641BDE">
              <w:rPr>
                <w:b/>
                <w:i/>
              </w:rPr>
              <w:t xml:space="preserve"> i </w:t>
            </w:r>
            <w:proofErr w:type="spellStart"/>
            <w:r w:rsidRPr="00641BDE">
              <w:rPr>
                <w:b/>
                <w:i/>
              </w:rPr>
              <w:t>metotreksatu</w:t>
            </w:r>
            <w:proofErr w:type="spellEnd"/>
            <w:r w:rsidRPr="00641BDE">
              <w:rPr>
                <w:b/>
                <w:i/>
              </w:rPr>
              <w:t xml:space="preserve">, które są niezbędne w leczeniu pacjentów z białaczką, </w:t>
            </w:r>
            <w:proofErr w:type="spellStart"/>
            <w:r w:rsidRPr="00641BDE">
              <w:rPr>
                <w:b/>
                <w:i/>
              </w:rPr>
              <w:t>chłoniakiem</w:t>
            </w:r>
            <w:proofErr w:type="spellEnd"/>
            <w:r w:rsidRPr="00641BDE">
              <w:rPr>
                <w:b/>
                <w:i/>
              </w:rPr>
              <w:t>, rakiem jajnika i drobnokomórkowym rakiem płuc;</w:t>
            </w:r>
          </w:p>
        </w:tc>
      </w:tr>
    </w:tbl>
    <w:p w14:paraId="4C376FE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05CBC1BD" w14:textId="77777777" w:rsidR="001D5F6D" w:rsidRPr="00641BDE" w:rsidRDefault="001D5F6D" w:rsidP="001D5F6D">
      <w:r w:rsidRPr="00641BDE">
        <w:rPr>
          <w:rStyle w:val="HideTWBExt"/>
        </w:rPr>
        <w:t>&lt;/Amend&gt;</w:t>
      </w:r>
    </w:p>
    <w:p w14:paraId="12AD84A5"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145</w:t>
      </w:r>
      <w:r w:rsidRPr="00641BDE">
        <w:rPr>
          <w:rStyle w:val="HideTWBExt"/>
          <w:b w:val="0"/>
        </w:rPr>
        <w:t>&lt;/NumAm&gt;</w:t>
      </w:r>
    </w:p>
    <w:p w14:paraId="25C66757"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47772D53" w14:textId="77777777" w:rsidR="001D5F6D" w:rsidRPr="00641BDE" w:rsidRDefault="001D5F6D" w:rsidP="001D5F6D">
      <w:pPr>
        <w:pStyle w:val="NormalBold"/>
      </w:pPr>
      <w:r w:rsidRPr="00641BDE">
        <w:rPr>
          <w:rStyle w:val="HideTWBExt"/>
          <w:b w:val="0"/>
        </w:rPr>
        <w:t>&lt;/RepeatBlock-By&gt;</w:t>
      </w:r>
    </w:p>
    <w:p w14:paraId="4212B640"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2E67AB5" w14:textId="77777777" w:rsidR="001D5F6D" w:rsidRPr="00641BDE" w:rsidRDefault="001D5F6D" w:rsidP="001D5F6D">
      <w:pPr>
        <w:pStyle w:val="NormalBold"/>
      </w:pPr>
      <w:r w:rsidRPr="00641BDE">
        <w:rPr>
          <w:rStyle w:val="HideTWBExt"/>
          <w:b w:val="0"/>
        </w:rPr>
        <w:t>&lt;Article&gt;</w:t>
      </w:r>
      <w:r w:rsidRPr="00641BDE">
        <w:t>Ustęp 94 f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ED75EAC" w14:textId="77777777" w:rsidTr="007C1C97">
        <w:trPr>
          <w:trHeight w:hRule="exact" w:val="240"/>
          <w:jc w:val="center"/>
        </w:trPr>
        <w:tc>
          <w:tcPr>
            <w:tcW w:w="9752" w:type="dxa"/>
            <w:gridSpan w:val="2"/>
            <w:tcBorders>
              <w:top w:val="nil"/>
              <w:left w:val="nil"/>
              <w:bottom w:val="nil"/>
              <w:right w:val="nil"/>
            </w:tcBorders>
          </w:tcPr>
          <w:p w14:paraId="3EFE5A34" w14:textId="77777777" w:rsidR="001D5F6D" w:rsidRPr="00641BDE" w:rsidRDefault="001D5F6D" w:rsidP="007C1C97"/>
        </w:tc>
      </w:tr>
      <w:tr w:rsidR="001D5F6D" w:rsidRPr="00641BDE" w14:paraId="69DE3ABE" w14:textId="77777777" w:rsidTr="007C1C97">
        <w:trPr>
          <w:trHeight w:val="240"/>
          <w:jc w:val="center"/>
        </w:trPr>
        <w:tc>
          <w:tcPr>
            <w:tcW w:w="4876" w:type="dxa"/>
            <w:tcBorders>
              <w:top w:val="nil"/>
              <w:left w:val="nil"/>
              <w:bottom w:val="nil"/>
              <w:right w:val="nil"/>
            </w:tcBorders>
          </w:tcPr>
          <w:p w14:paraId="6757C7E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D9C8D1C" w14:textId="77777777" w:rsidR="001D5F6D" w:rsidRPr="00641BDE" w:rsidRDefault="001D5F6D" w:rsidP="007C1C97">
            <w:pPr>
              <w:pStyle w:val="AmColumnHeading"/>
            </w:pPr>
            <w:r w:rsidRPr="00641BDE">
              <w:t>Poprawka</w:t>
            </w:r>
          </w:p>
        </w:tc>
      </w:tr>
      <w:tr w:rsidR="001D5F6D" w:rsidRPr="00641BDE" w14:paraId="4F1100E1" w14:textId="77777777" w:rsidTr="007C1C97">
        <w:trPr>
          <w:jc w:val="center"/>
        </w:trPr>
        <w:tc>
          <w:tcPr>
            <w:tcW w:w="4876" w:type="dxa"/>
            <w:tcBorders>
              <w:top w:val="nil"/>
              <w:left w:val="nil"/>
              <w:bottom w:val="nil"/>
              <w:right w:val="nil"/>
            </w:tcBorders>
          </w:tcPr>
          <w:p w14:paraId="0D80877C" w14:textId="77777777" w:rsidR="001D5F6D" w:rsidRPr="00641BDE" w:rsidRDefault="001D5F6D" w:rsidP="007C1C97">
            <w:pPr>
              <w:pStyle w:val="Normal6a"/>
            </w:pPr>
          </w:p>
        </w:tc>
        <w:tc>
          <w:tcPr>
            <w:tcW w:w="4876" w:type="dxa"/>
            <w:tcBorders>
              <w:top w:val="nil"/>
              <w:left w:val="nil"/>
              <w:bottom w:val="nil"/>
              <w:right w:val="nil"/>
            </w:tcBorders>
          </w:tcPr>
          <w:p w14:paraId="16DA4836" w14:textId="77777777" w:rsidR="001D5F6D" w:rsidRPr="00641BDE" w:rsidRDefault="001D5F6D" w:rsidP="007C1C97">
            <w:pPr>
              <w:pStyle w:val="Normal6a"/>
            </w:pPr>
            <w:r w:rsidRPr="00641BDE">
              <w:rPr>
                <w:b/>
                <w:i/>
              </w:rPr>
              <w:t>94f.</w:t>
            </w:r>
            <w:r w:rsidRPr="00641BDE">
              <w:tab/>
            </w:r>
            <w:r w:rsidRPr="00641BDE">
              <w:rPr>
                <w:b/>
                <w:i/>
              </w:rPr>
              <w:t>podkreśla, że EMA sygnalizowała utrzymujące się niedobory leków przeciwcukrzycowych o krytycznym znaczeniu, w tym insuliny asparginowej (</w:t>
            </w:r>
            <w:proofErr w:type="spellStart"/>
            <w:r w:rsidRPr="00641BDE">
              <w:rPr>
                <w:b/>
                <w:i/>
              </w:rPr>
              <w:t>Fiasp</w:t>
            </w:r>
            <w:proofErr w:type="spellEnd"/>
            <w:r w:rsidRPr="00641BDE">
              <w:rPr>
                <w:b/>
                <w:i/>
              </w:rPr>
              <w:t xml:space="preserve">, </w:t>
            </w:r>
            <w:proofErr w:type="spellStart"/>
            <w:r w:rsidRPr="00641BDE">
              <w:rPr>
                <w:b/>
                <w:i/>
              </w:rPr>
              <w:t>NovoRapid</w:t>
            </w:r>
            <w:proofErr w:type="spellEnd"/>
            <w:r w:rsidRPr="00641BDE">
              <w:rPr>
                <w:b/>
                <w:i/>
              </w:rPr>
              <w:t xml:space="preserve"> </w:t>
            </w:r>
            <w:proofErr w:type="spellStart"/>
            <w:r w:rsidRPr="00641BDE">
              <w:rPr>
                <w:b/>
                <w:i/>
              </w:rPr>
              <w:t>PumpCart</w:t>
            </w:r>
            <w:proofErr w:type="spellEnd"/>
            <w:r w:rsidRPr="00641BDE">
              <w:rPr>
                <w:b/>
                <w:i/>
              </w:rPr>
              <w:t xml:space="preserve">), insuliny </w:t>
            </w:r>
            <w:proofErr w:type="spellStart"/>
            <w:r w:rsidRPr="00641BDE">
              <w:rPr>
                <w:b/>
                <w:i/>
              </w:rPr>
              <w:t>lispro</w:t>
            </w:r>
            <w:proofErr w:type="spellEnd"/>
            <w:r w:rsidRPr="00641BDE">
              <w:rPr>
                <w:b/>
                <w:i/>
              </w:rPr>
              <w:t xml:space="preserve"> (Sanofi), insuliny ludzkiej we wszystkich postaciach o krótkim, szybkim, pośrednim, mieszanym i długim czasie działania, </w:t>
            </w:r>
            <w:proofErr w:type="spellStart"/>
            <w:r w:rsidRPr="00641BDE">
              <w:rPr>
                <w:b/>
                <w:i/>
              </w:rPr>
              <w:t>Insuman</w:t>
            </w:r>
            <w:proofErr w:type="spellEnd"/>
            <w:r w:rsidRPr="00641BDE">
              <w:rPr>
                <w:b/>
                <w:i/>
              </w:rPr>
              <w:t xml:space="preserve"> </w:t>
            </w:r>
            <w:proofErr w:type="spellStart"/>
            <w:r w:rsidRPr="00641BDE">
              <w:rPr>
                <w:b/>
                <w:i/>
              </w:rPr>
              <w:t>Rapid</w:t>
            </w:r>
            <w:proofErr w:type="spellEnd"/>
            <w:r w:rsidRPr="00641BDE">
              <w:rPr>
                <w:b/>
                <w:i/>
              </w:rPr>
              <w:t xml:space="preserve">, </w:t>
            </w:r>
            <w:proofErr w:type="spellStart"/>
            <w:r w:rsidRPr="00641BDE">
              <w:rPr>
                <w:b/>
                <w:i/>
              </w:rPr>
              <w:t>Basal</w:t>
            </w:r>
            <w:proofErr w:type="spellEnd"/>
            <w:r w:rsidRPr="00641BDE">
              <w:rPr>
                <w:b/>
                <w:i/>
              </w:rPr>
              <w:t xml:space="preserve">, </w:t>
            </w:r>
            <w:proofErr w:type="spellStart"/>
            <w:r w:rsidRPr="00641BDE">
              <w:rPr>
                <w:b/>
                <w:i/>
              </w:rPr>
              <w:t>Comb</w:t>
            </w:r>
            <w:proofErr w:type="spellEnd"/>
            <w:r w:rsidRPr="00641BDE">
              <w:rPr>
                <w:b/>
                <w:i/>
              </w:rPr>
              <w:t xml:space="preserve"> 25, </w:t>
            </w:r>
            <w:proofErr w:type="spellStart"/>
            <w:r w:rsidRPr="00641BDE">
              <w:rPr>
                <w:b/>
                <w:i/>
              </w:rPr>
              <w:t>liraglutydu</w:t>
            </w:r>
            <w:proofErr w:type="spellEnd"/>
            <w:r w:rsidRPr="00641BDE">
              <w:rPr>
                <w:b/>
                <w:i/>
              </w:rPr>
              <w:t xml:space="preserve"> (</w:t>
            </w:r>
            <w:proofErr w:type="spellStart"/>
            <w:r w:rsidRPr="00641BDE">
              <w:rPr>
                <w:b/>
                <w:i/>
              </w:rPr>
              <w:t>Victoza</w:t>
            </w:r>
            <w:proofErr w:type="spellEnd"/>
            <w:r w:rsidRPr="00641BDE">
              <w:rPr>
                <w:b/>
                <w:i/>
              </w:rPr>
              <w:t xml:space="preserve">), </w:t>
            </w:r>
            <w:proofErr w:type="spellStart"/>
            <w:r w:rsidRPr="00641BDE">
              <w:rPr>
                <w:b/>
                <w:i/>
              </w:rPr>
              <w:t>dulaglutydu</w:t>
            </w:r>
            <w:proofErr w:type="spellEnd"/>
            <w:r w:rsidRPr="00641BDE">
              <w:rPr>
                <w:b/>
                <w:i/>
              </w:rPr>
              <w:t xml:space="preserve"> (</w:t>
            </w:r>
            <w:proofErr w:type="spellStart"/>
            <w:r w:rsidRPr="00641BDE">
              <w:rPr>
                <w:b/>
                <w:i/>
              </w:rPr>
              <w:t>Trulicity</w:t>
            </w:r>
            <w:proofErr w:type="spellEnd"/>
            <w:r w:rsidRPr="00641BDE">
              <w:rPr>
                <w:b/>
                <w:i/>
              </w:rPr>
              <w:t xml:space="preserve">) i </w:t>
            </w:r>
            <w:proofErr w:type="spellStart"/>
            <w:r w:rsidRPr="00641BDE">
              <w:rPr>
                <w:b/>
                <w:i/>
              </w:rPr>
              <w:t>liraglutydu</w:t>
            </w:r>
            <w:proofErr w:type="spellEnd"/>
            <w:r w:rsidRPr="00641BDE">
              <w:rPr>
                <w:b/>
                <w:i/>
              </w:rPr>
              <w:t xml:space="preserve"> (</w:t>
            </w:r>
            <w:proofErr w:type="spellStart"/>
            <w:r w:rsidRPr="00641BDE">
              <w:rPr>
                <w:b/>
                <w:i/>
              </w:rPr>
              <w:t>Saxenda</w:t>
            </w:r>
            <w:proofErr w:type="spellEnd"/>
            <w:r w:rsidRPr="00641BDE">
              <w:rPr>
                <w:b/>
                <w:i/>
              </w:rPr>
              <w:t>), które są niezbędne w leczeniu cukrzycy typu 1 i 2 oraz u pacjentów potrzebujących agonistów receptora GLP-1 do kontroli poziomu cukru we krwi i zmniejszenia ryzyka metabolicznego;</w:t>
            </w:r>
          </w:p>
        </w:tc>
      </w:tr>
    </w:tbl>
    <w:p w14:paraId="5A5B999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07203E9A" w14:textId="77777777" w:rsidR="001D5F6D" w:rsidRPr="00641BDE" w:rsidRDefault="001D5F6D" w:rsidP="001D5F6D">
      <w:r w:rsidRPr="00641BDE">
        <w:rPr>
          <w:rStyle w:val="HideTWBExt"/>
        </w:rPr>
        <w:t>&lt;/Amend&gt;</w:t>
      </w:r>
    </w:p>
    <w:p w14:paraId="57DA8979"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146</w:t>
      </w:r>
      <w:r w:rsidRPr="00641BDE">
        <w:rPr>
          <w:rStyle w:val="HideTWBExt"/>
          <w:b w:val="0"/>
        </w:rPr>
        <w:t>&lt;/NumAm&gt;</w:t>
      </w:r>
    </w:p>
    <w:p w14:paraId="75D8C61D"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18353A9A" w14:textId="77777777" w:rsidR="001D5F6D" w:rsidRPr="00641BDE" w:rsidRDefault="001D5F6D" w:rsidP="001D5F6D">
      <w:pPr>
        <w:pStyle w:val="NormalBold"/>
      </w:pPr>
      <w:r w:rsidRPr="00641BDE">
        <w:rPr>
          <w:rStyle w:val="HideTWBExt"/>
          <w:b w:val="0"/>
        </w:rPr>
        <w:t>&lt;/RepeatBlock-By&gt;</w:t>
      </w:r>
    </w:p>
    <w:p w14:paraId="4D15E75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C597DDA" w14:textId="77777777" w:rsidR="001D5F6D" w:rsidRPr="00641BDE" w:rsidRDefault="001D5F6D" w:rsidP="001D5F6D">
      <w:pPr>
        <w:pStyle w:val="NormalBold"/>
      </w:pPr>
      <w:r w:rsidRPr="00641BDE">
        <w:rPr>
          <w:rStyle w:val="HideTWBExt"/>
          <w:b w:val="0"/>
        </w:rPr>
        <w:t>&lt;Article&gt;</w:t>
      </w:r>
      <w:r w:rsidRPr="00641BDE">
        <w:t>Ustęp 95 – wprowadzenie</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2ED206D" w14:textId="77777777" w:rsidTr="007C1C97">
        <w:trPr>
          <w:trHeight w:hRule="exact" w:val="240"/>
          <w:jc w:val="center"/>
        </w:trPr>
        <w:tc>
          <w:tcPr>
            <w:tcW w:w="9752" w:type="dxa"/>
            <w:gridSpan w:val="2"/>
            <w:tcBorders>
              <w:top w:val="nil"/>
              <w:left w:val="nil"/>
              <w:bottom w:val="nil"/>
              <w:right w:val="nil"/>
            </w:tcBorders>
          </w:tcPr>
          <w:p w14:paraId="703DEE55" w14:textId="77777777" w:rsidR="001D5F6D" w:rsidRPr="00641BDE" w:rsidRDefault="001D5F6D" w:rsidP="007C1C97"/>
        </w:tc>
      </w:tr>
      <w:tr w:rsidR="001D5F6D" w:rsidRPr="00641BDE" w14:paraId="4259744E" w14:textId="77777777" w:rsidTr="007C1C97">
        <w:trPr>
          <w:trHeight w:val="240"/>
          <w:jc w:val="center"/>
        </w:trPr>
        <w:tc>
          <w:tcPr>
            <w:tcW w:w="4876" w:type="dxa"/>
            <w:tcBorders>
              <w:top w:val="nil"/>
              <w:left w:val="nil"/>
              <w:bottom w:val="nil"/>
              <w:right w:val="nil"/>
            </w:tcBorders>
          </w:tcPr>
          <w:p w14:paraId="2E01BEA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3FBEA55" w14:textId="77777777" w:rsidR="001D5F6D" w:rsidRPr="00641BDE" w:rsidRDefault="001D5F6D" w:rsidP="007C1C97">
            <w:pPr>
              <w:pStyle w:val="AmColumnHeading"/>
            </w:pPr>
            <w:r w:rsidRPr="00641BDE">
              <w:t>Poprawka</w:t>
            </w:r>
          </w:p>
        </w:tc>
      </w:tr>
      <w:tr w:rsidR="001D5F6D" w:rsidRPr="00641BDE" w14:paraId="5E04B4B9" w14:textId="77777777" w:rsidTr="007C1C97">
        <w:trPr>
          <w:jc w:val="center"/>
        </w:trPr>
        <w:tc>
          <w:tcPr>
            <w:tcW w:w="4876" w:type="dxa"/>
            <w:tcBorders>
              <w:top w:val="nil"/>
              <w:left w:val="nil"/>
              <w:bottom w:val="nil"/>
              <w:right w:val="nil"/>
            </w:tcBorders>
          </w:tcPr>
          <w:p w14:paraId="7CCF9B5D" w14:textId="77777777" w:rsidR="001D5F6D" w:rsidRPr="00641BDE" w:rsidRDefault="001D5F6D" w:rsidP="007C1C97">
            <w:pPr>
              <w:pStyle w:val="Normal6a"/>
            </w:pPr>
            <w:r w:rsidRPr="00641BDE">
              <w:t>95.</w:t>
            </w:r>
            <w:r w:rsidRPr="00641BDE">
              <w:tab/>
              <w:t xml:space="preserve">wyraża poważne zaniepokojenie powtarzającymi się naruszeniami rozporządzenia finansowego </w:t>
            </w:r>
            <w:r w:rsidRPr="00641BDE">
              <w:rPr>
                <w:b/>
                <w:i/>
              </w:rPr>
              <w:t>stwierdzonymi</w:t>
            </w:r>
            <w:r w:rsidRPr="00641BDE">
              <w:t xml:space="preserve"> w </w:t>
            </w:r>
            <w:r w:rsidRPr="00641BDE">
              <w:rPr>
                <w:b/>
                <w:i/>
              </w:rPr>
              <w:t>procedurach udzielania</w:t>
            </w:r>
            <w:r w:rsidRPr="00641BDE">
              <w:t xml:space="preserve"> zamówień przez EUDA, odnotowując pięć nieprawidłowości </w:t>
            </w:r>
            <w:r w:rsidRPr="00641BDE">
              <w:rPr>
                <w:b/>
                <w:i/>
              </w:rPr>
              <w:t>wskazanych</w:t>
            </w:r>
            <w:r w:rsidRPr="00641BDE">
              <w:t xml:space="preserve"> przez Trybunał w 2024 r.</w:t>
            </w:r>
            <w:r w:rsidRPr="00641BDE">
              <w:rPr>
                <w:b/>
                <w:i/>
              </w:rPr>
              <w:t>; podkreśla, że nieprawidłowości te obejmują:</w:t>
            </w:r>
          </w:p>
        </w:tc>
        <w:tc>
          <w:tcPr>
            <w:tcW w:w="4876" w:type="dxa"/>
            <w:tcBorders>
              <w:top w:val="nil"/>
              <w:left w:val="nil"/>
              <w:bottom w:val="nil"/>
              <w:right w:val="nil"/>
            </w:tcBorders>
          </w:tcPr>
          <w:p w14:paraId="4388467B" w14:textId="77777777" w:rsidR="001D5F6D" w:rsidRPr="00641BDE" w:rsidRDefault="001D5F6D" w:rsidP="007C1C97">
            <w:pPr>
              <w:pStyle w:val="Normal6a"/>
            </w:pPr>
            <w:r w:rsidRPr="00641BDE">
              <w:t>95.</w:t>
            </w:r>
            <w:r w:rsidRPr="00641BDE">
              <w:tab/>
              <w:t xml:space="preserve">wyraża poważne zaniepokojenie powtarzającymi się naruszeniami rozporządzenia finansowego w </w:t>
            </w:r>
            <w:r w:rsidRPr="00641BDE">
              <w:rPr>
                <w:b/>
                <w:i/>
              </w:rPr>
              <w:t>udzielaniu</w:t>
            </w:r>
            <w:r w:rsidRPr="00641BDE">
              <w:t xml:space="preserve"> zamówień przez EUDA, odnotowując pięć nieprawidłowości </w:t>
            </w:r>
            <w:r w:rsidRPr="00641BDE">
              <w:rPr>
                <w:b/>
                <w:i/>
              </w:rPr>
              <w:t>stwierdzonych</w:t>
            </w:r>
            <w:r w:rsidRPr="00641BDE">
              <w:t xml:space="preserve"> przez Trybunał w 2024 r.</w:t>
            </w:r>
            <w:r w:rsidRPr="00641BDE">
              <w:rPr>
                <w:b/>
                <w:i/>
              </w:rPr>
              <w:t>: niedozwolony podział zamówień i stosowanie procedur negocjacyjnych bez uzasadnienia w przypadku zamówień w związku z wydarzeniem w Lizbonie (210 668 EUR); poważne niedociągnięcia w umowie o wartości 410 000 EUR dotyczącej systemu służącego do zgłaszania nielegalnego obrotu środkami odurzającymi, sprawiające, że umowa jest nieprawidłowa, a płatność w wysokości 60 000 EUR – nienależna; nadmierne płatności w wysokości 14 007 EUR na uroczystości inaugurujące wadliwe zamówienie o wartości 10 000 EUR na gromadzenie danych w Ukrainie oraz nieprzestrzeganie wymogów w zakresie upubliczniania informacji i oświadczeń o konflikcie interesów w zamówieniu na usługi tymczasowe o wartości 100 000 EUR;</w:t>
            </w:r>
          </w:p>
        </w:tc>
      </w:tr>
    </w:tbl>
    <w:p w14:paraId="75960774"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7A8DCB6" w14:textId="77777777" w:rsidR="001D5F6D" w:rsidRPr="00641BDE" w:rsidRDefault="001D5F6D" w:rsidP="001D5F6D">
      <w:r w:rsidRPr="00641BDE">
        <w:rPr>
          <w:rStyle w:val="HideTWBExt"/>
        </w:rPr>
        <w:t>&lt;/Amend&gt;</w:t>
      </w:r>
    </w:p>
    <w:p w14:paraId="4F634AC5"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147</w:t>
      </w:r>
      <w:r w:rsidRPr="00641BDE">
        <w:rPr>
          <w:rStyle w:val="HideTWBExt"/>
          <w:b w:val="0"/>
        </w:rPr>
        <w:t>&lt;/NumAm&gt;</w:t>
      </w:r>
    </w:p>
    <w:p w14:paraId="2F3834D2"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1A4F1A2F" w14:textId="77777777" w:rsidR="001D5F6D" w:rsidRPr="00641BDE" w:rsidRDefault="001D5F6D" w:rsidP="001D5F6D">
      <w:pPr>
        <w:pStyle w:val="NormalBold"/>
      </w:pPr>
      <w:r w:rsidRPr="00641BDE">
        <w:rPr>
          <w:rStyle w:val="HideTWBExt"/>
          <w:b w:val="0"/>
        </w:rPr>
        <w:t>&lt;/RepeatBlock-By&gt;</w:t>
      </w:r>
    </w:p>
    <w:p w14:paraId="67AC31E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4032091" w14:textId="77777777" w:rsidR="001D5F6D" w:rsidRPr="00641BDE" w:rsidRDefault="001D5F6D" w:rsidP="001D5F6D">
      <w:pPr>
        <w:pStyle w:val="NormalBold"/>
      </w:pPr>
      <w:r w:rsidRPr="00641BDE">
        <w:rPr>
          <w:rStyle w:val="HideTWBExt"/>
          <w:b w:val="0"/>
        </w:rPr>
        <w:t>&lt;Article&gt;</w:t>
      </w:r>
      <w:r w:rsidRPr="00641BDE">
        <w:t xml:space="preserve">Ustęp 95 – </w:t>
      </w:r>
      <w:proofErr w:type="spellStart"/>
      <w:r w:rsidRPr="00641BDE">
        <w:t>tiret</w:t>
      </w:r>
      <w:proofErr w:type="spellEnd"/>
      <w:r w:rsidRPr="00641BDE">
        <w:t xml:space="preserve"> 1</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E0CFA01" w14:textId="77777777" w:rsidTr="007C1C97">
        <w:trPr>
          <w:trHeight w:hRule="exact" w:val="240"/>
          <w:jc w:val="center"/>
        </w:trPr>
        <w:tc>
          <w:tcPr>
            <w:tcW w:w="9752" w:type="dxa"/>
            <w:gridSpan w:val="2"/>
            <w:tcBorders>
              <w:top w:val="nil"/>
              <w:left w:val="nil"/>
              <w:bottom w:val="nil"/>
              <w:right w:val="nil"/>
            </w:tcBorders>
          </w:tcPr>
          <w:p w14:paraId="1705369E" w14:textId="77777777" w:rsidR="001D5F6D" w:rsidRPr="00641BDE" w:rsidRDefault="001D5F6D" w:rsidP="007C1C97"/>
        </w:tc>
      </w:tr>
      <w:tr w:rsidR="001D5F6D" w:rsidRPr="00641BDE" w14:paraId="6FCCD8CB" w14:textId="77777777" w:rsidTr="007C1C97">
        <w:trPr>
          <w:trHeight w:val="240"/>
          <w:jc w:val="center"/>
        </w:trPr>
        <w:tc>
          <w:tcPr>
            <w:tcW w:w="4876" w:type="dxa"/>
            <w:tcBorders>
              <w:top w:val="nil"/>
              <w:left w:val="nil"/>
              <w:bottom w:val="nil"/>
              <w:right w:val="nil"/>
            </w:tcBorders>
          </w:tcPr>
          <w:p w14:paraId="12DFD17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F7327DB" w14:textId="77777777" w:rsidR="001D5F6D" w:rsidRPr="00641BDE" w:rsidRDefault="001D5F6D" w:rsidP="007C1C97">
            <w:pPr>
              <w:pStyle w:val="AmColumnHeading"/>
            </w:pPr>
            <w:r w:rsidRPr="00641BDE">
              <w:t>Poprawka</w:t>
            </w:r>
          </w:p>
        </w:tc>
      </w:tr>
      <w:tr w:rsidR="001D5F6D" w:rsidRPr="00641BDE" w14:paraId="744EE1D2" w14:textId="77777777" w:rsidTr="007C1C97">
        <w:trPr>
          <w:jc w:val="center"/>
        </w:trPr>
        <w:tc>
          <w:tcPr>
            <w:tcW w:w="4876" w:type="dxa"/>
            <w:tcBorders>
              <w:top w:val="nil"/>
              <w:left w:val="nil"/>
              <w:bottom w:val="nil"/>
              <w:right w:val="nil"/>
            </w:tcBorders>
          </w:tcPr>
          <w:p w14:paraId="20A5D497" w14:textId="77777777" w:rsidR="001D5F6D" w:rsidRPr="00641BDE" w:rsidRDefault="001D5F6D" w:rsidP="007C1C97">
            <w:pPr>
              <w:pStyle w:val="Normal6a"/>
            </w:pPr>
            <w:r w:rsidRPr="00641BDE">
              <w:rPr>
                <w:b/>
                <w:i/>
              </w:rPr>
              <w:t>–</w:t>
            </w:r>
            <w:r w:rsidRPr="00641BDE">
              <w:tab/>
            </w:r>
            <w:r w:rsidRPr="00641BDE">
              <w:rPr>
                <w:b/>
                <w:i/>
              </w:rPr>
              <w:t>niedozwolony podział zamówień i niewłaściwe stosowanie procedur negocjacyjnych bez uzasadnienia w przypadku trzech zamówień w związku z wydarzeniem w Lizbonie (najem obiektów i catering, na łączną kwotę 210 668 EUR), wraz z brakiem kluczowej dokumentacji i niespełnieniem wymogów dotyczących publikowania informacji na temat zamówień;</w:t>
            </w:r>
          </w:p>
        </w:tc>
        <w:tc>
          <w:tcPr>
            <w:tcW w:w="4876" w:type="dxa"/>
            <w:tcBorders>
              <w:top w:val="nil"/>
              <w:left w:val="nil"/>
              <w:bottom w:val="nil"/>
              <w:right w:val="nil"/>
            </w:tcBorders>
          </w:tcPr>
          <w:p w14:paraId="14D96D9D" w14:textId="77777777" w:rsidR="001D5F6D" w:rsidRPr="00641BDE" w:rsidRDefault="001D5F6D" w:rsidP="007C1C97">
            <w:pPr>
              <w:pStyle w:val="Normal6a"/>
            </w:pPr>
            <w:r w:rsidRPr="00641BDE">
              <w:rPr>
                <w:b/>
                <w:i/>
              </w:rPr>
              <w:t>skreśla się</w:t>
            </w:r>
          </w:p>
        </w:tc>
      </w:tr>
    </w:tbl>
    <w:p w14:paraId="113A219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E2656EB" w14:textId="77777777" w:rsidR="001D5F6D" w:rsidRPr="00641BDE" w:rsidRDefault="001D5F6D" w:rsidP="001D5F6D">
      <w:r w:rsidRPr="00641BDE">
        <w:rPr>
          <w:rStyle w:val="HideTWBExt"/>
        </w:rPr>
        <w:t>&lt;/Amend&gt;</w:t>
      </w:r>
    </w:p>
    <w:p w14:paraId="373C480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148</w:t>
      </w:r>
      <w:r w:rsidRPr="00641BDE">
        <w:rPr>
          <w:rStyle w:val="HideTWBExt"/>
          <w:b w:val="0"/>
        </w:rPr>
        <w:t>&lt;/NumAm&gt;</w:t>
      </w:r>
    </w:p>
    <w:p w14:paraId="1EA35D41"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7C3D48FF" w14:textId="77777777" w:rsidR="001D5F6D" w:rsidRPr="00641BDE" w:rsidRDefault="001D5F6D" w:rsidP="001D5F6D">
      <w:pPr>
        <w:pStyle w:val="NormalBold"/>
      </w:pPr>
      <w:r w:rsidRPr="00641BDE">
        <w:rPr>
          <w:rStyle w:val="HideTWBExt"/>
          <w:b w:val="0"/>
        </w:rPr>
        <w:t>&lt;/RepeatBlock-By&gt;</w:t>
      </w:r>
    </w:p>
    <w:p w14:paraId="56265C4A"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8AF7441" w14:textId="77777777" w:rsidR="001D5F6D" w:rsidRPr="00641BDE" w:rsidRDefault="001D5F6D" w:rsidP="001D5F6D">
      <w:pPr>
        <w:pStyle w:val="NormalBold"/>
      </w:pPr>
      <w:r w:rsidRPr="00641BDE">
        <w:rPr>
          <w:rStyle w:val="HideTWBExt"/>
          <w:b w:val="0"/>
        </w:rPr>
        <w:t>&lt;Article&gt;</w:t>
      </w:r>
      <w:r w:rsidRPr="00641BDE">
        <w:t xml:space="preserve">Ustęp 95 – </w:t>
      </w:r>
      <w:proofErr w:type="spellStart"/>
      <w:r w:rsidRPr="00641BDE">
        <w:t>tiret</w:t>
      </w:r>
      <w:proofErr w:type="spellEnd"/>
      <w:r w:rsidRPr="00641BDE">
        <w:t xml:space="preserve"> 2</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C5DD0CC" w14:textId="77777777" w:rsidTr="007C1C97">
        <w:trPr>
          <w:trHeight w:hRule="exact" w:val="240"/>
          <w:jc w:val="center"/>
        </w:trPr>
        <w:tc>
          <w:tcPr>
            <w:tcW w:w="9752" w:type="dxa"/>
            <w:gridSpan w:val="2"/>
            <w:tcBorders>
              <w:top w:val="nil"/>
              <w:left w:val="nil"/>
              <w:bottom w:val="nil"/>
              <w:right w:val="nil"/>
            </w:tcBorders>
          </w:tcPr>
          <w:p w14:paraId="1E0B8E46" w14:textId="77777777" w:rsidR="001D5F6D" w:rsidRPr="00641BDE" w:rsidRDefault="001D5F6D" w:rsidP="007C1C97"/>
        </w:tc>
      </w:tr>
      <w:tr w:rsidR="001D5F6D" w:rsidRPr="00641BDE" w14:paraId="4BF8B8F9" w14:textId="77777777" w:rsidTr="007C1C97">
        <w:trPr>
          <w:trHeight w:val="240"/>
          <w:jc w:val="center"/>
        </w:trPr>
        <w:tc>
          <w:tcPr>
            <w:tcW w:w="4876" w:type="dxa"/>
            <w:tcBorders>
              <w:top w:val="nil"/>
              <w:left w:val="nil"/>
              <w:bottom w:val="nil"/>
              <w:right w:val="nil"/>
            </w:tcBorders>
          </w:tcPr>
          <w:p w14:paraId="761FF2E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2B59A99" w14:textId="77777777" w:rsidR="001D5F6D" w:rsidRPr="00641BDE" w:rsidRDefault="001D5F6D" w:rsidP="007C1C97">
            <w:pPr>
              <w:pStyle w:val="AmColumnHeading"/>
            </w:pPr>
            <w:r w:rsidRPr="00641BDE">
              <w:t>Poprawka</w:t>
            </w:r>
          </w:p>
        </w:tc>
      </w:tr>
      <w:tr w:rsidR="001D5F6D" w:rsidRPr="00641BDE" w14:paraId="731F597D" w14:textId="77777777" w:rsidTr="007C1C97">
        <w:trPr>
          <w:jc w:val="center"/>
        </w:trPr>
        <w:tc>
          <w:tcPr>
            <w:tcW w:w="4876" w:type="dxa"/>
            <w:tcBorders>
              <w:top w:val="nil"/>
              <w:left w:val="nil"/>
              <w:bottom w:val="nil"/>
              <w:right w:val="nil"/>
            </w:tcBorders>
          </w:tcPr>
          <w:p w14:paraId="1FDCF6AF" w14:textId="77777777" w:rsidR="001D5F6D" w:rsidRPr="00641BDE" w:rsidRDefault="001D5F6D" w:rsidP="007C1C97">
            <w:pPr>
              <w:pStyle w:val="Normal6a"/>
            </w:pPr>
            <w:r w:rsidRPr="00641BDE">
              <w:rPr>
                <w:b/>
                <w:i/>
              </w:rPr>
              <w:t>–</w:t>
            </w:r>
            <w:r w:rsidRPr="00641BDE">
              <w:tab/>
            </w:r>
            <w:r w:rsidRPr="00641BDE">
              <w:rPr>
                <w:b/>
                <w:i/>
              </w:rPr>
              <w:t>poważne niedociągnięcia w umowie o wartości 410 000 EUR dotyczącej systemu służącego do zgłaszania nielegalnego obrotu środkami odurzającymi, w tym brak odpowiednich specyfikacji istotnych warunków zamówienia, brak kryteriów udzielenia zamówienia i niepowołanie komisji oceniającej, co sprawia, że umowa jest nieprawidłowa, a płatność w wysokości 60 000 EUR – nienależna;</w:t>
            </w:r>
          </w:p>
        </w:tc>
        <w:tc>
          <w:tcPr>
            <w:tcW w:w="4876" w:type="dxa"/>
            <w:tcBorders>
              <w:top w:val="nil"/>
              <w:left w:val="nil"/>
              <w:bottom w:val="nil"/>
              <w:right w:val="nil"/>
            </w:tcBorders>
          </w:tcPr>
          <w:p w14:paraId="7AF06353" w14:textId="77777777" w:rsidR="001D5F6D" w:rsidRPr="00641BDE" w:rsidRDefault="001D5F6D" w:rsidP="007C1C97">
            <w:pPr>
              <w:pStyle w:val="Normal6a"/>
            </w:pPr>
            <w:r w:rsidRPr="00641BDE">
              <w:rPr>
                <w:b/>
                <w:i/>
              </w:rPr>
              <w:t>skreśla się</w:t>
            </w:r>
          </w:p>
        </w:tc>
      </w:tr>
    </w:tbl>
    <w:p w14:paraId="14B917C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BD31C5F" w14:textId="77777777" w:rsidR="001D5F6D" w:rsidRPr="00641BDE" w:rsidRDefault="001D5F6D" w:rsidP="001D5F6D">
      <w:r w:rsidRPr="00641BDE">
        <w:rPr>
          <w:rStyle w:val="HideTWBExt"/>
        </w:rPr>
        <w:t>&lt;/Amend&gt;</w:t>
      </w:r>
    </w:p>
    <w:p w14:paraId="199B04D5"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149</w:t>
      </w:r>
      <w:r w:rsidRPr="00641BDE">
        <w:rPr>
          <w:rStyle w:val="HideTWBExt"/>
          <w:b w:val="0"/>
        </w:rPr>
        <w:t>&lt;/NumAm&gt;</w:t>
      </w:r>
    </w:p>
    <w:p w14:paraId="6B151A58"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23A0A04D" w14:textId="77777777" w:rsidR="001D5F6D" w:rsidRPr="00641BDE" w:rsidRDefault="001D5F6D" w:rsidP="001D5F6D">
      <w:pPr>
        <w:pStyle w:val="NormalBold"/>
      </w:pPr>
      <w:r w:rsidRPr="00641BDE">
        <w:rPr>
          <w:rStyle w:val="HideTWBExt"/>
          <w:b w:val="0"/>
        </w:rPr>
        <w:t>&lt;/RepeatBlock-By&gt;</w:t>
      </w:r>
    </w:p>
    <w:p w14:paraId="6432670A"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CA7C5E4" w14:textId="77777777" w:rsidR="001D5F6D" w:rsidRPr="00641BDE" w:rsidRDefault="001D5F6D" w:rsidP="001D5F6D">
      <w:pPr>
        <w:pStyle w:val="NormalBold"/>
      </w:pPr>
      <w:r w:rsidRPr="00641BDE">
        <w:rPr>
          <w:rStyle w:val="HideTWBExt"/>
          <w:b w:val="0"/>
        </w:rPr>
        <w:t>&lt;Article&gt;</w:t>
      </w:r>
      <w:r w:rsidRPr="00641BDE">
        <w:t xml:space="preserve">Ustęp 95 – </w:t>
      </w:r>
      <w:proofErr w:type="spellStart"/>
      <w:r w:rsidRPr="00641BDE">
        <w:t>tiret</w:t>
      </w:r>
      <w:proofErr w:type="spellEnd"/>
      <w:r w:rsidRPr="00641BDE">
        <w:t xml:space="preserve"> 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41C00E0" w14:textId="77777777" w:rsidTr="007C1C97">
        <w:trPr>
          <w:trHeight w:hRule="exact" w:val="240"/>
          <w:jc w:val="center"/>
        </w:trPr>
        <w:tc>
          <w:tcPr>
            <w:tcW w:w="9752" w:type="dxa"/>
            <w:gridSpan w:val="2"/>
            <w:tcBorders>
              <w:top w:val="nil"/>
              <w:left w:val="nil"/>
              <w:bottom w:val="nil"/>
              <w:right w:val="nil"/>
            </w:tcBorders>
          </w:tcPr>
          <w:p w14:paraId="4B5FC52C" w14:textId="77777777" w:rsidR="001D5F6D" w:rsidRPr="00641BDE" w:rsidRDefault="001D5F6D" w:rsidP="007C1C97"/>
        </w:tc>
      </w:tr>
      <w:tr w:rsidR="001D5F6D" w:rsidRPr="00641BDE" w14:paraId="1F16FC74" w14:textId="77777777" w:rsidTr="007C1C97">
        <w:trPr>
          <w:trHeight w:val="240"/>
          <w:jc w:val="center"/>
        </w:trPr>
        <w:tc>
          <w:tcPr>
            <w:tcW w:w="4876" w:type="dxa"/>
            <w:tcBorders>
              <w:top w:val="nil"/>
              <w:left w:val="nil"/>
              <w:bottom w:val="nil"/>
              <w:right w:val="nil"/>
            </w:tcBorders>
          </w:tcPr>
          <w:p w14:paraId="315A6DB0"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52ECA62" w14:textId="77777777" w:rsidR="001D5F6D" w:rsidRPr="00641BDE" w:rsidRDefault="001D5F6D" w:rsidP="007C1C97">
            <w:pPr>
              <w:pStyle w:val="AmColumnHeading"/>
            </w:pPr>
            <w:r w:rsidRPr="00641BDE">
              <w:t>Poprawka</w:t>
            </w:r>
          </w:p>
        </w:tc>
      </w:tr>
      <w:tr w:rsidR="001D5F6D" w:rsidRPr="00641BDE" w14:paraId="7CEB0E9D" w14:textId="77777777" w:rsidTr="007C1C97">
        <w:trPr>
          <w:jc w:val="center"/>
        </w:trPr>
        <w:tc>
          <w:tcPr>
            <w:tcW w:w="4876" w:type="dxa"/>
            <w:tcBorders>
              <w:top w:val="nil"/>
              <w:left w:val="nil"/>
              <w:bottom w:val="nil"/>
              <w:right w:val="nil"/>
            </w:tcBorders>
          </w:tcPr>
          <w:p w14:paraId="4FDFA284" w14:textId="77777777" w:rsidR="001D5F6D" w:rsidRPr="00641BDE" w:rsidRDefault="001D5F6D" w:rsidP="007C1C97">
            <w:pPr>
              <w:pStyle w:val="Normal6a"/>
            </w:pPr>
            <w:r w:rsidRPr="00641BDE">
              <w:rPr>
                <w:b/>
                <w:i/>
              </w:rPr>
              <w:t>–</w:t>
            </w:r>
            <w:r w:rsidRPr="00641BDE">
              <w:tab/>
            </w:r>
            <w:r w:rsidRPr="00641BDE">
              <w:rPr>
                <w:b/>
                <w:i/>
              </w:rPr>
              <w:t>nadmierne płatności w wysokości 14 007 EUR powyżej uzgodnionej wartości zamówienia na uroczystości inaugurujące, co stanowi naruszenie art. 73 rozporządzenia finansowego EUDA;</w:t>
            </w:r>
          </w:p>
        </w:tc>
        <w:tc>
          <w:tcPr>
            <w:tcW w:w="4876" w:type="dxa"/>
            <w:tcBorders>
              <w:top w:val="nil"/>
              <w:left w:val="nil"/>
              <w:bottom w:val="nil"/>
              <w:right w:val="nil"/>
            </w:tcBorders>
          </w:tcPr>
          <w:p w14:paraId="516A7A85" w14:textId="77777777" w:rsidR="001D5F6D" w:rsidRPr="00641BDE" w:rsidRDefault="001D5F6D" w:rsidP="007C1C97">
            <w:pPr>
              <w:pStyle w:val="Normal6a"/>
            </w:pPr>
            <w:r w:rsidRPr="00641BDE">
              <w:rPr>
                <w:b/>
                <w:i/>
              </w:rPr>
              <w:t>skreśla się</w:t>
            </w:r>
          </w:p>
        </w:tc>
      </w:tr>
    </w:tbl>
    <w:p w14:paraId="609C961E"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237EB1D" w14:textId="77777777" w:rsidR="001D5F6D" w:rsidRPr="00641BDE" w:rsidRDefault="001D5F6D" w:rsidP="001D5F6D">
      <w:r w:rsidRPr="00641BDE">
        <w:rPr>
          <w:rStyle w:val="HideTWBExt"/>
        </w:rPr>
        <w:t>&lt;/Amend&gt;</w:t>
      </w:r>
    </w:p>
    <w:p w14:paraId="0ECEE45B"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150</w:t>
      </w:r>
      <w:r w:rsidRPr="00641BDE">
        <w:rPr>
          <w:rStyle w:val="HideTWBExt"/>
          <w:b w:val="0"/>
        </w:rPr>
        <w:t>&lt;/NumAm&gt;</w:t>
      </w:r>
    </w:p>
    <w:p w14:paraId="321B3BC5"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59D0BDB2" w14:textId="77777777" w:rsidR="001D5F6D" w:rsidRPr="00641BDE" w:rsidRDefault="001D5F6D" w:rsidP="001D5F6D">
      <w:pPr>
        <w:pStyle w:val="NormalBold"/>
      </w:pPr>
      <w:r w:rsidRPr="00641BDE">
        <w:rPr>
          <w:rStyle w:val="HideTWBExt"/>
          <w:b w:val="0"/>
        </w:rPr>
        <w:t>&lt;/RepeatBlock-By&gt;</w:t>
      </w:r>
    </w:p>
    <w:p w14:paraId="380A3A4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B6B26E9" w14:textId="77777777" w:rsidR="001D5F6D" w:rsidRPr="00641BDE" w:rsidRDefault="001D5F6D" w:rsidP="001D5F6D">
      <w:pPr>
        <w:pStyle w:val="NormalBold"/>
      </w:pPr>
      <w:r w:rsidRPr="00641BDE">
        <w:rPr>
          <w:rStyle w:val="HideTWBExt"/>
          <w:b w:val="0"/>
        </w:rPr>
        <w:t>&lt;Article&gt;</w:t>
      </w:r>
      <w:r w:rsidRPr="00641BDE">
        <w:t xml:space="preserve">Ustęp 95 – </w:t>
      </w:r>
      <w:proofErr w:type="spellStart"/>
      <w:r w:rsidRPr="00641BDE">
        <w:t>tiret</w:t>
      </w:r>
      <w:proofErr w:type="spellEnd"/>
      <w:r w:rsidRPr="00641BDE">
        <w:t xml:space="preserve"> 4</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1BD0E64" w14:textId="77777777" w:rsidTr="007C1C97">
        <w:trPr>
          <w:trHeight w:hRule="exact" w:val="240"/>
          <w:jc w:val="center"/>
        </w:trPr>
        <w:tc>
          <w:tcPr>
            <w:tcW w:w="9752" w:type="dxa"/>
            <w:gridSpan w:val="2"/>
            <w:tcBorders>
              <w:top w:val="nil"/>
              <w:left w:val="nil"/>
              <w:bottom w:val="nil"/>
              <w:right w:val="nil"/>
            </w:tcBorders>
          </w:tcPr>
          <w:p w14:paraId="58C0A66A" w14:textId="77777777" w:rsidR="001D5F6D" w:rsidRPr="00641BDE" w:rsidRDefault="001D5F6D" w:rsidP="007C1C97"/>
        </w:tc>
      </w:tr>
      <w:tr w:rsidR="001D5F6D" w:rsidRPr="00641BDE" w14:paraId="2467E25D" w14:textId="77777777" w:rsidTr="007C1C97">
        <w:trPr>
          <w:trHeight w:val="240"/>
          <w:jc w:val="center"/>
        </w:trPr>
        <w:tc>
          <w:tcPr>
            <w:tcW w:w="4876" w:type="dxa"/>
            <w:tcBorders>
              <w:top w:val="nil"/>
              <w:left w:val="nil"/>
              <w:bottom w:val="nil"/>
              <w:right w:val="nil"/>
            </w:tcBorders>
          </w:tcPr>
          <w:p w14:paraId="7CDE0304"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C26B7D9" w14:textId="77777777" w:rsidR="001D5F6D" w:rsidRPr="00641BDE" w:rsidRDefault="001D5F6D" w:rsidP="007C1C97">
            <w:pPr>
              <w:pStyle w:val="AmColumnHeading"/>
            </w:pPr>
            <w:r w:rsidRPr="00641BDE">
              <w:t>Poprawka</w:t>
            </w:r>
          </w:p>
        </w:tc>
      </w:tr>
      <w:tr w:rsidR="001D5F6D" w:rsidRPr="00641BDE" w14:paraId="13E19D60" w14:textId="77777777" w:rsidTr="007C1C97">
        <w:trPr>
          <w:jc w:val="center"/>
        </w:trPr>
        <w:tc>
          <w:tcPr>
            <w:tcW w:w="4876" w:type="dxa"/>
            <w:tcBorders>
              <w:top w:val="nil"/>
              <w:left w:val="nil"/>
              <w:bottom w:val="nil"/>
              <w:right w:val="nil"/>
            </w:tcBorders>
          </w:tcPr>
          <w:p w14:paraId="4063DE3B" w14:textId="77777777" w:rsidR="001D5F6D" w:rsidRPr="00641BDE" w:rsidRDefault="001D5F6D" w:rsidP="007C1C97">
            <w:pPr>
              <w:pStyle w:val="Normal6a"/>
            </w:pPr>
            <w:r w:rsidRPr="00641BDE">
              <w:rPr>
                <w:b/>
                <w:i/>
              </w:rPr>
              <w:t>–</w:t>
            </w:r>
            <w:r w:rsidRPr="00641BDE">
              <w:tab/>
            </w:r>
            <w:r w:rsidRPr="00641BDE">
              <w:rPr>
                <w:b/>
                <w:i/>
              </w:rPr>
              <w:t>wadliwe zamówienie o wartości 10 000 EUR na gromadzenie danych w Ukrainie, w którym brakowało kryteriów udzielenia zamówienia i odpowiedniej dokumentacji;</w:t>
            </w:r>
          </w:p>
        </w:tc>
        <w:tc>
          <w:tcPr>
            <w:tcW w:w="4876" w:type="dxa"/>
            <w:tcBorders>
              <w:top w:val="nil"/>
              <w:left w:val="nil"/>
              <w:bottom w:val="nil"/>
              <w:right w:val="nil"/>
            </w:tcBorders>
          </w:tcPr>
          <w:p w14:paraId="52514C1C" w14:textId="77777777" w:rsidR="001D5F6D" w:rsidRPr="00641BDE" w:rsidRDefault="001D5F6D" w:rsidP="007C1C97">
            <w:pPr>
              <w:pStyle w:val="Normal6a"/>
            </w:pPr>
            <w:r w:rsidRPr="00641BDE">
              <w:rPr>
                <w:b/>
                <w:i/>
              </w:rPr>
              <w:t>skreśla się</w:t>
            </w:r>
          </w:p>
        </w:tc>
      </w:tr>
    </w:tbl>
    <w:p w14:paraId="515F1F2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939F1C1" w14:textId="77777777" w:rsidR="001D5F6D" w:rsidRPr="00641BDE" w:rsidRDefault="001D5F6D" w:rsidP="001D5F6D">
      <w:r w:rsidRPr="00641BDE">
        <w:rPr>
          <w:rStyle w:val="HideTWBExt"/>
        </w:rPr>
        <w:t>&lt;/Amend&gt;</w:t>
      </w:r>
    </w:p>
    <w:p w14:paraId="55B9372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151</w:t>
      </w:r>
      <w:r w:rsidRPr="00641BDE">
        <w:rPr>
          <w:rStyle w:val="HideTWBExt"/>
          <w:b w:val="0"/>
        </w:rPr>
        <w:t>&lt;/NumAm&gt;</w:t>
      </w:r>
    </w:p>
    <w:p w14:paraId="3D85551E"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3F1F2F19" w14:textId="77777777" w:rsidR="001D5F6D" w:rsidRPr="00641BDE" w:rsidRDefault="001D5F6D" w:rsidP="001D5F6D">
      <w:pPr>
        <w:pStyle w:val="NormalBold"/>
      </w:pPr>
      <w:r w:rsidRPr="00641BDE">
        <w:rPr>
          <w:rStyle w:val="HideTWBExt"/>
          <w:b w:val="0"/>
        </w:rPr>
        <w:t>&lt;/RepeatBlock-By&gt;</w:t>
      </w:r>
    </w:p>
    <w:p w14:paraId="2A5EABB3"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CEDAECC" w14:textId="77777777" w:rsidR="001D5F6D" w:rsidRPr="00641BDE" w:rsidRDefault="001D5F6D" w:rsidP="001D5F6D">
      <w:pPr>
        <w:pStyle w:val="NormalBold"/>
      </w:pPr>
      <w:r w:rsidRPr="00641BDE">
        <w:rPr>
          <w:rStyle w:val="HideTWBExt"/>
          <w:b w:val="0"/>
        </w:rPr>
        <w:t>&lt;Article&gt;</w:t>
      </w:r>
      <w:r w:rsidRPr="00641BDE">
        <w:t xml:space="preserve">Ustęp 95 – </w:t>
      </w:r>
      <w:proofErr w:type="spellStart"/>
      <w:r w:rsidRPr="00641BDE">
        <w:t>tiret</w:t>
      </w:r>
      <w:proofErr w:type="spellEnd"/>
      <w:r w:rsidRPr="00641BDE">
        <w:t xml:space="preserve"> 5</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9F6069A" w14:textId="77777777" w:rsidTr="007C1C97">
        <w:trPr>
          <w:trHeight w:hRule="exact" w:val="240"/>
          <w:jc w:val="center"/>
        </w:trPr>
        <w:tc>
          <w:tcPr>
            <w:tcW w:w="9752" w:type="dxa"/>
            <w:gridSpan w:val="2"/>
            <w:tcBorders>
              <w:top w:val="nil"/>
              <w:left w:val="nil"/>
              <w:bottom w:val="nil"/>
              <w:right w:val="nil"/>
            </w:tcBorders>
          </w:tcPr>
          <w:p w14:paraId="15578780" w14:textId="77777777" w:rsidR="001D5F6D" w:rsidRPr="00641BDE" w:rsidRDefault="001D5F6D" w:rsidP="007C1C97"/>
        </w:tc>
      </w:tr>
      <w:tr w:rsidR="001D5F6D" w:rsidRPr="00641BDE" w14:paraId="2B1F51D5" w14:textId="77777777" w:rsidTr="007C1C97">
        <w:trPr>
          <w:trHeight w:val="240"/>
          <w:jc w:val="center"/>
        </w:trPr>
        <w:tc>
          <w:tcPr>
            <w:tcW w:w="4876" w:type="dxa"/>
            <w:tcBorders>
              <w:top w:val="nil"/>
              <w:left w:val="nil"/>
              <w:bottom w:val="nil"/>
              <w:right w:val="nil"/>
            </w:tcBorders>
          </w:tcPr>
          <w:p w14:paraId="4E68184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A77A5C6" w14:textId="77777777" w:rsidR="001D5F6D" w:rsidRPr="00641BDE" w:rsidRDefault="001D5F6D" w:rsidP="007C1C97">
            <w:pPr>
              <w:pStyle w:val="AmColumnHeading"/>
            </w:pPr>
            <w:r w:rsidRPr="00641BDE">
              <w:t>Poprawka</w:t>
            </w:r>
          </w:p>
        </w:tc>
      </w:tr>
      <w:tr w:rsidR="001D5F6D" w:rsidRPr="00641BDE" w14:paraId="08FD017D" w14:textId="77777777" w:rsidTr="007C1C97">
        <w:trPr>
          <w:jc w:val="center"/>
        </w:trPr>
        <w:tc>
          <w:tcPr>
            <w:tcW w:w="4876" w:type="dxa"/>
            <w:tcBorders>
              <w:top w:val="nil"/>
              <w:left w:val="nil"/>
              <w:bottom w:val="nil"/>
              <w:right w:val="nil"/>
            </w:tcBorders>
          </w:tcPr>
          <w:p w14:paraId="6B9314FE" w14:textId="77777777" w:rsidR="001D5F6D" w:rsidRPr="00641BDE" w:rsidRDefault="001D5F6D" w:rsidP="007C1C97">
            <w:pPr>
              <w:pStyle w:val="Normal6a"/>
            </w:pPr>
            <w:r w:rsidRPr="00641BDE">
              <w:rPr>
                <w:b/>
                <w:i/>
              </w:rPr>
              <w:t>–</w:t>
            </w:r>
            <w:r w:rsidRPr="00641BDE">
              <w:tab/>
            </w:r>
            <w:r w:rsidRPr="00641BDE">
              <w:rPr>
                <w:b/>
                <w:i/>
              </w:rPr>
              <w:t>nieprzestrzeganie wymogów w zakresie upubliczniania informacji i oświadczeń o konflikcie interesów w zamówieniu na usługi tymczasowe o wartości 100 000 EUR;</w:t>
            </w:r>
          </w:p>
        </w:tc>
        <w:tc>
          <w:tcPr>
            <w:tcW w:w="4876" w:type="dxa"/>
            <w:tcBorders>
              <w:top w:val="nil"/>
              <w:left w:val="nil"/>
              <w:bottom w:val="nil"/>
              <w:right w:val="nil"/>
            </w:tcBorders>
          </w:tcPr>
          <w:p w14:paraId="04995275" w14:textId="77777777" w:rsidR="001D5F6D" w:rsidRPr="00641BDE" w:rsidRDefault="001D5F6D" w:rsidP="007C1C97">
            <w:pPr>
              <w:pStyle w:val="Normal6a"/>
            </w:pPr>
            <w:r w:rsidRPr="00641BDE">
              <w:rPr>
                <w:b/>
                <w:i/>
              </w:rPr>
              <w:t>skreśla się</w:t>
            </w:r>
          </w:p>
        </w:tc>
      </w:tr>
    </w:tbl>
    <w:p w14:paraId="6D2EC79D"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6ACBC82" w14:textId="77777777" w:rsidR="001D5F6D" w:rsidRPr="00641BDE" w:rsidRDefault="001D5F6D" w:rsidP="001D5F6D">
      <w:r w:rsidRPr="00641BDE">
        <w:rPr>
          <w:rStyle w:val="HideTWBExt"/>
        </w:rPr>
        <w:t>&lt;/Amend&gt;</w:t>
      </w:r>
    </w:p>
    <w:p w14:paraId="3BDAF866"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152</w:t>
      </w:r>
      <w:r w:rsidRPr="00641BDE">
        <w:rPr>
          <w:rStyle w:val="HideTWBExt"/>
          <w:b w:val="0"/>
        </w:rPr>
        <w:t>&lt;/NumAm&gt;</w:t>
      </w:r>
    </w:p>
    <w:p w14:paraId="5A784528"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53020325" w14:textId="77777777" w:rsidR="001D5F6D" w:rsidRPr="00641BDE" w:rsidRDefault="001D5F6D" w:rsidP="001D5F6D">
      <w:pPr>
        <w:pStyle w:val="NormalBold"/>
      </w:pPr>
      <w:r w:rsidRPr="00641BDE">
        <w:rPr>
          <w:rStyle w:val="HideTWBExt"/>
          <w:b w:val="0"/>
        </w:rPr>
        <w:t>&lt;/RepeatBlock-By&gt;</w:t>
      </w:r>
    </w:p>
    <w:p w14:paraId="0F3F86B3"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31F35DB" w14:textId="77777777" w:rsidR="001D5F6D" w:rsidRPr="00641BDE" w:rsidRDefault="001D5F6D" w:rsidP="001D5F6D">
      <w:pPr>
        <w:pStyle w:val="NormalBold"/>
      </w:pPr>
      <w:r w:rsidRPr="00641BDE">
        <w:rPr>
          <w:rStyle w:val="HideTWBExt"/>
          <w:b w:val="0"/>
        </w:rPr>
        <w:t>&lt;Article&gt;</w:t>
      </w:r>
      <w:r w:rsidRPr="00641BDE">
        <w:t>Ustęp 97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54A7531" w14:textId="77777777" w:rsidTr="007C1C97">
        <w:trPr>
          <w:trHeight w:hRule="exact" w:val="240"/>
          <w:jc w:val="center"/>
        </w:trPr>
        <w:tc>
          <w:tcPr>
            <w:tcW w:w="9752" w:type="dxa"/>
            <w:gridSpan w:val="2"/>
            <w:tcBorders>
              <w:top w:val="nil"/>
              <w:left w:val="nil"/>
              <w:bottom w:val="nil"/>
              <w:right w:val="nil"/>
            </w:tcBorders>
          </w:tcPr>
          <w:p w14:paraId="2F61C835" w14:textId="77777777" w:rsidR="001D5F6D" w:rsidRPr="00641BDE" w:rsidRDefault="001D5F6D" w:rsidP="007C1C97"/>
        </w:tc>
      </w:tr>
      <w:tr w:rsidR="001D5F6D" w:rsidRPr="00641BDE" w14:paraId="03AD00C0" w14:textId="77777777" w:rsidTr="007C1C97">
        <w:trPr>
          <w:trHeight w:val="240"/>
          <w:jc w:val="center"/>
        </w:trPr>
        <w:tc>
          <w:tcPr>
            <w:tcW w:w="4876" w:type="dxa"/>
            <w:tcBorders>
              <w:top w:val="nil"/>
              <w:left w:val="nil"/>
              <w:bottom w:val="nil"/>
              <w:right w:val="nil"/>
            </w:tcBorders>
          </w:tcPr>
          <w:p w14:paraId="247EADC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ADD37A8" w14:textId="77777777" w:rsidR="001D5F6D" w:rsidRPr="00641BDE" w:rsidRDefault="001D5F6D" w:rsidP="007C1C97">
            <w:pPr>
              <w:pStyle w:val="AmColumnHeading"/>
            </w:pPr>
            <w:r w:rsidRPr="00641BDE">
              <w:t>Poprawka</w:t>
            </w:r>
          </w:p>
        </w:tc>
      </w:tr>
      <w:tr w:rsidR="001D5F6D" w:rsidRPr="00641BDE" w14:paraId="5F58C9EA" w14:textId="77777777" w:rsidTr="007C1C97">
        <w:trPr>
          <w:jc w:val="center"/>
        </w:trPr>
        <w:tc>
          <w:tcPr>
            <w:tcW w:w="4876" w:type="dxa"/>
            <w:tcBorders>
              <w:top w:val="nil"/>
              <w:left w:val="nil"/>
              <w:bottom w:val="nil"/>
              <w:right w:val="nil"/>
            </w:tcBorders>
          </w:tcPr>
          <w:p w14:paraId="1F027BA0" w14:textId="77777777" w:rsidR="001D5F6D" w:rsidRPr="00641BDE" w:rsidRDefault="001D5F6D" w:rsidP="007C1C97">
            <w:pPr>
              <w:pStyle w:val="Normal6a"/>
            </w:pPr>
          </w:p>
        </w:tc>
        <w:tc>
          <w:tcPr>
            <w:tcW w:w="4876" w:type="dxa"/>
            <w:tcBorders>
              <w:top w:val="nil"/>
              <w:left w:val="nil"/>
              <w:bottom w:val="nil"/>
              <w:right w:val="nil"/>
            </w:tcBorders>
          </w:tcPr>
          <w:p w14:paraId="3D4D739B" w14:textId="77777777" w:rsidR="001D5F6D" w:rsidRPr="00641BDE" w:rsidRDefault="001D5F6D" w:rsidP="007C1C97">
            <w:pPr>
              <w:pStyle w:val="Normal6a"/>
            </w:pPr>
            <w:r w:rsidRPr="00641BDE">
              <w:rPr>
                <w:b/>
                <w:i/>
              </w:rPr>
              <w:t>97a.</w:t>
            </w:r>
            <w:r w:rsidRPr="00641BDE">
              <w:tab/>
            </w:r>
            <w:r w:rsidRPr="00641BDE">
              <w:rPr>
                <w:b/>
                <w:i/>
              </w:rPr>
              <w:t>odnotowuje działania analityczne i koordynacyjne prowadzone przez EUDA w celu wsparcia organów krajowych; zauważa, że w 2024 r. EUDA wyszkoliła ponad 11 700 specjalistów w dziedzinie polityki kontroli narkotyków, w tym funkcjonariuszy organów ścigania, pracowników służby zdrowia i decydentów politycznych; przypomina, że zasoby Unii w tej dziedzinie powinny przede wszystkim przyczyniać się do zapobiegania handlowi narkotykami i zwalczania tego procederu, wzmacniania współpracy w zakresie egzekwowania prawa oraz ochrony zdrowia i bezpieczeństwa publicznego, a szkolenia powinny nadal koncentrować się na współpracy operacyjnej, wymianie danych wywiadowczych i zapobieganiu przestępczości zorganizowanej; podkreśla, że celem współpracy z innymi agencjami Unii musi być wzmocnienie bezpieczeństwa i skutecznej kontroli granicznej oraz zapewnienie wymiernych rezultatów i efektywnego wykorzystania funduszy unijnych;</w:t>
            </w:r>
          </w:p>
        </w:tc>
      </w:tr>
    </w:tbl>
    <w:p w14:paraId="6C46F03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787A88DB" w14:textId="77777777" w:rsidR="001D5F6D" w:rsidRPr="00641BDE" w:rsidRDefault="001D5F6D" w:rsidP="001D5F6D">
      <w:r w:rsidRPr="00641BDE">
        <w:rPr>
          <w:rStyle w:val="HideTWBExt"/>
        </w:rPr>
        <w:t>&lt;/Amend&gt;</w:t>
      </w:r>
    </w:p>
    <w:p w14:paraId="2D521CE8"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153</w:t>
      </w:r>
      <w:r w:rsidRPr="00641BDE">
        <w:rPr>
          <w:rStyle w:val="HideTWBExt"/>
          <w:b w:val="0"/>
        </w:rPr>
        <w:t>&lt;/NumAm&gt;</w:t>
      </w:r>
    </w:p>
    <w:p w14:paraId="422BC480"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241E42A3" w14:textId="77777777" w:rsidR="001D5F6D" w:rsidRPr="00641BDE" w:rsidRDefault="001D5F6D" w:rsidP="001D5F6D">
      <w:pPr>
        <w:pStyle w:val="NormalBold"/>
      </w:pPr>
      <w:r w:rsidRPr="00641BDE">
        <w:rPr>
          <w:rStyle w:val="HideTWBExt"/>
          <w:b w:val="0"/>
        </w:rPr>
        <w:t>&lt;/RepeatBlock-By&gt;</w:t>
      </w:r>
    </w:p>
    <w:p w14:paraId="37EF1C6A"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B21E6FF" w14:textId="77777777" w:rsidR="001D5F6D" w:rsidRPr="00641BDE" w:rsidRDefault="001D5F6D" w:rsidP="001D5F6D">
      <w:pPr>
        <w:pStyle w:val="NormalBold"/>
      </w:pPr>
      <w:r w:rsidRPr="00641BDE">
        <w:rPr>
          <w:rStyle w:val="HideTWBExt"/>
          <w:b w:val="0"/>
        </w:rPr>
        <w:t>&lt;Article&gt;</w:t>
      </w:r>
      <w:r w:rsidRPr="00641BDE">
        <w:t>Ustęp 98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2713DB8" w14:textId="77777777" w:rsidTr="007C1C97">
        <w:trPr>
          <w:trHeight w:hRule="exact" w:val="240"/>
          <w:jc w:val="center"/>
        </w:trPr>
        <w:tc>
          <w:tcPr>
            <w:tcW w:w="9752" w:type="dxa"/>
            <w:gridSpan w:val="2"/>
            <w:tcBorders>
              <w:top w:val="nil"/>
              <w:left w:val="nil"/>
              <w:bottom w:val="nil"/>
              <w:right w:val="nil"/>
            </w:tcBorders>
          </w:tcPr>
          <w:p w14:paraId="0EA7B256" w14:textId="77777777" w:rsidR="001D5F6D" w:rsidRPr="00641BDE" w:rsidRDefault="001D5F6D" w:rsidP="007C1C97"/>
        </w:tc>
      </w:tr>
      <w:tr w:rsidR="001D5F6D" w:rsidRPr="00641BDE" w14:paraId="60AEB715" w14:textId="77777777" w:rsidTr="007C1C97">
        <w:trPr>
          <w:trHeight w:val="240"/>
          <w:jc w:val="center"/>
        </w:trPr>
        <w:tc>
          <w:tcPr>
            <w:tcW w:w="4876" w:type="dxa"/>
            <w:tcBorders>
              <w:top w:val="nil"/>
              <w:left w:val="nil"/>
              <w:bottom w:val="nil"/>
              <w:right w:val="nil"/>
            </w:tcBorders>
          </w:tcPr>
          <w:p w14:paraId="5D59A9B0"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3CFA9B7" w14:textId="77777777" w:rsidR="001D5F6D" w:rsidRPr="00641BDE" w:rsidRDefault="001D5F6D" w:rsidP="007C1C97">
            <w:pPr>
              <w:pStyle w:val="AmColumnHeading"/>
            </w:pPr>
            <w:r w:rsidRPr="00641BDE">
              <w:t>Poprawka</w:t>
            </w:r>
          </w:p>
        </w:tc>
      </w:tr>
      <w:tr w:rsidR="001D5F6D" w:rsidRPr="00641BDE" w14:paraId="41D1D409" w14:textId="77777777" w:rsidTr="007C1C97">
        <w:trPr>
          <w:jc w:val="center"/>
        </w:trPr>
        <w:tc>
          <w:tcPr>
            <w:tcW w:w="4876" w:type="dxa"/>
            <w:tcBorders>
              <w:top w:val="nil"/>
              <w:left w:val="nil"/>
              <w:bottom w:val="nil"/>
              <w:right w:val="nil"/>
            </w:tcBorders>
          </w:tcPr>
          <w:p w14:paraId="29B28629" w14:textId="77777777" w:rsidR="001D5F6D" w:rsidRPr="00641BDE" w:rsidRDefault="001D5F6D" w:rsidP="007C1C97">
            <w:pPr>
              <w:pStyle w:val="Normal6a"/>
            </w:pPr>
          </w:p>
        </w:tc>
        <w:tc>
          <w:tcPr>
            <w:tcW w:w="4876" w:type="dxa"/>
            <w:tcBorders>
              <w:top w:val="nil"/>
              <w:left w:val="nil"/>
              <w:bottom w:val="nil"/>
              <w:right w:val="nil"/>
            </w:tcBorders>
          </w:tcPr>
          <w:p w14:paraId="40D18B17" w14:textId="77777777" w:rsidR="001D5F6D" w:rsidRPr="00641BDE" w:rsidRDefault="001D5F6D" w:rsidP="007C1C97">
            <w:pPr>
              <w:pStyle w:val="Normal6a"/>
            </w:pPr>
            <w:r w:rsidRPr="00641BDE">
              <w:rPr>
                <w:b/>
                <w:i/>
              </w:rPr>
              <w:t>98a.</w:t>
            </w:r>
            <w:r w:rsidRPr="00641BDE">
              <w:tab/>
            </w:r>
            <w:r w:rsidRPr="00641BDE">
              <w:rPr>
                <w:b/>
                <w:i/>
              </w:rPr>
              <w:t xml:space="preserve">podkreśla, że Trybunał Obrachunkowy zaleca ECDC współpracę z państwami członkowskimi w celu wzmocnienia zharmonizowanego </w:t>
            </w:r>
            <w:proofErr w:type="spellStart"/>
            <w:r w:rsidRPr="00641BDE">
              <w:rPr>
                <w:b/>
                <w:i/>
              </w:rPr>
              <w:t>ogólnounijnego</w:t>
            </w:r>
            <w:proofErr w:type="spellEnd"/>
            <w:r w:rsidRPr="00641BDE">
              <w:rPr>
                <w:b/>
                <w:i/>
              </w:rPr>
              <w:t xml:space="preserve"> systemu nadzoru nad chorobami zakaźnymi, usprawnienia procesów wewnętrznych, aby zapewnić bardziej terminowe i praktyczne wytyczne, oraz jaśniejszego komunikowania się ze społeczeństwem przy użyciu prostego języka, aby lepiej odzwierciedlić wykorzystanie unijnych środków finansowych, jak zauważył Trybunał Obrachunkowy w sprawozdaniu specjalnym 12/2024;</w:t>
            </w:r>
          </w:p>
        </w:tc>
      </w:tr>
    </w:tbl>
    <w:p w14:paraId="29C03F94"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F53D03B" w14:textId="77777777" w:rsidR="001D5F6D" w:rsidRPr="00641BDE" w:rsidRDefault="001D5F6D" w:rsidP="001D5F6D">
      <w:r w:rsidRPr="00641BDE">
        <w:rPr>
          <w:rStyle w:val="HideTWBExt"/>
        </w:rPr>
        <w:t>&lt;/Amend&gt;</w:t>
      </w:r>
    </w:p>
    <w:p w14:paraId="6E552DC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154</w:t>
      </w:r>
      <w:r w:rsidRPr="00641BDE">
        <w:rPr>
          <w:rStyle w:val="HideTWBExt"/>
          <w:b w:val="0"/>
        </w:rPr>
        <w:t>&lt;/NumAm&gt;</w:t>
      </w:r>
    </w:p>
    <w:p w14:paraId="54CB3EC8"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14345DBE" w14:textId="77777777" w:rsidR="001D5F6D" w:rsidRPr="00641BDE" w:rsidRDefault="001D5F6D" w:rsidP="001D5F6D">
      <w:pPr>
        <w:pStyle w:val="NormalBold"/>
      </w:pPr>
      <w:r w:rsidRPr="00641BDE">
        <w:rPr>
          <w:rStyle w:val="HideTWBExt"/>
          <w:b w:val="0"/>
        </w:rPr>
        <w:t>&lt;/RepeatBlock-By&gt;</w:t>
      </w:r>
    </w:p>
    <w:p w14:paraId="37FD08C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145BFF0" w14:textId="77777777" w:rsidR="001D5F6D" w:rsidRPr="00641BDE" w:rsidRDefault="001D5F6D" w:rsidP="001D5F6D">
      <w:pPr>
        <w:pStyle w:val="NormalBold"/>
      </w:pPr>
      <w:r w:rsidRPr="00641BDE">
        <w:rPr>
          <w:rStyle w:val="HideTWBExt"/>
          <w:b w:val="0"/>
        </w:rPr>
        <w:t>&lt;Article&gt;</w:t>
      </w:r>
      <w:r w:rsidRPr="00641BDE">
        <w:t>Ustęp 98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36068B37" w14:textId="77777777" w:rsidTr="007C1C97">
        <w:trPr>
          <w:trHeight w:hRule="exact" w:val="240"/>
          <w:jc w:val="center"/>
        </w:trPr>
        <w:tc>
          <w:tcPr>
            <w:tcW w:w="9752" w:type="dxa"/>
            <w:gridSpan w:val="2"/>
            <w:tcBorders>
              <w:top w:val="nil"/>
              <w:left w:val="nil"/>
              <w:bottom w:val="nil"/>
              <w:right w:val="nil"/>
            </w:tcBorders>
          </w:tcPr>
          <w:p w14:paraId="6BE11C46" w14:textId="77777777" w:rsidR="001D5F6D" w:rsidRPr="00641BDE" w:rsidRDefault="001D5F6D" w:rsidP="007C1C97"/>
        </w:tc>
      </w:tr>
      <w:tr w:rsidR="001D5F6D" w:rsidRPr="00641BDE" w14:paraId="0AF6067F" w14:textId="77777777" w:rsidTr="007C1C97">
        <w:trPr>
          <w:trHeight w:val="240"/>
          <w:jc w:val="center"/>
        </w:trPr>
        <w:tc>
          <w:tcPr>
            <w:tcW w:w="4876" w:type="dxa"/>
            <w:tcBorders>
              <w:top w:val="nil"/>
              <w:left w:val="nil"/>
              <w:bottom w:val="nil"/>
              <w:right w:val="nil"/>
            </w:tcBorders>
          </w:tcPr>
          <w:p w14:paraId="34177DA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43BF36B" w14:textId="77777777" w:rsidR="001D5F6D" w:rsidRPr="00641BDE" w:rsidRDefault="001D5F6D" w:rsidP="007C1C97">
            <w:pPr>
              <w:pStyle w:val="AmColumnHeading"/>
            </w:pPr>
            <w:r w:rsidRPr="00641BDE">
              <w:t>Poprawka</w:t>
            </w:r>
          </w:p>
        </w:tc>
      </w:tr>
      <w:tr w:rsidR="001D5F6D" w:rsidRPr="00641BDE" w14:paraId="3878FCDB" w14:textId="77777777" w:rsidTr="007C1C97">
        <w:trPr>
          <w:jc w:val="center"/>
        </w:trPr>
        <w:tc>
          <w:tcPr>
            <w:tcW w:w="4876" w:type="dxa"/>
            <w:tcBorders>
              <w:top w:val="nil"/>
              <w:left w:val="nil"/>
              <w:bottom w:val="nil"/>
              <w:right w:val="nil"/>
            </w:tcBorders>
          </w:tcPr>
          <w:p w14:paraId="1B63F993" w14:textId="77777777" w:rsidR="001D5F6D" w:rsidRPr="00641BDE" w:rsidRDefault="001D5F6D" w:rsidP="007C1C97">
            <w:pPr>
              <w:pStyle w:val="Normal6a"/>
            </w:pPr>
          </w:p>
        </w:tc>
        <w:tc>
          <w:tcPr>
            <w:tcW w:w="4876" w:type="dxa"/>
            <w:tcBorders>
              <w:top w:val="nil"/>
              <w:left w:val="nil"/>
              <w:bottom w:val="nil"/>
              <w:right w:val="nil"/>
            </w:tcBorders>
          </w:tcPr>
          <w:p w14:paraId="656A4229" w14:textId="77777777" w:rsidR="001D5F6D" w:rsidRPr="00641BDE" w:rsidRDefault="001D5F6D" w:rsidP="007C1C97">
            <w:pPr>
              <w:pStyle w:val="Normal6a"/>
            </w:pPr>
            <w:r w:rsidRPr="00641BDE">
              <w:rPr>
                <w:b/>
                <w:i/>
              </w:rPr>
              <w:t>98a.</w:t>
            </w:r>
            <w:r w:rsidRPr="00641BDE">
              <w:tab/>
            </w:r>
            <w:r w:rsidRPr="00641BDE">
              <w:rPr>
                <w:b/>
                <w:i/>
              </w:rPr>
              <w:t xml:space="preserve">z zadowoleniem przyjmuje fakt, że EFSA przyjął nową politykę dotyczącą konfliktu interesów po tym, gdy był przedmiotem różnych spraw: </w:t>
            </w:r>
            <w:proofErr w:type="spellStart"/>
            <w:r w:rsidRPr="00641BDE">
              <w:rPr>
                <w:b/>
                <w:i/>
              </w:rPr>
              <w:t>Diána</w:t>
            </w:r>
            <w:proofErr w:type="spellEnd"/>
            <w:r w:rsidRPr="00641BDE">
              <w:rPr>
                <w:b/>
                <w:i/>
              </w:rPr>
              <w:t xml:space="preserve"> </w:t>
            </w:r>
            <w:proofErr w:type="spellStart"/>
            <w:r w:rsidRPr="00641BDE">
              <w:rPr>
                <w:b/>
                <w:i/>
              </w:rPr>
              <w:t>Bánáti</w:t>
            </w:r>
            <w:proofErr w:type="spellEnd"/>
            <w:r w:rsidRPr="00641BDE">
              <w:rPr>
                <w:b/>
                <w:i/>
              </w:rPr>
              <w:t xml:space="preserve">, była przewodnicząca zarządu, która w 2012 r. zrezygnowała z członkostwa w ILSI (lobby na rzecz przemysłu) po tym, jak nie zgłosiła swoich powiązań, oraz Suzy </w:t>
            </w:r>
            <w:proofErr w:type="spellStart"/>
            <w:r w:rsidRPr="00641BDE">
              <w:rPr>
                <w:b/>
                <w:i/>
              </w:rPr>
              <w:t>Renckens</w:t>
            </w:r>
            <w:proofErr w:type="spellEnd"/>
            <w:r w:rsidRPr="00641BDE">
              <w:rPr>
                <w:b/>
                <w:i/>
              </w:rPr>
              <w:t>, była kierowniczka ds. GMO, która w 2008 r. dołączyła do Syngenty;</w:t>
            </w:r>
          </w:p>
        </w:tc>
      </w:tr>
    </w:tbl>
    <w:p w14:paraId="14892ED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6DD76478" w14:textId="77777777" w:rsidR="001D5F6D" w:rsidRPr="00641BDE" w:rsidRDefault="001D5F6D" w:rsidP="001D5F6D">
      <w:r w:rsidRPr="00641BDE">
        <w:rPr>
          <w:rStyle w:val="HideTWBExt"/>
        </w:rPr>
        <w:t>&lt;/Amend&gt;</w:t>
      </w:r>
    </w:p>
    <w:p w14:paraId="0DFA2120"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155</w:t>
      </w:r>
      <w:r w:rsidRPr="00641BDE">
        <w:rPr>
          <w:rStyle w:val="HideTWBExt"/>
          <w:b w:val="0"/>
        </w:rPr>
        <w:t>&lt;/NumAm&gt;</w:t>
      </w:r>
    </w:p>
    <w:p w14:paraId="4FD58863"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4DDE2DE8" w14:textId="77777777" w:rsidR="001D5F6D" w:rsidRPr="00641BDE" w:rsidRDefault="001D5F6D" w:rsidP="001D5F6D">
      <w:pPr>
        <w:pStyle w:val="NormalBold"/>
      </w:pPr>
      <w:r w:rsidRPr="00641BDE">
        <w:rPr>
          <w:rStyle w:val="HideTWBExt"/>
          <w:b w:val="0"/>
        </w:rPr>
        <w:t>&lt;/RepeatBlock-By&gt;</w:t>
      </w:r>
    </w:p>
    <w:p w14:paraId="5F94055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C9E595C" w14:textId="77777777" w:rsidR="001D5F6D" w:rsidRPr="00641BDE" w:rsidRDefault="001D5F6D" w:rsidP="001D5F6D">
      <w:pPr>
        <w:pStyle w:val="NormalBold"/>
      </w:pPr>
      <w:r w:rsidRPr="00641BDE">
        <w:rPr>
          <w:rStyle w:val="HideTWBExt"/>
          <w:b w:val="0"/>
        </w:rPr>
        <w:t>&lt;Article&gt;</w:t>
      </w:r>
      <w:r w:rsidRPr="00641BDE">
        <w:t>Ustęp 100 – punkt ii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251CDBB" w14:textId="77777777" w:rsidTr="007C1C97">
        <w:trPr>
          <w:trHeight w:hRule="exact" w:val="240"/>
          <w:jc w:val="center"/>
        </w:trPr>
        <w:tc>
          <w:tcPr>
            <w:tcW w:w="9752" w:type="dxa"/>
            <w:gridSpan w:val="2"/>
            <w:tcBorders>
              <w:top w:val="nil"/>
              <w:left w:val="nil"/>
              <w:bottom w:val="nil"/>
              <w:right w:val="nil"/>
            </w:tcBorders>
          </w:tcPr>
          <w:p w14:paraId="71D70E70" w14:textId="77777777" w:rsidR="001D5F6D" w:rsidRPr="00641BDE" w:rsidRDefault="001D5F6D" w:rsidP="007C1C97"/>
        </w:tc>
      </w:tr>
      <w:tr w:rsidR="001D5F6D" w:rsidRPr="00641BDE" w14:paraId="071DCB8E" w14:textId="77777777" w:rsidTr="007C1C97">
        <w:trPr>
          <w:trHeight w:val="240"/>
          <w:jc w:val="center"/>
        </w:trPr>
        <w:tc>
          <w:tcPr>
            <w:tcW w:w="4876" w:type="dxa"/>
            <w:tcBorders>
              <w:top w:val="nil"/>
              <w:left w:val="nil"/>
              <w:bottom w:val="nil"/>
              <w:right w:val="nil"/>
            </w:tcBorders>
          </w:tcPr>
          <w:p w14:paraId="774E604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4CFE8AC" w14:textId="77777777" w:rsidR="001D5F6D" w:rsidRPr="00641BDE" w:rsidRDefault="001D5F6D" w:rsidP="007C1C97">
            <w:pPr>
              <w:pStyle w:val="AmColumnHeading"/>
            </w:pPr>
            <w:r w:rsidRPr="00641BDE">
              <w:t>Poprawka</w:t>
            </w:r>
          </w:p>
        </w:tc>
      </w:tr>
      <w:tr w:rsidR="001D5F6D" w:rsidRPr="00641BDE" w14:paraId="45344F5C" w14:textId="77777777" w:rsidTr="007C1C97">
        <w:trPr>
          <w:jc w:val="center"/>
        </w:trPr>
        <w:tc>
          <w:tcPr>
            <w:tcW w:w="4876" w:type="dxa"/>
            <w:tcBorders>
              <w:top w:val="nil"/>
              <w:left w:val="nil"/>
              <w:bottom w:val="nil"/>
              <w:right w:val="nil"/>
            </w:tcBorders>
          </w:tcPr>
          <w:p w14:paraId="1D16BB7D" w14:textId="77777777" w:rsidR="001D5F6D" w:rsidRPr="00641BDE" w:rsidRDefault="001D5F6D" w:rsidP="007C1C97">
            <w:pPr>
              <w:pStyle w:val="Normal6a"/>
            </w:pPr>
          </w:p>
        </w:tc>
        <w:tc>
          <w:tcPr>
            <w:tcW w:w="4876" w:type="dxa"/>
            <w:tcBorders>
              <w:top w:val="nil"/>
              <w:left w:val="nil"/>
              <w:bottom w:val="nil"/>
              <w:right w:val="nil"/>
            </w:tcBorders>
          </w:tcPr>
          <w:p w14:paraId="0C236708" w14:textId="77777777" w:rsidR="001D5F6D" w:rsidRPr="00641BDE" w:rsidRDefault="001D5F6D" w:rsidP="007C1C97">
            <w:pPr>
              <w:pStyle w:val="Normal6a"/>
            </w:pPr>
            <w:r w:rsidRPr="00641BDE">
              <w:rPr>
                <w:b/>
                <w:i/>
              </w:rPr>
              <w:t>(</w:t>
            </w:r>
            <w:proofErr w:type="spellStart"/>
            <w:r w:rsidRPr="00641BDE">
              <w:rPr>
                <w:b/>
                <w:i/>
              </w:rPr>
              <w:t>iia</w:t>
            </w:r>
            <w:proofErr w:type="spellEnd"/>
            <w:r w:rsidRPr="00641BDE">
              <w:rPr>
                <w:b/>
                <w:i/>
              </w:rPr>
              <w:t>)</w:t>
            </w:r>
            <w:r w:rsidRPr="00641BDE">
              <w:tab/>
            </w:r>
            <w:r w:rsidRPr="00641BDE">
              <w:rPr>
                <w:b/>
                <w:i/>
              </w:rPr>
              <w:t>ECDC i EMA – do wykorzystania części swojego budżetu na wdrożenie zaleceń przedstawionych przez Europejski Trybunał Obrachunkowy w sprawozdaniu specjalnym 12/2024 i wymienionych powyżej;</w:t>
            </w:r>
          </w:p>
        </w:tc>
      </w:tr>
    </w:tbl>
    <w:p w14:paraId="02D551C5"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CAEA1C5" w14:textId="77777777" w:rsidR="001D5F6D" w:rsidRPr="00641BDE" w:rsidRDefault="001D5F6D" w:rsidP="001D5F6D">
      <w:r w:rsidRPr="00641BDE">
        <w:rPr>
          <w:rStyle w:val="HideTWBExt"/>
        </w:rPr>
        <w:t>&lt;/Amend&gt;</w:t>
      </w:r>
    </w:p>
    <w:p w14:paraId="06E0E8B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156</w:t>
      </w:r>
      <w:r w:rsidRPr="00641BDE">
        <w:rPr>
          <w:rStyle w:val="HideTWBExt"/>
          <w:b w:val="0"/>
        </w:rPr>
        <w:t>&lt;/NumAm&gt;</w:t>
      </w:r>
    </w:p>
    <w:p w14:paraId="7D4D929E" w14:textId="77777777" w:rsidR="001D5F6D" w:rsidRPr="00641BDE" w:rsidRDefault="001D5F6D" w:rsidP="001D5F6D">
      <w:pPr>
        <w:pStyle w:val="NormalBold"/>
      </w:pPr>
      <w:r w:rsidRPr="00641BDE">
        <w:rPr>
          <w:rStyle w:val="HideTWBExt"/>
          <w:b w:val="0"/>
        </w:rPr>
        <w:t>&lt;RepeatBlock-By&gt;&lt;Members&gt;</w:t>
      </w:r>
      <w:r w:rsidRPr="00641BDE">
        <w:t xml:space="preserve">Monika </w:t>
      </w:r>
      <w:proofErr w:type="spellStart"/>
      <w:r w:rsidRPr="00641BDE">
        <w:t>Hohlmeier</w:t>
      </w:r>
      <w:proofErr w:type="spellEnd"/>
      <w:r w:rsidRPr="00641BDE">
        <w:rPr>
          <w:rStyle w:val="HideTWBExt"/>
          <w:b w:val="0"/>
        </w:rPr>
        <w:t>&lt;/Members&gt;</w:t>
      </w:r>
    </w:p>
    <w:p w14:paraId="23FEB02F" w14:textId="77777777" w:rsidR="001D5F6D" w:rsidRPr="00641BDE" w:rsidRDefault="001D5F6D" w:rsidP="001D5F6D">
      <w:pPr>
        <w:pStyle w:val="NormalBold"/>
      </w:pPr>
      <w:r w:rsidRPr="00641BDE">
        <w:rPr>
          <w:rStyle w:val="HideTWBExt"/>
          <w:b w:val="0"/>
        </w:rPr>
        <w:t>&lt;/RepeatBlock-By&gt;</w:t>
      </w:r>
    </w:p>
    <w:p w14:paraId="7CB9CD6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F0A739C" w14:textId="77777777" w:rsidR="001D5F6D" w:rsidRPr="00641BDE" w:rsidRDefault="001D5F6D" w:rsidP="001D5F6D">
      <w:pPr>
        <w:pStyle w:val="NormalBold"/>
      </w:pPr>
      <w:r w:rsidRPr="00641BDE">
        <w:rPr>
          <w:rStyle w:val="HideTWBExt"/>
          <w:b w:val="0"/>
        </w:rPr>
        <w:t>&lt;Article&gt;</w:t>
      </w:r>
      <w:r w:rsidRPr="00641BDE">
        <w:t>Ustęp 100 – punkt ii b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F399FB6" w14:textId="77777777" w:rsidTr="007C1C97">
        <w:trPr>
          <w:trHeight w:hRule="exact" w:val="240"/>
          <w:jc w:val="center"/>
        </w:trPr>
        <w:tc>
          <w:tcPr>
            <w:tcW w:w="9752" w:type="dxa"/>
            <w:gridSpan w:val="2"/>
            <w:tcBorders>
              <w:top w:val="nil"/>
              <w:left w:val="nil"/>
              <w:bottom w:val="nil"/>
              <w:right w:val="nil"/>
            </w:tcBorders>
          </w:tcPr>
          <w:p w14:paraId="4F021DAF" w14:textId="77777777" w:rsidR="001D5F6D" w:rsidRPr="00641BDE" w:rsidRDefault="001D5F6D" w:rsidP="007C1C97"/>
        </w:tc>
      </w:tr>
      <w:tr w:rsidR="001D5F6D" w:rsidRPr="00641BDE" w14:paraId="68FBE297" w14:textId="77777777" w:rsidTr="007C1C97">
        <w:trPr>
          <w:trHeight w:val="240"/>
          <w:jc w:val="center"/>
        </w:trPr>
        <w:tc>
          <w:tcPr>
            <w:tcW w:w="4876" w:type="dxa"/>
            <w:tcBorders>
              <w:top w:val="nil"/>
              <w:left w:val="nil"/>
              <w:bottom w:val="nil"/>
              <w:right w:val="nil"/>
            </w:tcBorders>
          </w:tcPr>
          <w:p w14:paraId="00B0DA7E"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BBAD14B" w14:textId="77777777" w:rsidR="001D5F6D" w:rsidRPr="00641BDE" w:rsidRDefault="001D5F6D" w:rsidP="007C1C97">
            <w:pPr>
              <w:pStyle w:val="AmColumnHeading"/>
            </w:pPr>
            <w:r w:rsidRPr="00641BDE">
              <w:t>Poprawka</w:t>
            </w:r>
          </w:p>
        </w:tc>
      </w:tr>
      <w:tr w:rsidR="001D5F6D" w:rsidRPr="00641BDE" w14:paraId="0966638D" w14:textId="77777777" w:rsidTr="007C1C97">
        <w:trPr>
          <w:jc w:val="center"/>
        </w:trPr>
        <w:tc>
          <w:tcPr>
            <w:tcW w:w="4876" w:type="dxa"/>
            <w:tcBorders>
              <w:top w:val="nil"/>
              <w:left w:val="nil"/>
              <w:bottom w:val="nil"/>
              <w:right w:val="nil"/>
            </w:tcBorders>
          </w:tcPr>
          <w:p w14:paraId="2230B6FA" w14:textId="77777777" w:rsidR="001D5F6D" w:rsidRPr="00641BDE" w:rsidRDefault="001D5F6D" w:rsidP="007C1C97">
            <w:pPr>
              <w:pStyle w:val="Normal6a"/>
            </w:pPr>
          </w:p>
        </w:tc>
        <w:tc>
          <w:tcPr>
            <w:tcW w:w="4876" w:type="dxa"/>
            <w:tcBorders>
              <w:top w:val="nil"/>
              <w:left w:val="nil"/>
              <w:bottom w:val="nil"/>
              <w:right w:val="nil"/>
            </w:tcBorders>
          </w:tcPr>
          <w:p w14:paraId="41E85735" w14:textId="77777777" w:rsidR="001D5F6D" w:rsidRPr="00641BDE" w:rsidRDefault="001D5F6D" w:rsidP="007C1C97">
            <w:pPr>
              <w:pStyle w:val="Normal6a"/>
            </w:pPr>
            <w:r w:rsidRPr="00641BDE">
              <w:rPr>
                <w:b/>
                <w:i/>
              </w:rPr>
              <w:t>(</w:t>
            </w:r>
            <w:proofErr w:type="spellStart"/>
            <w:r w:rsidRPr="00641BDE">
              <w:rPr>
                <w:b/>
                <w:i/>
              </w:rPr>
              <w:t>iib</w:t>
            </w:r>
            <w:proofErr w:type="spellEnd"/>
            <w:r w:rsidRPr="00641BDE">
              <w:rPr>
                <w:b/>
                <w:i/>
              </w:rPr>
              <w:t>)</w:t>
            </w:r>
            <w:r w:rsidRPr="00641BDE">
              <w:tab/>
            </w:r>
            <w:r w:rsidRPr="00641BDE">
              <w:rPr>
                <w:b/>
                <w:i/>
              </w:rPr>
              <w:t>EMA, Komisję i państwa członkowskie – do podjęcia natychmiastowych działań w celu zaradzenia utrzymującym się niedoborom wymienionych powyżej leków o krytycznym znaczeniu; w związku z tym wzywa EMA do ścisłej współpracy z organami krajowymi i Komisją Europejską w celu: i) przeznaczenia wystarczających zasobów na rozwiązanie tego problemu; ii) przeanalizowania przyczyn tych niedoborów i zajęcia się nimi, w tym w zakresie produkcji, łańcucha dostaw, wyzwań związanych z dystrybucją oraz przeszkód na rynku wewnętrznym lub protekcjonizmu krajowego, łącznie z koniecznością produkcji europejskich leków; iii) opracowania planów awaryjnych, aby zapewnić pacjentom nieprzerwany dostęp, obejmujących priorytetowe traktowanie przypadków dużych potrzeb; podkreśla, że natychmiastowe i skoordynowane działania mają zasadnicze znaczenie dla zapobiegania opóźnieniom w leczeniu, unikania pogorszenia wyników leczenia pacjentów oraz ochrony zaufania publicznego do europejskiego systemu opieki zdrowotnej; zachęca EMA do przeznaczenia na ten cel dodatkowych zasobów wewnętrznych z jej budżetu;</w:t>
            </w:r>
          </w:p>
        </w:tc>
      </w:tr>
    </w:tbl>
    <w:p w14:paraId="3805BCCA"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F285D6F" w14:textId="77777777" w:rsidR="001D5F6D" w:rsidRPr="00641BDE" w:rsidRDefault="001D5F6D" w:rsidP="001D5F6D">
      <w:r w:rsidRPr="00641BDE">
        <w:rPr>
          <w:rStyle w:val="HideTWBExt"/>
        </w:rPr>
        <w:t>&lt;/Amend&gt;</w:t>
      </w:r>
    </w:p>
    <w:p w14:paraId="3BB6C78E"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157</w:t>
      </w:r>
      <w:r w:rsidRPr="00641BDE">
        <w:rPr>
          <w:rStyle w:val="HideTWBExt"/>
          <w:b w:val="0"/>
        </w:rPr>
        <w:t>&lt;/NumAm&gt;</w:t>
      </w:r>
    </w:p>
    <w:p w14:paraId="6E126F1F"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543DDE9D" w14:textId="77777777" w:rsidR="001D5F6D" w:rsidRPr="00641BDE" w:rsidRDefault="001D5F6D" w:rsidP="001D5F6D">
      <w:pPr>
        <w:pStyle w:val="NormalBold"/>
      </w:pPr>
      <w:r w:rsidRPr="00641BDE">
        <w:rPr>
          <w:rStyle w:val="HideTWBExt"/>
          <w:b w:val="0"/>
        </w:rPr>
        <w:t>&lt;/RepeatBlock-By&gt;</w:t>
      </w:r>
    </w:p>
    <w:p w14:paraId="64920BA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1D688C5" w14:textId="77777777" w:rsidR="001D5F6D" w:rsidRPr="00641BDE" w:rsidRDefault="001D5F6D" w:rsidP="001D5F6D">
      <w:pPr>
        <w:pStyle w:val="NormalBold"/>
      </w:pPr>
      <w:r w:rsidRPr="00641BDE">
        <w:rPr>
          <w:rStyle w:val="HideTWBExt"/>
          <w:b w:val="0"/>
        </w:rPr>
        <w:t>&lt;Article&gt;</w:t>
      </w:r>
      <w:r w:rsidRPr="00641BDE">
        <w:t>Ustęp 104 – wprowadzenie</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01A6AF3" w14:textId="77777777" w:rsidTr="007C1C97">
        <w:trPr>
          <w:trHeight w:hRule="exact" w:val="240"/>
          <w:jc w:val="center"/>
        </w:trPr>
        <w:tc>
          <w:tcPr>
            <w:tcW w:w="9752" w:type="dxa"/>
            <w:gridSpan w:val="2"/>
            <w:tcBorders>
              <w:top w:val="nil"/>
              <w:left w:val="nil"/>
              <w:bottom w:val="nil"/>
              <w:right w:val="nil"/>
            </w:tcBorders>
          </w:tcPr>
          <w:p w14:paraId="2E49CBC1" w14:textId="77777777" w:rsidR="001D5F6D" w:rsidRPr="00641BDE" w:rsidRDefault="001D5F6D" w:rsidP="007C1C97"/>
        </w:tc>
      </w:tr>
      <w:tr w:rsidR="001D5F6D" w:rsidRPr="00641BDE" w14:paraId="7B3BBE27" w14:textId="77777777" w:rsidTr="007C1C97">
        <w:trPr>
          <w:trHeight w:val="240"/>
          <w:jc w:val="center"/>
        </w:trPr>
        <w:tc>
          <w:tcPr>
            <w:tcW w:w="4876" w:type="dxa"/>
            <w:tcBorders>
              <w:top w:val="nil"/>
              <w:left w:val="nil"/>
              <w:bottom w:val="nil"/>
              <w:right w:val="nil"/>
            </w:tcBorders>
          </w:tcPr>
          <w:p w14:paraId="7085E330"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B698C64" w14:textId="77777777" w:rsidR="001D5F6D" w:rsidRPr="00641BDE" w:rsidRDefault="001D5F6D" w:rsidP="007C1C97">
            <w:pPr>
              <w:pStyle w:val="AmColumnHeading"/>
            </w:pPr>
            <w:r w:rsidRPr="00641BDE">
              <w:t>Poprawka</w:t>
            </w:r>
          </w:p>
        </w:tc>
      </w:tr>
      <w:tr w:rsidR="001D5F6D" w:rsidRPr="00641BDE" w14:paraId="4EB22EA0" w14:textId="77777777" w:rsidTr="007C1C97">
        <w:trPr>
          <w:jc w:val="center"/>
        </w:trPr>
        <w:tc>
          <w:tcPr>
            <w:tcW w:w="4876" w:type="dxa"/>
            <w:tcBorders>
              <w:top w:val="nil"/>
              <w:left w:val="nil"/>
              <w:bottom w:val="nil"/>
              <w:right w:val="nil"/>
            </w:tcBorders>
          </w:tcPr>
          <w:p w14:paraId="3DFAD89A" w14:textId="77777777" w:rsidR="001D5F6D" w:rsidRPr="00641BDE" w:rsidRDefault="001D5F6D" w:rsidP="007C1C97">
            <w:pPr>
              <w:pStyle w:val="Normal6a"/>
            </w:pPr>
            <w:r w:rsidRPr="00641BDE">
              <w:t>104.</w:t>
            </w:r>
            <w:r w:rsidRPr="00641BDE">
              <w:tab/>
              <w:t>odnotowuje trzy uwagi Trybunału dotyczące nieprawidłowości w zamówieniach publicznych w EEA, w tym:</w:t>
            </w:r>
          </w:p>
        </w:tc>
        <w:tc>
          <w:tcPr>
            <w:tcW w:w="4876" w:type="dxa"/>
            <w:tcBorders>
              <w:top w:val="nil"/>
              <w:left w:val="nil"/>
              <w:bottom w:val="nil"/>
              <w:right w:val="nil"/>
            </w:tcBorders>
          </w:tcPr>
          <w:p w14:paraId="5B545E4A" w14:textId="77777777" w:rsidR="001D5F6D" w:rsidRPr="00641BDE" w:rsidRDefault="001D5F6D" w:rsidP="007C1C97">
            <w:pPr>
              <w:pStyle w:val="Normal6a"/>
            </w:pPr>
            <w:r w:rsidRPr="00641BDE">
              <w:t>104.</w:t>
            </w:r>
            <w:r w:rsidRPr="00641BDE">
              <w:tab/>
              <w:t xml:space="preserve">odnotowuje trzy uwagi Trybunału dotyczące nieprawidłowości w zamówieniach publicznych w EEA, w tym: </w:t>
            </w:r>
            <w:r w:rsidRPr="00641BDE">
              <w:rPr>
                <w:b/>
                <w:i/>
              </w:rPr>
              <w:t>nienależne płatności na podstawie umowy ramowej na świadczenie usług gastronomicznych i cateringowych (6 514 EUR tytułem zwrotu kosztów bez wystawionej faktury oraz podniesienie ceny do wartości przekraczającej o 34 % poziom wynikający z mechanizmu indeksacji), wykorzystywanie wewnętrznego systemu na potrzeby spotkań ekspertów zamiast wymaganych formularzy zamówień, co utrudnia należyte monitorowanie skumulowanych wydatków i grozi przekroczeniem pułapu umowy, oraz brak określenia rodzaju umowy w przypadku umowy o doradztwo informatyczne na kwotę 731 000 EUR, co jest sprzeczne z załącznikiem I do rozporządzenia finansowego; odnotowuje wyjaśnienia i zobowiązania agencji dotyczące wzmocnienia procedur i zapewnienia zgodności w przyszłości;</w:t>
            </w:r>
          </w:p>
        </w:tc>
      </w:tr>
    </w:tbl>
    <w:p w14:paraId="24B37FA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1533EC41" w14:textId="77777777" w:rsidR="001D5F6D" w:rsidRPr="00641BDE" w:rsidRDefault="001D5F6D" w:rsidP="001D5F6D">
      <w:r w:rsidRPr="00641BDE">
        <w:rPr>
          <w:rStyle w:val="HideTWBExt"/>
        </w:rPr>
        <w:t>&lt;/Amend&gt;</w:t>
      </w:r>
    </w:p>
    <w:p w14:paraId="03FE49F0"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158</w:t>
      </w:r>
      <w:r w:rsidRPr="00641BDE">
        <w:rPr>
          <w:rStyle w:val="HideTWBExt"/>
          <w:b w:val="0"/>
        </w:rPr>
        <w:t>&lt;/NumAm&gt;</w:t>
      </w:r>
    </w:p>
    <w:p w14:paraId="4D6723C0"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08D352FF" w14:textId="77777777" w:rsidR="001D5F6D" w:rsidRPr="00641BDE" w:rsidRDefault="001D5F6D" w:rsidP="001D5F6D">
      <w:pPr>
        <w:pStyle w:val="NormalBold"/>
      </w:pPr>
      <w:r w:rsidRPr="00641BDE">
        <w:rPr>
          <w:rStyle w:val="HideTWBExt"/>
          <w:b w:val="0"/>
        </w:rPr>
        <w:t>&lt;/RepeatBlock-By&gt;</w:t>
      </w:r>
    </w:p>
    <w:p w14:paraId="2E23B6BD"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B2629AF" w14:textId="77777777" w:rsidR="001D5F6D" w:rsidRPr="00641BDE" w:rsidRDefault="001D5F6D" w:rsidP="001D5F6D">
      <w:pPr>
        <w:pStyle w:val="NormalBold"/>
      </w:pPr>
      <w:r w:rsidRPr="00641BDE">
        <w:rPr>
          <w:rStyle w:val="HideTWBExt"/>
          <w:b w:val="0"/>
        </w:rPr>
        <w:t>&lt;Article&gt;</w:t>
      </w:r>
      <w:r w:rsidRPr="00641BDE">
        <w:t xml:space="preserve">Ustęp 104 – </w:t>
      </w:r>
      <w:proofErr w:type="spellStart"/>
      <w:r w:rsidRPr="00641BDE">
        <w:t>tiret</w:t>
      </w:r>
      <w:proofErr w:type="spellEnd"/>
      <w:r w:rsidRPr="00641BDE">
        <w:t xml:space="preserve"> 1</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4EC5F43" w14:textId="77777777" w:rsidTr="007C1C97">
        <w:trPr>
          <w:trHeight w:hRule="exact" w:val="240"/>
          <w:jc w:val="center"/>
        </w:trPr>
        <w:tc>
          <w:tcPr>
            <w:tcW w:w="9752" w:type="dxa"/>
            <w:gridSpan w:val="2"/>
            <w:tcBorders>
              <w:top w:val="nil"/>
              <w:left w:val="nil"/>
              <w:bottom w:val="nil"/>
              <w:right w:val="nil"/>
            </w:tcBorders>
          </w:tcPr>
          <w:p w14:paraId="7219DAD0" w14:textId="77777777" w:rsidR="001D5F6D" w:rsidRPr="00641BDE" w:rsidRDefault="001D5F6D" w:rsidP="007C1C97"/>
        </w:tc>
      </w:tr>
      <w:tr w:rsidR="001D5F6D" w:rsidRPr="00641BDE" w14:paraId="20D4DE60" w14:textId="77777777" w:rsidTr="007C1C97">
        <w:trPr>
          <w:trHeight w:val="240"/>
          <w:jc w:val="center"/>
        </w:trPr>
        <w:tc>
          <w:tcPr>
            <w:tcW w:w="4876" w:type="dxa"/>
            <w:tcBorders>
              <w:top w:val="nil"/>
              <w:left w:val="nil"/>
              <w:bottom w:val="nil"/>
              <w:right w:val="nil"/>
            </w:tcBorders>
          </w:tcPr>
          <w:p w14:paraId="5B0F775D"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B630572" w14:textId="77777777" w:rsidR="001D5F6D" w:rsidRPr="00641BDE" w:rsidRDefault="001D5F6D" w:rsidP="007C1C97">
            <w:pPr>
              <w:pStyle w:val="AmColumnHeading"/>
            </w:pPr>
            <w:r w:rsidRPr="00641BDE">
              <w:t>Poprawka</w:t>
            </w:r>
          </w:p>
        </w:tc>
      </w:tr>
      <w:tr w:rsidR="001D5F6D" w:rsidRPr="00641BDE" w14:paraId="4E372046" w14:textId="77777777" w:rsidTr="007C1C97">
        <w:trPr>
          <w:jc w:val="center"/>
        </w:trPr>
        <w:tc>
          <w:tcPr>
            <w:tcW w:w="4876" w:type="dxa"/>
            <w:tcBorders>
              <w:top w:val="nil"/>
              <w:left w:val="nil"/>
              <w:bottom w:val="nil"/>
              <w:right w:val="nil"/>
            </w:tcBorders>
          </w:tcPr>
          <w:p w14:paraId="2163DB60" w14:textId="77777777" w:rsidR="001D5F6D" w:rsidRPr="00641BDE" w:rsidRDefault="001D5F6D" w:rsidP="007C1C97">
            <w:pPr>
              <w:pStyle w:val="Normal6a"/>
            </w:pPr>
            <w:r w:rsidRPr="00641BDE">
              <w:rPr>
                <w:b/>
                <w:i/>
              </w:rPr>
              <w:t>–</w:t>
            </w:r>
            <w:r w:rsidRPr="00641BDE">
              <w:tab/>
            </w:r>
            <w:r w:rsidRPr="00641BDE">
              <w:rPr>
                <w:b/>
                <w:i/>
              </w:rPr>
              <w:t>nienależne płatności na podstawie umowy ramowej na świadczenie usług gastronomicznych i cateringowych w wysokości 6 514 EUR tytułem zwrotu kosztów bez wystawionej na agencję faktury, co jest sprzeczne z art. 111 ust. 2 rozporządzenia finansowego, oraz podniesienie cen obiadów do wartości przekraczającej o 34 % poziom wynikający z mechanizmu indeksacji; przyjmuje do wiadomości odpowiedź agencji, że były to odosobnione incydenty, a procedury zostały od tego czasu wyjaśnione i wzmocnione, oraz że dostosowanie cen było spowodowane wyjątkowymi warunkami inflacyjnymi;</w:t>
            </w:r>
          </w:p>
        </w:tc>
        <w:tc>
          <w:tcPr>
            <w:tcW w:w="4876" w:type="dxa"/>
            <w:tcBorders>
              <w:top w:val="nil"/>
              <w:left w:val="nil"/>
              <w:bottom w:val="nil"/>
              <w:right w:val="nil"/>
            </w:tcBorders>
          </w:tcPr>
          <w:p w14:paraId="0EE3A4D4" w14:textId="77777777" w:rsidR="001D5F6D" w:rsidRPr="00641BDE" w:rsidRDefault="001D5F6D" w:rsidP="007C1C97">
            <w:pPr>
              <w:pStyle w:val="Normal6a"/>
            </w:pPr>
            <w:r w:rsidRPr="00641BDE">
              <w:rPr>
                <w:b/>
                <w:i/>
              </w:rPr>
              <w:t>skreśla się</w:t>
            </w:r>
          </w:p>
        </w:tc>
      </w:tr>
    </w:tbl>
    <w:p w14:paraId="33DDED4E"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63E594F0" w14:textId="77777777" w:rsidR="001D5F6D" w:rsidRPr="00641BDE" w:rsidRDefault="001D5F6D" w:rsidP="001D5F6D">
      <w:r w:rsidRPr="00641BDE">
        <w:rPr>
          <w:rStyle w:val="HideTWBExt"/>
        </w:rPr>
        <w:t>&lt;/Amend&gt;</w:t>
      </w:r>
    </w:p>
    <w:p w14:paraId="5E90AB7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159</w:t>
      </w:r>
      <w:r w:rsidRPr="00641BDE">
        <w:rPr>
          <w:rStyle w:val="HideTWBExt"/>
          <w:b w:val="0"/>
        </w:rPr>
        <w:t>&lt;/NumAm&gt;</w:t>
      </w:r>
    </w:p>
    <w:p w14:paraId="6F0FA6FC"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468603D0" w14:textId="77777777" w:rsidR="001D5F6D" w:rsidRPr="00641BDE" w:rsidRDefault="001D5F6D" w:rsidP="001D5F6D">
      <w:pPr>
        <w:pStyle w:val="NormalBold"/>
      </w:pPr>
      <w:r w:rsidRPr="00641BDE">
        <w:rPr>
          <w:rStyle w:val="HideTWBExt"/>
          <w:b w:val="0"/>
        </w:rPr>
        <w:t>&lt;/RepeatBlock-By&gt;</w:t>
      </w:r>
    </w:p>
    <w:p w14:paraId="1E4D1C8E"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F4D2CD6" w14:textId="77777777" w:rsidR="001D5F6D" w:rsidRPr="00641BDE" w:rsidRDefault="001D5F6D" w:rsidP="001D5F6D">
      <w:pPr>
        <w:pStyle w:val="NormalBold"/>
      </w:pPr>
      <w:r w:rsidRPr="00641BDE">
        <w:rPr>
          <w:rStyle w:val="HideTWBExt"/>
          <w:b w:val="0"/>
        </w:rPr>
        <w:t>&lt;Article&gt;</w:t>
      </w:r>
      <w:r w:rsidRPr="00641BDE">
        <w:t xml:space="preserve">Ustęp 104 – </w:t>
      </w:r>
      <w:proofErr w:type="spellStart"/>
      <w:r w:rsidRPr="00641BDE">
        <w:t>tiret</w:t>
      </w:r>
      <w:proofErr w:type="spellEnd"/>
      <w:r w:rsidRPr="00641BDE">
        <w:t xml:space="preserve"> 2</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F5CE204" w14:textId="77777777" w:rsidTr="007C1C97">
        <w:trPr>
          <w:trHeight w:hRule="exact" w:val="240"/>
          <w:jc w:val="center"/>
        </w:trPr>
        <w:tc>
          <w:tcPr>
            <w:tcW w:w="9752" w:type="dxa"/>
            <w:gridSpan w:val="2"/>
            <w:tcBorders>
              <w:top w:val="nil"/>
              <w:left w:val="nil"/>
              <w:bottom w:val="nil"/>
              <w:right w:val="nil"/>
            </w:tcBorders>
          </w:tcPr>
          <w:p w14:paraId="1EBDB887" w14:textId="77777777" w:rsidR="001D5F6D" w:rsidRPr="00641BDE" w:rsidRDefault="001D5F6D" w:rsidP="007C1C97"/>
        </w:tc>
      </w:tr>
      <w:tr w:rsidR="001D5F6D" w:rsidRPr="00641BDE" w14:paraId="141DDE7D" w14:textId="77777777" w:rsidTr="007C1C97">
        <w:trPr>
          <w:trHeight w:val="240"/>
          <w:jc w:val="center"/>
        </w:trPr>
        <w:tc>
          <w:tcPr>
            <w:tcW w:w="4876" w:type="dxa"/>
            <w:tcBorders>
              <w:top w:val="nil"/>
              <w:left w:val="nil"/>
              <w:bottom w:val="nil"/>
              <w:right w:val="nil"/>
            </w:tcBorders>
          </w:tcPr>
          <w:p w14:paraId="59579E86"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1696A40" w14:textId="77777777" w:rsidR="001D5F6D" w:rsidRPr="00641BDE" w:rsidRDefault="001D5F6D" w:rsidP="007C1C97">
            <w:pPr>
              <w:pStyle w:val="AmColumnHeading"/>
            </w:pPr>
            <w:r w:rsidRPr="00641BDE">
              <w:t>Poprawka</w:t>
            </w:r>
          </w:p>
        </w:tc>
      </w:tr>
      <w:tr w:rsidR="001D5F6D" w:rsidRPr="00641BDE" w14:paraId="05A7CB4B" w14:textId="77777777" w:rsidTr="007C1C97">
        <w:trPr>
          <w:jc w:val="center"/>
        </w:trPr>
        <w:tc>
          <w:tcPr>
            <w:tcW w:w="4876" w:type="dxa"/>
            <w:tcBorders>
              <w:top w:val="nil"/>
              <w:left w:val="nil"/>
              <w:bottom w:val="nil"/>
              <w:right w:val="nil"/>
            </w:tcBorders>
          </w:tcPr>
          <w:p w14:paraId="58ED0E97" w14:textId="77777777" w:rsidR="001D5F6D" w:rsidRPr="00641BDE" w:rsidRDefault="001D5F6D" w:rsidP="007C1C97">
            <w:pPr>
              <w:pStyle w:val="Normal6a"/>
            </w:pPr>
            <w:r w:rsidRPr="00641BDE">
              <w:rPr>
                <w:b/>
                <w:i/>
              </w:rPr>
              <w:t>–</w:t>
            </w:r>
            <w:r w:rsidRPr="00641BDE">
              <w:tab/>
            </w:r>
            <w:r w:rsidRPr="00641BDE">
              <w:rPr>
                <w:b/>
                <w:i/>
              </w:rPr>
              <w:t>wykorzystywanie wewnętrznego systemu na potrzeby spotkań ekspertów do zamawiania usług cateringowych zamiast formularzy zamówień wymaganych w umowie ramowej, co uniemożliwia wiarygodne monitorowanie skumulowanych wydatków i grozi przekroczeniem pułapu umowy z naruszeniem art. 111 ust. 1 i 3 rozporządzenia finansowego; przyjmuje do wiadomości odpowiedź EEA, że system na potrzeby spotkań ekspertów zapewnia usprawniony proces kontroli i że EEA odpowiednio zmieni umowę ramową; podkreśla, że aby w pełni rozwiać obawy Trybunału, system ten należy zintegrować z systemem rachunkowości, aby zapewnić automatyczne generowanie prawnie wiążących zobowiązań w odniesieniu do wszystkich zamówień na usługi cateringowe;</w:t>
            </w:r>
          </w:p>
        </w:tc>
        <w:tc>
          <w:tcPr>
            <w:tcW w:w="4876" w:type="dxa"/>
            <w:tcBorders>
              <w:top w:val="nil"/>
              <w:left w:val="nil"/>
              <w:bottom w:val="nil"/>
              <w:right w:val="nil"/>
            </w:tcBorders>
          </w:tcPr>
          <w:p w14:paraId="1955A501" w14:textId="77777777" w:rsidR="001D5F6D" w:rsidRPr="00641BDE" w:rsidRDefault="001D5F6D" w:rsidP="007C1C97">
            <w:pPr>
              <w:pStyle w:val="Normal6a"/>
            </w:pPr>
            <w:r w:rsidRPr="00641BDE">
              <w:rPr>
                <w:b/>
                <w:i/>
              </w:rPr>
              <w:t>skreśla się</w:t>
            </w:r>
          </w:p>
        </w:tc>
      </w:tr>
    </w:tbl>
    <w:p w14:paraId="112EAB01"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46630607" w14:textId="77777777" w:rsidR="001D5F6D" w:rsidRPr="00641BDE" w:rsidRDefault="001D5F6D" w:rsidP="001D5F6D">
      <w:r w:rsidRPr="00641BDE">
        <w:rPr>
          <w:rStyle w:val="HideTWBExt"/>
        </w:rPr>
        <w:t>&lt;/Amend&gt;</w:t>
      </w:r>
    </w:p>
    <w:p w14:paraId="79984F5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160</w:t>
      </w:r>
      <w:r w:rsidRPr="00641BDE">
        <w:rPr>
          <w:rStyle w:val="HideTWBExt"/>
          <w:b w:val="0"/>
        </w:rPr>
        <w:t>&lt;/NumAm&gt;</w:t>
      </w:r>
    </w:p>
    <w:p w14:paraId="63283FD3"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1A257AAA" w14:textId="77777777" w:rsidR="001D5F6D" w:rsidRPr="00641BDE" w:rsidRDefault="001D5F6D" w:rsidP="001D5F6D">
      <w:pPr>
        <w:pStyle w:val="NormalBold"/>
      </w:pPr>
      <w:r w:rsidRPr="00641BDE">
        <w:rPr>
          <w:rStyle w:val="HideTWBExt"/>
          <w:b w:val="0"/>
        </w:rPr>
        <w:t>&lt;/RepeatBlock-By&gt;</w:t>
      </w:r>
    </w:p>
    <w:p w14:paraId="2ADF8CA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D237B51" w14:textId="77777777" w:rsidR="001D5F6D" w:rsidRPr="00641BDE" w:rsidRDefault="001D5F6D" w:rsidP="001D5F6D">
      <w:pPr>
        <w:pStyle w:val="NormalBold"/>
      </w:pPr>
      <w:r w:rsidRPr="00641BDE">
        <w:rPr>
          <w:rStyle w:val="HideTWBExt"/>
          <w:b w:val="0"/>
        </w:rPr>
        <w:t>&lt;Article&gt;</w:t>
      </w:r>
      <w:r w:rsidRPr="00641BDE">
        <w:t xml:space="preserve">Ustęp 104 – </w:t>
      </w:r>
      <w:proofErr w:type="spellStart"/>
      <w:r w:rsidRPr="00641BDE">
        <w:t>tiret</w:t>
      </w:r>
      <w:proofErr w:type="spellEnd"/>
      <w:r w:rsidRPr="00641BDE">
        <w:t xml:space="preserve"> 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4C1AC11" w14:textId="77777777" w:rsidTr="007C1C97">
        <w:trPr>
          <w:trHeight w:hRule="exact" w:val="240"/>
          <w:jc w:val="center"/>
        </w:trPr>
        <w:tc>
          <w:tcPr>
            <w:tcW w:w="9752" w:type="dxa"/>
            <w:gridSpan w:val="2"/>
            <w:tcBorders>
              <w:top w:val="nil"/>
              <w:left w:val="nil"/>
              <w:bottom w:val="nil"/>
              <w:right w:val="nil"/>
            </w:tcBorders>
          </w:tcPr>
          <w:p w14:paraId="353EC96A" w14:textId="77777777" w:rsidR="001D5F6D" w:rsidRPr="00641BDE" w:rsidRDefault="001D5F6D" w:rsidP="007C1C97"/>
        </w:tc>
      </w:tr>
      <w:tr w:rsidR="001D5F6D" w:rsidRPr="00641BDE" w14:paraId="6CB590C0" w14:textId="77777777" w:rsidTr="007C1C97">
        <w:trPr>
          <w:trHeight w:val="240"/>
          <w:jc w:val="center"/>
        </w:trPr>
        <w:tc>
          <w:tcPr>
            <w:tcW w:w="4876" w:type="dxa"/>
            <w:tcBorders>
              <w:top w:val="nil"/>
              <w:left w:val="nil"/>
              <w:bottom w:val="nil"/>
              <w:right w:val="nil"/>
            </w:tcBorders>
          </w:tcPr>
          <w:p w14:paraId="54F2E9BB"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5FD97CF" w14:textId="77777777" w:rsidR="001D5F6D" w:rsidRPr="00641BDE" w:rsidRDefault="001D5F6D" w:rsidP="007C1C97">
            <w:pPr>
              <w:pStyle w:val="AmColumnHeading"/>
            </w:pPr>
            <w:r w:rsidRPr="00641BDE">
              <w:t>Poprawka</w:t>
            </w:r>
          </w:p>
        </w:tc>
      </w:tr>
      <w:tr w:rsidR="001D5F6D" w:rsidRPr="00641BDE" w14:paraId="2411EDF2" w14:textId="77777777" w:rsidTr="007C1C97">
        <w:trPr>
          <w:jc w:val="center"/>
        </w:trPr>
        <w:tc>
          <w:tcPr>
            <w:tcW w:w="4876" w:type="dxa"/>
            <w:tcBorders>
              <w:top w:val="nil"/>
              <w:left w:val="nil"/>
              <w:bottom w:val="nil"/>
              <w:right w:val="nil"/>
            </w:tcBorders>
          </w:tcPr>
          <w:p w14:paraId="0C7F0A91" w14:textId="77777777" w:rsidR="001D5F6D" w:rsidRPr="00641BDE" w:rsidRDefault="001D5F6D" w:rsidP="007C1C97">
            <w:pPr>
              <w:pStyle w:val="Normal6a"/>
            </w:pPr>
            <w:r w:rsidRPr="00641BDE">
              <w:rPr>
                <w:b/>
                <w:i/>
              </w:rPr>
              <w:t>–</w:t>
            </w:r>
            <w:r w:rsidRPr="00641BDE">
              <w:tab/>
            </w:r>
            <w:r w:rsidRPr="00641BDE">
              <w:rPr>
                <w:b/>
                <w:i/>
              </w:rPr>
              <w:t xml:space="preserve">rodzaj umowy: zauważa, że w przypadku umowy o doradztwo informatyczne na kwotę 731 000 EUR EEA nie określiła rodzaju umowy (rozliczanej według ustalonej ceny lub przepracowanego czasu i wykorzystanych środków), co jest sprzeczne z sekcją 1.1 załącznika I do rozporządzenia finansowego i uniemożliwia uzgodnienie całkowitej kwoty umowy z ceną za konsultanta; przyjmuje do wiadomości wyjaśnienie EEA, że pominięcie to nie miało wpływu finansowego, oraz zobowiązanie </w:t>
            </w:r>
            <w:proofErr w:type="spellStart"/>
            <w:r w:rsidRPr="00641BDE">
              <w:rPr>
                <w:b/>
                <w:i/>
              </w:rPr>
              <w:t>jąagencji</w:t>
            </w:r>
            <w:proofErr w:type="spellEnd"/>
            <w:r w:rsidRPr="00641BDE">
              <w:rPr>
                <w:b/>
                <w:i/>
              </w:rPr>
              <w:t xml:space="preserve"> do dopilnowania, aby wszystkie przyszłe umowy zawierały tę informację;</w:t>
            </w:r>
          </w:p>
        </w:tc>
        <w:tc>
          <w:tcPr>
            <w:tcW w:w="4876" w:type="dxa"/>
            <w:tcBorders>
              <w:top w:val="nil"/>
              <w:left w:val="nil"/>
              <w:bottom w:val="nil"/>
              <w:right w:val="nil"/>
            </w:tcBorders>
          </w:tcPr>
          <w:p w14:paraId="00C5170D" w14:textId="77777777" w:rsidR="001D5F6D" w:rsidRPr="00641BDE" w:rsidRDefault="001D5F6D" w:rsidP="007C1C97">
            <w:pPr>
              <w:pStyle w:val="Normal6a"/>
            </w:pPr>
            <w:r w:rsidRPr="00641BDE">
              <w:rPr>
                <w:b/>
                <w:i/>
              </w:rPr>
              <w:t>skreśla się</w:t>
            </w:r>
          </w:p>
        </w:tc>
      </w:tr>
    </w:tbl>
    <w:p w14:paraId="5EE2146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236E285" w14:textId="77777777" w:rsidR="001D5F6D" w:rsidRPr="00641BDE" w:rsidRDefault="001D5F6D" w:rsidP="001D5F6D">
      <w:r w:rsidRPr="00641BDE">
        <w:rPr>
          <w:rStyle w:val="HideTWBExt"/>
        </w:rPr>
        <w:t>&lt;/Amend&gt;</w:t>
      </w:r>
    </w:p>
    <w:p w14:paraId="52CD9FCD"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161</w:t>
      </w:r>
      <w:r w:rsidRPr="00641BDE">
        <w:rPr>
          <w:rStyle w:val="HideTWBExt"/>
          <w:b w:val="0"/>
        </w:rPr>
        <w:t>&lt;/NumAm&gt;</w:t>
      </w:r>
    </w:p>
    <w:p w14:paraId="35784F3E"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6384DA35" w14:textId="77777777" w:rsidR="001D5F6D" w:rsidRPr="00641BDE" w:rsidRDefault="001D5F6D" w:rsidP="001D5F6D">
      <w:pPr>
        <w:pStyle w:val="NormalBold"/>
      </w:pPr>
      <w:r w:rsidRPr="00641BDE">
        <w:rPr>
          <w:rStyle w:val="HideTWBExt"/>
          <w:b w:val="0"/>
        </w:rPr>
        <w:t>&lt;/RepeatBlock-By&gt;</w:t>
      </w:r>
    </w:p>
    <w:p w14:paraId="7AB4178A"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9F805BD" w14:textId="77777777" w:rsidR="001D5F6D" w:rsidRPr="00641BDE" w:rsidRDefault="001D5F6D" w:rsidP="001D5F6D">
      <w:pPr>
        <w:pStyle w:val="NormalBold"/>
      </w:pPr>
      <w:r w:rsidRPr="00641BDE">
        <w:rPr>
          <w:rStyle w:val="HideTWBExt"/>
          <w:b w:val="0"/>
        </w:rPr>
        <w:t>&lt;Article&gt;</w:t>
      </w:r>
      <w:r w:rsidRPr="00641BDE">
        <w:t xml:space="preserve">Ustęp 104 – </w:t>
      </w:r>
      <w:proofErr w:type="spellStart"/>
      <w:r w:rsidRPr="00641BDE">
        <w:t>tiret</w:t>
      </w:r>
      <w:proofErr w:type="spellEnd"/>
      <w:r w:rsidRPr="00641BDE">
        <w:t xml:space="preserve"> 3</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20716485" w14:textId="77777777" w:rsidTr="007C1C97">
        <w:trPr>
          <w:trHeight w:hRule="exact" w:val="240"/>
          <w:jc w:val="center"/>
        </w:trPr>
        <w:tc>
          <w:tcPr>
            <w:tcW w:w="9752" w:type="dxa"/>
            <w:gridSpan w:val="2"/>
            <w:tcBorders>
              <w:top w:val="nil"/>
              <w:left w:val="nil"/>
              <w:bottom w:val="nil"/>
              <w:right w:val="nil"/>
            </w:tcBorders>
          </w:tcPr>
          <w:p w14:paraId="6B010032" w14:textId="77777777" w:rsidR="001D5F6D" w:rsidRPr="00641BDE" w:rsidRDefault="001D5F6D" w:rsidP="007C1C97"/>
        </w:tc>
      </w:tr>
      <w:tr w:rsidR="001D5F6D" w:rsidRPr="00641BDE" w14:paraId="1D4CE144" w14:textId="77777777" w:rsidTr="007C1C97">
        <w:trPr>
          <w:trHeight w:val="240"/>
          <w:jc w:val="center"/>
        </w:trPr>
        <w:tc>
          <w:tcPr>
            <w:tcW w:w="4876" w:type="dxa"/>
            <w:tcBorders>
              <w:top w:val="nil"/>
              <w:left w:val="nil"/>
              <w:bottom w:val="nil"/>
              <w:right w:val="nil"/>
            </w:tcBorders>
          </w:tcPr>
          <w:p w14:paraId="3929FA9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A7F3625" w14:textId="77777777" w:rsidR="001D5F6D" w:rsidRPr="00641BDE" w:rsidRDefault="001D5F6D" w:rsidP="007C1C97">
            <w:pPr>
              <w:pStyle w:val="AmColumnHeading"/>
            </w:pPr>
            <w:r w:rsidRPr="00641BDE">
              <w:t>Poprawka</w:t>
            </w:r>
          </w:p>
        </w:tc>
      </w:tr>
      <w:tr w:rsidR="001D5F6D" w:rsidRPr="00641BDE" w14:paraId="4E404FF3" w14:textId="77777777" w:rsidTr="007C1C97">
        <w:trPr>
          <w:jc w:val="center"/>
        </w:trPr>
        <w:tc>
          <w:tcPr>
            <w:tcW w:w="4876" w:type="dxa"/>
            <w:tcBorders>
              <w:top w:val="nil"/>
              <w:left w:val="nil"/>
              <w:bottom w:val="nil"/>
              <w:right w:val="nil"/>
            </w:tcBorders>
          </w:tcPr>
          <w:p w14:paraId="296AAD8B" w14:textId="6809FFD8" w:rsidR="001D5F6D" w:rsidRPr="00641BDE" w:rsidRDefault="001D5F6D" w:rsidP="007C1C97">
            <w:pPr>
              <w:pStyle w:val="Normal6a"/>
            </w:pPr>
            <w:r w:rsidRPr="00641BDE">
              <w:t>–</w:t>
            </w:r>
            <w:r w:rsidRPr="00641BDE">
              <w:tab/>
              <w:t xml:space="preserve">rodzaj umowy: </w:t>
            </w:r>
            <w:r w:rsidRPr="00641BDE">
              <w:rPr>
                <w:b/>
                <w:i/>
              </w:rPr>
              <w:t>zauważa</w:t>
            </w:r>
            <w:r w:rsidRPr="00641BDE">
              <w:t xml:space="preserve">, że w przypadku umowy o doradztwo informatyczne na kwotę 731 000 EUR EEA nie określiła rodzaju umowy (rozliczanej według ustalonej ceny lub przepracowanego czasu i wykorzystanych środków), co jest sprzeczne z sekcją 1.1 załącznika I do rozporządzenia finansowego i uniemożliwia uzgodnienie całkowitej kwoty umowy z ceną za konsultanta; przyjmuje do wiadomości wyjaśnienie EEA, że pominięcie to nie miało wpływu finansowego, oraz zobowiązanie </w:t>
            </w:r>
            <w:r w:rsidRPr="00641BDE">
              <w:rPr>
                <w:bCs/>
                <w:iCs/>
              </w:rPr>
              <w:t>agencji</w:t>
            </w:r>
            <w:r w:rsidRPr="00641BDE">
              <w:t xml:space="preserve"> do dopilnowania, aby wszystkie przyszłe umowy zawierały tę informację;</w:t>
            </w:r>
          </w:p>
        </w:tc>
        <w:tc>
          <w:tcPr>
            <w:tcW w:w="4876" w:type="dxa"/>
            <w:tcBorders>
              <w:top w:val="nil"/>
              <w:left w:val="nil"/>
              <w:bottom w:val="nil"/>
              <w:right w:val="nil"/>
            </w:tcBorders>
          </w:tcPr>
          <w:p w14:paraId="7C907E0A" w14:textId="77777777" w:rsidR="001D5F6D" w:rsidRPr="00641BDE" w:rsidRDefault="001D5F6D" w:rsidP="007C1C97">
            <w:pPr>
              <w:pStyle w:val="Normal6a"/>
            </w:pPr>
            <w:r w:rsidRPr="00641BDE">
              <w:t>–</w:t>
            </w:r>
            <w:r w:rsidRPr="00641BDE">
              <w:tab/>
              <w:t xml:space="preserve">rodzaj umowy: </w:t>
            </w:r>
            <w:r w:rsidRPr="00641BDE">
              <w:rPr>
                <w:b/>
                <w:i/>
              </w:rPr>
              <w:t>wyraża ubolewanie</w:t>
            </w:r>
            <w:r w:rsidRPr="00641BDE">
              <w:t xml:space="preserve">, że w przypadku umowy o doradztwo informatyczne na kwotę 731 000 EUR EEA nie określiła rodzaju umowy (rozliczanej według ustalonej ceny lub przepracowanego czasu i wykorzystanych środków), co jest sprzeczne z sekcją 1.1 załącznika I do rozporządzenia finansowego i uniemożliwia uzgodnienie całkowitej kwoty umowy z ceną za konsultanta; przyjmuje do wiadomości wyjaśnienie EEA, że pominięcie to nie miało wpływu finansowego, oraz zobowiązanie </w:t>
            </w:r>
            <w:r w:rsidRPr="00641BDE">
              <w:rPr>
                <w:bCs/>
                <w:iCs/>
              </w:rPr>
              <w:t xml:space="preserve">agencji </w:t>
            </w:r>
            <w:r w:rsidRPr="00641BDE">
              <w:t xml:space="preserve">do dopilnowania, aby wszystkie przyszłe umowy zawierały tę informację; </w:t>
            </w:r>
            <w:r w:rsidRPr="00641BDE">
              <w:rPr>
                <w:b/>
                <w:i/>
              </w:rPr>
              <w:t>apeluje o pilną profesjonalizację usług prawnych i zakupowych agencji, aby uniknąć powtarzania tych błędów, a tym samym narażania pieniędzy publicznych na ryzyko;</w:t>
            </w:r>
          </w:p>
        </w:tc>
      </w:tr>
    </w:tbl>
    <w:p w14:paraId="1448031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29ABF6E1" w14:textId="77777777" w:rsidR="001D5F6D" w:rsidRPr="00641BDE" w:rsidRDefault="001D5F6D" w:rsidP="001D5F6D">
      <w:r w:rsidRPr="00641BDE">
        <w:rPr>
          <w:rStyle w:val="HideTWBExt"/>
        </w:rPr>
        <w:t>&lt;/Amend&gt;</w:t>
      </w:r>
    </w:p>
    <w:p w14:paraId="07BA6C90"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162</w:t>
      </w:r>
      <w:r w:rsidRPr="00641BDE">
        <w:rPr>
          <w:rStyle w:val="HideTWBExt"/>
          <w:b w:val="0"/>
        </w:rPr>
        <w:t>&lt;/NumAm&gt;</w:t>
      </w:r>
    </w:p>
    <w:p w14:paraId="15E37EB2"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538036D9" w14:textId="77777777" w:rsidR="001D5F6D" w:rsidRPr="00641BDE" w:rsidRDefault="001D5F6D" w:rsidP="001D5F6D">
      <w:pPr>
        <w:pStyle w:val="NormalBold"/>
      </w:pPr>
      <w:r w:rsidRPr="00641BDE">
        <w:rPr>
          <w:rStyle w:val="HideTWBExt"/>
          <w:b w:val="0"/>
        </w:rPr>
        <w:t>&lt;/RepeatBlock-By&gt;</w:t>
      </w:r>
    </w:p>
    <w:p w14:paraId="78C507E8"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39CD50C2" w14:textId="77777777" w:rsidR="001D5F6D" w:rsidRPr="00641BDE" w:rsidRDefault="001D5F6D" w:rsidP="001D5F6D">
      <w:pPr>
        <w:pStyle w:val="NormalBold"/>
      </w:pPr>
      <w:r w:rsidRPr="00641BDE">
        <w:rPr>
          <w:rStyle w:val="HideTWBExt"/>
          <w:b w:val="0"/>
        </w:rPr>
        <w:t>&lt;Article&gt;</w:t>
      </w:r>
      <w:r w:rsidRPr="00641BDE">
        <w:t>Ustęp 104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57E78960" w14:textId="77777777" w:rsidTr="007C1C97">
        <w:trPr>
          <w:trHeight w:hRule="exact" w:val="240"/>
          <w:jc w:val="center"/>
        </w:trPr>
        <w:tc>
          <w:tcPr>
            <w:tcW w:w="9752" w:type="dxa"/>
            <w:gridSpan w:val="2"/>
            <w:tcBorders>
              <w:top w:val="nil"/>
              <w:left w:val="nil"/>
              <w:bottom w:val="nil"/>
              <w:right w:val="nil"/>
            </w:tcBorders>
          </w:tcPr>
          <w:p w14:paraId="149FF786" w14:textId="77777777" w:rsidR="001D5F6D" w:rsidRPr="00641BDE" w:rsidRDefault="001D5F6D" w:rsidP="007C1C97"/>
        </w:tc>
      </w:tr>
      <w:tr w:rsidR="001D5F6D" w:rsidRPr="00641BDE" w14:paraId="77E00C35" w14:textId="77777777" w:rsidTr="007C1C97">
        <w:trPr>
          <w:trHeight w:val="240"/>
          <w:jc w:val="center"/>
        </w:trPr>
        <w:tc>
          <w:tcPr>
            <w:tcW w:w="4876" w:type="dxa"/>
            <w:tcBorders>
              <w:top w:val="nil"/>
              <w:left w:val="nil"/>
              <w:bottom w:val="nil"/>
              <w:right w:val="nil"/>
            </w:tcBorders>
          </w:tcPr>
          <w:p w14:paraId="688DFC78"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2A1B6435" w14:textId="77777777" w:rsidR="001D5F6D" w:rsidRPr="00641BDE" w:rsidRDefault="001D5F6D" w:rsidP="007C1C97">
            <w:pPr>
              <w:pStyle w:val="AmColumnHeading"/>
            </w:pPr>
            <w:r w:rsidRPr="00641BDE">
              <w:t>Poprawka</w:t>
            </w:r>
          </w:p>
        </w:tc>
      </w:tr>
      <w:tr w:rsidR="001D5F6D" w:rsidRPr="00641BDE" w14:paraId="478763B7" w14:textId="77777777" w:rsidTr="007C1C97">
        <w:trPr>
          <w:jc w:val="center"/>
        </w:trPr>
        <w:tc>
          <w:tcPr>
            <w:tcW w:w="4876" w:type="dxa"/>
            <w:tcBorders>
              <w:top w:val="nil"/>
              <w:left w:val="nil"/>
              <w:bottom w:val="nil"/>
              <w:right w:val="nil"/>
            </w:tcBorders>
          </w:tcPr>
          <w:p w14:paraId="69414DFB" w14:textId="77777777" w:rsidR="001D5F6D" w:rsidRPr="00641BDE" w:rsidRDefault="001D5F6D" w:rsidP="007C1C97">
            <w:pPr>
              <w:pStyle w:val="Normal6a"/>
            </w:pPr>
          </w:p>
        </w:tc>
        <w:tc>
          <w:tcPr>
            <w:tcW w:w="4876" w:type="dxa"/>
            <w:tcBorders>
              <w:top w:val="nil"/>
              <w:left w:val="nil"/>
              <w:bottom w:val="nil"/>
              <w:right w:val="nil"/>
            </w:tcBorders>
          </w:tcPr>
          <w:p w14:paraId="0959726D" w14:textId="77777777" w:rsidR="001D5F6D" w:rsidRPr="00641BDE" w:rsidRDefault="001D5F6D" w:rsidP="007C1C97">
            <w:pPr>
              <w:pStyle w:val="Normal6a"/>
            </w:pPr>
            <w:r w:rsidRPr="00641BDE">
              <w:rPr>
                <w:b/>
                <w:i/>
              </w:rPr>
              <w:t>104a.</w:t>
            </w:r>
            <w:r w:rsidRPr="00641BDE">
              <w:tab/>
            </w:r>
            <w:r w:rsidRPr="00641BDE">
              <w:rPr>
                <w:b/>
                <w:i/>
              </w:rPr>
              <w:t>podkreśla, że liczne publikacje EEA odzwierciedlają ideologiczne podejście do Zielonego Ładu, które może nieproporcjonalnie wpłynąć na europejski sektor rolny i przemysłowy, i wzywa Agencję do stosowania rygorystycznej, naukowej metodyki wolnej od aktywizmu politycznego;</w:t>
            </w:r>
          </w:p>
        </w:tc>
      </w:tr>
    </w:tbl>
    <w:p w14:paraId="30092C16"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6AED2234" w14:textId="77777777" w:rsidR="001D5F6D" w:rsidRPr="00641BDE" w:rsidRDefault="001D5F6D" w:rsidP="001D5F6D">
      <w:r w:rsidRPr="00641BDE">
        <w:rPr>
          <w:rStyle w:val="HideTWBExt"/>
        </w:rPr>
        <w:t>&lt;/Amend&gt;</w:t>
      </w:r>
    </w:p>
    <w:p w14:paraId="31EB4F8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163</w:t>
      </w:r>
      <w:r w:rsidRPr="00641BDE">
        <w:rPr>
          <w:rStyle w:val="HideTWBExt"/>
          <w:b w:val="0"/>
        </w:rPr>
        <w:t>&lt;/NumAm&gt;</w:t>
      </w:r>
    </w:p>
    <w:p w14:paraId="2B57F698"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689BF04B" w14:textId="77777777" w:rsidR="001D5F6D" w:rsidRPr="00641BDE" w:rsidRDefault="001D5F6D" w:rsidP="001D5F6D">
      <w:pPr>
        <w:pStyle w:val="NormalBold"/>
      </w:pPr>
      <w:r w:rsidRPr="00641BDE">
        <w:rPr>
          <w:rStyle w:val="HideTWBExt"/>
          <w:b w:val="0"/>
        </w:rPr>
        <w:t>&lt;/RepeatBlock-By&gt;</w:t>
      </w:r>
    </w:p>
    <w:p w14:paraId="415E6D99"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E9F6630" w14:textId="77777777" w:rsidR="001D5F6D" w:rsidRPr="00641BDE" w:rsidRDefault="001D5F6D" w:rsidP="001D5F6D">
      <w:pPr>
        <w:pStyle w:val="NormalBold"/>
      </w:pPr>
      <w:r w:rsidRPr="00641BDE">
        <w:rPr>
          <w:rStyle w:val="HideTWBExt"/>
          <w:b w:val="0"/>
        </w:rPr>
        <w:t>&lt;Article&gt;</w:t>
      </w:r>
      <w:r w:rsidRPr="00641BDE">
        <w:t>Ustęp 105</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2E8D741" w14:textId="77777777" w:rsidTr="007C1C97">
        <w:trPr>
          <w:trHeight w:hRule="exact" w:val="240"/>
          <w:jc w:val="center"/>
        </w:trPr>
        <w:tc>
          <w:tcPr>
            <w:tcW w:w="9752" w:type="dxa"/>
            <w:gridSpan w:val="2"/>
            <w:tcBorders>
              <w:top w:val="nil"/>
              <w:left w:val="nil"/>
              <w:bottom w:val="nil"/>
              <w:right w:val="nil"/>
            </w:tcBorders>
          </w:tcPr>
          <w:p w14:paraId="242036F3" w14:textId="77777777" w:rsidR="001D5F6D" w:rsidRPr="00641BDE" w:rsidRDefault="001D5F6D" w:rsidP="007C1C97"/>
        </w:tc>
      </w:tr>
      <w:tr w:rsidR="001D5F6D" w:rsidRPr="00641BDE" w14:paraId="3DE1BFCA" w14:textId="77777777" w:rsidTr="007C1C97">
        <w:trPr>
          <w:trHeight w:val="240"/>
          <w:jc w:val="center"/>
        </w:trPr>
        <w:tc>
          <w:tcPr>
            <w:tcW w:w="4876" w:type="dxa"/>
            <w:tcBorders>
              <w:top w:val="nil"/>
              <w:left w:val="nil"/>
              <w:bottom w:val="nil"/>
              <w:right w:val="nil"/>
            </w:tcBorders>
          </w:tcPr>
          <w:p w14:paraId="39969D53"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21E4248" w14:textId="77777777" w:rsidR="001D5F6D" w:rsidRPr="00641BDE" w:rsidRDefault="001D5F6D" w:rsidP="007C1C97">
            <w:pPr>
              <w:pStyle w:val="AmColumnHeading"/>
            </w:pPr>
            <w:r w:rsidRPr="00641BDE">
              <w:t>Poprawka</w:t>
            </w:r>
          </w:p>
        </w:tc>
      </w:tr>
      <w:tr w:rsidR="001D5F6D" w:rsidRPr="00641BDE" w14:paraId="4BA2D507" w14:textId="77777777" w:rsidTr="007C1C97">
        <w:trPr>
          <w:jc w:val="center"/>
        </w:trPr>
        <w:tc>
          <w:tcPr>
            <w:tcW w:w="4876" w:type="dxa"/>
            <w:tcBorders>
              <w:top w:val="nil"/>
              <w:left w:val="nil"/>
              <w:bottom w:val="nil"/>
              <w:right w:val="nil"/>
            </w:tcBorders>
          </w:tcPr>
          <w:p w14:paraId="188776FC" w14:textId="77777777" w:rsidR="001D5F6D" w:rsidRPr="00641BDE" w:rsidRDefault="001D5F6D" w:rsidP="007C1C97">
            <w:pPr>
              <w:pStyle w:val="Normal6a"/>
            </w:pPr>
            <w:r w:rsidRPr="00641BDE">
              <w:t>105.</w:t>
            </w:r>
            <w:r w:rsidRPr="00641BDE">
              <w:tab/>
              <w:t>odnotowuje uwagę Trybunału, że ECHA udzieliła konkretnego zamówienia na usługi w zakresie infrastruktury informatycznej o wartości 8,1 mln EUR, tj. przekraczającej o 1,3 mln EUR limit, do którego zatwierdzenia uprawniony był urzędnik zatwierdzający; przyjmuje do wiadomości wyjaśnienie agencji, że umowa opierała się na niewiążących szacunkach wielkości usług w granicach rocznych środków oraz że rzeczywiste zobowiązania budżetowe nie przekroczyły przyznanych uprawnień; zachęca ECHA do zapewnienia wyraźnego dostosowania delegacji finansowych do zobowiązań umownych;</w:t>
            </w:r>
          </w:p>
        </w:tc>
        <w:tc>
          <w:tcPr>
            <w:tcW w:w="4876" w:type="dxa"/>
            <w:tcBorders>
              <w:top w:val="nil"/>
              <w:left w:val="nil"/>
              <w:bottom w:val="nil"/>
              <w:right w:val="nil"/>
            </w:tcBorders>
          </w:tcPr>
          <w:p w14:paraId="1FEC69C8" w14:textId="77777777" w:rsidR="001D5F6D" w:rsidRPr="00641BDE" w:rsidRDefault="001D5F6D" w:rsidP="007C1C97">
            <w:pPr>
              <w:pStyle w:val="Normal6a"/>
            </w:pPr>
            <w:r w:rsidRPr="00641BDE">
              <w:t>105.</w:t>
            </w:r>
            <w:r w:rsidRPr="00641BDE">
              <w:tab/>
              <w:t xml:space="preserve">odnotowuje uwagę Trybunału, że ECHA udzieliła konkretnego zamówienia na usługi w zakresie infrastruktury informatycznej o wartości 8,1 mln EUR, tj. przekraczającej o 1,3 mln EUR limit, do którego zatwierdzenia uprawniony był urzędnik zatwierdzający; przyjmuje do wiadomości wyjaśnienie agencji, że umowa opierała się na niewiążących szacunkach wielkości usług w granicach rocznych środków oraz że rzeczywiste zobowiązania budżetowe nie przekroczyły przyznanych uprawnień; zachęca ECHA do zapewnienia wyraźnego dostosowania delegacji finansowych do zobowiązań umownych; </w:t>
            </w:r>
            <w:r w:rsidRPr="00641BDE">
              <w:rPr>
                <w:b/>
                <w:i/>
              </w:rPr>
              <w:t>wzywa agencję, by wprowadziła ulepszone dalekosiężne mechanizmy monitorowania wykonawców zewnętrznych zaangażowanych w prace związane z podejmowaniem przez nią decyzji regulacyjnych;</w:t>
            </w:r>
          </w:p>
        </w:tc>
      </w:tr>
    </w:tbl>
    <w:p w14:paraId="40D3504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05BC5CE3" w14:textId="77777777" w:rsidR="001D5F6D" w:rsidRPr="00641BDE" w:rsidRDefault="001D5F6D" w:rsidP="001D5F6D">
      <w:r w:rsidRPr="00641BDE">
        <w:rPr>
          <w:rStyle w:val="HideTWBExt"/>
        </w:rPr>
        <w:t>&lt;/Amend&gt;</w:t>
      </w:r>
    </w:p>
    <w:p w14:paraId="7493D8D4"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164</w:t>
      </w:r>
      <w:r w:rsidRPr="00641BDE">
        <w:rPr>
          <w:rStyle w:val="HideTWBExt"/>
          <w:b w:val="0"/>
        </w:rPr>
        <w:t>&lt;/NumAm&gt;</w:t>
      </w:r>
    </w:p>
    <w:p w14:paraId="66F22158"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71F60F32" w14:textId="77777777" w:rsidR="001D5F6D" w:rsidRPr="00641BDE" w:rsidRDefault="001D5F6D" w:rsidP="001D5F6D">
      <w:pPr>
        <w:pStyle w:val="NormalBold"/>
      </w:pPr>
      <w:r w:rsidRPr="00641BDE">
        <w:rPr>
          <w:rStyle w:val="HideTWBExt"/>
          <w:b w:val="0"/>
        </w:rPr>
        <w:t>&lt;/RepeatBlock-By&gt;</w:t>
      </w:r>
    </w:p>
    <w:p w14:paraId="07B1F664"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1460C4E" w14:textId="77777777" w:rsidR="001D5F6D" w:rsidRPr="00641BDE" w:rsidRDefault="001D5F6D" w:rsidP="001D5F6D">
      <w:pPr>
        <w:pStyle w:val="NormalBold"/>
      </w:pPr>
      <w:r w:rsidRPr="00641BDE">
        <w:rPr>
          <w:rStyle w:val="HideTWBExt"/>
          <w:b w:val="0"/>
        </w:rPr>
        <w:t>&lt;Article&gt;</w:t>
      </w:r>
      <w:r w:rsidRPr="00641BDE">
        <w:t>Ustęp 106</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33833CE" w14:textId="77777777" w:rsidTr="007C1C97">
        <w:trPr>
          <w:trHeight w:hRule="exact" w:val="240"/>
          <w:jc w:val="center"/>
        </w:trPr>
        <w:tc>
          <w:tcPr>
            <w:tcW w:w="9752" w:type="dxa"/>
            <w:gridSpan w:val="2"/>
            <w:tcBorders>
              <w:top w:val="nil"/>
              <w:left w:val="nil"/>
              <w:bottom w:val="nil"/>
              <w:right w:val="nil"/>
            </w:tcBorders>
          </w:tcPr>
          <w:p w14:paraId="0752EC19" w14:textId="77777777" w:rsidR="001D5F6D" w:rsidRPr="00641BDE" w:rsidRDefault="001D5F6D" w:rsidP="007C1C97"/>
        </w:tc>
      </w:tr>
      <w:tr w:rsidR="001D5F6D" w:rsidRPr="00641BDE" w14:paraId="1560CAAA" w14:textId="77777777" w:rsidTr="007C1C97">
        <w:trPr>
          <w:trHeight w:val="240"/>
          <w:jc w:val="center"/>
        </w:trPr>
        <w:tc>
          <w:tcPr>
            <w:tcW w:w="4876" w:type="dxa"/>
            <w:tcBorders>
              <w:top w:val="nil"/>
              <w:left w:val="nil"/>
              <w:bottom w:val="nil"/>
              <w:right w:val="nil"/>
            </w:tcBorders>
          </w:tcPr>
          <w:p w14:paraId="6E282C91"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1642A280" w14:textId="77777777" w:rsidR="001D5F6D" w:rsidRPr="00641BDE" w:rsidRDefault="001D5F6D" w:rsidP="007C1C97">
            <w:pPr>
              <w:pStyle w:val="AmColumnHeading"/>
            </w:pPr>
            <w:r w:rsidRPr="00641BDE">
              <w:t>Poprawka</w:t>
            </w:r>
          </w:p>
        </w:tc>
      </w:tr>
      <w:tr w:rsidR="001D5F6D" w:rsidRPr="00641BDE" w14:paraId="01679F3B" w14:textId="77777777" w:rsidTr="007C1C97">
        <w:trPr>
          <w:jc w:val="center"/>
        </w:trPr>
        <w:tc>
          <w:tcPr>
            <w:tcW w:w="4876" w:type="dxa"/>
            <w:tcBorders>
              <w:top w:val="nil"/>
              <w:left w:val="nil"/>
              <w:bottom w:val="nil"/>
              <w:right w:val="nil"/>
            </w:tcBorders>
          </w:tcPr>
          <w:p w14:paraId="3D4B9E25" w14:textId="77777777" w:rsidR="001D5F6D" w:rsidRPr="00641BDE" w:rsidRDefault="001D5F6D" w:rsidP="007C1C97">
            <w:pPr>
              <w:pStyle w:val="Normal6a"/>
            </w:pPr>
            <w:r w:rsidRPr="00641BDE">
              <w:t>106.</w:t>
            </w:r>
            <w:r w:rsidRPr="00641BDE">
              <w:tab/>
              <w:t xml:space="preserve">zwraca uwagę na obawy zgłoszone przez kilka organizacji społeczeństwa obywatelskiego dotyczące potencjalnego zawodowego konfliktu interesów w przypadku </w:t>
            </w:r>
            <w:proofErr w:type="spellStart"/>
            <w:r w:rsidRPr="00641BDE">
              <w:t>Ramboll</w:t>
            </w:r>
            <w:proofErr w:type="spellEnd"/>
            <w:r w:rsidRPr="00641BDE">
              <w:t xml:space="preserve"> Germany GmbH, firmy konsultingowej, która wcześniej przeprowadzała badania techniczne na zlecenie ECHA, świadcząc jednocześnie usługi zainteresowanym stronom z branży, próbującym wpłynąć na przyszłe ograniczenia dotyczące PFAS; uznaje twierdzenie organizacji, że równoległe działania </w:t>
            </w:r>
            <w:proofErr w:type="spellStart"/>
            <w:r w:rsidRPr="00641BDE">
              <w:t>Ramboll</w:t>
            </w:r>
            <w:proofErr w:type="spellEnd"/>
            <w:r w:rsidRPr="00641BDE">
              <w:t xml:space="preserve"> mogły zagrozić bezstronności wymaganej na mocy art. 2 ust. 56 i art. 143 lit. d) rozporządzenia finansowego;</w:t>
            </w:r>
          </w:p>
        </w:tc>
        <w:tc>
          <w:tcPr>
            <w:tcW w:w="4876" w:type="dxa"/>
            <w:tcBorders>
              <w:top w:val="nil"/>
              <w:left w:val="nil"/>
              <w:bottom w:val="nil"/>
              <w:right w:val="nil"/>
            </w:tcBorders>
          </w:tcPr>
          <w:p w14:paraId="18FEC8BC" w14:textId="77777777" w:rsidR="001D5F6D" w:rsidRPr="00641BDE" w:rsidRDefault="001D5F6D" w:rsidP="007C1C97">
            <w:pPr>
              <w:pStyle w:val="Normal6a"/>
            </w:pPr>
            <w:r w:rsidRPr="00641BDE">
              <w:t>106.</w:t>
            </w:r>
            <w:r w:rsidRPr="00641BDE">
              <w:tab/>
              <w:t xml:space="preserve">zwraca uwagę na obawy zgłoszone przez kilka organizacji społeczeństwa obywatelskiego dotyczące potencjalnego zawodowego konfliktu interesów w przypadku </w:t>
            </w:r>
            <w:proofErr w:type="spellStart"/>
            <w:r w:rsidRPr="00641BDE">
              <w:t>Ramboll</w:t>
            </w:r>
            <w:proofErr w:type="spellEnd"/>
            <w:r w:rsidRPr="00641BDE">
              <w:t xml:space="preserve"> Germany GmbH, firmy konsultingowej, która wcześniej przeprowadzała badania techniczne na zlecenie ECHA, świadcząc jednocześnie usługi zainteresowanym stronom z branży, próbującym wpłynąć na przyszłe ograniczenia dotyczące PFAS; </w:t>
            </w:r>
            <w:r w:rsidRPr="00641BDE">
              <w:rPr>
                <w:b/>
                <w:i/>
              </w:rPr>
              <w:t>podkreśla, że eksperckie struktury doradcze powinny odzwierciedlać zrównoważoną reprezentację wiedzy fachowej podmiotów naukowych i przemysłowych oraz społeczeństwa obywatelskiego w celu wzmocnienia legitymacji i podejmowania decyzji opartych na dowodach;</w:t>
            </w:r>
            <w:r w:rsidRPr="00641BDE">
              <w:t xml:space="preserve"> uznaje twierdzenie organizacji, że równoległe działania </w:t>
            </w:r>
            <w:proofErr w:type="spellStart"/>
            <w:r w:rsidRPr="00641BDE">
              <w:t>Ramboll</w:t>
            </w:r>
            <w:proofErr w:type="spellEnd"/>
            <w:r w:rsidRPr="00641BDE">
              <w:t xml:space="preserve"> mogły zagrozić bezstronności wymaganej na mocy art. 2 ust. 56 i art. 143 lit. d) rozporządzenia finansowego; </w:t>
            </w:r>
            <w:r w:rsidRPr="00641BDE">
              <w:rPr>
                <w:b/>
                <w:i/>
              </w:rPr>
              <w:t>podkreśla, że zasada należytego zarządzania finansami wymaga od agencji dopilnowania, aby zamówienia publiczne i realizacja umów odbywały się w sposób zapewniający bezstronność instytucjonalną i zaufanie publiczne; zauważa, że postrzegany konflikt interesów może mieć wpływ na wiarygodność działań finansowanych przez Unię nawet w przypadku braku nieprawidłowości proceduralnych; apeluje o wzmocnienie zabezpieczeń dotyczących zarówno rzeczywistego, jak i pozornego ryzyka;</w:t>
            </w:r>
          </w:p>
        </w:tc>
      </w:tr>
    </w:tbl>
    <w:p w14:paraId="7F54401E"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E2CCD1D" w14:textId="77777777" w:rsidR="001D5F6D" w:rsidRPr="00641BDE" w:rsidRDefault="001D5F6D" w:rsidP="001D5F6D">
      <w:r w:rsidRPr="00641BDE">
        <w:rPr>
          <w:rStyle w:val="HideTWBExt"/>
        </w:rPr>
        <w:t>&lt;/Amend&gt;</w:t>
      </w:r>
    </w:p>
    <w:p w14:paraId="02A371A9"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165</w:t>
      </w:r>
      <w:r w:rsidRPr="00641BDE">
        <w:rPr>
          <w:rStyle w:val="HideTWBExt"/>
          <w:b w:val="0"/>
        </w:rPr>
        <w:t>&lt;/NumAm&gt;</w:t>
      </w:r>
    </w:p>
    <w:p w14:paraId="534C0A0E"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272A94A1" w14:textId="77777777" w:rsidR="001D5F6D" w:rsidRPr="00641BDE" w:rsidRDefault="001D5F6D" w:rsidP="001D5F6D">
      <w:pPr>
        <w:pStyle w:val="NormalBold"/>
      </w:pPr>
      <w:r w:rsidRPr="00641BDE">
        <w:rPr>
          <w:rStyle w:val="HideTWBExt"/>
          <w:b w:val="0"/>
        </w:rPr>
        <w:t>&lt;/RepeatBlock-By&gt;</w:t>
      </w:r>
    </w:p>
    <w:p w14:paraId="2794B14B"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0E6244B2" w14:textId="77777777" w:rsidR="001D5F6D" w:rsidRPr="00641BDE" w:rsidRDefault="001D5F6D" w:rsidP="001D5F6D">
      <w:pPr>
        <w:pStyle w:val="NormalBold"/>
      </w:pPr>
      <w:r w:rsidRPr="00641BDE">
        <w:rPr>
          <w:rStyle w:val="HideTWBExt"/>
          <w:b w:val="0"/>
        </w:rPr>
        <w:t>&lt;Article&gt;</w:t>
      </w:r>
      <w:r w:rsidRPr="00641BDE">
        <w:t>Ustęp 107</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2240FF5" w14:textId="77777777" w:rsidTr="007C1C97">
        <w:trPr>
          <w:trHeight w:hRule="exact" w:val="240"/>
          <w:jc w:val="center"/>
        </w:trPr>
        <w:tc>
          <w:tcPr>
            <w:tcW w:w="9752" w:type="dxa"/>
            <w:gridSpan w:val="2"/>
            <w:tcBorders>
              <w:top w:val="nil"/>
              <w:left w:val="nil"/>
              <w:bottom w:val="nil"/>
              <w:right w:val="nil"/>
            </w:tcBorders>
          </w:tcPr>
          <w:p w14:paraId="6AF207D9" w14:textId="77777777" w:rsidR="001D5F6D" w:rsidRPr="00641BDE" w:rsidRDefault="001D5F6D" w:rsidP="007C1C97"/>
        </w:tc>
      </w:tr>
      <w:tr w:rsidR="001D5F6D" w:rsidRPr="00641BDE" w14:paraId="6A14175A" w14:textId="77777777" w:rsidTr="007C1C97">
        <w:trPr>
          <w:trHeight w:val="240"/>
          <w:jc w:val="center"/>
        </w:trPr>
        <w:tc>
          <w:tcPr>
            <w:tcW w:w="4876" w:type="dxa"/>
            <w:tcBorders>
              <w:top w:val="nil"/>
              <w:left w:val="nil"/>
              <w:bottom w:val="nil"/>
              <w:right w:val="nil"/>
            </w:tcBorders>
          </w:tcPr>
          <w:p w14:paraId="1C851B3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9721ECB" w14:textId="77777777" w:rsidR="001D5F6D" w:rsidRPr="00641BDE" w:rsidRDefault="001D5F6D" w:rsidP="007C1C97">
            <w:pPr>
              <w:pStyle w:val="AmColumnHeading"/>
            </w:pPr>
            <w:r w:rsidRPr="00641BDE">
              <w:t>Poprawka</w:t>
            </w:r>
          </w:p>
        </w:tc>
      </w:tr>
      <w:tr w:rsidR="001D5F6D" w:rsidRPr="00641BDE" w14:paraId="24C4AEC9" w14:textId="77777777" w:rsidTr="007C1C97">
        <w:trPr>
          <w:jc w:val="center"/>
        </w:trPr>
        <w:tc>
          <w:tcPr>
            <w:tcW w:w="4876" w:type="dxa"/>
            <w:tcBorders>
              <w:top w:val="nil"/>
              <w:left w:val="nil"/>
              <w:bottom w:val="nil"/>
              <w:right w:val="nil"/>
            </w:tcBorders>
          </w:tcPr>
          <w:p w14:paraId="1FD0CE16" w14:textId="77777777" w:rsidR="001D5F6D" w:rsidRPr="00641BDE" w:rsidRDefault="001D5F6D" w:rsidP="007C1C97">
            <w:pPr>
              <w:pStyle w:val="Normal6a"/>
            </w:pPr>
            <w:r w:rsidRPr="00641BDE">
              <w:t>107.</w:t>
            </w:r>
            <w:r w:rsidRPr="00641BDE">
              <w:tab/>
              <w:t xml:space="preserve">przyjmuje jednak do wiadomości wyjaśnienie ECHA, że przeprowadzone przez </w:t>
            </w:r>
            <w:proofErr w:type="spellStart"/>
            <w:r w:rsidRPr="00641BDE">
              <w:t>Ramboll</w:t>
            </w:r>
            <w:proofErr w:type="spellEnd"/>
            <w:r w:rsidRPr="00641BDE">
              <w:t xml:space="preserve"> </w:t>
            </w:r>
            <w:proofErr w:type="spellStart"/>
            <w:r w:rsidRPr="00641BDE">
              <w:t>Deutschland</w:t>
            </w:r>
            <w:proofErr w:type="spellEnd"/>
            <w:r w:rsidRPr="00641BDE">
              <w:t xml:space="preserve"> dla agencji prace w zakresie PFAS zrealizowano w latach 2020–2021, przed zaangażowaniem firmy konsultingowej w 2022 r. we współpracę z przemysłem, oraz że oceny konfliktu interesów przeprowadzono zgodnie z procedurami ECHA w momencie udzielenia zamówienia; zauważa ponadto, że na podstawie obecnej umowy ramowej z 2024 r. spółka </w:t>
            </w:r>
            <w:proofErr w:type="spellStart"/>
            <w:r w:rsidRPr="00641BDE">
              <w:t>Ramboll</w:t>
            </w:r>
            <w:proofErr w:type="spellEnd"/>
            <w:r w:rsidRPr="00641BDE">
              <w:t xml:space="preserve"> nie złożyła ofert w odpowiedzi na konkretne zamówienia; z zadowoleniem przyjmuje oświadczenie ECHA, że przeprowadziła szczegółowy przegląd wewnętrzny w odpowiedzi na wnioski o dostęp do dokumentów i nie stwierdziła żadnego nierozwiązanego konfliktu interesów; podkreśla </w:t>
            </w:r>
            <w:r w:rsidRPr="00641BDE">
              <w:rPr>
                <w:b/>
                <w:i/>
              </w:rPr>
              <w:t>jednak znaczenie</w:t>
            </w:r>
            <w:r w:rsidRPr="00641BDE">
              <w:t xml:space="preserve"> zapewnienia </w:t>
            </w:r>
            <w:r w:rsidRPr="00641BDE">
              <w:rPr>
                <w:b/>
                <w:i/>
              </w:rPr>
              <w:t>solidnych, proaktywnych i dalekosiężnych kontroli konfliktu interesów w odniesieniu do wszystkich wykonawców zewnętrznych, zwłaszcza tych zaangażowanych w prace techniczne wpływające na wrażliwe decyzje regulacyjne, wyraża zaniepokojenie, że niektóre umowy między organizacjami pozarządowymi a Komisją zawierały punkty programu prac mające na celu podważenie działań ECHA i procesu decyzyjnego odpowiednich komisji w Parlamencie Europejskim oraz podkreśla, że w grupach ekspertów należy zapewnić zbalansowany udział członków z różnych sektorów, w tym z sektora prywatnego, sektora nauki i społeczeństwa obywatelskiego, aby grupy te reprezentowały różne kompetencje i punkty widzenia</w:t>
            </w:r>
            <w:r w:rsidRPr="00641BDE">
              <w:t>;</w:t>
            </w:r>
          </w:p>
        </w:tc>
        <w:tc>
          <w:tcPr>
            <w:tcW w:w="4876" w:type="dxa"/>
            <w:tcBorders>
              <w:top w:val="nil"/>
              <w:left w:val="nil"/>
              <w:bottom w:val="nil"/>
              <w:right w:val="nil"/>
            </w:tcBorders>
          </w:tcPr>
          <w:p w14:paraId="287ED52C" w14:textId="77777777" w:rsidR="001D5F6D" w:rsidRPr="00641BDE" w:rsidRDefault="001D5F6D" w:rsidP="007C1C97">
            <w:pPr>
              <w:pStyle w:val="Normal6a"/>
            </w:pPr>
            <w:r w:rsidRPr="00641BDE">
              <w:t>107.</w:t>
            </w:r>
            <w:r w:rsidRPr="00641BDE">
              <w:tab/>
              <w:t xml:space="preserve">przyjmuje jednak do wiadomości wyjaśnienie ECHA, że przeprowadzone przez </w:t>
            </w:r>
            <w:proofErr w:type="spellStart"/>
            <w:r w:rsidRPr="00641BDE">
              <w:t>Ramboll</w:t>
            </w:r>
            <w:proofErr w:type="spellEnd"/>
            <w:r w:rsidRPr="00641BDE">
              <w:t xml:space="preserve"> </w:t>
            </w:r>
            <w:proofErr w:type="spellStart"/>
            <w:r w:rsidRPr="00641BDE">
              <w:t>Deutschland</w:t>
            </w:r>
            <w:proofErr w:type="spellEnd"/>
            <w:r w:rsidRPr="00641BDE">
              <w:t xml:space="preserve"> dla agencji prace w zakresie PFAS zrealizowano w latach 2020–2021, przed zaangażowaniem firmy konsultingowej w 2022 r. we współpracę z przemysłem, oraz że oceny konfliktu interesów przeprowadzono zgodnie z procedurami ECHA w momencie udzielenia zamówienia; zauważa ponadto, że na podstawie obecnej umowy ramowej z 2024 r. spółka </w:t>
            </w:r>
            <w:proofErr w:type="spellStart"/>
            <w:r w:rsidRPr="00641BDE">
              <w:t>Ramboll</w:t>
            </w:r>
            <w:proofErr w:type="spellEnd"/>
            <w:r w:rsidRPr="00641BDE">
              <w:t xml:space="preserve"> nie złożyła ofert w odpowiedzi na konkretne zamówienia; z zadowoleniem przyjmuje oświadczenie ECHA, że przeprowadziła szczegółowy przegląd wewnętrzny w odpowiedzi na wnioski o dostęp do dokumentów i nie stwierdziła żadnego nierozwiązanego konfliktu interesów; podkreśla </w:t>
            </w:r>
            <w:r w:rsidRPr="00641BDE">
              <w:rPr>
                <w:b/>
                <w:i/>
              </w:rPr>
              <w:t>potrzebę</w:t>
            </w:r>
            <w:r w:rsidRPr="00641BDE">
              <w:t xml:space="preserve"> zapewnienia </w:t>
            </w:r>
            <w:r w:rsidRPr="00641BDE">
              <w:rPr>
                <w:b/>
                <w:i/>
              </w:rPr>
              <w:t>szczególnie solidnych i proaktywnych procedur w celu zapobiegania ryzyku konfliktu interesów</w:t>
            </w:r>
            <w:r w:rsidRPr="00641BDE">
              <w:t>;</w:t>
            </w:r>
          </w:p>
        </w:tc>
      </w:tr>
    </w:tbl>
    <w:p w14:paraId="28721888"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3C23E622" w14:textId="77777777" w:rsidR="001D5F6D" w:rsidRPr="00641BDE" w:rsidRDefault="001D5F6D" w:rsidP="001D5F6D">
      <w:r w:rsidRPr="00641BDE">
        <w:rPr>
          <w:rStyle w:val="HideTWBExt"/>
        </w:rPr>
        <w:t>&lt;/Amend&gt;</w:t>
      </w:r>
    </w:p>
    <w:p w14:paraId="16C2199C"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166</w:t>
      </w:r>
      <w:r w:rsidRPr="00641BDE">
        <w:rPr>
          <w:rStyle w:val="HideTWBExt"/>
          <w:b w:val="0"/>
        </w:rPr>
        <w:t>&lt;/NumAm&gt;</w:t>
      </w:r>
    </w:p>
    <w:p w14:paraId="2F5D2C5F" w14:textId="77777777" w:rsidR="001D5F6D" w:rsidRPr="00641BDE" w:rsidRDefault="001D5F6D" w:rsidP="001D5F6D">
      <w:pPr>
        <w:pStyle w:val="NormalBold"/>
      </w:pPr>
      <w:r w:rsidRPr="00641BDE">
        <w:rPr>
          <w:rStyle w:val="HideTWBExt"/>
          <w:b w:val="0"/>
        </w:rPr>
        <w:t>&lt;RepeatBlock-By&gt;&lt;Members&gt;</w:t>
      </w:r>
      <w:r w:rsidRPr="00641BDE">
        <w:t xml:space="preserve">Claudiu </w:t>
      </w:r>
      <w:proofErr w:type="spellStart"/>
      <w:r w:rsidRPr="00641BDE">
        <w:t>Manda</w:t>
      </w:r>
      <w:proofErr w:type="spellEnd"/>
      <w:r w:rsidRPr="00641BDE">
        <w:rPr>
          <w:rStyle w:val="HideTWBExt"/>
          <w:b w:val="0"/>
        </w:rPr>
        <w:t>&lt;/Members&gt;</w:t>
      </w:r>
    </w:p>
    <w:p w14:paraId="247C02EB" w14:textId="77777777" w:rsidR="001D5F6D" w:rsidRPr="00641BDE" w:rsidRDefault="001D5F6D" w:rsidP="001D5F6D">
      <w:pPr>
        <w:pStyle w:val="NormalBold"/>
      </w:pPr>
      <w:r w:rsidRPr="00641BDE">
        <w:rPr>
          <w:rStyle w:val="HideTWBExt"/>
          <w:b w:val="0"/>
        </w:rPr>
        <w:t>&lt;/RepeatBlock-By&gt;</w:t>
      </w:r>
    </w:p>
    <w:p w14:paraId="4488B30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B483210" w14:textId="77777777" w:rsidR="001D5F6D" w:rsidRPr="00641BDE" w:rsidRDefault="001D5F6D" w:rsidP="001D5F6D">
      <w:pPr>
        <w:pStyle w:val="NormalBold"/>
      </w:pPr>
      <w:r w:rsidRPr="00641BDE">
        <w:rPr>
          <w:rStyle w:val="HideTWBExt"/>
          <w:b w:val="0"/>
        </w:rPr>
        <w:t>&lt;Article&gt;</w:t>
      </w:r>
      <w:r w:rsidRPr="00641BDE">
        <w:t>Ustęp 107</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7D43229" w14:textId="77777777" w:rsidTr="007C1C97">
        <w:trPr>
          <w:trHeight w:hRule="exact" w:val="240"/>
          <w:jc w:val="center"/>
        </w:trPr>
        <w:tc>
          <w:tcPr>
            <w:tcW w:w="9752" w:type="dxa"/>
            <w:gridSpan w:val="2"/>
            <w:tcBorders>
              <w:top w:val="nil"/>
              <w:left w:val="nil"/>
              <w:bottom w:val="nil"/>
              <w:right w:val="nil"/>
            </w:tcBorders>
          </w:tcPr>
          <w:p w14:paraId="2BB55D97" w14:textId="77777777" w:rsidR="001D5F6D" w:rsidRPr="00641BDE" w:rsidRDefault="001D5F6D" w:rsidP="007C1C97"/>
        </w:tc>
      </w:tr>
      <w:tr w:rsidR="001D5F6D" w:rsidRPr="00641BDE" w14:paraId="522A4EA1" w14:textId="77777777" w:rsidTr="007C1C97">
        <w:trPr>
          <w:trHeight w:val="240"/>
          <w:jc w:val="center"/>
        </w:trPr>
        <w:tc>
          <w:tcPr>
            <w:tcW w:w="4876" w:type="dxa"/>
            <w:tcBorders>
              <w:top w:val="nil"/>
              <w:left w:val="nil"/>
              <w:bottom w:val="nil"/>
              <w:right w:val="nil"/>
            </w:tcBorders>
          </w:tcPr>
          <w:p w14:paraId="52953399"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0E95337" w14:textId="77777777" w:rsidR="001D5F6D" w:rsidRPr="00641BDE" w:rsidRDefault="001D5F6D" w:rsidP="007C1C97">
            <w:pPr>
              <w:pStyle w:val="AmColumnHeading"/>
            </w:pPr>
            <w:r w:rsidRPr="00641BDE">
              <w:t>Poprawka</w:t>
            </w:r>
          </w:p>
        </w:tc>
      </w:tr>
      <w:tr w:rsidR="001D5F6D" w:rsidRPr="00641BDE" w14:paraId="4910A07C" w14:textId="77777777" w:rsidTr="007C1C97">
        <w:trPr>
          <w:jc w:val="center"/>
        </w:trPr>
        <w:tc>
          <w:tcPr>
            <w:tcW w:w="4876" w:type="dxa"/>
            <w:tcBorders>
              <w:top w:val="nil"/>
              <w:left w:val="nil"/>
              <w:bottom w:val="nil"/>
              <w:right w:val="nil"/>
            </w:tcBorders>
          </w:tcPr>
          <w:p w14:paraId="3C1754AC" w14:textId="77777777" w:rsidR="001D5F6D" w:rsidRPr="00641BDE" w:rsidRDefault="001D5F6D" w:rsidP="007C1C97">
            <w:pPr>
              <w:pStyle w:val="Normal6a"/>
            </w:pPr>
            <w:r w:rsidRPr="00641BDE">
              <w:t>107.</w:t>
            </w:r>
            <w:r w:rsidRPr="00641BDE">
              <w:tab/>
              <w:t xml:space="preserve">przyjmuje jednak do wiadomości wyjaśnienie ECHA, że przeprowadzone przez </w:t>
            </w:r>
            <w:proofErr w:type="spellStart"/>
            <w:r w:rsidRPr="00641BDE">
              <w:t>Ramboll</w:t>
            </w:r>
            <w:proofErr w:type="spellEnd"/>
            <w:r w:rsidRPr="00641BDE">
              <w:t xml:space="preserve"> </w:t>
            </w:r>
            <w:proofErr w:type="spellStart"/>
            <w:r w:rsidRPr="00641BDE">
              <w:t>Deutschland</w:t>
            </w:r>
            <w:proofErr w:type="spellEnd"/>
            <w:r w:rsidRPr="00641BDE">
              <w:t xml:space="preserve"> dla agencji prace w zakresie PFAS zrealizowano w latach 2020–2021, przed zaangażowaniem firmy konsultingowej w 2022 r. we współpracę z przemysłem, oraz że oceny konfliktu interesów przeprowadzono zgodnie z procedurami ECHA w momencie udzielenia zamówienia; zauważa ponadto, że na podstawie obecnej umowy ramowej z 2024 r. spółka </w:t>
            </w:r>
            <w:proofErr w:type="spellStart"/>
            <w:r w:rsidRPr="00641BDE">
              <w:t>Ramboll</w:t>
            </w:r>
            <w:proofErr w:type="spellEnd"/>
            <w:r w:rsidRPr="00641BDE">
              <w:t xml:space="preserve"> nie złożyła ofert w odpowiedzi na konkretne zamówienia; z zadowoleniem przyjmuje oświadczenie ECHA, że przeprowadziła szczegółowy przegląd wewnętrzny w odpowiedzi na wnioski o dostęp do dokumentów i nie stwierdziła żadnego nierozwiązanego konfliktu interesów; podkreśla jednak znaczenie zapewnienia solidnych, proaktywnych i dalekosiężnych kontroli konfliktu interesów w odniesieniu do wszystkich wykonawców zewnętrznych, zwłaszcza tych zaangażowanych w prace techniczne wpływające na wrażliwe decyzje regulacyjne, </w:t>
            </w:r>
            <w:r w:rsidRPr="00641BDE">
              <w:rPr>
                <w:b/>
                <w:i/>
              </w:rPr>
              <w:t>wyraża zaniepokojenie, że niektóre umowy między organizacjami pozarządowymi a Komisją zawierały punkty programu prac mające na celu podważenie działań ECHA i procesu decyzyjnego odpowiednich komisji w Parlamencie Europejskim</w:t>
            </w:r>
            <w:r w:rsidRPr="00641BDE">
              <w:t xml:space="preserve"> oraz podkreśla, że w grupach ekspertów należy zapewnić zbalansowany udział członków z różnych sektorów, w tym z sektora prywatnego, sektora nauki i społeczeństwa obywatelskiego, aby grupy te reprezentowały różne kompetencje i punkty widzenia;</w:t>
            </w:r>
          </w:p>
        </w:tc>
        <w:tc>
          <w:tcPr>
            <w:tcW w:w="4876" w:type="dxa"/>
            <w:tcBorders>
              <w:top w:val="nil"/>
              <w:left w:val="nil"/>
              <w:bottom w:val="nil"/>
              <w:right w:val="nil"/>
            </w:tcBorders>
          </w:tcPr>
          <w:p w14:paraId="661830AF" w14:textId="77777777" w:rsidR="001D5F6D" w:rsidRPr="00641BDE" w:rsidRDefault="001D5F6D" w:rsidP="007C1C97">
            <w:pPr>
              <w:pStyle w:val="Normal6a"/>
            </w:pPr>
            <w:r w:rsidRPr="00641BDE">
              <w:t>107.</w:t>
            </w:r>
            <w:r w:rsidRPr="00641BDE">
              <w:tab/>
              <w:t xml:space="preserve">przyjmuje jednak do wiadomości wyjaśnienie ECHA, że przeprowadzone przez </w:t>
            </w:r>
            <w:proofErr w:type="spellStart"/>
            <w:r w:rsidRPr="00641BDE">
              <w:t>Ramboll</w:t>
            </w:r>
            <w:proofErr w:type="spellEnd"/>
            <w:r w:rsidRPr="00641BDE">
              <w:t xml:space="preserve"> </w:t>
            </w:r>
            <w:proofErr w:type="spellStart"/>
            <w:r w:rsidRPr="00641BDE">
              <w:t>Deutschland</w:t>
            </w:r>
            <w:proofErr w:type="spellEnd"/>
            <w:r w:rsidRPr="00641BDE">
              <w:t xml:space="preserve"> dla agencji prace w zakresie PFAS zrealizowano w latach 2020–2021, przed zaangażowaniem firmy konsultingowej w 2022 r. we współpracę z przemysłem, oraz że oceny konfliktu interesów przeprowadzono zgodnie z procedurami ECHA w momencie udzielenia zamówienia; zauważa ponadto, że na podstawie obecnej umowy ramowej z 2024 r. spółka </w:t>
            </w:r>
            <w:proofErr w:type="spellStart"/>
            <w:r w:rsidRPr="00641BDE">
              <w:t>Ramboll</w:t>
            </w:r>
            <w:proofErr w:type="spellEnd"/>
            <w:r w:rsidRPr="00641BDE">
              <w:t xml:space="preserve"> nie złożyła ofert w odpowiedzi na konkretne zamówienia; z zadowoleniem przyjmuje oświadczenie ECHA, że przeprowadziła szczegółowy przegląd wewnętrzny w odpowiedzi na wnioski o dostęp do dokumentów i nie stwierdziła żadnego nierozwiązanego konfliktu interesów; podkreśla jednak znaczenie zapewnienia solidnych, proaktywnych i dalekosiężnych kontroli konfliktu interesów w odniesieniu do wszystkich wykonawców zewnętrznych, zwłaszcza tych zaangażowanych w prace techniczne wpływające na wrażliwe decyzje regulacyjne, oraz podkreśla, że w grupach ekspertów należy zapewnić zbalansowany udział członków z różnych sektorów, w tym z sektora prywatnego, sektora nauki i społeczeństwa obywatelskiego, aby grupy te reprezentowały różne kompetencje i punkty widzenia; </w:t>
            </w:r>
            <w:r w:rsidRPr="00641BDE">
              <w:rPr>
                <w:b/>
                <w:i/>
              </w:rPr>
              <w:t>zwraca się do agencji o włączenie kontroli niezależności wykonawców do szerszych ram kontroli wewnętrznej i zarządzania ryzykiem;</w:t>
            </w:r>
          </w:p>
        </w:tc>
      </w:tr>
    </w:tbl>
    <w:p w14:paraId="1DE99901"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259F7AAE" w14:textId="77777777" w:rsidR="001D5F6D" w:rsidRPr="00641BDE" w:rsidRDefault="001D5F6D" w:rsidP="001D5F6D">
      <w:r w:rsidRPr="00641BDE">
        <w:rPr>
          <w:rStyle w:val="HideTWBExt"/>
        </w:rPr>
        <w:t>&lt;/Amend&gt;</w:t>
      </w:r>
    </w:p>
    <w:p w14:paraId="037BD35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167</w:t>
      </w:r>
      <w:r w:rsidRPr="00641BDE">
        <w:rPr>
          <w:rStyle w:val="HideTWBExt"/>
          <w:b w:val="0"/>
        </w:rPr>
        <w:t>&lt;/NumAm&gt;</w:t>
      </w:r>
    </w:p>
    <w:p w14:paraId="40689856"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rPr>
          <w:rStyle w:val="HideTWBExt"/>
          <w:b w:val="0"/>
        </w:rPr>
        <w:t>&lt;/Members&gt;</w:t>
      </w:r>
    </w:p>
    <w:p w14:paraId="07A8F742" w14:textId="77777777" w:rsidR="001D5F6D" w:rsidRPr="00641BDE" w:rsidRDefault="001D5F6D" w:rsidP="001D5F6D">
      <w:pPr>
        <w:pStyle w:val="NormalBold"/>
      </w:pPr>
      <w:r w:rsidRPr="00641BDE">
        <w:rPr>
          <w:rStyle w:val="HideTWBExt"/>
          <w:b w:val="0"/>
        </w:rPr>
        <w:t>&lt;/RepeatBlock-By&gt;</w:t>
      </w:r>
    </w:p>
    <w:p w14:paraId="7822548C"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8127A31" w14:textId="77777777" w:rsidR="001D5F6D" w:rsidRPr="00641BDE" w:rsidRDefault="001D5F6D" w:rsidP="001D5F6D">
      <w:pPr>
        <w:pStyle w:val="NormalBold"/>
      </w:pPr>
      <w:r w:rsidRPr="00641BDE">
        <w:rPr>
          <w:rStyle w:val="HideTWBExt"/>
          <w:b w:val="0"/>
        </w:rPr>
        <w:t>&lt;Article&gt;</w:t>
      </w:r>
      <w:r w:rsidRPr="00641BDE">
        <w:t>Ustęp 107</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13DFD49" w14:textId="77777777" w:rsidTr="007C1C97">
        <w:trPr>
          <w:trHeight w:hRule="exact" w:val="240"/>
          <w:jc w:val="center"/>
        </w:trPr>
        <w:tc>
          <w:tcPr>
            <w:tcW w:w="9752" w:type="dxa"/>
            <w:gridSpan w:val="2"/>
            <w:tcBorders>
              <w:top w:val="nil"/>
              <w:left w:val="nil"/>
              <w:bottom w:val="nil"/>
              <w:right w:val="nil"/>
            </w:tcBorders>
          </w:tcPr>
          <w:p w14:paraId="57E6830A" w14:textId="77777777" w:rsidR="001D5F6D" w:rsidRPr="00641BDE" w:rsidRDefault="001D5F6D" w:rsidP="007C1C97"/>
        </w:tc>
      </w:tr>
      <w:tr w:rsidR="001D5F6D" w:rsidRPr="00641BDE" w14:paraId="13F608A4" w14:textId="77777777" w:rsidTr="007C1C97">
        <w:trPr>
          <w:trHeight w:val="240"/>
          <w:jc w:val="center"/>
        </w:trPr>
        <w:tc>
          <w:tcPr>
            <w:tcW w:w="4876" w:type="dxa"/>
            <w:tcBorders>
              <w:top w:val="nil"/>
              <w:left w:val="nil"/>
              <w:bottom w:val="nil"/>
              <w:right w:val="nil"/>
            </w:tcBorders>
          </w:tcPr>
          <w:p w14:paraId="022AAD85"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3A4F6C2F" w14:textId="77777777" w:rsidR="001D5F6D" w:rsidRPr="00641BDE" w:rsidRDefault="001D5F6D" w:rsidP="007C1C97">
            <w:pPr>
              <w:pStyle w:val="AmColumnHeading"/>
            </w:pPr>
            <w:r w:rsidRPr="00641BDE">
              <w:t>Poprawka</w:t>
            </w:r>
          </w:p>
        </w:tc>
      </w:tr>
      <w:tr w:rsidR="001D5F6D" w:rsidRPr="00641BDE" w14:paraId="2E6C2AE9" w14:textId="77777777" w:rsidTr="007C1C97">
        <w:trPr>
          <w:jc w:val="center"/>
        </w:trPr>
        <w:tc>
          <w:tcPr>
            <w:tcW w:w="4876" w:type="dxa"/>
            <w:tcBorders>
              <w:top w:val="nil"/>
              <w:left w:val="nil"/>
              <w:bottom w:val="nil"/>
              <w:right w:val="nil"/>
            </w:tcBorders>
          </w:tcPr>
          <w:p w14:paraId="60B64395" w14:textId="77777777" w:rsidR="001D5F6D" w:rsidRPr="00641BDE" w:rsidRDefault="001D5F6D" w:rsidP="007C1C97">
            <w:pPr>
              <w:pStyle w:val="Normal6a"/>
            </w:pPr>
            <w:r w:rsidRPr="00641BDE">
              <w:t>107.</w:t>
            </w:r>
            <w:r w:rsidRPr="00641BDE">
              <w:tab/>
              <w:t xml:space="preserve">przyjmuje jednak do wiadomości wyjaśnienie ECHA, że przeprowadzone przez </w:t>
            </w:r>
            <w:proofErr w:type="spellStart"/>
            <w:r w:rsidRPr="00641BDE">
              <w:t>Ramboll</w:t>
            </w:r>
            <w:proofErr w:type="spellEnd"/>
            <w:r w:rsidRPr="00641BDE">
              <w:t xml:space="preserve"> </w:t>
            </w:r>
            <w:proofErr w:type="spellStart"/>
            <w:r w:rsidRPr="00641BDE">
              <w:t>Deutschland</w:t>
            </w:r>
            <w:proofErr w:type="spellEnd"/>
            <w:r w:rsidRPr="00641BDE">
              <w:t xml:space="preserve"> dla agencji prace w zakresie PFAS zrealizowano w latach 2020–2021, przed zaangażowaniem firmy konsultingowej w 2022 r. we współpracę z przemysłem, oraz że oceny konfliktu interesów przeprowadzono zgodnie z procedurami ECHA w momencie udzielenia zamówienia; zauważa ponadto, że na podstawie obecnej umowy ramowej z 2024 r. spółka </w:t>
            </w:r>
            <w:proofErr w:type="spellStart"/>
            <w:r w:rsidRPr="00641BDE">
              <w:t>Ramboll</w:t>
            </w:r>
            <w:proofErr w:type="spellEnd"/>
            <w:r w:rsidRPr="00641BDE">
              <w:t xml:space="preserve"> nie złożyła ofert w odpowiedzi na konkretne zamówienia; z zadowoleniem przyjmuje oświadczenie ECHA, że przeprowadziła szczegółowy przegląd wewnętrzny w odpowiedzi na wnioski o dostęp do dokumentów i nie stwierdziła żadnego nierozwiązanego konfliktu interesów; podkreśla jednak znaczenie zapewnienia solidnych, proaktywnych i dalekosiężnych kontroli konfliktu interesów w odniesieniu do wszystkich wykonawców zewnętrznych, zwłaszcza tych zaangażowanych w prace techniczne wpływające na wrażliwe decyzje regulacyjne, wyraża </w:t>
            </w:r>
            <w:r w:rsidRPr="00641BDE">
              <w:rPr>
                <w:b/>
                <w:i/>
              </w:rPr>
              <w:t>zaniepokojenie</w:t>
            </w:r>
            <w:r w:rsidRPr="00641BDE">
              <w:t>, że niektóre umowy między organizacjami pozarządowymi a Komisją zawierały punkty programu prac mające na celu podważenie działań ECHA i procesu decyzyjnego odpowiednich komisji w Parlamencie Europejskim oraz podkreśla, że w grupach ekspertów należy zapewnić zbalansowany udział członków z różnych sektorów, w tym z sektora prywatnego, sektora nauki i społeczeństwa obywatelskiego, aby grupy te reprezentowały różne kompetencje i punkty widzenia;</w:t>
            </w:r>
          </w:p>
        </w:tc>
        <w:tc>
          <w:tcPr>
            <w:tcW w:w="4876" w:type="dxa"/>
            <w:tcBorders>
              <w:top w:val="nil"/>
              <w:left w:val="nil"/>
              <w:bottom w:val="nil"/>
              <w:right w:val="nil"/>
            </w:tcBorders>
          </w:tcPr>
          <w:p w14:paraId="4B4B9A52" w14:textId="77777777" w:rsidR="001D5F6D" w:rsidRPr="00641BDE" w:rsidRDefault="001D5F6D" w:rsidP="007C1C97">
            <w:pPr>
              <w:pStyle w:val="Normal6a"/>
            </w:pPr>
            <w:r w:rsidRPr="00641BDE">
              <w:t>107.</w:t>
            </w:r>
            <w:r w:rsidRPr="00641BDE">
              <w:tab/>
              <w:t xml:space="preserve">przyjmuje jednak do wiadomości wyjaśnienie ECHA, że przeprowadzone przez </w:t>
            </w:r>
            <w:proofErr w:type="spellStart"/>
            <w:r w:rsidRPr="00641BDE">
              <w:t>Ramboll</w:t>
            </w:r>
            <w:proofErr w:type="spellEnd"/>
            <w:r w:rsidRPr="00641BDE">
              <w:t xml:space="preserve"> </w:t>
            </w:r>
            <w:proofErr w:type="spellStart"/>
            <w:r w:rsidRPr="00641BDE">
              <w:t>Deutschland</w:t>
            </w:r>
            <w:proofErr w:type="spellEnd"/>
            <w:r w:rsidRPr="00641BDE">
              <w:t xml:space="preserve"> dla agencji prace w zakresie PFAS zrealizowano w latach 2020–2021, przed zaangażowaniem firmy konsultingowej w 2022 r. we współpracę z przemysłem, oraz że oceny konfliktu interesów przeprowadzono zgodnie z procedurami ECHA w momencie udzielenia zamówienia; zauważa ponadto, że na podstawie obecnej umowy ramowej z 2024 r. spółka </w:t>
            </w:r>
            <w:proofErr w:type="spellStart"/>
            <w:r w:rsidRPr="00641BDE">
              <w:t>Ramboll</w:t>
            </w:r>
            <w:proofErr w:type="spellEnd"/>
            <w:r w:rsidRPr="00641BDE">
              <w:t xml:space="preserve"> nie złożyła ofert w odpowiedzi na konkretne zamówienia; z zadowoleniem przyjmuje oświadczenie ECHA, że przeprowadziła szczegółowy przegląd wewnętrzny w odpowiedzi na wnioski o dostęp do dokumentów i nie stwierdziła żadnego nierozwiązanego konfliktu interesów; podkreśla jednak znaczenie zapewnienia solidnych, proaktywnych i dalekosiężnych kontroli konfliktu interesów w odniesieniu do wszystkich wykonawców zewnętrznych, zwłaszcza tych zaangażowanych w prace techniczne wpływające na wrażliwe decyzje regulacyjne, wyraża </w:t>
            </w:r>
            <w:r w:rsidRPr="00641BDE">
              <w:rPr>
                <w:b/>
                <w:i/>
              </w:rPr>
              <w:t>oburzenie</w:t>
            </w:r>
            <w:r w:rsidRPr="00641BDE">
              <w:t>, że niektóre umowy między organizacjami pozarządowymi a Komisją zawierały punkty programu prac mające na celu podważenie działań ECHA i procesu decyzyjnego odpowiednich komisji w Parlamencie Europejskim</w:t>
            </w:r>
            <w:r w:rsidRPr="00641BDE">
              <w:rPr>
                <w:b/>
                <w:i/>
              </w:rPr>
              <w:t>, co po raz kolejny stanowi ingerencję Komisji, opłacanej przez podatników państw członkowskich, służącą ukierunkowaniu decyzji zgodnie z jej podejściem ideologicznym, ze szkodą dla demokratycznego procesu legislacyjnego,</w:t>
            </w:r>
            <w:r w:rsidRPr="00641BDE">
              <w:t xml:space="preserve"> oraz podkreśla, że w grupach ekspertów należy zapewnić zbalansowany udział członków z różnych sektorów, w tym z sektora prywatnego, sektora nauki i społeczeństwa obywatelskiego, aby grupy te reprezentowały różne kompetencje i punkty widzenia;</w:t>
            </w:r>
          </w:p>
        </w:tc>
      </w:tr>
    </w:tbl>
    <w:p w14:paraId="06B6EE6F"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32E5DE3C" w14:textId="77777777" w:rsidR="001D5F6D" w:rsidRPr="00641BDE" w:rsidRDefault="001D5F6D" w:rsidP="001D5F6D">
      <w:r w:rsidRPr="00641BDE">
        <w:rPr>
          <w:rStyle w:val="HideTWBExt"/>
        </w:rPr>
        <w:t>&lt;/Amend&gt;</w:t>
      </w:r>
    </w:p>
    <w:p w14:paraId="244FB526"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168</w:t>
      </w:r>
      <w:r w:rsidRPr="00641BDE">
        <w:rPr>
          <w:rStyle w:val="HideTWBExt"/>
          <w:b w:val="0"/>
        </w:rPr>
        <w:t>&lt;/NumAm&gt;</w:t>
      </w:r>
    </w:p>
    <w:p w14:paraId="20E52B27"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12B5416D" w14:textId="77777777" w:rsidR="001D5F6D" w:rsidRPr="00641BDE" w:rsidRDefault="001D5F6D" w:rsidP="001D5F6D">
      <w:pPr>
        <w:pStyle w:val="NormalBold"/>
      </w:pPr>
      <w:r w:rsidRPr="00641BDE">
        <w:rPr>
          <w:rStyle w:val="HideTWBExt"/>
          <w:b w:val="0"/>
        </w:rPr>
        <w:t>&lt;/RepeatBlock-By&gt;</w:t>
      </w:r>
    </w:p>
    <w:p w14:paraId="4E9BA64C"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44479830" w14:textId="77777777" w:rsidR="001D5F6D" w:rsidRPr="00641BDE" w:rsidRDefault="001D5F6D" w:rsidP="001D5F6D">
      <w:pPr>
        <w:pStyle w:val="NormalBold"/>
      </w:pPr>
      <w:r w:rsidRPr="00641BDE">
        <w:rPr>
          <w:rStyle w:val="HideTWBExt"/>
          <w:b w:val="0"/>
        </w:rPr>
        <w:t>&lt;Article&gt;</w:t>
      </w:r>
      <w:r w:rsidRPr="00641BDE">
        <w:t>Ustęp 107</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8844294" w14:textId="77777777" w:rsidTr="007C1C97">
        <w:trPr>
          <w:trHeight w:hRule="exact" w:val="240"/>
          <w:jc w:val="center"/>
        </w:trPr>
        <w:tc>
          <w:tcPr>
            <w:tcW w:w="9752" w:type="dxa"/>
            <w:gridSpan w:val="2"/>
            <w:tcBorders>
              <w:top w:val="nil"/>
              <w:left w:val="nil"/>
              <w:bottom w:val="nil"/>
              <w:right w:val="nil"/>
            </w:tcBorders>
          </w:tcPr>
          <w:p w14:paraId="09A63678" w14:textId="77777777" w:rsidR="001D5F6D" w:rsidRPr="00641BDE" w:rsidRDefault="001D5F6D" w:rsidP="007C1C97"/>
        </w:tc>
      </w:tr>
      <w:tr w:rsidR="001D5F6D" w:rsidRPr="00641BDE" w14:paraId="2D12F091" w14:textId="77777777" w:rsidTr="007C1C97">
        <w:trPr>
          <w:trHeight w:val="240"/>
          <w:jc w:val="center"/>
        </w:trPr>
        <w:tc>
          <w:tcPr>
            <w:tcW w:w="4876" w:type="dxa"/>
            <w:tcBorders>
              <w:top w:val="nil"/>
              <w:left w:val="nil"/>
              <w:bottom w:val="nil"/>
              <w:right w:val="nil"/>
            </w:tcBorders>
          </w:tcPr>
          <w:p w14:paraId="14FB0F52"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7E87714F" w14:textId="77777777" w:rsidR="001D5F6D" w:rsidRPr="00641BDE" w:rsidRDefault="001D5F6D" w:rsidP="007C1C97">
            <w:pPr>
              <w:pStyle w:val="AmColumnHeading"/>
            </w:pPr>
            <w:r w:rsidRPr="00641BDE">
              <w:t>Poprawka</w:t>
            </w:r>
          </w:p>
        </w:tc>
      </w:tr>
      <w:tr w:rsidR="001D5F6D" w:rsidRPr="00641BDE" w14:paraId="525E1961" w14:textId="77777777" w:rsidTr="007C1C97">
        <w:trPr>
          <w:jc w:val="center"/>
        </w:trPr>
        <w:tc>
          <w:tcPr>
            <w:tcW w:w="4876" w:type="dxa"/>
            <w:tcBorders>
              <w:top w:val="nil"/>
              <w:left w:val="nil"/>
              <w:bottom w:val="nil"/>
              <w:right w:val="nil"/>
            </w:tcBorders>
          </w:tcPr>
          <w:p w14:paraId="4AA3B0BC" w14:textId="77777777" w:rsidR="001D5F6D" w:rsidRPr="00641BDE" w:rsidRDefault="001D5F6D" w:rsidP="007C1C97">
            <w:pPr>
              <w:pStyle w:val="Normal6a"/>
            </w:pPr>
            <w:r w:rsidRPr="00641BDE">
              <w:t>107.</w:t>
            </w:r>
            <w:r w:rsidRPr="00641BDE">
              <w:tab/>
              <w:t xml:space="preserve">przyjmuje jednak do wiadomości wyjaśnienie ECHA, że przeprowadzone przez </w:t>
            </w:r>
            <w:proofErr w:type="spellStart"/>
            <w:r w:rsidRPr="00641BDE">
              <w:t>Ramboll</w:t>
            </w:r>
            <w:proofErr w:type="spellEnd"/>
            <w:r w:rsidRPr="00641BDE">
              <w:t xml:space="preserve"> </w:t>
            </w:r>
            <w:proofErr w:type="spellStart"/>
            <w:r w:rsidRPr="00641BDE">
              <w:t>Deutschland</w:t>
            </w:r>
            <w:proofErr w:type="spellEnd"/>
            <w:r w:rsidRPr="00641BDE">
              <w:t xml:space="preserve"> dla agencji prace w zakresie PFAS zrealizowano w latach 2020–2021, przed zaangażowaniem firmy konsultingowej w 2022 r. we współpracę z przemysłem, oraz że oceny konfliktu interesów przeprowadzono zgodnie z procedurami ECHA w momencie udzielenia zamówienia; zauważa ponadto, że na podstawie obecnej umowy ramowej z 2024 r. spółka </w:t>
            </w:r>
            <w:proofErr w:type="spellStart"/>
            <w:r w:rsidRPr="00641BDE">
              <w:t>Ramboll</w:t>
            </w:r>
            <w:proofErr w:type="spellEnd"/>
            <w:r w:rsidRPr="00641BDE">
              <w:t xml:space="preserve"> nie złożyła ofert w odpowiedzi na konkretne zamówienia; z zadowoleniem przyjmuje oświadczenie ECHA, że przeprowadziła szczegółowy przegląd wewnętrzny w odpowiedzi na wnioski o dostęp do dokumentów i nie stwierdziła żadnego nierozwiązanego konfliktu interesów; podkreśla jednak znaczenie zapewnienia solidnych, proaktywnych i dalekosiężnych kontroli konfliktu interesów w odniesieniu do wszystkich wykonawców zewnętrznych, zwłaszcza tych zaangażowanych w prace techniczne wpływające na wrażliwe decyzje regulacyjne, wyraża zaniepokojenie, że niektóre umowy między organizacjami pozarządowymi a Komisją zawierały punkty programu prac mające na celu podważenie działań ECHA i procesu decyzyjnego odpowiednich komisji w Parlamencie Europejskim </w:t>
            </w:r>
            <w:r w:rsidRPr="00641BDE">
              <w:rPr>
                <w:b/>
                <w:i/>
              </w:rPr>
              <w:t>oraz</w:t>
            </w:r>
            <w:r w:rsidRPr="00641BDE">
              <w:t xml:space="preserve"> podkreśla, że w grupach ekspertów należy zapewnić zbalansowany udział członków z różnych sektorów, w tym z sektora prywatnego, sektora nauki i społeczeństwa obywatelskiego, aby grupy te reprezentowały różne kompetencje i punkty widzenia;</w:t>
            </w:r>
          </w:p>
        </w:tc>
        <w:tc>
          <w:tcPr>
            <w:tcW w:w="4876" w:type="dxa"/>
            <w:tcBorders>
              <w:top w:val="nil"/>
              <w:left w:val="nil"/>
              <w:bottom w:val="nil"/>
              <w:right w:val="nil"/>
            </w:tcBorders>
          </w:tcPr>
          <w:p w14:paraId="04BFEFC5" w14:textId="77777777" w:rsidR="001D5F6D" w:rsidRPr="00641BDE" w:rsidRDefault="001D5F6D" w:rsidP="007C1C97">
            <w:pPr>
              <w:pStyle w:val="Normal6a"/>
            </w:pPr>
            <w:r w:rsidRPr="00641BDE">
              <w:t>107.</w:t>
            </w:r>
            <w:r w:rsidRPr="00641BDE">
              <w:tab/>
              <w:t xml:space="preserve">przyjmuje jednak do wiadomości wyjaśnienie ECHA, że przeprowadzone przez </w:t>
            </w:r>
            <w:proofErr w:type="spellStart"/>
            <w:r w:rsidRPr="00641BDE">
              <w:t>Ramboll</w:t>
            </w:r>
            <w:proofErr w:type="spellEnd"/>
            <w:r w:rsidRPr="00641BDE">
              <w:t xml:space="preserve"> </w:t>
            </w:r>
            <w:proofErr w:type="spellStart"/>
            <w:r w:rsidRPr="00641BDE">
              <w:t>Deutschland</w:t>
            </w:r>
            <w:proofErr w:type="spellEnd"/>
            <w:r w:rsidRPr="00641BDE">
              <w:t xml:space="preserve"> dla agencji prace w zakresie PFAS zrealizowano w latach 2020–2021, przed zaangażowaniem firmy konsultingowej w 2022 r. we współpracę z przemysłem, oraz że oceny konfliktu interesów przeprowadzono zgodnie z procedurami ECHA w momencie udzielenia zamówienia; zauważa ponadto, że na podstawie obecnej umowy ramowej z 2024 r. spółka </w:t>
            </w:r>
            <w:proofErr w:type="spellStart"/>
            <w:r w:rsidRPr="00641BDE">
              <w:t>Ramboll</w:t>
            </w:r>
            <w:proofErr w:type="spellEnd"/>
            <w:r w:rsidRPr="00641BDE">
              <w:t xml:space="preserve"> nie złożyła ofert w odpowiedzi na konkretne zamówienia; z zadowoleniem przyjmuje oświadczenie ECHA, że przeprowadziła szczegółowy przegląd wewnętrzny w odpowiedzi na wnioski o dostęp do dokumentów i nie stwierdziła żadnego nierozwiązanego konfliktu interesów; podkreśla jednak znaczenie zapewnienia solidnych, proaktywnych i dalekosiężnych kontroli konfliktu interesów w odniesieniu do wszystkich wykonawców zewnętrznych, zwłaszcza tych zaangażowanych w prace techniczne wpływające na wrażliwe decyzje regulacyjne, wyraża zaniepokojenie, że niektóre umowy między organizacjami pozarządowymi a Komisją zawierały punkty programu prac mające na celu podważenie działań ECHA i procesu decyzyjnego odpowiednich komisji w Parlamencie Europejskim</w:t>
            </w:r>
            <w:r w:rsidRPr="00641BDE">
              <w:rPr>
                <w:b/>
                <w:i/>
              </w:rPr>
              <w:t>; wzywa Komisję do zapewnienia pełnej przejrzystości w odniesieniu do takich umów oraz do objęcia działań, które są finansowane przez organizacje pozarządowe i ukierunkowane na wywieranie wpływu na wyniki regulacyjne lub ustawodawcze, takimi samymi wymogami w zakresie kontroli i ujawniania informacji jak wymogi obowiązujące wszelkie inne zainteresowane strony;</w:t>
            </w:r>
            <w:r w:rsidRPr="00641BDE">
              <w:t xml:space="preserve"> podkreśla, że w grupach ekspertów należy zapewnić zbalansowany udział członków z różnych sektorów, w tym z sektora prywatnego, sektora nauki i społeczeństwa obywatelskiego, aby grupy te reprezentowały różne kompetencje i punkty widzenia;</w:t>
            </w:r>
          </w:p>
        </w:tc>
      </w:tr>
    </w:tbl>
    <w:p w14:paraId="7F007CA5"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0BAC10C" w14:textId="77777777" w:rsidR="001D5F6D" w:rsidRPr="00641BDE" w:rsidRDefault="001D5F6D" w:rsidP="001D5F6D">
      <w:r w:rsidRPr="00641BDE">
        <w:rPr>
          <w:rStyle w:val="HideTWBExt"/>
        </w:rPr>
        <w:t>&lt;/Amend&gt;</w:t>
      </w:r>
    </w:p>
    <w:p w14:paraId="169E1F70"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169</w:t>
      </w:r>
      <w:r w:rsidRPr="00641BDE">
        <w:rPr>
          <w:rStyle w:val="HideTWBExt"/>
          <w:b w:val="0"/>
        </w:rPr>
        <w:t>&lt;/NumAm&gt;</w:t>
      </w:r>
    </w:p>
    <w:p w14:paraId="4B28D50B"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Tamás</w:t>
      </w:r>
      <w:proofErr w:type="spellEnd"/>
      <w:r w:rsidRPr="00641BDE">
        <w:t xml:space="preserve"> </w:t>
      </w:r>
      <w:proofErr w:type="spellStart"/>
      <w:r w:rsidRPr="00641BDE">
        <w:t>Deutsch</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7881DA2A" w14:textId="77777777" w:rsidR="001D5F6D" w:rsidRPr="00641BDE" w:rsidRDefault="001D5F6D" w:rsidP="001D5F6D">
      <w:pPr>
        <w:pStyle w:val="NormalBold"/>
      </w:pPr>
      <w:r w:rsidRPr="00641BDE">
        <w:rPr>
          <w:rStyle w:val="HideTWBExt"/>
          <w:b w:val="0"/>
        </w:rPr>
        <w:t>&lt;/RepeatBlock-By&gt;</w:t>
      </w:r>
    </w:p>
    <w:p w14:paraId="289B6EED"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6DFB42B3" w14:textId="77777777" w:rsidR="001D5F6D" w:rsidRPr="00641BDE" w:rsidRDefault="001D5F6D" w:rsidP="001D5F6D">
      <w:pPr>
        <w:pStyle w:val="NormalBold"/>
      </w:pPr>
      <w:r w:rsidRPr="00641BDE">
        <w:rPr>
          <w:rStyle w:val="HideTWBExt"/>
          <w:b w:val="0"/>
        </w:rPr>
        <w:t>&lt;Article&gt;</w:t>
      </w:r>
      <w:r w:rsidRPr="00641BDE">
        <w:t>Ustęp 107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79EE8175" w14:textId="77777777" w:rsidTr="007C1C97">
        <w:trPr>
          <w:trHeight w:hRule="exact" w:val="240"/>
          <w:jc w:val="center"/>
        </w:trPr>
        <w:tc>
          <w:tcPr>
            <w:tcW w:w="9752" w:type="dxa"/>
            <w:gridSpan w:val="2"/>
            <w:tcBorders>
              <w:top w:val="nil"/>
              <w:left w:val="nil"/>
              <w:bottom w:val="nil"/>
              <w:right w:val="nil"/>
            </w:tcBorders>
          </w:tcPr>
          <w:p w14:paraId="5B3ACD9A" w14:textId="77777777" w:rsidR="001D5F6D" w:rsidRPr="00641BDE" w:rsidRDefault="001D5F6D" w:rsidP="007C1C97"/>
        </w:tc>
      </w:tr>
      <w:tr w:rsidR="001D5F6D" w:rsidRPr="00641BDE" w14:paraId="31F28D74" w14:textId="77777777" w:rsidTr="007C1C97">
        <w:trPr>
          <w:trHeight w:val="240"/>
          <w:jc w:val="center"/>
        </w:trPr>
        <w:tc>
          <w:tcPr>
            <w:tcW w:w="4876" w:type="dxa"/>
            <w:tcBorders>
              <w:top w:val="nil"/>
              <w:left w:val="nil"/>
              <w:bottom w:val="nil"/>
              <w:right w:val="nil"/>
            </w:tcBorders>
          </w:tcPr>
          <w:p w14:paraId="4DE950A7"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0AC7E6EB" w14:textId="77777777" w:rsidR="001D5F6D" w:rsidRPr="00641BDE" w:rsidRDefault="001D5F6D" w:rsidP="007C1C97">
            <w:pPr>
              <w:pStyle w:val="AmColumnHeading"/>
            </w:pPr>
            <w:r w:rsidRPr="00641BDE">
              <w:t>Poprawka</w:t>
            </w:r>
          </w:p>
        </w:tc>
      </w:tr>
      <w:tr w:rsidR="001D5F6D" w:rsidRPr="00641BDE" w14:paraId="1028479A" w14:textId="77777777" w:rsidTr="007C1C97">
        <w:trPr>
          <w:jc w:val="center"/>
        </w:trPr>
        <w:tc>
          <w:tcPr>
            <w:tcW w:w="4876" w:type="dxa"/>
            <w:tcBorders>
              <w:top w:val="nil"/>
              <w:left w:val="nil"/>
              <w:bottom w:val="nil"/>
              <w:right w:val="nil"/>
            </w:tcBorders>
          </w:tcPr>
          <w:p w14:paraId="41296AF1" w14:textId="77777777" w:rsidR="001D5F6D" w:rsidRPr="00641BDE" w:rsidRDefault="001D5F6D" w:rsidP="007C1C97">
            <w:pPr>
              <w:pStyle w:val="Normal6a"/>
            </w:pPr>
          </w:p>
        </w:tc>
        <w:tc>
          <w:tcPr>
            <w:tcW w:w="4876" w:type="dxa"/>
            <w:tcBorders>
              <w:top w:val="nil"/>
              <w:left w:val="nil"/>
              <w:bottom w:val="nil"/>
              <w:right w:val="nil"/>
            </w:tcBorders>
          </w:tcPr>
          <w:p w14:paraId="6CF8642F" w14:textId="77777777" w:rsidR="001D5F6D" w:rsidRPr="00641BDE" w:rsidRDefault="001D5F6D" w:rsidP="007C1C97">
            <w:pPr>
              <w:pStyle w:val="Normal6a"/>
            </w:pPr>
            <w:r w:rsidRPr="00641BDE">
              <w:rPr>
                <w:b/>
                <w:i/>
              </w:rPr>
              <w:t>107a.</w:t>
            </w:r>
            <w:r w:rsidRPr="00641BDE">
              <w:tab/>
            </w:r>
            <w:r w:rsidRPr="00641BDE">
              <w:rPr>
                <w:b/>
                <w:i/>
              </w:rPr>
              <w:t>podkreśla, że opinie ECHA mają bezpośredni wpływ na konkurencyjność strategicznych sektorów, takich jak rolnictwo, przemysł spożywczy, przemysł tworzyw sztucznych i przemysł chemiczny w Europie; jest zdania, że jej opinie nie powinny prowadzić do nadmiernej regulacji, która destabilizuje europejskie przedsiębiorstwa, zwłaszcza MŚP, ani do systematycznych zakazów oderwanych od rzeczywistości przemysłowej i międzynarodowej konkurencyjności;</w:t>
            </w:r>
          </w:p>
        </w:tc>
      </w:tr>
    </w:tbl>
    <w:p w14:paraId="744FA167"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2DEFF10B" w14:textId="77777777" w:rsidR="001D5F6D" w:rsidRPr="00641BDE" w:rsidRDefault="001D5F6D" w:rsidP="001D5F6D">
      <w:r w:rsidRPr="00641BDE">
        <w:rPr>
          <w:rStyle w:val="HideTWBExt"/>
        </w:rPr>
        <w:t>&lt;/Amend&gt;</w:t>
      </w:r>
    </w:p>
    <w:p w14:paraId="2A6FD643"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170</w:t>
      </w:r>
      <w:r w:rsidRPr="00641BDE">
        <w:rPr>
          <w:rStyle w:val="HideTWBExt"/>
          <w:b w:val="0"/>
        </w:rPr>
        <w:t>&lt;/NumAm&gt;</w:t>
      </w:r>
    </w:p>
    <w:p w14:paraId="1F7B80C3"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60078A0F" w14:textId="77777777" w:rsidR="001D5F6D" w:rsidRPr="00641BDE" w:rsidRDefault="001D5F6D" w:rsidP="001D5F6D">
      <w:pPr>
        <w:pStyle w:val="NormalBold"/>
      </w:pPr>
      <w:r w:rsidRPr="00641BDE">
        <w:rPr>
          <w:rStyle w:val="HideTWBExt"/>
          <w:b w:val="0"/>
        </w:rPr>
        <w:t>&lt;/RepeatBlock-By&gt;</w:t>
      </w:r>
    </w:p>
    <w:p w14:paraId="1C485DC2"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1F419C11" w14:textId="77777777" w:rsidR="001D5F6D" w:rsidRPr="00641BDE" w:rsidRDefault="001D5F6D" w:rsidP="001D5F6D">
      <w:pPr>
        <w:pStyle w:val="NormalBold"/>
      </w:pPr>
      <w:r w:rsidRPr="00641BDE">
        <w:rPr>
          <w:rStyle w:val="HideTWBExt"/>
          <w:b w:val="0"/>
        </w:rPr>
        <w:t>&lt;Article&gt;</w:t>
      </w:r>
      <w:r w:rsidRPr="00641BDE">
        <w:t>Ustęp 111</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15065152" w14:textId="77777777" w:rsidTr="007C1C97">
        <w:trPr>
          <w:trHeight w:hRule="exact" w:val="240"/>
          <w:jc w:val="center"/>
        </w:trPr>
        <w:tc>
          <w:tcPr>
            <w:tcW w:w="9752" w:type="dxa"/>
            <w:gridSpan w:val="2"/>
            <w:tcBorders>
              <w:top w:val="nil"/>
              <w:left w:val="nil"/>
              <w:bottom w:val="nil"/>
              <w:right w:val="nil"/>
            </w:tcBorders>
          </w:tcPr>
          <w:p w14:paraId="330D01AE" w14:textId="77777777" w:rsidR="001D5F6D" w:rsidRPr="00641BDE" w:rsidRDefault="001D5F6D" w:rsidP="007C1C97"/>
        </w:tc>
      </w:tr>
      <w:tr w:rsidR="001D5F6D" w:rsidRPr="00641BDE" w14:paraId="0DC83987" w14:textId="77777777" w:rsidTr="007C1C97">
        <w:trPr>
          <w:trHeight w:val="240"/>
          <w:jc w:val="center"/>
        </w:trPr>
        <w:tc>
          <w:tcPr>
            <w:tcW w:w="4876" w:type="dxa"/>
            <w:tcBorders>
              <w:top w:val="nil"/>
              <w:left w:val="nil"/>
              <w:bottom w:val="nil"/>
              <w:right w:val="nil"/>
            </w:tcBorders>
          </w:tcPr>
          <w:p w14:paraId="2E6A79DA"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45D1697A" w14:textId="77777777" w:rsidR="001D5F6D" w:rsidRPr="00641BDE" w:rsidRDefault="001D5F6D" w:rsidP="007C1C97">
            <w:pPr>
              <w:pStyle w:val="AmColumnHeading"/>
            </w:pPr>
            <w:r w:rsidRPr="00641BDE">
              <w:t>Poprawka</w:t>
            </w:r>
          </w:p>
        </w:tc>
      </w:tr>
      <w:tr w:rsidR="001D5F6D" w:rsidRPr="00641BDE" w14:paraId="4D38A27F" w14:textId="77777777" w:rsidTr="007C1C97">
        <w:trPr>
          <w:jc w:val="center"/>
        </w:trPr>
        <w:tc>
          <w:tcPr>
            <w:tcW w:w="4876" w:type="dxa"/>
            <w:tcBorders>
              <w:top w:val="nil"/>
              <w:left w:val="nil"/>
              <w:bottom w:val="nil"/>
              <w:right w:val="nil"/>
            </w:tcBorders>
          </w:tcPr>
          <w:p w14:paraId="5553991A" w14:textId="77777777" w:rsidR="001D5F6D" w:rsidRPr="00641BDE" w:rsidRDefault="001D5F6D" w:rsidP="007C1C97">
            <w:pPr>
              <w:pStyle w:val="Normal6a"/>
            </w:pPr>
            <w:r w:rsidRPr="00641BDE">
              <w:t>111.</w:t>
            </w:r>
            <w:r w:rsidRPr="00641BDE">
              <w:tab/>
            </w:r>
            <w:r w:rsidRPr="00641BDE">
              <w:rPr>
                <w:b/>
                <w:i/>
              </w:rPr>
              <w:t>przypomina, że uwaga Trybunału dotycząca strukturalnej zależności ACER od pracowników tymczasowych pozostaje otwarta od 2019 r., a pracownicy tymczasowi nadal wykonują długoterminowe zadania, które normalnie powinny być realizowane przez bezpośrednio zatrudnionych pracowników;</w:t>
            </w:r>
            <w:r w:rsidRPr="00641BDE">
              <w:t xml:space="preserve"> zauważa, że </w:t>
            </w:r>
            <w:r w:rsidRPr="00641BDE">
              <w:rPr>
                <w:b/>
                <w:i/>
              </w:rPr>
              <w:t>chociaż liczba pracowników tymczasowych zmniejszyła się z 18 w 2023 r. do 16 w 2024 r., sytuacja się utrzymuje, a ACER zamierza zlecić część działań podwykonawcom; odnotowuje odpowiedzi agencji na kwestionariusz, w których wskazuje ona na znaczną potrzebę</w:t>
            </w:r>
            <w:r w:rsidRPr="00641BDE">
              <w:t xml:space="preserve"> outsourcingu </w:t>
            </w:r>
            <w:r w:rsidRPr="00641BDE">
              <w:rPr>
                <w:b/>
                <w:i/>
              </w:rPr>
              <w:t xml:space="preserve">ze względu na niewystarczające zasoby wewnętrzne i specjalistyczną wiedzę fachową; </w:t>
            </w:r>
            <w:r w:rsidRPr="00641BDE">
              <w:rPr>
                <w:b/>
                <w:bCs/>
                <w:i/>
                <w:iCs/>
              </w:rPr>
              <w:t>zauważa, że</w:t>
            </w:r>
            <w:r w:rsidRPr="00641BDE">
              <w:t xml:space="preserve"> ACER </w:t>
            </w:r>
            <w:r w:rsidRPr="00641BDE">
              <w:rPr>
                <w:b/>
                <w:i/>
              </w:rPr>
              <w:t>zleca na zewnątrz szeroki zakres zadań, w tym wysoce wyspecjalizowane usługi doradcze i badania w zakresie regulacji energetyki, usługi prawne, organizację wydarzeń i różne usługi ogólne, ale największa zależność występuje</w:t>
            </w:r>
            <w:r w:rsidRPr="00641BDE">
              <w:t xml:space="preserve"> w obszarze IT, w którym </w:t>
            </w:r>
            <w:r w:rsidRPr="00641BDE">
              <w:rPr>
                <w:b/>
                <w:i/>
              </w:rPr>
              <w:t>za projektowanie, opracowywanie, wdrażanie, wsparcie, obsługę i bezpieczeństwo jej systemów</w:t>
            </w:r>
            <w:r w:rsidRPr="00641BDE">
              <w:t xml:space="preserve"> w </w:t>
            </w:r>
            <w:r w:rsidRPr="00641BDE">
              <w:rPr>
                <w:b/>
                <w:bCs/>
                <w:i/>
                <w:iCs/>
              </w:rPr>
              <w:t>dużej</w:t>
            </w:r>
            <w:r w:rsidRPr="00641BDE">
              <w:t xml:space="preserve"> mierze </w:t>
            </w:r>
            <w:r w:rsidRPr="00641BDE">
              <w:rPr>
                <w:b/>
                <w:i/>
              </w:rPr>
              <w:t>odpowiadają zewnętrzni usługodawcy</w:t>
            </w:r>
            <w:r w:rsidRPr="00641BDE">
              <w:t xml:space="preserve">; </w:t>
            </w:r>
            <w:r w:rsidRPr="00641BDE">
              <w:rPr>
                <w:b/>
                <w:i/>
              </w:rPr>
              <w:t>podkreśla w związku z tym, że w świadczenie usług IT na rzecz ACER zaangażowanych jest ponad 100 zewnętrznych ekspertów IT (niekoniecznie zatrudnionych w pełnym wymiarze czasu pracy), w porównaniu z zaledwie 17 wewnętrznymi pracownikami IT, co tworzy znaczną nierównowagę strukturalną; zauważa ponadto</w:t>
            </w:r>
            <w:r w:rsidRPr="00641BDE">
              <w:t xml:space="preserve">, że </w:t>
            </w:r>
            <w:r w:rsidRPr="00641BDE">
              <w:rPr>
                <w:b/>
                <w:i/>
              </w:rPr>
              <w:t>zdaniem ACER</w:t>
            </w:r>
            <w:r w:rsidRPr="00641BDE">
              <w:t xml:space="preserve"> ten model outsourcingu </w:t>
            </w:r>
            <w:r w:rsidRPr="00641BDE">
              <w:rPr>
                <w:b/>
                <w:i/>
              </w:rPr>
              <w:t>został wyraźnie</w:t>
            </w:r>
            <w:r w:rsidRPr="00641BDE">
              <w:t xml:space="preserve"> zalecony przez Komisję w </w:t>
            </w:r>
            <w:r w:rsidRPr="00641BDE">
              <w:rPr>
                <w:b/>
                <w:i/>
              </w:rPr>
              <w:t>związku z ograniczonym planem zatrudnienia agencji i zasobami</w:t>
            </w:r>
            <w:r w:rsidRPr="00641BDE">
              <w:t>;</w:t>
            </w:r>
            <w:r w:rsidRPr="00641BDE">
              <w:rPr>
                <w:b/>
                <w:i/>
              </w:rPr>
              <w:t xml:space="preserve"> </w:t>
            </w:r>
            <w:r w:rsidRPr="00641BDE">
              <w:t xml:space="preserve">podkreśla </w:t>
            </w:r>
            <w:r w:rsidRPr="00641BDE">
              <w:rPr>
                <w:b/>
                <w:bCs/>
                <w:i/>
                <w:iCs/>
              </w:rPr>
              <w:t>jednak</w:t>
            </w:r>
            <w:r w:rsidRPr="00641BDE">
              <w:t xml:space="preserve">, że </w:t>
            </w:r>
            <w:r w:rsidRPr="00641BDE">
              <w:rPr>
                <w:b/>
                <w:i/>
              </w:rPr>
              <w:t>taka stała zależność od zewnętrznych dostawców w zakresie podstawowych zdolności IT, w połączeniu z ciągłym korzystaniem z usług pracowników tymczasowych do wykonywania stałych zadań, budzi obawy dotyczące utrzymania</w:t>
            </w:r>
            <w:r w:rsidRPr="00641BDE">
              <w:t xml:space="preserve"> wiedzy</w:t>
            </w:r>
            <w:r w:rsidRPr="00641BDE">
              <w:rPr>
                <w:b/>
                <w:i/>
              </w:rPr>
              <w:t>, ciągłości operacyjnej</w:t>
            </w:r>
            <w:r w:rsidRPr="00641BDE">
              <w:t xml:space="preserve"> i </w:t>
            </w:r>
            <w:r w:rsidRPr="00641BDE">
              <w:rPr>
                <w:b/>
                <w:i/>
              </w:rPr>
              <w:t>długoterminowej zdolności instytucjonalnej</w:t>
            </w:r>
            <w:r w:rsidRPr="00641BDE">
              <w:t>;</w:t>
            </w:r>
          </w:p>
        </w:tc>
        <w:tc>
          <w:tcPr>
            <w:tcW w:w="4876" w:type="dxa"/>
            <w:tcBorders>
              <w:top w:val="nil"/>
              <w:left w:val="nil"/>
              <w:bottom w:val="nil"/>
              <w:right w:val="nil"/>
            </w:tcBorders>
          </w:tcPr>
          <w:p w14:paraId="032568F8" w14:textId="77777777" w:rsidR="001D5F6D" w:rsidRPr="00641BDE" w:rsidRDefault="001D5F6D" w:rsidP="007C1C97">
            <w:pPr>
              <w:pStyle w:val="Normal6a"/>
            </w:pPr>
            <w:r w:rsidRPr="00641BDE">
              <w:t>111.</w:t>
            </w:r>
            <w:r w:rsidRPr="00641BDE">
              <w:tab/>
              <w:t xml:space="preserve">zauważa, że </w:t>
            </w:r>
            <w:r w:rsidRPr="00641BDE">
              <w:rPr>
                <w:b/>
                <w:i/>
              </w:rPr>
              <w:t>model</w:t>
            </w:r>
            <w:r w:rsidRPr="00641BDE">
              <w:t xml:space="preserve"> outsourcingu ACER </w:t>
            </w:r>
            <w:r w:rsidRPr="00641BDE">
              <w:rPr>
                <w:b/>
                <w:i/>
              </w:rPr>
              <w:t>stał się nadmiernie rozbudowany, zwłaszcza</w:t>
            </w:r>
            <w:r w:rsidRPr="00641BDE">
              <w:t xml:space="preserve"> w obszarze IT, w którym </w:t>
            </w:r>
            <w:r w:rsidRPr="00641BDE">
              <w:rPr>
                <w:b/>
                <w:bCs/>
                <w:i/>
                <w:iCs/>
              </w:rPr>
              <w:t>agencja</w:t>
            </w:r>
            <w:r w:rsidRPr="00641BDE">
              <w:t xml:space="preserve"> w </w:t>
            </w:r>
            <w:r w:rsidRPr="00641BDE">
              <w:rPr>
                <w:b/>
                <w:bCs/>
                <w:i/>
                <w:iCs/>
              </w:rPr>
              <w:t>przeważającej</w:t>
            </w:r>
            <w:r w:rsidRPr="00641BDE">
              <w:t xml:space="preserve"> mierze </w:t>
            </w:r>
            <w:r w:rsidRPr="00641BDE">
              <w:rPr>
                <w:b/>
                <w:i/>
              </w:rPr>
              <w:t>polega na dostawcach zewnętrznych</w:t>
            </w:r>
            <w:r w:rsidRPr="00641BDE">
              <w:t xml:space="preserve">; </w:t>
            </w:r>
            <w:r w:rsidRPr="00641BDE">
              <w:rPr>
                <w:b/>
                <w:i/>
              </w:rPr>
              <w:t>uważa</w:t>
            </w:r>
            <w:r w:rsidRPr="00641BDE">
              <w:t>, że ten model</w:t>
            </w:r>
            <w:r w:rsidRPr="00641BDE">
              <w:rPr>
                <w:b/>
                <w:i/>
              </w:rPr>
              <w:t>, pierwotnie</w:t>
            </w:r>
            <w:r w:rsidRPr="00641BDE">
              <w:t xml:space="preserve"> zalecony przez Komisję</w:t>
            </w:r>
            <w:r w:rsidRPr="00641BDE">
              <w:rPr>
                <w:b/>
                <w:i/>
              </w:rPr>
              <w:t>, należy teraz poddać ponownej ocenie</w:t>
            </w:r>
            <w:r w:rsidRPr="00641BDE">
              <w:t xml:space="preserve"> w </w:t>
            </w:r>
            <w:r w:rsidRPr="00641BDE">
              <w:rPr>
                <w:b/>
                <w:bCs/>
                <w:i/>
                <w:iCs/>
              </w:rPr>
              <w:t>świetle stwarzanego przez niego ryzyka strukturalnego</w:t>
            </w:r>
            <w:r w:rsidRPr="00641BDE">
              <w:t>;</w:t>
            </w:r>
            <w:r w:rsidRPr="00641BDE">
              <w:rPr>
                <w:b/>
                <w:i/>
              </w:rPr>
              <w:t xml:space="preserve"> </w:t>
            </w:r>
            <w:r w:rsidRPr="00641BDE">
              <w:t xml:space="preserve">podkreśla, że </w:t>
            </w:r>
            <w:r w:rsidRPr="00641BDE">
              <w:rPr>
                <w:b/>
                <w:i/>
              </w:rPr>
              <w:t>należy pilnie zająć się problemem dużej zależności informatycznej, aby zagwarantować utrzymanie</w:t>
            </w:r>
            <w:r w:rsidRPr="00641BDE">
              <w:t xml:space="preserve"> wiedzy i </w:t>
            </w:r>
            <w:r w:rsidRPr="00641BDE">
              <w:rPr>
                <w:b/>
                <w:i/>
              </w:rPr>
              <w:t>ciągłość operacyjną; zwraca się do Komisji i ACER o informowanie organu udzielającego absolutorium o przyjętych środkach naprawczych</w:t>
            </w:r>
            <w:r w:rsidRPr="00641BDE">
              <w:t>;</w:t>
            </w:r>
          </w:p>
        </w:tc>
      </w:tr>
    </w:tbl>
    <w:p w14:paraId="10BEC905"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023277FF" w14:textId="77777777" w:rsidR="001D5F6D" w:rsidRPr="00641BDE" w:rsidRDefault="001D5F6D" w:rsidP="001D5F6D">
      <w:r w:rsidRPr="00641BDE">
        <w:rPr>
          <w:rStyle w:val="HideTWBExt"/>
        </w:rPr>
        <w:t>&lt;/Amend&gt;</w:t>
      </w:r>
    </w:p>
    <w:p w14:paraId="3542CE6D"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171</w:t>
      </w:r>
      <w:r w:rsidRPr="00641BDE">
        <w:rPr>
          <w:rStyle w:val="HideTWBExt"/>
          <w:b w:val="0"/>
        </w:rPr>
        <w:t>&lt;/NumAm&gt;</w:t>
      </w:r>
    </w:p>
    <w:p w14:paraId="5EF60E6D" w14:textId="77777777" w:rsidR="001D5F6D" w:rsidRPr="00641BDE" w:rsidRDefault="001D5F6D" w:rsidP="001D5F6D">
      <w:pPr>
        <w:pStyle w:val="NormalBold"/>
      </w:pPr>
      <w:r w:rsidRPr="00641BDE">
        <w:rPr>
          <w:rStyle w:val="HideTWBExt"/>
          <w:b w:val="0"/>
        </w:rPr>
        <w:t>&lt;RepeatBlock-By&gt;&lt;Members&gt;</w:t>
      </w:r>
      <w:r w:rsidRPr="00641BDE">
        <w:t xml:space="preserve">Virginie </w:t>
      </w:r>
      <w:proofErr w:type="spellStart"/>
      <w:r w:rsidRPr="00641BDE">
        <w:t>Joron</w:t>
      </w:r>
      <w:proofErr w:type="spellEnd"/>
      <w:r w:rsidRPr="00641BDE">
        <w:t xml:space="preserve">, </w:t>
      </w:r>
      <w:proofErr w:type="spellStart"/>
      <w:r w:rsidRPr="00641BDE">
        <w:t>Julien</w:t>
      </w:r>
      <w:proofErr w:type="spellEnd"/>
      <w:r w:rsidRPr="00641BDE">
        <w:t xml:space="preserve"> Sanchez</w:t>
      </w:r>
      <w:r w:rsidRPr="00641BDE">
        <w:rPr>
          <w:rStyle w:val="HideTWBExt"/>
          <w:b w:val="0"/>
        </w:rPr>
        <w:t>&lt;/Members&gt;</w:t>
      </w:r>
    </w:p>
    <w:p w14:paraId="20945BD8" w14:textId="77777777" w:rsidR="001D5F6D" w:rsidRPr="00641BDE" w:rsidRDefault="001D5F6D" w:rsidP="001D5F6D">
      <w:pPr>
        <w:pStyle w:val="NormalBold"/>
      </w:pPr>
      <w:r w:rsidRPr="00641BDE">
        <w:rPr>
          <w:rStyle w:val="HideTWBExt"/>
          <w:b w:val="0"/>
        </w:rPr>
        <w:t>&lt;/RepeatBlock-By&gt;</w:t>
      </w:r>
    </w:p>
    <w:p w14:paraId="769424B0"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2C506F1F" w14:textId="77777777" w:rsidR="001D5F6D" w:rsidRPr="00641BDE" w:rsidRDefault="001D5F6D" w:rsidP="001D5F6D">
      <w:pPr>
        <w:pStyle w:val="NormalBold"/>
      </w:pPr>
      <w:r w:rsidRPr="00641BDE">
        <w:rPr>
          <w:rStyle w:val="HideTWBExt"/>
          <w:b w:val="0"/>
        </w:rPr>
        <w:t>&lt;Article&gt;</w:t>
      </w:r>
      <w:r w:rsidRPr="00641BDE">
        <w:t>Ustęp 111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52C9A78" w14:textId="77777777" w:rsidTr="007C1C97">
        <w:trPr>
          <w:trHeight w:hRule="exact" w:val="240"/>
          <w:jc w:val="center"/>
        </w:trPr>
        <w:tc>
          <w:tcPr>
            <w:tcW w:w="9752" w:type="dxa"/>
            <w:gridSpan w:val="2"/>
            <w:tcBorders>
              <w:top w:val="nil"/>
              <w:left w:val="nil"/>
              <w:bottom w:val="nil"/>
              <w:right w:val="nil"/>
            </w:tcBorders>
          </w:tcPr>
          <w:p w14:paraId="24C3C36B" w14:textId="77777777" w:rsidR="001D5F6D" w:rsidRPr="00641BDE" w:rsidRDefault="001D5F6D" w:rsidP="007C1C97"/>
        </w:tc>
      </w:tr>
      <w:tr w:rsidR="001D5F6D" w:rsidRPr="00641BDE" w14:paraId="1AD6679B" w14:textId="77777777" w:rsidTr="007C1C97">
        <w:trPr>
          <w:trHeight w:val="240"/>
          <w:jc w:val="center"/>
        </w:trPr>
        <w:tc>
          <w:tcPr>
            <w:tcW w:w="4876" w:type="dxa"/>
            <w:tcBorders>
              <w:top w:val="nil"/>
              <w:left w:val="nil"/>
              <w:bottom w:val="nil"/>
              <w:right w:val="nil"/>
            </w:tcBorders>
          </w:tcPr>
          <w:p w14:paraId="1B2EA2B8"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7253E5D" w14:textId="77777777" w:rsidR="001D5F6D" w:rsidRPr="00641BDE" w:rsidRDefault="001D5F6D" w:rsidP="007C1C97">
            <w:pPr>
              <w:pStyle w:val="AmColumnHeading"/>
            </w:pPr>
            <w:r w:rsidRPr="00641BDE">
              <w:t>Poprawka</w:t>
            </w:r>
          </w:p>
        </w:tc>
      </w:tr>
      <w:tr w:rsidR="001D5F6D" w:rsidRPr="00641BDE" w14:paraId="0AD60A9D" w14:textId="77777777" w:rsidTr="007C1C97">
        <w:trPr>
          <w:jc w:val="center"/>
        </w:trPr>
        <w:tc>
          <w:tcPr>
            <w:tcW w:w="4876" w:type="dxa"/>
            <w:tcBorders>
              <w:top w:val="nil"/>
              <w:left w:val="nil"/>
              <w:bottom w:val="nil"/>
              <w:right w:val="nil"/>
            </w:tcBorders>
          </w:tcPr>
          <w:p w14:paraId="2E51556A" w14:textId="77777777" w:rsidR="001D5F6D" w:rsidRPr="00641BDE" w:rsidRDefault="001D5F6D" w:rsidP="007C1C97">
            <w:pPr>
              <w:pStyle w:val="Normal6a"/>
            </w:pPr>
          </w:p>
        </w:tc>
        <w:tc>
          <w:tcPr>
            <w:tcW w:w="4876" w:type="dxa"/>
            <w:tcBorders>
              <w:top w:val="nil"/>
              <w:left w:val="nil"/>
              <w:bottom w:val="nil"/>
              <w:right w:val="nil"/>
            </w:tcBorders>
          </w:tcPr>
          <w:p w14:paraId="01468E84" w14:textId="77777777" w:rsidR="001D5F6D" w:rsidRPr="00641BDE" w:rsidRDefault="001D5F6D" w:rsidP="007C1C97">
            <w:pPr>
              <w:pStyle w:val="Normal6a"/>
            </w:pPr>
            <w:r w:rsidRPr="00641BDE">
              <w:rPr>
                <w:b/>
                <w:i/>
              </w:rPr>
              <w:t>111a.</w:t>
            </w:r>
            <w:r w:rsidRPr="00641BDE">
              <w:tab/>
            </w:r>
            <w:r w:rsidRPr="00641BDE">
              <w:rPr>
                <w:b/>
                <w:i/>
              </w:rPr>
              <w:t>wyraża ubolewanie nad zwiększeniem budżetu ACER w 2024 r. o 17,26 % w porównaniu z 2023 r., biorąc pod uwagę jej nieefektywność, a nawet przyniesienie efektu przeciwnego do zamierzonego w ostatnich latach, w szczególności w związku z ponownym otwarciem elektrowni węglowych, które z definicji są źródłem zanieczyszczeń, w celu zapewnienia minimalnej stabilności dostaw energii w Europie; wyraża ubolewanie, że agencja nie powstrzymała wzrostu kosztów energii poprzez działania na rzecz innego systemu ustalania cen w celu ochrony interesów europejskich konsumentów;</w:t>
            </w:r>
          </w:p>
        </w:tc>
      </w:tr>
    </w:tbl>
    <w:p w14:paraId="5061E667"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{FR}</w:t>
      </w:r>
      <w:proofErr w:type="spellStart"/>
      <w:r w:rsidRPr="00641BDE">
        <w:t>fr</w:t>
      </w:r>
      <w:proofErr w:type="spellEnd"/>
      <w:r w:rsidRPr="00641BDE">
        <w:rPr>
          <w:rStyle w:val="HideTWBExt"/>
        </w:rPr>
        <w:t>&lt;/Original&gt;</w:t>
      </w:r>
    </w:p>
    <w:p w14:paraId="56D0D9B1" w14:textId="77777777" w:rsidR="001D5F6D" w:rsidRPr="00641BDE" w:rsidRDefault="001D5F6D" w:rsidP="001D5F6D">
      <w:r w:rsidRPr="00641BDE">
        <w:rPr>
          <w:rStyle w:val="HideTWBExt"/>
        </w:rPr>
        <w:t>&lt;/Amend&gt;</w:t>
      </w:r>
    </w:p>
    <w:p w14:paraId="641F7D08"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172</w:t>
      </w:r>
      <w:r w:rsidRPr="00641BDE">
        <w:rPr>
          <w:rStyle w:val="HideTWBExt"/>
          <w:b w:val="0"/>
        </w:rPr>
        <w:t>&lt;/NumAm&gt;</w:t>
      </w:r>
    </w:p>
    <w:p w14:paraId="270C7958" w14:textId="77777777" w:rsidR="001D5F6D" w:rsidRPr="00641BDE" w:rsidRDefault="001D5F6D" w:rsidP="001D5F6D">
      <w:pPr>
        <w:pStyle w:val="NormalBold"/>
      </w:pPr>
      <w:r w:rsidRPr="00641BDE">
        <w:rPr>
          <w:rStyle w:val="HideTWBExt"/>
          <w:b w:val="0"/>
        </w:rPr>
        <w:t>&lt;RepeatBlock-By&gt;&lt;Members&gt;</w:t>
      </w:r>
      <w:proofErr w:type="spellStart"/>
      <w:r w:rsidRPr="00641BDE">
        <w:t>Gilles</w:t>
      </w:r>
      <w:proofErr w:type="spellEnd"/>
      <w:r w:rsidRPr="00641BDE">
        <w:t xml:space="preserve"> </w:t>
      </w:r>
      <w:proofErr w:type="spellStart"/>
      <w:r w:rsidRPr="00641BDE">
        <w:t>Boyer</w:t>
      </w:r>
      <w:proofErr w:type="spellEnd"/>
      <w:r w:rsidRPr="00641BDE">
        <w:t xml:space="preserve">, Olivier </w:t>
      </w:r>
      <w:proofErr w:type="spellStart"/>
      <w:r w:rsidRPr="00641BDE">
        <w:t>Chastel</w:t>
      </w:r>
      <w:proofErr w:type="spellEnd"/>
      <w:r w:rsidRPr="00641BDE">
        <w:t xml:space="preserve">, Michal </w:t>
      </w:r>
      <w:proofErr w:type="spellStart"/>
      <w:r w:rsidRPr="00641BDE">
        <w:t>Wiezik</w:t>
      </w:r>
      <w:proofErr w:type="spellEnd"/>
      <w:r w:rsidRPr="00641BDE">
        <w:rPr>
          <w:rStyle w:val="HideTWBExt"/>
          <w:b w:val="0"/>
        </w:rPr>
        <w:t>&lt;/Members&gt;</w:t>
      </w:r>
    </w:p>
    <w:p w14:paraId="2497EBDA" w14:textId="77777777" w:rsidR="001D5F6D" w:rsidRPr="00641BDE" w:rsidRDefault="001D5F6D" w:rsidP="001D5F6D">
      <w:pPr>
        <w:pStyle w:val="NormalBold"/>
      </w:pPr>
      <w:r w:rsidRPr="00641BDE">
        <w:rPr>
          <w:rStyle w:val="HideTWBExt"/>
          <w:b w:val="0"/>
        </w:rPr>
        <w:t>&lt;/RepeatBlock-By&gt;</w:t>
      </w:r>
    </w:p>
    <w:p w14:paraId="733FDD96"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7424CA0F" w14:textId="77777777" w:rsidR="001D5F6D" w:rsidRPr="00641BDE" w:rsidRDefault="001D5F6D" w:rsidP="001D5F6D">
      <w:pPr>
        <w:pStyle w:val="NormalBold"/>
      </w:pPr>
      <w:r w:rsidRPr="00641BDE">
        <w:rPr>
          <w:rStyle w:val="HideTWBExt"/>
          <w:b w:val="0"/>
        </w:rPr>
        <w:t>&lt;Article&gt;</w:t>
      </w:r>
      <w:r w:rsidRPr="00641BDE">
        <w:t>Ustęp 120</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445BC66A" w14:textId="77777777" w:rsidTr="007C1C97">
        <w:trPr>
          <w:trHeight w:hRule="exact" w:val="240"/>
          <w:jc w:val="center"/>
        </w:trPr>
        <w:tc>
          <w:tcPr>
            <w:tcW w:w="9752" w:type="dxa"/>
            <w:gridSpan w:val="2"/>
            <w:tcBorders>
              <w:top w:val="nil"/>
              <w:left w:val="nil"/>
              <w:bottom w:val="nil"/>
              <w:right w:val="nil"/>
            </w:tcBorders>
          </w:tcPr>
          <w:p w14:paraId="4268AA58" w14:textId="77777777" w:rsidR="001D5F6D" w:rsidRPr="00641BDE" w:rsidRDefault="001D5F6D" w:rsidP="007C1C97"/>
        </w:tc>
      </w:tr>
      <w:tr w:rsidR="001D5F6D" w:rsidRPr="00641BDE" w14:paraId="2558600C" w14:textId="77777777" w:rsidTr="007C1C97">
        <w:trPr>
          <w:trHeight w:val="240"/>
          <w:jc w:val="center"/>
        </w:trPr>
        <w:tc>
          <w:tcPr>
            <w:tcW w:w="4876" w:type="dxa"/>
            <w:tcBorders>
              <w:top w:val="nil"/>
              <w:left w:val="nil"/>
              <w:bottom w:val="nil"/>
              <w:right w:val="nil"/>
            </w:tcBorders>
          </w:tcPr>
          <w:p w14:paraId="0FD79F30"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E029D46" w14:textId="77777777" w:rsidR="001D5F6D" w:rsidRPr="00641BDE" w:rsidRDefault="001D5F6D" w:rsidP="007C1C97">
            <w:pPr>
              <w:pStyle w:val="AmColumnHeading"/>
            </w:pPr>
            <w:r w:rsidRPr="00641BDE">
              <w:t>Poprawka</w:t>
            </w:r>
          </w:p>
        </w:tc>
      </w:tr>
      <w:tr w:rsidR="001D5F6D" w:rsidRPr="00641BDE" w14:paraId="27171457" w14:textId="77777777" w:rsidTr="007C1C97">
        <w:trPr>
          <w:jc w:val="center"/>
        </w:trPr>
        <w:tc>
          <w:tcPr>
            <w:tcW w:w="4876" w:type="dxa"/>
            <w:tcBorders>
              <w:top w:val="nil"/>
              <w:left w:val="nil"/>
              <w:bottom w:val="nil"/>
              <w:right w:val="nil"/>
            </w:tcBorders>
          </w:tcPr>
          <w:p w14:paraId="4A696920" w14:textId="77777777" w:rsidR="001D5F6D" w:rsidRPr="00641BDE" w:rsidRDefault="001D5F6D" w:rsidP="007C1C97">
            <w:pPr>
              <w:pStyle w:val="Normal6a"/>
            </w:pPr>
            <w:r w:rsidRPr="00641BDE">
              <w:t>120.</w:t>
            </w:r>
            <w:r w:rsidRPr="00641BDE">
              <w:tab/>
              <w:t>zauważa, że w 2023 r. EIT zmienił strukturę swoich umów o udzielenie dotacji z rocznej na wieloletnią; zwraca uwagę, że zmiana ta ma wpływ na przeprowadzaną przez Trybunał ocenę legalności i prawidłowości, która jest możliwa wyłącznie na etapie dokonywania płatności okresowych i końcowych; zauważa, że w 2024 r. EIT wypłacił 412 mln EUR w formie płatności zaliczkowych związanych z umowami o udzielenie dotacji wieloletnich, co odpowiada 92,9 % łącznych płatności za ten rok; przyjmuje do wiadomości, że legalność i prawidłowość tych płatności zostanie oceniona w przyszłych latach;</w:t>
            </w:r>
          </w:p>
        </w:tc>
        <w:tc>
          <w:tcPr>
            <w:tcW w:w="4876" w:type="dxa"/>
            <w:tcBorders>
              <w:top w:val="nil"/>
              <w:left w:val="nil"/>
              <w:bottom w:val="nil"/>
              <w:right w:val="nil"/>
            </w:tcBorders>
          </w:tcPr>
          <w:p w14:paraId="48F2D661" w14:textId="77777777" w:rsidR="001D5F6D" w:rsidRPr="00641BDE" w:rsidRDefault="001D5F6D" w:rsidP="007C1C97">
            <w:pPr>
              <w:pStyle w:val="Normal6a"/>
            </w:pPr>
            <w:r w:rsidRPr="00641BDE">
              <w:t>120.</w:t>
            </w:r>
            <w:r w:rsidRPr="00641BDE">
              <w:tab/>
              <w:t xml:space="preserve">zauważa, że w 2023 r. EIT zmienił strukturę swoich umów o udzielenie dotacji z rocznej na wieloletnią; zwraca uwagę, że zmiana ta ma wpływ na przeprowadzaną przez Trybunał ocenę legalności i prawidłowości, która jest możliwa wyłącznie na etapie dokonywania płatności okresowych i końcowych; zauważa, że w 2024 r. EIT wypłacił 412 mln EUR w formie płatności zaliczkowych związanych z umowami o udzielenie dotacji wieloletnich, co odpowiada 92,9 % łącznych płatności za ten rok; przyjmuje do wiadomości, że legalność i prawidłowość tych płatności zostanie oceniona w przyszłych latach; </w:t>
            </w:r>
            <w:r w:rsidRPr="00641BDE">
              <w:rPr>
                <w:b/>
                <w:i/>
              </w:rPr>
              <w:t>podkreśla, że tak wysoki udział płatności zaliczkowych wymaga wzmocnionych mechanizmów monitorowania i kontroli w celu ograniczenia ryzyka przyszłych korekt finansowych lub konieczności odzyskiwania środków;</w:t>
            </w:r>
          </w:p>
        </w:tc>
      </w:tr>
    </w:tbl>
    <w:p w14:paraId="3B7423EC"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192F829" w14:textId="77777777" w:rsidR="001D5F6D" w:rsidRPr="00641BDE" w:rsidRDefault="001D5F6D" w:rsidP="001D5F6D">
      <w:r w:rsidRPr="00641BDE">
        <w:rPr>
          <w:rStyle w:val="HideTWBExt"/>
        </w:rPr>
        <w:t>&lt;/Amend&gt;</w:t>
      </w:r>
    </w:p>
    <w:p w14:paraId="07FBD7F1"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173</w:t>
      </w:r>
      <w:r w:rsidRPr="00641BDE">
        <w:rPr>
          <w:rStyle w:val="HideTWBExt"/>
          <w:b w:val="0"/>
        </w:rPr>
        <w:t>&lt;/NumAm&gt;</w:t>
      </w:r>
    </w:p>
    <w:p w14:paraId="6397F4CB" w14:textId="77777777" w:rsidR="001D5F6D" w:rsidRPr="00641BDE" w:rsidRDefault="001D5F6D" w:rsidP="001D5F6D">
      <w:pPr>
        <w:pStyle w:val="NormalBold"/>
      </w:pPr>
      <w:r w:rsidRPr="00641BDE">
        <w:rPr>
          <w:rStyle w:val="HideTWBExt"/>
          <w:b w:val="0"/>
        </w:rPr>
        <w:t>&lt;RepeatBlock-By&gt;&lt;Members&gt;</w:t>
      </w:r>
      <w:r w:rsidRPr="00641BDE">
        <w:t xml:space="preserve">Dick </w:t>
      </w:r>
      <w:proofErr w:type="spellStart"/>
      <w:r w:rsidRPr="00641BDE">
        <w:t>Erixon</w:t>
      </w:r>
      <w:proofErr w:type="spellEnd"/>
      <w:r w:rsidRPr="00641BDE">
        <w:t>, Joachim Stanisław Brudziński</w:t>
      </w:r>
      <w:r w:rsidRPr="00641BDE">
        <w:rPr>
          <w:rStyle w:val="HideTWBExt"/>
          <w:b w:val="0"/>
        </w:rPr>
        <w:t>&lt;/Members&gt;</w:t>
      </w:r>
    </w:p>
    <w:p w14:paraId="5796EB15" w14:textId="77777777" w:rsidR="001D5F6D" w:rsidRPr="00641BDE" w:rsidRDefault="001D5F6D" w:rsidP="001D5F6D">
      <w:pPr>
        <w:pStyle w:val="NormalBold"/>
      </w:pPr>
      <w:r w:rsidRPr="00641BDE">
        <w:rPr>
          <w:rStyle w:val="HideTWBExt"/>
          <w:b w:val="0"/>
        </w:rPr>
        <w:t>&lt;/RepeatBlock-By&gt;</w:t>
      </w:r>
    </w:p>
    <w:p w14:paraId="53C56E94"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82FF776" w14:textId="77777777" w:rsidR="001D5F6D" w:rsidRPr="00641BDE" w:rsidRDefault="001D5F6D" w:rsidP="001D5F6D">
      <w:pPr>
        <w:pStyle w:val="NormalBold"/>
      </w:pPr>
      <w:r w:rsidRPr="00641BDE">
        <w:rPr>
          <w:rStyle w:val="HideTWBExt"/>
          <w:b w:val="0"/>
        </w:rPr>
        <w:t>&lt;Article&gt;</w:t>
      </w:r>
      <w:r w:rsidRPr="00641BDE">
        <w:t xml:space="preserve">Ustęp 124 – </w:t>
      </w:r>
      <w:proofErr w:type="spellStart"/>
      <w:r w:rsidRPr="00641BDE">
        <w:t>tiret</w:t>
      </w:r>
      <w:proofErr w:type="spellEnd"/>
      <w:r w:rsidRPr="00641BDE">
        <w:t xml:space="preserve"> 1</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6CD52F89" w14:textId="77777777" w:rsidTr="007C1C97">
        <w:trPr>
          <w:trHeight w:hRule="exact" w:val="240"/>
          <w:jc w:val="center"/>
        </w:trPr>
        <w:tc>
          <w:tcPr>
            <w:tcW w:w="9752" w:type="dxa"/>
            <w:gridSpan w:val="2"/>
            <w:tcBorders>
              <w:top w:val="nil"/>
              <w:left w:val="nil"/>
              <w:bottom w:val="nil"/>
              <w:right w:val="nil"/>
            </w:tcBorders>
          </w:tcPr>
          <w:p w14:paraId="43353F96" w14:textId="77777777" w:rsidR="001D5F6D" w:rsidRPr="00641BDE" w:rsidRDefault="001D5F6D" w:rsidP="007C1C97"/>
        </w:tc>
      </w:tr>
      <w:tr w:rsidR="001D5F6D" w:rsidRPr="00641BDE" w14:paraId="49A5E2EA" w14:textId="77777777" w:rsidTr="007C1C97">
        <w:trPr>
          <w:trHeight w:val="240"/>
          <w:jc w:val="center"/>
        </w:trPr>
        <w:tc>
          <w:tcPr>
            <w:tcW w:w="4876" w:type="dxa"/>
            <w:tcBorders>
              <w:top w:val="nil"/>
              <w:left w:val="nil"/>
              <w:bottom w:val="nil"/>
              <w:right w:val="nil"/>
            </w:tcBorders>
          </w:tcPr>
          <w:p w14:paraId="498D9700"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57E6BB22" w14:textId="77777777" w:rsidR="001D5F6D" w:rsidRPr="00641BDE" w:rsidRDefault="001D5F6D" w:rsidP="007C1C97">
            <w:pPr>
              <w:pStyle w:val="AmColumnHeading"/>
            </w:pPr>
            <w:r w:rsidRPr="00641BDE">
              <w:t>Poprawka</w:t>
            </w:r>
          </w:p>
        </w:tc>
      </w:tr>
      <w:tr w:rsidR="001D5F6D" w:rsidRPr="00641BDE" w14:paraId="11971E39" w14:textId="77777777" w:rsidTr="007C1C97">
        <w:trPr>
          <w:jc w:val="center"/>
        </w:trPr>
        <w:tc>
          <w:tcPr>
            <w:tcW w:w="4876" w:type="dxa"/>
            <w:tcBorders>
              <w:top w:val="nil"/>
              <w:left w:val="nil"/>
              <w:bottom w:val="nil"/>
              <w:right w:val="nil"/>
            </w:tcBorders>
          </w:tcPr>
          <w:p w14:paraId="7BFF037F" w14:textId="77777777" w:rsidR="001D5F6D" w:rsidRPr="00641BDE" w:rsidRDefault="001D5F6D" w:rsidP="007C1C97">
            <w:pPr>
              <w:pStyle w:val="Normal6a"/>
            </w:pPr>
            <w:r w:rsidRPr="00641BDE">
              <w:t>–</w:t>
            </w:r>
            <w:r w:rsidRPr="00641BDE">
              <w:tab/>
              <w:t xml:space="preserve">niewystarczające zasoby kadrowe: zauważa, że Trybunał i Służba Audytu Wewnętrznego Komisji potwierdzają to ryzyko, podkreślając nieprawidłowości wynikające z niedoboru personelu; </w:t>
            </w:r>
            <w:r w:rsidRPr="00641BDE">
              <w:rPr>
                <w:b/>
                <w:i/>
              </w:rPr>
              <w:t>domaga się zwiększenia liczby pracowników</w:t>
            </w:r>
            <w:r w:rsidRPr="00641BDE">
              <w:t xml:space="preserve"> i </w:t>
            </w:r>
            <w:r w:rsidRPr="00641BDE">
              <w:rPr>
                <w:b/>
                <w:i/>
              </w:rPr>
              <w:t>odpowiedniego zwiększenia finansowania</w:t>
            </w:r>
            <w:r w:rsidRPr="00641BDE">
              <w:t>;</w:t>
            </w:r>
          </w:p>
        </w:tc>
        <w:tc>
          <w:tcPr>
            <w:tcW w:w="4876" w:type="dxa"/>
            <w:tcBorders>
              <w:top w:val="nil"/>
              <w:left w:val="nil"/>
              <w:bottom w:val="nil"/>
              <w:right w:val="nil"/>
            </w:tcBorders>
          </w:tcPr>
          <w:p w14:paraId="01360CD6" w14:textId="77777777" w:rsidR="001D5F6D" w:rsidRPr="00641BDE" w:rsidRDefault="001D5F6D" w:rsidP="007C1C97">
            <w:pPr>
              <w:pStyle w:val="Normal6a"/>
            </w:pPr>
            <w:r w:rsidRPr="00641BDE">
              <w:t>–</w:t>
            </w:r>
            <w:r w:rsidRPr="00641BDE">
              <w:tab/>
              <w:t xml:space="preserve">niewystarczające zasoby kadrowe: zauważa, że Trybunał i Służba Audytu Wewnętrznego Komisji potwierdzają to ryzyko, podkreślając nieprawidłowości wynikające z niedoboru personelu; </w:t>
            </w:r>
            <w:r w:rsidRPr="00641BDE">
              <w:rPr>
                <w:b/>
                <w:i/>
              </w:rPr>
              <w:t>wzywa EIT do przedstawienia szczegółowej oceny potrzeb kadrowych, łączącej dodatkowe stanowiska, o które wnioskuje instytut, z konkretnymi celami operacyjnymi</w:t>
            </w:r>
            <w:r w:rsidRPr="00641BDE">
              <w:t xml:space="preserve"> i </w:t>
            </w:r>
            <w:r w:rsidRPr="00641BDE">
              <w:rPr>
                <w:b/>
                <w:i/>
              </w:rPr>
              <w:t>oczekiwanymi wynikami, zanim zostanie zatwierdzone jakiekolwiek zwiększenie środków na personel; zauważa, że organ udzielający absolutorium nie może zatwierdzić zapotrzebowania na zasoby na czas nieokreślony, jeżeli nie wskazano wyraźnie, w jaki sposób dodatkowy personel przyczyni się do poprawy wyników i zmniejszenia wskaźników nieprawidłowości</w:t>
            </w:r>
            <w:r w:rsidRPr="00641BDE">
              <w:t>;</w:t>
            </w:r>
          </w:p>
        </w:tc>
      </w:tr>
    </w:tbl>
    <w:p w14:paraId="6D6F3830"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5ECB79B7" w14:textId="77777777" w:rsidR="001D5F6D" w:rsidRPr="00641BDE" w:rsidRDefault="001D5F6D" w:rsidP="001D5F6D">
      <w:r w:rsidRPr="00641BDE">
        <w:rPr>
          <w:rStyle w:val="HideTWBExt"/>
        </w:rPr>
        <w:t>&lt;/Amend&gt;</w:t>
      </w:r>
    </w:p>
    <w:p w14:paraId="076411CF" w14:textId="77777777" w:rsidR="001D5F6D" w:rsidRPr="00641BDE" w:rsidRDefault="001D5F6D" w:rsidP="001D5F6D">
      <w:pPr>
        <w:pStyle w:val="AmNumberTabs"/>
      </w:pPr>
      <w:r w:rsidRPr="00641BDE">
        <w:rPr>
          <w:rStyle w:val="HideTWBExt"/>
          <w:b w:val="0"/>
        </w:rPr>
        <w:t>&lt;Amend&gt;</w:t>
      </w:r>
      <w:r w:rsidRPr="00641BDE">
        <w:t>Poprawka</w:t>
      </w:r>
      <w:r w:rsidRPr="00641BDE">
        <w:tab/>
      </w:r>
      <w:r w:rsidRPr="00641BDE">
        <w:tab/>
      </w:r>
      <w:r w:rsidRPr="00641BDE">
        <w:rPr>
          <w:rStyle w:val="HideTWBExt"/>
          <w:b w:val="0"/>
        </w:rPr>
        <w:t>&lt;NumAm&gt;</w:t>
      </w:r>
      <w:r w:rsidRPr="00641BDE">
        <w:t>174</w:t>
      </w:r>
      <w:r w:rsidRPr="00641BDE">
        <w:rPr>
          <w:rStyle w:val="HideTWBExt"/>
          <w:b w:val="0"/>
        </w:rPr>
        <w:t>&lt;/NumAm&gt;</w:t>
      </w:r>
    </w:p>
    <w:p w14:paraId="250BF1E4" w14:textId="77777777" w:rsidR="001D5F6D" w:rsidRPr="00641BDE" w:rsidRDefault="001D5F6D" w:rsidP="001D5F6D">
      <w:pPr>
        <w:pStyle w:val="NormalBold"/>
      </w:pPr>
      <w:r w:rsidRPr="00641BDE">
        <w:rPr>
          <w:rStyle w:val="HideTWBExt"/>
          <w:b w:val="0"/>
        </w:rPr>
        <w:t>&lt;RepeatBlock-By&gt;&lt;Members&gt;</w:t>
      </w:r>
      <w:proofErr w:type="spellStart"/>
      <w:r w:rsidRPr="00641BDE">
        <w:t>Tomáš</w:t>
      </w:r>
      <w:proofErr w:type="spellEnd"/>
      <w:r w:rsidRPr="00641BDE">
        <w:t xml:space="preserve"> </w:t>
      </w:r>
      <w:proofErr w:type="spellStart"/>
      <w:r w:rsidRPr="00641BDE">
        <w:t>Zdechovský</w:t>
      </w:r>
      <w:proofErr w:type="spellEnd"/>
      <w:r w:rsidRPr="00641BDE">
        <w:rPr>
          <w:rStyle w:val="HideTWBExt"/>
          <w:b w:val="0"/>
        </w:rPr>
        <w:t>&lt;/Members&gt;</w:t>
      </w:r>
    </w:p>
    <w:p w14:paraId="564B7A70" w14:textId="77777777" w:rsidR="001D5F6D" w:rsidRPr="00641BDE" w:rsidRDefault="001D5F6D" w:rsidP="001D5F6D">
      <w:pPr>
        <w:pStyle w:val="NormalBold"/>
      </w:pPr>
      <w:r w:rsidRPr="00641BDE">
        <w:rPr>
          <w:rStyle w:val="HideTWBExt"/>
          <w:b w:val="0"/>
        </w:rPr>
        <w:t>&lt;/RepeatBlock-By&gt;</w:t>
      </w:r>
    </w:p>
    <w:p w14:paraId="28A506E3" w14:textId="77777777" w:rsidR="001D5F6D" w:rsidRPr="00641BDE" w:rsidRDefault="001D5F6D" w:rsidP="001D5F6D">
      <w:pPr>
        <w:pStyle w:val="NormalBold"/>
      </w:pPr>
      <w:r w:rsidRPr="00641BDE">
        <w:rPr>
          <w:rStyle w:val="HideTWBExt"/>
          <w:b w:val="0"/>
        </w:rPr>
        <w:t>&lt;DocAmend&gt;</w:t>
      </w:r>
      <w:r w:rsidRPr="00641BDE">
        <w:t>Projekt rezolucji</w:t>
      </w:r>
      <w:r w:rsidRPr="00641BDE">
        <w:rPr>
          <w:rStyle w:val="HideTWBExt"/>
          <w:b w:val="0"/>
        </w:rPr>
        <w:t>&lt;/DocAmend&gt;</w:t>
      </w:r>
    </w:p>
    <w:p w14:paraId="5E05F107" w14:textId="77777777" w:rsidR="001D5F6D" w:rsidRPr="00641BDE" w:rsidRDefault="001D5F6D" w:rsidP="001D5F6D">
      <w:pPr>
        <w:pStyle w:val="NormalBold"/>
      </w:pPr>
      <w:r w:rsidRPr="00641BDE">
        <w:rPr>
          <w:rStyle w:val="HideTWBExt"/>
          <w:b w:val="0"/>
        </w:rPr>
        <w:t>&lt;Article&gt;</w:t>
      </w:r>
      <w:r w:rsidRPr="00641BDE">
        <w:t>Ustęp 127 a (nowy)</w:t>
      </w:r>
      <w:r w:rsidRPr="00641BD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D5F6D" w:rsidRPr="00641BDE" w14:paraId="07BD3BEB" w14:textId="77777777" w:rsidTr="007C1C97">
        <w:trPr>
          <w:trHeight w:hRule="exact" w:val="240"/>
          <w:jc w:val="center"/>
        </w:trPr>
        <w:tc>
          <w:tcPr>
            <w:tcW w:w="9752" w:type="dxa"/>
            <w:gridSpan w:val="2"/>
            <w:tcBorders>
              <w:top w:val="nil"/>
              <w:left w:val="nil"/>
              <w:bottom w:val="nil"/>
              <w:right w:val="nil"/>
            </w:tcBorders>
          </w:tcPr>
          <w:p w14:paraId="24FC8D16" w14:textId="77777777" w:rsidR="001D5F6D" w:rsidRPr="00641BDE" w:rsidRDefault="001D5F6D" w:rsidP="007C1C97"/>
        </w:tc>
      </w:tr>
      <w:tr w:rsidR="001D5F6D" w:rsidRPr="00641BDE" w14:paraId="139B7F47" w14:textId="77777777" w:rsidTr="007C1C97">
        <w:trPr>
          <w:trHeight w:val="240"/>
          <w:jc w:val="center"/>
        </w:trPr>
        <w:tc>
          <w:tcPr>
            <w:tcW w:w="4876" w:type="dxa"/>
            <w:tcBorders>
              <w:top w:val="nil"/>
              <w:left w:val="nil"/>
              <w:bottom w:val="nil"/>
              <w:right w:val="nil"/>
            </w:tcBorders>
          </w:tcPr>
          <w:p w14:paraId="01B05F52" w14:textId="77777777" w:rsidR="001D5F6D" w:rsidRPr="00641BDE" w:rsidRDefault="001D5F6D" w:rsidP="007C1C97">
            <w:pPr>
              <w:pStyle w:val="AmColumnHeading"/>
            </w:pPr>
            <w:r w:rsidRPr="00641BDE">
              <w:t>Projekt rezolucji</w:t>
            </w:r>
          </w:p>
        </w:tc>
        <w:tc>
          <w:tcPr>
            <w:tcW w:w="4876" w:type="dxa"/>
            <w:tcBorders>
              <w:top w:val="nil"/>
              <w:left w:val="nil"/>
              <w:bottom w:val="nil"/>
              <w:right w:val="nil"/>
            </w:tcBorders>
          </w:tcPr>
          <w:p w14:paraId="66458210" w14:textId="77777777" w:rsidR="001D5F6D" w:rsidRPr="00641BDE" w:rsidRDefault="001D5F6D" w:rsidP="007C1C97">
            <w:pPr>
              <w:pStyle w:val="AmColumnHeading"/>
            </w:pPr>
            <w:r w:rsidRPr="00641BDE">
              <w:t>Poprawka</w:t>
            </w:r>
          </w:p>
        </w:tc>
      </w:tr>
      <w:tr w:rsidR="001D5F6D" w:rsidRPr="00641BDE" w14:paraId="7DB28F80" w14:textId="77777777" w:rsidTr="007C1C97">
        <w:trPr>
          <w:jc w:val="center"/>
        </w:trPr>
        <w:tc>
          <w:tcPr>
            <w:tcW w:w="4876" w:type="dxa"/>
            <w:tcBorders>
              <w:top w:val="nil"/>
              <w:left w:val="nil"/>
              <w:bottom w:val="nil"/>
              <w:right w:val="nil"/>
            </w:tcBorders>
          </w:tcPr>
          <w:p w14:paraId="4F6E7AA5" w14:textId="77777777" w:rsidR="001D5F6D" w:rsidRPr="00641BDE" w:rsidRDefault="001D5F6D" w:rsidP="007C1C97">
            <w:pPr>
              <w:pStyle w:val="Normal6a"/>
            </w:pPr>
          </w:p>
        </w:tc>
        <w:tc>
          <w:tcPr>
            <w:tcW w:w="4876" w:type="dxa"/>
            <w:tcBorders>
              <w:top w:val="nil"/>
              <w:left w:val="nil"/>
              <w:bottom w:val="nil"/>
              <w:right w:val="nil"/>
            </w:tcBorders>
          </w:tcPr>
          <w:p w14:paraId="5C63DA17" w14:textId="77777777" w:rsidR="001D5F6D" w:rsidRPr="00641BDE" w:rsidRDefault="001D5F6D" w:rsidP="007C1C97">
            <w:pPr>
              <w:pStyle w:val="Normal6a"/>
            </w:pPr>
            <w:r w:rsidRPr="00641BDE">
              <w:rPr>
                <w:b/>
                <w:i/>
              </w:rPr>
              <w:t>127a.</w:t>
            </w:r>
            <w:r w:rsidRPr="00641BDE">
              <w:tab/>
            </w:r>
            <w:r w:rsidRPr="00641BDE">
              <w:rPr>
                <w:b/>
                <w:i/>
              </w:rPr>
              <w:t>odnotowuje strategiczną rolę EUSPA jako kluczowego filaru Unijnego programu kosmicznego we wzmacnianiu bazy przemysłowej, konkurencyjności i innowacji Unii; zwraca się do Komisji o dopilnowanie podczas przygotowywania kolejnych wieloletnich ram finansowych (WRF), aby EUSPA dysponowała odpowiednimi uprawnieniami i zasobami w celu wzmocnienia swoich wyników i zdolności w zakresie realizacji, dzięki czemu będzie wspierać autonomię strategiczną i suwerenność Unii, w tym przez realizację nowych zadań wynikających z aktu UE w sprawie przestrzeni kosmicznej; podkreśla, jak ważne jest priorytetowe traktowanie zamówień europejskich w obszarach o krytycznym znaczeniu dla odporności, bezpieczeństwa i niezależności technologicznej Unii;</w:t>
            </w:r>
          </w:p>
        </w:tc>
      </w:tr>
    </w:tbl>
    <w:p w14:paraId="463817F6" w14:textId="77777777" w:rsidR="001D5F6D" w:rsidRPr="00641BDE" w:rsidRDefault="001D5F6D" w:rsidP="001D5F6D">
      <w:pPr>
        <w:pStyle w:val="AmOrLang"/>
      </w:pPr>
      <w:r w:rsidRPr="00641BDE">
        <w:t xml:space="preserve">Or. </w:t>
      </w:r>
      <w:r w:rsidRPr="00641BDE">
        <w:rPr>
          <w:rStyle w:val="HideTWBExt"/>
        </w:rPr>
        <w:t>&lt;Original&gt;</w:t>
      </w:r>
      <w:r w:rsidRPr="00641BDE">
        <w:rPr>
          <w:rStyle w:val="HideTWBInt"/>
        </w:rPr>
        <w:t>{EN}</w:t>
      </w:r>
      <w:r w:rsidRPr="00641BDE">
        <w:t>en</w:t>
      </w:r>
      <w:r w:rsidRPr="00641BDE">
        <w:rPr>
          <w:rStyle w:val="HideTWBExt"/>
        </w:rPr>
        <w:t>&lt;/Original&gt;</w:t>
      </w:r>
    </w:p>
    <w:p w14:paraId="70FC18F2" w14:textId="3E56F142" w:rsidR="001D5F6D" w:rsidRPr="00641BDE" w:rsidRDefault="001D5F6D" w:rsidP="001D5F6D">
      <w:r w:rsidRPr="00641BDE">
        <w:rPr>
          <w:rStyle w:val="HideTWBExt"/>
        </w:rPr>
        <w:t>&lt;/Amend&gt;&lt;/RepeatBlock-Amend&gt;</w:t>
      </w:r>
    </w:p>
    <w:p w14:paraId="613BADF3" w14:textId="4D88063C" w:rsidR="00F432EA" w:rsidRPr="00641BDE" w:rsidRDefault="00F432EA" w:rsidP="001D5F6D"/>
    <w:sectPr w:rsidR="00F432EA" w:rsidRPr="00641BDE" w:rsidSect="009E604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93C19" w14:textId="77777777" w:rsidR="00824F86" w:rsidRPr="00B90E03" w:rsidRDefault="00824F86">
      <w:r w:rsidRPr="00B90E03">
        <w:separator/>
      </w:r>
    </w:p>
  </w:endnote>
  <w:endnote w:type="continuationSeparator" w:id="0">
    <w:p w14:paraId="1633328A" w14:textId="77777777" w:rsidR="00824F86" w:rsidRPr="00B90E03" w:rsidRDefault="00824F86">
      <w:r w:rsidRPr="00B90E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1E057" w14:textId="77777777" w:rsidR="009E604D" w:rsidRPr="00D42373" w:rsidRDefault="009E604D" w:rsidP="009E604D">
    <w:pPr>
      <w:pStyle w:val="EPFooter"/>
      <w:rPr>
        <w:lang w:val="de-DE"/>
      </w:rPr>
    </w:pPr>
    <w:r w:rsidRPr="00D42373">
      <w:rPr>
        <w:lang w:val="de-DE"/>
      </w:rPr>
      <w:t>PE</w:t>
    </w:r>
    <w:r w:rsidRPr="00D42373">
      <w:rPr>
        <w:rStyle w:val="HideTWBExt"/>
        <w:lang w:val="de-DE"/>
      </w:rPr>
      <w:t>&lt;NoPE&gt;</w:t>
    </w:r>
    <w:r w:rsidRPr="00D42373">
      <w:rPr>
        <w:lang w:val="de-DE"/>
      </w:rPr>
      <w:t>784.141</w:t>
    </w:r>
    <w:r w:rsidRPr="00D42373">
      <w:rPr>
        <w:rStyle w:val="HideTWBExt"/>
        <w:lang w:val="de-DE"/>
      </w:rPr>
      <w:t>&lt;/NoPE&gt;&lt;Version&gt;</w:t>
    </w:r>
    <w:r w:rsidRPr="00D42373">
      <w:rPr>
        <w:lang w:val="de-DE"/>
      </w:rPr>
      <w:t>v01-00</w:t>
    </w:r>
    <w:r w:rsidRPr="00D42373">
      <w:rPr>
        <w:rStyle w:val="HideTWBExt"/>
        <w:lang w:val="de-DE"/>
      </w:rPr>
      <w:t>&lt;/Version&gt;</w:t>
    </w:r>
    <w:r w:rsidRPr="00D42373">
      <w:rPr>
        <w:lang w:val="de-DE"/>
      </w:rPr>
      <w:tab/>
    </w:r>
    <w:r w:rsidRPr="00B90E03">
      <w:fldChar w:fldCharType="begin"/>
    </w:r>
    <w:r w:rsidRPr="00D42373">
      <w:rPr>
        <w:lang w:val="de-DE"/>
      </w:rPr>
      <w:instrText xml:space="preserve"> PAGE  \* MERGEFORMAT </w:instrText>
    </w:r>
    <w:r w:rsidRPr="00B90E03">
      <w:fldChar w:fldCharType="separate"/>
    </w:r>
    <w:r w:rsidRPr="00D42373">
      <w:rPr>
        <w:noProof/>
        <w:lang w:val="de-DE"/>
      </w:rPr>
      <w:t>2</w:t>
    </w:r>
    <w:r w:rsidRPr="00B90E03">
      <w:fldChar w:fldCharType="end"/>
    </w:r>
    <w:r w:rsidRPr="00D42373">
      <w:rPr>
        <w:lang w:val="de-DE"/>
      </w:rPr>
      <w:t>/</w:t>
    </w:r>
    <w:r w:rsidR="00456199">
      <w:fldChar w:fldCharType="begin"/>
    </w:r>
    <w:r w:rsidR="00456199" w:rsidRPr="00D42373">
      <w:rPr>
        <w:lang w:val="de-DE"/>
      </w:rPr>
      <w:instrText xml:space="preserve"> NUMPAGES  \* MERGEFORMAT </w:instrText>
    </w:r>
    <w:r w:rsidR="00456199">
      <w:fldChar w:fldCharType="separate"/>
    </w:r>
    <w:r w:rsidRPr="00D42373">
      <w:rPr>
        <w:noProof/>
        <w:lang w:val="de-DE"/>
      </w:rPr>
      <w:t>120</w:t>
    </w:r>
    <w:r w:rsidR="00456199">
      <w:rPr>
        <w:noProof/>
      </w:rPr>
      <w:fldChar w:fldCharType="end"/>
    </w:r>
    <w:r w:rsidRPr="00D42373">
      <w:rPr>
        <w:lang w:val="de-DE"/>
      </w:rPr>
      <w:tab/>
    </w:r>
    <w:r w:rsidRPr="00D42373">
      <w:rPr>
        <w:rStyle w:val="HideTWBExt"/>
        <w:lang w:val="de-DE"/>
      </w:rPr>
      <w:t>&lt;PathFdR&gt;</w:t>
    </w:r>
    <w:r w:rsidRPr="00D42373">
      <w:rPr>
        <w:lang w:val="de-DE"/>
      </w:rPr>
      <w:t>AM\1336258PL.docx</w:t>
    </w:r>
    <w:r w:rsidRPr="00D42373">
      <w:rPr>
        <w:rStyle w:val="HideTWBExt"/>
        <w:lang w:val="de-DE"/>
      </w:rPr>
      <w:t>&lt;/PathFdR&gt;</w:t>
    </w:r>
  </w:p>
  <w:p w14:paraId="0FF23933" w14:textId="6063F250" w:rsidR="00F432EA" w:rsidRPr="00B90E03" w:rsidRDefault="009E604D" w:rsidP="009E604D">
    <w:pPr>
      <w:pStyle w:val="EPFooter2"/>
    </w:pPr>
    <w:r w:rsidRPr="00B90E03">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987E2" w14:textId="77777777" w:rsidR="009E604D" w:rsidRPr="00D42373" w:rsidRDefault="009E604D" w:rsidP="009E604D">
    <w:pPr>
      <w:pStyle w:val="EPFooter"/>
      <w:rPr>
        <w:lang w:val="de-DE"/>
      </w:rPr>
    </w:pPr>
    <w:r w:rsidRPr="00D42373">
      <w:rPr>
        <w:rStyle w:val="HideTWBExt"/>
        <w:lang w:val="de-DE"/>
      </w:rPr>
      <w:t>&lt;PathFdR&gt;</w:t>
    </w:r>
    <w:r w:rsidRPr="00D42373">
      <w:rPr>
        <w:lang w:val="de-DE"/>
      </w:rPr>
      <w:t>AM\1336258PL.docx</w:t>
    </w:r>
    <w:r w:rsidRPr="00D42373">
      <w:rPr>
        <w:rStyle w:val="HideTWBExt"/>
        <w:lang w:val="de-DE"/>
      </w:rPr>
      <w:t>&lt;/PathFdR&gt;</w:t>
    </w:r>
    <w:r w:rsidRPr="00D42373">
      <w:rPr>
        <w:lang w:val="de-DE"/>
      </w:rPr>
      <w:tab/>
    </w:r>
    <w:r w:rsidRPr="00B90E03">
      <w:fldChar w:fldCharType="begin"/>
    </w:r>
    <w:r w:rsidRPr="00D42373">
      <w:rPr>
        <w:lang w:val="de-DE"/>
      </w:rPr>
      <w:instrText xml:space="preserve"> PAGE  \* MERGEFORMAT </w:instrText>
    </w:r>
    <w:r w:rsidRPr="00B90E03">
      <w:fldChar w:fldCharType="separate"/>
    </w:r>
    <w:r w:rsidRPr="00D42373">
      <w:rPr>
        <w:noProof/>
        <w:lang w:val="de-DE"/>
      </w:rPr>
      <w:t>3</w:t>
    </w:r>
    <w:r w:rsidRPr="00B90E03">
      <w:fldChar w:fldCharType="end"/>
    </w:r>
    <w:r w:rsidRPr="00D42373">
      <w:rPr>
        <w:lang w:val="de-DE"/>
      </w:rPr>
      <w:t>/</w:t>
    </w:r>
    <w:r w:rsidR="00456199">
      <w:fldChar w:fldCharType="begin"/>
    </w:r>
    <w:r w:rsidR="00456199" w:rsidRPr="00D42373">
      <w:rPr>
        <w:lang w:val="de-DE"/>
      </w:rPr>
      <w:instrText xml:space="preserve"> NUMPAGES  \* MERGEFORMAT </w:instrText>
    </w:r>
    <w:r w:rsidR="00456199">
      <w:fldChar w:fldCharType="separate"/>
    </w:r>
    <w:r w:rsidRPr="00D42373">
      <w:rPr>
        <w:noProof/>
        <w:lang w:val="de-DE"/>
      </w:rPr>
      <w:t>120</w:t>
    </w:r>
    <w:r w:rsidR="00456199">
      <w:rPr>
        <w:noProof/>
      </w:rPr>
      <w:fldChar w:fldCharType="end"/>
    </w:r>
    <w:r w:rsidRPr="00D42373">
      <w:rPr>
        <w:lang w:val="de-DE"/>
      </w:rPr>
      <w:tab/>
      <w:t>PE</w:t>
    </w:r>
    <w:r w:rsidRPr="00D42373">
      <w:rPr>
        <w:rStyle w:val="HideTWBExt"/>
        <w:lang w:val="de-DE"/>
      </w:rPr>
      <w:t>&lt;NoPE&gt;</w:t>
    </w:r>
    <w:r w:rsidRPr="00D42373">
      <w:rPr>
        <w:lang w:val="de-DE"/>
      </w:rPr>
      <w:t>784.141</w:t>
    </w:r>
    <w:r w:rsidRPr="00D42373">
      <w:rPr>
        <w:rStyle w:val="HideTWBExt"/>
        <w:lang w:val="de-DE"/>
      </w:rPr>
      <w:t>&lt;/NoPE&gt;&lt;Version&gt;</w:t>
    </w:r>
    <w:r w:rsidRPr="00D42373">
      <w:rPr>
        <w:lang w:val="de-DE"/>
      </w:rPr>
      <w:t>v01-00</w:t>
    </w:r>
    <w:r w:rsidRPr="00D42373">
      <w:rPr>
        <w:rStyle w:val="HideTWBExt"/>
        <w:lang w:val="de-DE"/>
      </w:rPr>
      <w:t>&lt;/Version&gt;</w:t>
    </w:r>
  </w:p>
  <w:p w14:paraId="26FF148C" w14:textId="048FB81E" w:rsidR="00F432EA" w:rsidRPr="00B90E03" w:rsidRDefault="009E604D" w:rsidP="009E604D">
    <w:pPr>
      <w:pStyle w:val="EPFooter2"/>
    </w:pPr>
    <w:r w:rsidRPr="00D42373">
      <w:rPr>
        <w:lang w:val="de-DE"/>
      </w:rPr>
      <w:tab/>
    </w:r>
    <w:r w:rsidRPr="00D42373">
      <w:rPr>
        <w:lang w:val="de-DE"/>
      </w:rPr>
      <w:tab/>
    </w:r>
    <w:r w:rsidRPr="00B90E03">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5FD7E" w14:textId="77777777" w:rsidR="009E604D" w:rsidRPr="00D42373" w:rsidRDefault="009E604D" w:rsidP="009E604D">
    <w:pPr>
      <w:pStyle w:val="EPFooter"/>
      <w:rPr>
        <w:lang w:val="de-DE"/>
      </w:rPr>
    </w:pPr>
    <w:r w:rsidRPr="00D42373">
      <w:rPr>
        <w:rStyle w:val="HideTWBExt"/>
        <w:lang w:val="de-DE"/>
      </w:rPr>
      <w:t>&lt;PathFdR&gt;</w:t>
    </w:r>
    <w:r w:rsidRPr="00D42373">
      <w:rPr>
        <w:lang w:val="de-DE"/>
      </w:rPr>
      <w:t>AM\1336258PL.docx</w:t>
    </w:r>
    <w:r w:rsidRPr="00D42373">
      <w:rPr>
        <w:rStyle w:val="HideTWBExt"/>
        <w:lang w:val="de-DE"/>
      </w:rPr>
      <w:t>&lt;/PathFdR&gt;</w:t>
    </w:r>
    <w:r w:rsidRPr="00D42373">
      <w:rPr>
        <w:lang w:val="de-DE"/>
      </w:rPr>
      <w:tab/>
    </w:r>
    <w:r w:rsidRPr="00D42373">
      <w:rPr>
        <w:lang w:val="de-DE"/>
      </w:rPr>
      <w:tab/>
      <w:t>PE</w:t>
    </w:r>
    <w:r w:rsidRPr="00D42373">
      <w:rPr>
        <w:rStyle w:val="HideTWBExt"/>
        <w:lang w:val="de-DE"/>
      </w:rPr>
      <w:t>&lt;NoPE&gt;</w:t>
    </w:r>
    <w:r w:rsidRPr="00D42373">
      <w:rPr>
        <w:lang w:val="de-DE"/>
      </w:rPr>
      <w:t>784.141</w:t>
    </w:r>
    <w:r w:rsidRPr="00D42373">
      <w:rPr>
        <w:rStyle w:val="HideTWBExt"/>
        <w:lang w:val="de-DE"/>
      </w:rPr>
      <w:t>&lt;/NoPE&gt;&lt;Version&gt;</w:t>
    </w:r>
    <w:r w:rsidRPr="00D42373">
      <w:rPr>
        <w:lang w:val="de-DE"/>
      </w:rPr>
      <w:t>v01-00</w:t>
    </w:r>
    <w:r w:rsidRPr="00D42373">
      <w:rPr>
        <w:rStyle w:val="HideTWBExt"/>
        <w:lang w:val="de-DE"/>
      </w:rPr>
      <w:t>&lt;/Version&gt;</w:t>
    </w:r>
  </w:p>
  <w:p w14:paraId="0E888BBB" w14:textId="68A655BE" w:rsidR="00F432EA" w:rsidRPr="00B90E03" w:rsidRDefault="009E604D" w:rsidP="009E604D">
    <w:pPr>
      <w:pStyle w:val="EPFooter2"/>
    </w:pPr>
    <w:r w:rsidRPr="00B90E03">
      <w:t>PL</w:t>
    </w:r>
    <w:r w:rsidRPr="00B90E03">
      <w:tab/>
    </w:r>
    <w:r w:rsidRPr="00B90E03">
      <w:rPr>
        <w:b w:val="0"/>
        <w:i/>
        <w:color w:val="C0C0C0"/>
        <w:sz w:val="22"/>
      </w:rPr>
      <w:t>Zjednoczona w różnorodności</w:t>
    </w:r>
    <w:r w:rsidRPr="00B90E03">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3274F" w14:textId="77777777" w:rsidR="00824F86" w:rsidRPr="00B90E03" w:rsidRDefault="00824F86">
      <w:r w:rsidRPr="00B90E03">
        <w:separator/>
      </w:r>
    </w:p>
  </w:footnote>
  <w:footnote w:type="continuationSeparator" w:id="0">
    <w:p w14:paraId="4B305D7E" w14:textId="77777777" w:rsidR="00824F86" w:rsidRPr="00B90E03" w:rsidRDefault="00824F86">
      <w:r w:rsidRPr="00B90E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61454" w14:textId="77777777" w:rsidR="001D5F6D" w:rsidRDefault="001D5F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F096A" w14:textId="77777777" w:rsidR="001D5F6D" w:rsidRDefault="001D5F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26F38" w14:textId="77777777" w:rsidR="001D5F6D" w:rsidRDefault="001D5F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PL"/>
    <w:docVar w:name="TXTLANGUEMIN" w:val="pl"/>
    <w:docVar w:name="TXTNRPE" w:val="784.141"/>
    <w:docVar w:name="TXTPEorAP" w:val="PE"/>
    <w:docVar w:name="TXTROUTE" w:val="AM\1336258PL.docx"/>
    <w:docVar w:name="TXTVERSION" w:val="01-00"/>
  </w:docVars>
  <w:rsids>
    <w:rsidRoot w:val="00A77B3E"/>
    <w:rsid w:val="001D5F6D"/>
    <w:rsid w:val="00264D54"/>
    <w:rsid w:val="00456199"/>
    <w:rsid w:val="00641BDE"/>
    <w:rsid w:val="00824719"/>
    <w:rsid w:val="00824F86"/>
    <w:rsid w:val="009C42A8"/>
    <w:rsid w:val="009C488B"/>
    <w:rsid w:val="009E604D"/>
    <w:rsid w:val="00A77B3E"/>
    <w:rsid w:val="00B90E03"/>
    <w:rsid w:val="00CA2A55"/>
    <w:rsid w:val="00D42373"/>
    <w:rsid w:val="00F12955"/>
    <w:rsid w:val="00F432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0DE813"/>
  <w15:docId w15:val="{EBA563CC-FC4A-4CAC-87FD-3440C8299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E604D"/>
    <w:pPr>
      <w:tabs>
        <w:tab w:val="center" w:pos="4536"/>
        <w:tab w:val="right" w:pos="9072"/>
      </w:tabs>
    </w:pPr>
  </w:style>
  <w:style w:type="character" w:customStyle="1" w:styleId="HeaderChar">
    <w:name w:val="Header Char"/>
    <w:basedOn w:val="DefaultParagraphFont"/>
    <w:link w:val="Header"/>
    <w:rsid w:val="009E604D"/>
    <w:rPr>
      <w:sz w:val="24"/>
      <w:szCs w:val="24"/>
    </w:rPr>
  </w:style>
  <w:style w:type="paragraph" w:customStyle="1" w:styleId="Normalny1">
    <w:name w:val="Normalny1"/>
    <w:basedOn w:val="EPName"/>
    <w:link w:val="NormalZnak"/>
    <w:rsid w:val="009E604D"/>
    <w:rPr>
      <w:rFonts w:ascii="Times New Roman" w:hAnsi="Times New Roman" w:cs="Times New Roman"/>
      <w:sz w:val="24"/>
    </w:rPr>
  </w:style>
  <w:style w:type="character" w:customStyle="1" w:styleId="EPNameZnak">
    <w:name w:val="EPName Znak"/>
    <w:basedOn w:val="DefaultParagraphFont"/>
    <w:link w:val="EPName"/>
    <w:rsid w:val="009E604D"/>
    <w:rPr>
      <w:rFonts w:ascii="Arial Narrow" w:eastAsia="Arial" w:hAnsi="Arial Narrow" w:cs="Arial"/>
      <w:b/>
      <w:sz w:val="32"/>
      <w:szCs w:val="24"/>
    </w:rPr>
  </w:style>
  <w:style w:type="character" w:customStyle="1" w:styleId="NormalZnak">
    <w:name w:val="Normal Znak"/>
    <w:basedOn w:val="EPNameZnak"/>
    <w:link w:val="Normalny1"/>
    <w:rsid w:val="009E604D"/>
    <w:rPr>
      <w:rFonts w:ascii="Arial Narrow" w:eastAsia="Arial" w:hAnsi="Arial Narrow" w:cs="Arial"/>
      <w:b/>
      <w:sz w:val="24"/>
      <w:szCs w:val="24"/>
    </w:rPr>
  </w:style>
  <w:style w:type="paragraph" w:styleId="Footer">
    <w:name w:val="footer"/>
    <w:basedOn w:val="Normal"/>
    <w:link w:val="FooterChar"/>
    <w:rsid w:val="00D42373"/>
    <w:pPr>
      <w:tabs>
        <w:tab w:val="center" w:pos="4513"/>
        <w:tab w:val="right" w:pos="9026"/>
      </w:tabs>
    </w:pPr>
  </w:style>
  <w:style w:type="character" w:customStyle="1" w:styleId="FooterChar">
    <w:name w:val="Footer Char"/>
    <w:basedOn w:val="DefaultParagraphFont"/>
    <w:link w:val="Footer"/>
    <w:rsid w:val="00D42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131</Pages>
  <Words>29409</Words>
  <Characters>199288</Characters>
  <Application>Microsoft Office Word</Application>
  <DocSecurity>0</DocSecurity>
  <Lines>7774</Lines>
  <Paragraphs>1592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2026-03-04T14:27:00Z</dcterms:created>
  <dcterms:modified xsi:type="dcterms:W3CDTF">2026-03-04T14:27:00Z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386608</vt:lpwstr>
  </property>
  <property fmtid="{D5CDD505-2E9C-101B-9397-08002B2CF9AE}" pid="7" name="dmxml.render.traceId">
    <vt:lpwstr>699728431fee89c1709b8982d0cbf79d</vt:lpwstr>
  </property>
  <property fmtid="{D5CDD505-2E9C-101B-9397-08002B2CF9AE}" pid="8" name="FooterPath">
    <vt:lpwstr>AM\1336258PL.docx</vt:lpwstr>
  </property>
  <property fmtid="{D5CDD505-2E9C-101B-9397-08002B2CF9AE}" pid="9" name="PE Number">
    <vt:lpwstr>784.141</vt:lpwstr>
  </property>
  <property fmtid="{D5CDD505-2E9C-101B-9397-08002B2CF9AE}" pid="10" name="UID">
    <vt:lpwstr>eu.europa.europarl-DIN1-2026-0000040745_01.01-xm-01.00_text-xml</vt:lpwstr>
  </property>
  <property fmtid="{D5CDD505-2E9C-101B-9397-08002B2CF9AE}" pid="11" name="LastEdited with">
    <vt:lpwstr>10.2.1 Build [20260110]</vt:lpwstr>
  </property>
  <property fmtid="{D5CDD505-2E9C-101B-9397-08002B2CF9AE}" pid="12" name="Bookout">
    <vt:lpwstr>OK - 2026/03/04 15:27</vt:lpwstr>
  </property>
</Properties>
</file>