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Budgetkontrollutskottet</w:t>
      </w:r>
      <w:r>
        <w:rPr>
          <w:rStyle w:val="HideTWBExt"/>
        </w:rPr>
        <w:t>&lt;/Commission&gt;</w:t>
      </w:r>
    </w:p>
    <w:p>
      <w:pPr>
        <w:pStyle w:val="LineBottom"/>
      </w:pPr>
      <w:r>
        <w:t xml:space="preserve"> </w:t>
      </w:r>
    </w:p>
    <w:p>
      <w:pPr>
        <w:pStyle w:val="CoverReference"/>
      </w:pPr>
      <w:r>
        <w:rPr>
          <w:rStyle w:val="HideTWBExt"/>
        </w:rPr>
        <w:t>&lt;RefProc&gt;</w:t>
      </w:r>
      <w:r>
        <w:t>2025/2156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174</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Monika Hohlmeier</w:t>
      </w:r>
      <w:r>
        <w:rPr>
          <w:rStyle w:val="HideTWBExt"/>
        </w:rPr>
        <w:t>&lt;/Rapporteur&gt;</w:t>
      </w:r>
    </w:p>
    <w:p>
      <w:pPr>
        <w:pStyle w:val="CoverNormal24a"/>
      </w:pPr>
      <w:r>
        <w:rPr>
          <w:rStyle w:val="HideTWBExt"/>
        </w:rPr>
        <w:t>&lt;DocRefPE&gt;</w:t>
      </w:r>
      <w:r>
        <w:t>(PE776.806v01-00)</w:t>
      </w:r>
      <w:r>
        <w:rPr>
          <w:rStyle w:val="HideTWBExt"/>
        </w:rPr>
        <w:t>&lt;/DocRefPE&gt;</w:t>
      </w:r>
    </w:p>
    <w:p>
      <w:pPr>
        <w:pStyle w:val="CoverNormal"/>
      </w:pPr>
      <w:r>
        <w:rPr>
          <w:rStyle w:val="HideTWBExt"/>
        </w:rPr>
        <w:t>&lt;Titre&gt;</w:t>
      </w:r>
      <w:r>
        <w:t>Ansvarsfrihet 2024: EU:s allmänna budget – byråer</w:t>
      </w:r>
      <w:r>
        <w:rPr>
          <w:rStyle w:val="HideTWBExt"/>
        </w:rPr>
        <w:t>&lt;/Titre&gt;</w:t>
      </w:r>
    </w:p>
    <w:p>
      <w:pPr>
        <w:pStyle w:val="CoverNormal24a"/>
      </w:pPr>
      <w:r>
        <w:rPr>
          <w:rStyle w:val="HideTWBExt"/>
        </w:rPr>
        <w:t>&lt;DocRef&gt;</w:t>
      </w:r>
      <w:r>
        <w:t>(2025/2156(DEC))</w:t>
      </w:r>
      <w:r>
        <w:rPr>
          <w:rStyle w:val="HideTWBExt"/>
        </w:rPr>
        <w:t>&lt;/DocRef&gt;</w:t>
      </w:r>
    </w:p>
    <w:p>
      <w:r>
        <w:br w:type="page"/>
      </w:r>
      <w:r>
        <w:t>AM_Com_NonLegReportAM_Com_LegReport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Unionens decentraliserade byråer, genomförandeorgan och andra organ är separata juridiska enheter som inrättats för att utföra specifika tekniska, vetenskapliga eller administrativa uppgifter och därigenom bistå unionens institutioner vid utformningen och genomförandet av politiken. De ligger i olika medlemsstater och har betydande inverkan på områden som är av grundläggande betydelse för unionsmedborgarnas dagliga liv, såsom hälsa, säkerhet, trygghet, frihet och rättvisa.</w:t>
            </w:r>
          </w:p>
        </w:tc>
        <w:tc>
          <w:tcPr>
            <w:tcW w:w="4876" w:type="dxa"/>
            <w:tcBorders>
              <w:top w:val="nil"/>
              <w:left w:val="nil"/>
              <w:bottom w:val="nil"/>
              <w:right w:val="nil"/>
            </w:tcBorders>
          </w:tcPr>
          <w:p>
            <w:pPr>
              <w:pStyle w:val="Normal6a"/>
            </w:pPr>
            <w:r>
              <w:t>A.</w:t>
            </w:r>
            <w:r>
              <w:tab/>
            </w:r>
            <w:r>
              <w:t xml:space="preserve">Unionens decentraliserade byråer, genomförandeorgan och andra organ är separata juridiska enheter som inrättats för att utföra specifika tekniska, vetenskapliga eller administrativa uppgifter och därigenom bistå unionens institutioner vid utformningen och genomförandet av politiken. De ligger i olika medlemsstater och har betydande inverkan på områden som är av grundläggande betydelse för unionsmedborgarnas dagliga liv, såsom hälsa, säkerhet, trygghet, frihet och rättvisa. </w:t>
            </w:r>
            <w:r>
              <w:rPr>
                <w:b/>
                <w:i/>
              </w:rPr>
              <w:t>Parlamentet påminner om att ansvarsfrihetsförfarandet inte bara handlar om teknisk redovisning, utan är ett centralt instrument för demokratisk ansvarsskyldighet genom vilket parlamentet bedömer om unionens organ agerar i linje med unionens värden, grundläggande rättigheter och principerna om sund ekonomisk förvaltning.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Vissa byråer mäter inte i tillräcklig utsträckning hur deras yttranden påverkar den europeiska ekonomin eller sysselsättningen, eftersom deras inverkan ibland är negativ.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Denna resolution </w:t>
            </w:r>
            <w:r>
              <w:rPr>
                <w:b/>
                <w:i/>
              </w:rPr>
              <w:t>innehåller</w:t>
            </w:r>
            <w:r>
              <w:t>, för varje organ som avses i artikel 70 i förordning (EU, Euratom) 2024/2509</w:t>
            </w:r>
            <w:r>
              <w:rPr>
                <w:b/>
                <w:i/>
              </w:rPr>
              <w:t>,</w:t>
            </w:r>
            <w:r>
              <w:t xml:space="preserve"> och för Euratoms försörjningsbyrå, de övergripande iakttagelserna i besluten om ansvarsfrihet i enlighet med artikel 268 i förordning (EU, Euratom) 2024/2509 och artikel 3 i bilaga V till parlamentets arbetsordning.</w:t>
            </w:r>
          </w:p>
        </w:tc>
        <w:tc>
          <w:tcPr>
            <w:tcW w:w="4876" w:type="dxa"/>
            <w:tcBorders>
              <w:top w:val="nil"/>
              <w:left w:val="nil"/>
              <w:bottom w:val="nil"/>
              <w:right w:val="nil"/>
            </w:tcBorders>
          </w:tcPr>
          <w:p>
            <w:pPr>
              <w:pStyle w:val="Normal6a"/>
            </w:pPr>
            <w:r>
              <w:t>B.</w:t>
            </w:r>
            <w:r>
              <w:tab/>
            </w:r>
            <w:r>
              <w:rPr>
                <w:b/>
                <w:i/>
              </w:rPr>
              <w:t>Europaparlamentet beklagar att</w:t>
            </w:r>
            <w:r>
              <w:t xml:space="preserve"> denna resolution, för varje organ som avses i artikel 70 i förordning (EU, Euratom) 2024/2509 och för Euratoms försörjningsbyrå, </w:t>
            </w:r>
            <w:r>
              <w:rPr>
                <w:b/>
                <w:i/>
              </w:rPr>
              <w:t>innehåller</w:t>
            </w:r>
            <w:r>
              <w:t xml:space="preserve"> de övergripande iakttagelserna i besluten om ansvarsfrihet i enlighet med artikel 268 i förordning (EU, Euratom) 2024/2509 och artikel 3 i bilaga V till parlamentets arbetsordning</w:t>
            </w:r>
            <w:r>
              <w:rPr>
                <w:b/>
                <w:i/>
              </w:rPr>
              <w:t>, vilket gör det omöjligt att granska varje organs ansvarsfrihet individuellt och att identifiera och ta upp de frågor som är specifika för dem eller att yttra sig om vart och ett av dem, vilket snedvrider den slutliga omröstningen om denna resolution</w:t>
            </w:r>
            <w:r>
              <w:t xml:space="preserve">. </w:t>
            </w:r>
            <w:r>
              <w:rPr>
                <w:b/>
                <w:i/>
              </w:rPr>
              <w:t>Parlamentet efterlyser en återgång till individuell granskning av ansvarsfriheten både i budgetkontrollutskottet och i de rådgivande utskotten.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Unionens decentraliserade byråer och Euratoms försörjningsbyrå bör fokusera på uppdrag med ett tydligt europeiskt mervärde och för EU-skattebetalarnas bästa bör organiseringen av sådana uppdrag optimeras för att undvika överlappningar.</w:t>
            </w:r>
          </w:p>
        </w:tc>
        <w:tc>
          <w:tcPr>
            <w:tcW w:w="4876" w:type="dxa"/>
            <w:tcBorders>
              <w:top w:val="nil"/>
              <w:left w:val="nil"/>
              <w:bottom w:val="nil"/>
              <w:right w:val="nil"/>
            </w:tcBorders>
          </w:tcPr>
          <w:p>
            <w:pPr>
              <w:pStyle w:val="Normal6a"/>
            </w:pPr>
            <w:r>
              <w:t>C.</w:t>
            </w:r>
            <w:r>
              <w:tab/>
            </w:r>
            <w:r>
              <w:t>Unionens decentraliserade byråer och Euratoms försörjningsbyrå bör fokusera på uppdrag med ett tydligt europeiskt mervärde och för EU-skattebetalarnas bästa bör organiseringen av sådana uppdrag optimeras för att undvika överlappningar</w:t>
            </w:r>
            <w:r>
              <w:rPr>
                <w:b/>
                <w:i/>
              </w:rPr>
              <w:t>, särskilt på hälsoområdet (när det gäller mandatet för Europeiska centrumet för förebyggande och kontroll av sjukdomar, vars befogenheter överlappar med kommissionens myndighet för beredskap och insatser vid hälsokriser) eller när det gäller utbildning och arbetsvillkor (Cedefop, ETF, EU-Osha, Eurofound)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För budgetåret 2024 avgav revisionsrätten uttalanden utan reservation för nästan alla byråer.</w:t>
            </w:r>
            <w:r>
              <w:t xml:space="preserve"> </w:t>
            </w:r>
            <w:r>
              <w:rPr>
                <w:b/>
                <w:i/>
              </w:rPr>
              <w:t>Höga standarder för sund ekonomisk förvaltning, effektiva interna kontrollsystem och budgetdisciplin är fortfarande avgörande för att säkerställa en korrekt och transparent användning av unionens medel och för att stärka medborgarnas förtroende för unionens institutioner.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EU-byråernas ansvarsområden har ökat under de senaste åren.</w:t>
            </w:r>
            <w:r>
              <w:t xml:space="preserve"> </w:t>
            </w:r>
            <w:r>
              <w:rPr>
                <w:b/>
                <w:i/>
              </w:rPr>
              <w:t>Tillräckliga och förutsägbara resurser, i kombination med robusta styrningsstrukturer och tydliga mekanismer för ansvarsskyldighet, är nödvändiga för att de ska kunna fullgöra sina mandat på ett effektivt sätt och för att skydda unionens trovärdighet.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Den cybersäkerhetsincident som drabbade en av byråerna 2024 visar på sårbarheten hos unionsorgan som hanterar känsliga uppgifter.</w:t>
            </w:r>
            <w:r>
              <w:t xml:space="preserve"> </w:t>
            </w:r>
            <w:r>
              <w:rPr>
                <w:b/>
                <w:i/>
              </w:rPr>
              <w:t>Att stärka cybersäkerheten, driftskontinuitetsplaneringen och de interna kontrollsystemen bör vara en övergripande prioritering för alla byråer.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uttrycker djup oro över EU:s ökande skuldbörda och lånekostnader.</w:t>
            </w:r>
            <w:r>
              <w:t xml:space="preserve"> </w:t>
            </w:r>
            <w:r>
              <w:rPr>
                <w:b/>
                <w:i/>
              </w:rPr>
              <w:t>Parlamentet noterar att EU:s utestående lån enligt Europeiska revisionsrättens årsrapport skulle kunna överstiga 900 miljarder euro 2027, vilket är nästan tio gånger högre än 2020 innan återhämtningspaketet NextGenerationEU infördes.</w:t>
            </w:r>
            <w:r>
              <w:t xml:space="preserve"> </w:t>
            </w:r>
            <w:r>
              <w:rPr>
                <w:b/>
                <w:i/>
              </w:rPr>
              <w:t>Parlamentet varnar för att stigande lånekostnader utgör en risk för framtida budgetar och minskar det finanspolitiska utrymmet för nya prioriteringar.</w:t>
            </w:r>
            <w:r>
              <w:t xml:space="preserve"> </w:t>
            </w:r>
            <w:r>
              <w:rPr>
                <w:b/>
                <w:i/>
              </w:rPr>
              <w:t>Parlamentet insisterar därför på att detta aldrig tidigare skådade finanspolitiska tryck kräver en strikt strävan efter besparingar inom samtliga EU-byråer.</w:t>
            </w:r>
            <w:r>
              <w:t xml:space="preserve"> </w:t>
            </w:r>
            <w:r>
              <w:rPr>
                <w:b/>
                <w:i/>
              </w:rPr>
              <w:t>Parlamentet uppmanar kommissionen och EU-byråernas nätverk att lägga fram en plan för strukturella kostnadsminskningar för att visa institutionellt ansvar i tider av hög offentlig skuldsättning.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påpekar att inrättandet eller utvidgningen av EU:s byråer visserligen syftar till att stärka unionens kapacitet, men att det är </w:t>
            </w:r>
            <w:r>
              <w:rPr>
                <w:b/>
                <w:i/>
              </w:rPr>
              <w:t>mycket</w:t>
            </w:r>
            <w:r>
              <w:t xml:space="preserve"> viktigt att se till att denna process vägleds av grundliga utvärderingar</w:t>
            </w:r>
            <w:r>
              <w:rPr>
                <w:b/>
                <w:i/>
              </w:rPr>
              <w:t>,</w:t>
            </w:r>
            <w:r>
              <w:t xml:space="preserve"> konsekvensbedömningar </w:t>
            </w:r>
            <w:r>
              <w:rPr>
                <w:b/>
                <w:i/>
              </w:rPr>
              <w:t>och ett tydligt påvisande av mervärde, så att lärdomar kan dras och man vid behov kan överväga att avsluta deras mandat.</w:t>
            </w:r>
            <w:r>
              <w:t xml:space="preserve"> </w:t>
            </w:r>
            <w:r>
              <w:rPr>
                <w:b/>
                <w:i/>
              </w:rPr>
              <w:t>Parlamentet framhåller att detta tillvägagångssätt inte bara skulle säkerställa bättre lagstiftning utan också</w:t>
            </w:r>
            <w:r>
              <w:t xml:space="preserve"> öka effektiviteten, ansvarsskyldigheten, transparensen och samstämmigheten i unionens institutionella landskap.</w:t>
            </w:r>
          </w:p>
        </w:tc>
        <w:tc>
          <w:tcPr>
            <w:tcW w:w="4876" w:type="dxa"/>
            <w:tcBorders>
              <w:top w:val="nil"/>
              <w:left w:val="nil"/>
              <w:bottom w:val="nil"/>
              <w:right w:val="nil"/>
            </w:tcBorders>
          </w:tcPr>
          <w:p>
            <w:pPr>
              <w:pStyle w:val="Normal6a"/>
            </w:pPr>
            <w:r>
              <w:t>2.</w:t>
            </w:r>
            <w:r>
              <w:tab/>
            </w:r>
            <w:r>
              <w:t xml:space="preserve">Europaparlamentet påpekar att inrättandet eller utvidgningen av EU:s byråer visserligen syftar till att stärka unionens kapacitet, men att det är viktigt att se till att denna process vägleds av grundliga utvärderingar </w:t>
            </w:r>
            <w:r>
              <w:rPr>
                <w:b/>
                <w:i/>
              </w:rPr>
              <w:t>och</w:t>
            </w:r>
            <w:r>
              <w:t xml:space="preserve"> konsekvensbedömningar </w:t>
            </w:r>
            <w:r>
              <w:rPr>
                <w:b/>
                <w:i/>
              </w:rPr>
              <w:t>för att</w:t>
            </w:r>
            <w:r>
              <w:t xml:space="preserve"> öka effektiviteten, ansvarsskyldigheten, transparensen och samstämmigheten i unionens institutionella landskap.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w:t>
            </w:r>
            <w:r>
              <w:rPr>
                <w:b/>
                <w:i/>
              </w:rPr>
              <w:t>man vid behov kan överväga att avsluta</w:t>
            </w:r>
            <w:r>
              <w:t xml:space="preserve"> deras mandat. Parlamentet framhåller att detta tillvägagångssätt inte bara skulle säkerställa bättre lagstiftning utan också öka effektiviteten, ansvarsskyldigheten, transparensen och samstämmigheten i unionens institutionella landskap.</w:t>
            </w:r>
          </w:p>
        </w:tc>
        <w:tc>
          <w:tcPr>
            <w:tcW w:w="4876" w:type="dxa"/>
            <w:tcBorders>
              <w:top w:val="nil"/>
              <w:left w:val="nil"/>
              <w:bottom w:val="nil"/>
              <w:right w:val="nil"/>
            </w:tcBorders>
          </w:tcPr>
          <w:p>
            <w:pPr>
              <w:pStyle w:val="Normal6a"/>
            </w:pPr>
            <w:r>
              <w:t>2.</w:t>
            </w:r>
            <w:r>
              <w:tab/>
            </w:r>
            <w:r>
              <w:t xml:space="preserve">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deras mandat </w:t>
            </w:r>
            <w:r>
              <w:rPr>
                <w:b/>
                <w:i/>
              </w:rPr>
              <w:t>vid behov avslutas, särskilt i fall av dubbelarbete eller överlappande befogenheter</w:t>
            </w:r>
            <w:r>
              <w:t>. Parlamentet framhåller att detta tillvägagångssätt inte bara skulle säkerställa bättre lagstiftning utan också öka effektiviteten, ansvarsskyldigheten, transparensen och samstämmigheten i unionens institutionella landskap.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w:t>
            </w:r>
          </w:p>
        </w:tc>
        <w:tc>
          <w:tcPr>
            <w:tcW w:w="4876" w:type="dxa"/>
            <w:tcBorders>
              <w:top w:val="nil"/>
              <w:left w:val="nil"/>
              <w:bottom w:val="nil"/>
              <w:right w:val="nil"/>
            </w:tcBorders>
          </w:tcPr>
          <w:p>
            <w:pPr>
              <w:pStyle w:val="Normal6a"/>
            </w:pPr>
            <w:r>
              <w:t>2.</w:t>
            </w:r>
            <w:r>
              <w:tab/>
            </w:r>
            <w:r>
              <w:t xml:space="preserve">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 </w:t>
            </w:r>
            <w:r>
              <w:rPr>
                <w:b/>
                <w:i/>
              </w:rPr>
              <w:t>Parlamentet understryker att alla överväganden om sammanslagningar, konsolidering eller avslutande av byråernas mandat måste baseras på en omfattande politisk bedömning som inbegriper demokratisk ansvarsskyldighet, oberoende, inverkan på de grundläggande rättigheterna och mervärde, och inte enbart på budget- eller effektivitetshänsyn.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påpekar att inrättandet eller utvidgningen av EU:s byråer visserligen syftar till att stärka unionens kapacitet, men att det är mycket viktigt att se till att denna process vägleds av grundliga utvärderingar,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w:t>
            </w:r>
          </w:p>
        </w:tc>
        <w:tc>
          <w:tcPr>
            <w:tcW w:w="4876" w:type="dxa"/>
            <w:tcBorders>
              <w:top w:val="nil"/>
              <w:left w:val="nil"/>
              <w:bottom w:val="nil"/>
              <w:right w:val="nil"/>
            </w:tcBorders>
          </w:tcPr>
          <w:p>
            <w:pPr>
              <w:pStyle w:val="Normal6a"/>
            </w:pPr>
            <w:r>
              <w:t>2.</w:t>
            </w:r>
            <w:r>
              <w:tab/>
            </w:r>
            <w:r>
              <w:t>Europaparlamentet påpekar att inrättandet eller utvidgningen av EU:s byråer visserligen syftar till att stärka unionens kapacitet, men att det är mycket viktigt att se till att denna process vägleds av grundliga utvärderingar</w:t>
            </w:r>
            <w:r>
              <w:rPr>
                <w:b/>
                <w:i/>
              </w:rPr>
              <w:t>, rigorösa kostnads-nyttoanalyser</w:t>
            </w:r>
            <w:r>
              <w:t xml:space="preserve">, konsekvensbedömningar och ett tydligt påvisande av mervärde, så att lärdomar kan dras och man vid behov kan överväga att avsluta deras mandat. Parlamentet framhåller att detta tillvägagångssätt inte bara skulle säkerställa bättre lagstiftning utan också öka effektiviteten, ansvarsskyldigheten, transparensen och samstämmigheten i unionens institutionella landskap. </w:t>
            </w:r>
            <w:r>
              <w:rPr>
                <w:b/>
                <w:i/>
              </w:rPr>
              <w:t>Parlamentet betonar att EU-finansierad verksamhet ska bedömas strikt utifrån förväntad avkastning och mätbara effekter, i linje med principerna om sparsamhet, effektivitet och ändamålsenlighet.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betonar att transparens inte bara är en efterlevnadsskyldighet utan en förutsättning för allmänhetens förtroende för byråer som utövar betydande tillsynsbefogenheter eller operativa befogenheter.</w:t>
            </w:r>
            <w:r>
              <w:t xml:space="preserve"> </w:t>
            </w:r>
            <w:r>
              <w:rPr>
                <w:b/>
                <w:i/>
              </w:rPr>
              <w:t>Parlamentet uppmanar byråerna att proaktivt offentliggöra viktiga dokument, inbegripet styrelsebeslut, icke-konfidentiella kontrakt och utvärderingsresultat, i god tid och på ett användarvänligt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påminner om att det i punkt 60 i den gemensamma ansatsen anges att varje byrå bör utvärderas vart femte år. Parlamentet uppmanar med kraft kommissionen att undersöka ytterligare synergier och konsolidering i verksamheten, och en eventuell sammanslagning av byråer med kompletterande verksamhet, såsom byråerna på utbildningsområdet, i syfte att säkerställa kostnadseffektivitet och effektivisera byråernas funktioner, inbegripet eventuella översyner av mandat där ineffektivitet eller överlappningar förekommer. Parlamentet uppmuntrar vid behov till tillämpning av tidsfrist-/översynsklausulen för att upprätthålla effektiviteten och säkerställa en optimal resursanvändning. Parlamentet anser att budgeteffektivitet är avgörande för att byråerna ska fungera. Parlamentet upprepar i detta avseende revisionsrättens rekommendation i den särskilda rapporten 22/2020</w:t>
            </w:r>
            <w:r>
              <w:rPr>
                <w:vertAlign w:val="superscript"/>
              </w:rPr>
              <w:t>2</w:t>
            </w:r>
            <w:r>
              <w:t>, enligt vilken kommissionen rekommenderas att öka användningen av övergripande utvärderingar av byråer inom ramen för kommissionens kontroller av ändamålsenligheten av de olika politikområdena.</w:t>
            </w:r>
          </w:p>
        </w:tc>
        <w:tc>
          <w:tcPr>
            <w:tcW w:w="4876" w:type="dxa"/>
            <w:tcBorders>
              <w:top w:val="nil"/>
              <w:left w:val="nil"/>
              <w:bottom w:val="nil"/>
              <w:right w:val="nil"/>
            </w:tcBorders>
          </w:tcPr>
          <w:p>
            <w:pPr>
              <w:pStyle w:val="Normal6a"/>
            </w:pPr>
            <w:r>
              <w:t>3.</w:t>
            </w:r>
            <w:r>
              <w:tab/>
            </w:r>
            <w:r>
              <w:t>Europaparlamentet påminner om att det i punkt 60 i den gemensamma ansatsen anges att varje byrå bör utvärderas vart femte år. Parlamentet uppmanar med kraft kommissionen att undersöka ytterligare synergier och konsolidering i verksamheten, och en eventuell sammanslagning av byråer med kompletterande verksamhet, såsom byråerna på utbildningsområdet, i syfte att säkerställa kostnadseffektivitet och effektivisera byråernas funktioner, inbegripet eventuella översyner av mandat där ineffektivitet eller överlappningar förekommer</w:t>
            </w:r>
            <w:r>
              <w:rPr>
                <w:b/>
                <w:i/>
              </w:rPr>
              <w:t>.</w:t>
            </w:r>
            <w:r>
              <w:t xml:space="preserve"> </w:t>
            </w:r>
            <w:r>
              <w:rPr>
                <w:b/>
                <w:i/>
              </w:rPr>
              <w:t>Parlamentet insisterar på att alla unionsbyråer, i enlighet med principerna om proportionalitet, effektivitet och finanspolitiskt ansvar, ska omfattas av tidsbegränsade mandat och regelbundna prestationsöversyner.</w:t>
            </w:r>
            <w:r>
              <w:t xml:space="preserve"> </w:t>
            </w:r>
            <w:r>
              <w:rPr>
                <w:b/>
                <w:i/>
              </w:rPr>
              <w:t>Parlamentet betonar att byråer vars grundläggande mål har uppnåtts, eller som inte längre fyller en unik och väsentlig funktion inom unionens ram, utan onödigt dröjsmål bör bli föremål för avveckling.</w:t>
            </w:r>
            <w:r>
              <w:t xml:space="preserve"> </w:t>
            </w:r>
            <w:r>
              <w:rPr>
                <w:b/>
                <w:i/>
              </w:rPr>
              <w:t>Parlamentet uppmanar kommissionen att årligen lägga fram en detaljerad översyn av varje byrås fortsatta relevans, med en rekommendation om att avsluta eller minska mandatet om det ursprungliga uppdraget har slutförts eller om institutionell redundans har konstaterats</w:t>
            </w:r>
            <w:r>
              <w:t>. Parlamentet uppmuntrar vid behov till tillämpning av tidsfrist-/översynsklausulen för att upprätthålla effektiviteten och säkerställa en optimal resursanvändning. Parlamentet anser att budgeteffektivitet är avgörande för att byråerna ska fungera. Parlamentet upprepar i detta avseende revisionsrättens rekommendation i den särskilda rapporten 22/2020</w:t>
            </w:r>
            <w:r>
              <w:rPr>
                <w:vertAlign w:val="superscript"/>
              </w:rPr>
              <w:t>2</w:t>
            </w:r>
            <w:r>
              <w:t xml:space="preserve">, enligt vilken kommissionen rekommenderas att öka användningen av övergripande utvärderingar av byråer inom ramen för kommissionens kontroller av ändamålsenligheten av de olika politikområdena. </w:t>
            </w:r>
            <w:r>
              <w:rPr>
                <w:b/>
                <w:i/>
              </w:rPr>
              <w:t>Parlamentet betonar att revisionsrätten i sin särskilda rapport 22/2020 konstaterade att byråerna rapporterar om sin verksamhet, men att deras faktiska bidrag till EU:s politik inte mäts eller förklaras tydligt för allmänheten.</w:t>
            </w:r>
            <w:r>
              <w:t xml:space="preserve"> </w:t>
            </w:r>
            <w:r>
              <w:rPr>
                <w:b/>
                <w:i/>
              </w:rPr>
              <w:t>Parlamentet uppmanar kommissionen att utan vidare dröjsmål vidta åtgärder med anledning av denna iakttagelse.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EU-byråernas framtid – potential för mer flexibilitet och samarbete, https://op.europa.eu/webpub/eca/special-reports/agencies-performance-audit-22-2020/sv/.</w:t>
            </w:r>
          </w:p>
        </w:tc>
        <w:tc>
          <w:tcPr>
            <w:tcW w:w="4876" w:type="dxa"/>
            <w:tcBorders>
              <w:top w:val="nil"/>
              <w:left w:val="nil"/>
              <w:bottom w:val="nil"/>
              <w:right w:val="nil"/>
            </w:tcBorders>
          </w:tcPr>
          <w:p>
            <w:pPr>
              <w:pStyle w:val="Normal6a"/>
            </w:pPr>
            <w:r>
              <w:rPr>
                <w:vertAlign w:val="superscript"/>
              </w:rPr>
              <w:t>2</w:t>
            </w:r>
            <w:r>
              <w:t xml:space="preserve"> </w:t>
            </w:r>
            <w:r>
              <w:t>EU-byråernas framtid – potential för mer flexibilitet och samarbete, https://op.europa.eu/webpub/eca/special-reports/agencies-performance-audit-22-2020/sv/.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påminner om att det i punkt 60 i den gemensamma ansatsen anges att varje byrå bör utvärderas vart femte år. Parlamentet uppmanar med kraft kommissionen att undersöka ytterligare synergier och konsolidering i verksamheten, och en eventuell sammanslagning av byråer med kompletterande verksamhet, såsom byråerna på utbildningsområdet, i syfte att säkerställa kostnadseffektivitet och effektivisera byråernas funktioner, inbegripet eventuella översyner av mandat där ineffektivitet eller överlappningar förekommer. Parlamentet uppmuntrar vid behov till tillämpning av tidsfrist-/översynsklausulen för att upprätthålla effektiviteten och säkerställa en optimal resursanvändning. Parlamentet anser att budgeteffektivitet är avgörande för att byråerna ska fungera. Parlamentet upprepar i detta avseende revisionsrättens rekommendation i den särskilda rapporten 22/2020</w:t>
            </w:r>
            <w:r>
              <w:rPr>
                <w:vertAlign w:val="superscript"/>
              </w:rPr>
              <w:t>2</w:t>
            </w:r>
            <w:r>
              <w:rPr>
                <w:b/>
                <w:i/>
              </w:rPr>
              <w:t>,</w:t>
            </w:r>
            <w:r>
              <w:t xml:space="preserve"> enligt vilken kommissionen rekommenderas att öka användningen av övergripande utvärderingar av byråer inom ramen för kommissionens kontroller av ändamålsenligheten av de olika politikområdena.</w:t>
            </w:r>
          </w:p>
        </w:tc>
        <w:tc>
          <w:tcPr>
            <w:tcW w:w="4876" w:type="dxa"/>
            <w:tcBorders>
              <w:top w:val="nil"/>
              <w:left w:val="nil"/>
              <w:bottom w:val="nil"/>
              <w:right w:val="nil"/>
            </w:tcBorders>
          </w:tcPr>
          <w:p>
            <w:pPr>
              <w:pStyle w:val="Normal6a"/>
            </w:pPr>
            <w:r>
              <w:t>3.</w:t>
            </w:r>
            <w:r>
              <w:tab/>
            </w:r>
            <w:r>
              <w:t xml:space="preserve">Europaparlamentet påminner om att det i punkt 60 i den gemensamma ansatsen anges att varje byrå bör utvärderas vart femte år. Parlamentet uppmanar med kraft kommissionen att </w:t>
            </w:r>
            <w:r>
              <w:rPr>
                <w:b/>
                <w:i/>
              </w:rPr>
              <w:t>särskilt med utgångspunkt i revisionsrättens rapporter</w:t>
            </w:r>
            <w:r>
              <w:t xml:space="preserve"> undersöka ytterligare synergier och konsolidering i verksamheten, och en eventuell sammanslagning av byråer med kompletterande verksamhet, såsom byråerna på utbildningsområdet, i syfte att säkerställa kostnadseffektivitet och effektivisera byråernas funktioner, inbegripet eventuella översyner av mandat där ineffektivitet eller överlappningar förekommer. Parlamentet uppmuntrar vid behov till tillämpning av tidsfrist-/översynsklausulen för att upprätthålla effektiviteten och säkerställa en optimal resursanvändning. Parlamentet anser att budgeteffektivitet är avgörande för att byråerna ska fungera. Parlamentet upprepar i detta avseende revisionsrättens rekommendation i den särskilda rapporten 22/2020</w:t>
            </w:r>
            <w:r>
              <w:rPr>
                <w:vertAlign w:val="superscript"/>
              </w:rPr>
              <w:t>2</w:t>
            </w:r>
            <w:r>
              <w:t xml:space="preserve"> enligt vilken kommissionen rekommenderas att öka användningen av övergripande utvärderingar av byråer inom ramen för kommissionens kontroller av ändamålsenligheten av de olika politikområdena.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EU-byråernas framtid – potential för mer flexibilitet och samarbete, https://op.europa.eu/webpub/eca/special-reports/agencies-performance-audit-22-2020/sv/.</w:t>
            </w:r>
          </w:p>
        </w:tc>
        <w:tc>
          <w:tcPr>
            <w:tcW w:w="4876" w:type="dxa"/>
            <w:tcBorders>
              <w:top w:val="nil"/>
              <w:left w:val="nil"/>
              <w:bottom w:val="nil"/>
              <w:right w:val="nil"/>
            </w:tcBorders>
          </w:tcPr>
          <w:p>
            <w:pPr>
              <w:pStyle w:val="Normal6a"/>
            </w:pPr>
            <w:r>
              <w:rPr>
                <w:vertAlign w:val="superscript"/>
              </w:rPr>
              <w:t>2</w:t>
            </w:r>
            <w:r>
              <w:t xml:space="preserve"> </w:t>
            </w:r>
            <w:r>
              <w:t>EU-byråernas framtid – potential för mer flexibilitet och samarbete, https://op.europa.eu/webpub/eca/special-reports/agencies-performance-audit-22-2020/sv/.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understryker att de 33 decentraliserade byråer som omfattas av denna resolution förvaltar en total budget på över 4,1 miljarder EUR i offentliga medel.</w:t>
            </w:r>
            <w:r>
              <w:t xml:space="preserve"> </w:t>
            </w:r>
            <w:r>
              <w:rPr>
                <w:b/>
                <w:i/>
              </w:rPr>
              <w:t>Parlamentet betonar att även om ansvarsfrihetsförfarandet på lämpligt sätt kontrollerar efterlevnaden av tillämpliga regler måste parlamentet också systematiskt bedöma den faktiska inverkan som dessa byråer har på medborgare och skattebetalare.</w:t>
            </w:r>
            <w:r>
              <w:t xml:space="preserve"> </w:t>
            </w:r>
            <w:r>
              <w:rPr>
                <w:b/>
                <w:i/>
              </w:rPr>
              <w:t>Parlamentet noterar, såsom revisionsrätten framhåller i sin särskilda rapport nr 22/2020, att byråerna rapporterar utförligt om sin verksamhet, men att deras mätbara bidrag till unionens politiska mål fortfarande inte är tillräckligt påvisat.</w:t>
            </w:r>
            <w:r>
              <w:t xml:space="preserve"> </w:t>
            </w:r>
            <w:r>
              <w:rPr>
                <w:b/>
                <w:i/>
              </w:rPr>
              <w:t>Parlamentet anser att varje byrå bör vara skyldig att årligen rapportera om en begränsad uppsättning kvantifierbara resultat- och effektindikatorer som är direkt kopplade till dess mandat vid inrättandet och som omfattar resultaten inom områden såsom folkhälsa, gränssäkerhetseffektivitet, innovation eller regelefterlevnad, beroende på vad som är tillämpligt.</w:t>
            </w:r>
            <w:r>
              <w:t xml:space="preserve"> </w:t>
            </w:r>
            <w:r>
              <w:rPr>
                <w:b/>
                <w:i/>
              </w:rPr>
              <w:t>Parlamentet uppmanar EU-byråernas nätverk (EUAN) att i samarbete med Europeiska revisionsrätten utveckla en gemensam ram för resultat- och effektmätning, baserad på en ”prestationskompass” som särskiljer input, output, utfall och effekter, och att lägga fram den för den ansvarsfrihetsbeviljande myndigheten senast i slutet av 2026, så att parlamentet och skattebetalarna kan bedöma konkreta resultat för de resurser som använts.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påminner om att unionens byråer inrättas för att fullgöra tydligt definierade mandat och politiska mål.</w:t>
            </w:r>
            <w:r>
              <w:t xml:space="preserve"> </w:t>
            </w:r>
            <w:r>
              <w:rPr>
                <w:b/>
                <w:i/>
              </w:rPr>
              <w:t>Parlamentet betonar att i enlighet med principerna om sund ekonomisk förvaltning och proportionalitet bör en byrås fortsatta existens regelbundet omprövas i förhållande till de mål som fastställdes när den inrättades.</w:t>
            </w:r>
            <w:r>
              <w:t xml:space="preserve"> </w:t>
            </w:r>
            <w:r>
              <w:rPr>
                <w:b/>
                <w:i/>
              </w:rPr>
              <w:t>Parlamentet uppmanar kommissionen att stärka användningen av tidsfristklausuler och systematiska utvärderingar av mandat, och att föreslå att byråer vars mål vid inrättandet bevisligen har uppnåtts eller vars mervärde inte längre kan motiveras ska läggas ned, slås samman eller omstruktureras.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uppmanar revisionsrätten att identifiera byråer som utför dubbelarbete i syfte att rationalisera dem och minska deras antal för att i slutändan minska kostnaderna och skydda unionens ekonomiska intressen.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betonar att respekten för de grundläggande rättigheterna och rättsstatens principer är en förutsättning för goda resultat och sund ekonomisk förvaltning.</w:t>
            </w:r>
            <w:r>
              <w:t xml:space="preserve"> </w:t>
            </w:r>
            <w:r>
              <w:rPr>
                <w:b/>
                <w:i/>
              </w:rPr>
              <w:t>Parlamentet anser att byråer som inte uppfyller sina skyldigheter i fråga om grundläggande rättigheter inte kan anses prestera tillfredsställande, oavsett budgetgenomförandegraden.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vikten av ansvarsfrihetsförfarandet, som inte bara är en fördragsbaserad skyldighet utan också främjar transparens, ansvarsskyldighet och en öppen dialog om unionens finanser. Parlamentet anser att praxisen att ansvarsfrihet </w:t>
            </w:r>
            <w:r>
              <w:rPr>
                <w:b/>
                <w:i/>
              </w:rPr>
              <w:t>beviljas endast av en intern myndighet som tillämpas av</w:t>
            </w:r>
            <w:r>
              <w:t xml:space="preserve"> byråer såsom Europeiska unionens immaterialrättsmyndighet (EUIPO), Gemenskapens växtsortsmyndighet (CPVO) och Gemensamma resolutionsnämnden (SRB), </w:t>
            </w:r>
            <w:r>
              <w:rPr>
                <w:b/>
                <w:i/>
              </w:rPr>
              <w:t>ger upphov till potentiella intressekonflikter eller otillräcklig</w:t>
            </w:r>
            <w:r>
              <w:t xml:space="preserve"> utvärdering och granskning, </w:t>
            </w:r>
            <w:r>
              <w:rPr>
                <w:b/>
                <w:i/>
              </w:rPr>
              <w:t>medan ansvarsfrihet beviljad av parlamentet ökar</w:t>
            </w:r>
            <w:r>
              <w:t xml:space="preserve"> transparensen och den offentliga ansvarsskyldigheten. Parlamentet </w:t>
            </w:r>
            <w:r>
              <w:rPr>
                <w:b/>
                <w:i/>
              </w:rPr>
              <w:t>anser att denna högre standard bör tillämpas enhetligt på alla unionsrelaterade organ, oavsett deras finansieringsmodell, och</w:t>
            </w:r>
            <w:r>
              <w:t xml:space="preserve"> påminner om den gemensamma ansatsen för helt självfinansierade byråer (punkt 58), där man efterlyser en undersökning av mekanismer för demokratisk ansvarsskyldighet </w:t>
            </w:r>
            <w:r>
              <w:rPr>
                <w:b/>
                <w:i/>
              </w:rPr>
              <w:t>som inbegriper</w:t>
            </w:r>
            <w:r>
              <w:t xml:space="preserve"> årlig rapportering till parlamentet, rådet och kommissionen samt beaktande av deras rekommendationer</w:t>
            </w:r>
            <w:r>
              <w:rPr>
                <w:b/>
                <w:i/>
              </w:rPr>
              <w:t>, för</w:t>
            </w:r>
            <w:r>
              <w:t xml:space="preserve"> att säkerställa offentlig granskning av byråer som genomför EU:s politik utan </w:t>
            </w:r>
            <w:r>
              <w:rPr>
                <w:b/>
                <w:i/>
              </w:rPr>
              <w:t>traditionella ansvarsfrihetsförfaranden</w:t>
            </w:r>
            <w:r>
              <w:t>.</w:t>
            </w:r>
          </w:p>
        </w:tc>
        <w:tc>
          <w:tcPr>
            <w:tcW w:w="4876" w:type="dxa"/>
            <w:tcBorders>
              <w:top w:val="nil"/>
              <w:left w:val="nil"/>
              <w:bottom w:val="nil"/>
              <w:right w:val="nil"/>
            </w:tcBorders>
          </w:tcPr>
          <w:p>
            <w:pPr>
              <w:pStyle w:val="Normal6a"/>
            </w:pPr>
            <w:r>
              <w:t>4.</w:t>
            </w:r>
            <w:r>
              <w:tab/>
            </w:r>
            <w:r>
              <w:t xml:space="preserve">Europaparlamentet framhåller vikten av ansvarsfrihetsförfarandet, som inte bara är en fördragsbaserad skyldighet utan också främjar transparens, ansvarsskyldighet och en öppen dialog om unionens finanser. Parlamentet anser att praxisen att </w:t>
            </w:r>
            <w:r>
              <w:rPr>
                <w:b/>
                <w:i/>
              </w:rPr>
              <w:t>bevilja</w:t>
            </w:r>
            <w:r>
              <w:t xml:space="preserve"> ansvarsfrihet </w:t>
            </w:r>
            <w:r>
              <w:rPr>
                <w:b/>
                <w:i/>
              </w:rPr>
              <w:t>genom styrningsarrangemang som fastställs i inrättandeakterna för</w:t>
            </w:r>
            <w:r>
              <w:t xml:space="preserve"> byråer såsom Europeiska unionens immaterialrättsmyndighet (EUIPO), Gemenskapens växtsortsmyndighet (CPVO) och Gemensamma resolutionsnämnden (SRB), </w:t>
            </w:r>
            <w:r>
              <w:rPr>
                <w:b/>
                <w:i/>
              </w:rPr>
              <w:t>återspeglar deras specifika rättsliga och finansiella ramar och säkerställer lämplig</w:t>
            </w:r>
            <w:r>
              <w:t xml:space="preserve"> utvärdering och granskning, </w:t>
            </w:r>
            <w:r>
              <w:rPr>
                <w:b/>
                <w:i/>
              </w:rPr>
              <w:t>samtidigt som den stöder</w:t>
            </w:r>
            <w:r>
              <w:t xml:space="preserve"> transparensen och den offentliga ansvarsskyldigheten. Parlamentet påminner om den gemensamma ansatsen för helt självfinansierade byråer (punkt 58), där man efterlyser en undersökning av mekanismer för demokratisk ansvarsskyldighet</w:t>
            </w:r>
            <w:r>
              <w:rPr>
                <w:b/>
                <w:i/>
              </w:rPr>
              <w:t>, inbegripet</w:t>
            </w:r>
            <w:r>
              <w:t xml:space="preserve"> årlig rapportering till parlamentet, rådet och kommissionen samt beaktande av deras rekommendationer </w:t>
            </w:r>
            <w:r>
              <w:rPr>
                <w:b/>
                <w:i/>
              </w:rPr>
              <w:t>i syfte</w:t>
            </w:r>
            <w:r>
              <w:t xml:space="preserve"> att säkerställa offentlig granskning av byråer som genomför EU:s politik utan </w:t>
            </w:r>
            <w:r>
              <w:rPr>
                <w:b/>
                <w:i/>
              </w:rPr>
              <w:t>att belasta EU:s allmänna budget</w:t>
            </w:r>
            <w:r>
              <w:t xml:space="preserve">. </w:t>
            </w:r>
            <w:r>
              <w:rPr>
                <w:b/>
                <w:i/>
              </w:rPr>
              <w:t>Det skulle dock vara önskvärt att helt självfinansierade byråer såsom EUIPO blir en del av förfarandet för beviljande av ansvarsfrihet för byråer som faller under budgetkontrollutskottets ansvar, eller åtminstone omfattas av utökade rapporteringsskyldigheter inför budgetkontrollutskottet.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Maravillas Abadía Jover, Adrián Vázquez Lázara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framhåller vikten av ansvarsfrihetsförfarandet, som inte bara är en fördragsbaserad skyldighet utan också främjar transparens, ansvarsskyldighet och en öppen dialog om unionens finanser. Parlamentet anser att praxisen att ansvarsfrihet </w:t>
            </w:r>
            <w:r>
              <w:rPr>
                <w:b/>
                <w:i/>
              </w:rPr>
              <w:t>beviljas endast av en intern myndighet</w:t>
            </w:r>
            <w:r>
              <w:t xml:space="preserve"> som tillämpas av byråer såsom Europeiska unionens immaterialrättsmyndighet (EUIPO), Gemenskapens växtsortsmyndighet (CPVO) och Gemensamma resolutionsnämnden (SRB), </w:t>
            </w:r>
            <w:r>
              <w:rPr>
                <w:b/>
                <w:i/>
              </w:rPr>
              <w:t>ger upphov till potentiella intressekonflikter eller otillräcklig</w:t>
            </w:r>
            <w:r>
              <w:t xml:space="preserve"> utvärdering och granskning, </w:t>
            </w:r>
            <w:r>
              <w:rPr>
                <w:b/>
                <w:i/>
              </w:rPr>
              <w:t>medan ansvarsfrihet beviljad av parlamentet ökar</w:t>
            </w:r>
            <w:r>
              <w:t xml:space="preserve"> transparensen och den offentliga ansvarsskyldigheten. Parlamentet </w:t>
            </w:r>
            <w:r>
              <w:rPr>
                <w:b/>
                <w:i/>
              </w:rPr>
              <w:t>anser att denna högre standard bör tillämpas enhetligt på alla unionsrelaterade organ, oavsett deras finansieringsmodell, och</w:t>
            </w:r>
            <w:r>
              <w:t xml:space="preserve"> påminner om den gemensamma ansatsen för helt självfinansierade byråer (punkt 58), där man efterlyser en undersökning av mekanismer för demokratisk ansvarsskyldighet som inbegriper årlig rapportering till parlamentet, rådet och kommissionen samt beaktande av deras rekommendationer, för att säkerställa offentlig granskning av byråer som genomför EU:s politik </w:t>
            </w:r>
            <w:r>
              <w:rPr>
                <w:b/>
                <w:i/>
              </w:rPr>
              <w:t>utan traditionella ansvarsfrihetsförfaranden</w:t>
            </w:r>
            <w:r>
              <w:t>.</w:t>
            </w:r>
          </w:p>
        </w:tc>
        <w:tc>
          <w:tcPr>
            <w:tcW w:w="4876" w:type="dxa"/>
            <w:tcBorders>
              <w:top w:val="nil"/>
              <w:left w:val="nil"/>
              <w:bottom w:val="nil"/>
              <w:right w:val="nil"/>
            </w:tcBorders>
          </w:tcPr>
          <w:p>
            <w:pPr>
              <w:pStyle w:val="Normal6a"/>
            </w:pPr>
            <w:r>
              <w:t>4.</w:t>
            </w:r>
            <w:r>
              <w:tab/>
            </w:r>
            <w:r>
              <w:t xml:space="preserve">Europaparlamentet framhåller vikten av ansvarsfrihetsförfarandet, som inte bara är en fördragsbaserad skyldighet utan också främjar transparens, ansvarsskyldighet och en öppen dialog om unionens finanser. Parlamentet anser att praxisen att </w:t>
            </w:r>
            <w:r>
              <w:rPr>
                <w:b/>
                <w:i/>
              </w:rPr>
              <w:t>bevilja</w:t>
            </w:r>
            <w:r>
              <w:t xml:space="preserve"> ansvarsfrihet</w:t>
            </w:r>
            <w:r>
              <w:rPr>
                <w:b/>
                <w:i/>
              </w:rPr>
              <w:t>,</w:t>
            </w:r>
            <w:r>
              <w:t xml:space="preserve"> som tillämpas av </w:t>
            </w:r>
            <w:r>
              <w:rPr>
                <w:b/>
                <w:i/>
              </w:rPr>
              <w:t>byråerna genom styrningsarrangemang som fastställs i inrättandeakterna för</w:t>
            </w:r>
            <w:r>
              <w:t xml:space="preserve"> byråer såsom Europeiska unionens immaterialrättsmyndighet (EUIPO), Gemenskapens växtsortsmyndighet (CPVO) och Gemensamma resolutionsnämnden (SRB), </w:t>
            </w:r>
            <w:r>
              <w:rPr>
                <w:b/>
                <w:i/>
              </w:rPr>
              <w:t>återspeglar deras specifika rättsliga och finansiella ramar och säkerställer lämplig</w:t>
            </w:r>
            <w:r>
              <w:t xml:space="preserve"> utvärdering och granskning, </w:t>
            </w:r>
            <w:r>
              <w:rPr>
                <w:b/>
                <w:i/>
              </w:rPr>
              <w:t>samtidigt som den stöder</w:t>
            </w:r>
            <w:r>
              <w:t xml:space="preserve"> transparensen och den offentliga ansvarsskyldigheten. Parlamentet påminner om den gemensamma ansatsen för helt självfinansierade byråer (punkt 58), där man efterlyser en undersökning av mekanismer för demokratisk ansvarsskyldighet som inbegriper årlig rapportering till parlamentet, rådet och kommissionen samt beaktande av deras rekommendationer, för att säkerställa offentlig granskning av byråer som genomför EU:s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påminner om att rättsstatsprincipen gäller på samma sätt för unionens institutioner, organ och byråer, för att säkerställa att de själva är bundna av samma principer om transparens, ansvarsskyldighet och laglighet som krävs av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noterar med oro att unionens decentraliserade byråer under årens lopp har anförtrotts ett ökande antal uppgifter genom reviderade förordningar, ny lagstiftning eller servicenivåavtal och överenskommelser om medverkan med kommissionen, ofta utan motsvarande strukturella resurser eller fasta tjänster. Parlamentet framhåller att detta återkommande mönster skapar ett operativt tryck som i sin tur kan bidra till svagheter i budgetförvaltningen och ett växande strukturellt beroende av externa uppdragstagare, särskilt på området informations- och kommunikationsteknik (IKT), cybersäkerhet och andra operativa möjliggörande funktioner. Parlamentet </w:t>
            </w:r>
            <w:r>
              <w:rPr>
                <w:b/>
                <w:i/>
              </w:rPr>
              <w:t>varnar för att ett sådant</w:t>
            </w:r>
            <w:r>
              <w:t xml:space="preserve"> långsiktigt beroende </w:t>
            </w:r>
            <w:r>
              <w:rPr>
                <w:b/>
                <w:i/>
              </w:rPr>
              <w:t>kan undergräva</w:t>
            </w:r>
            <w:r>
              <w:t xml:space="preserve"> den institutionella kapaciteten, kontinuiteten och </w:t>
            </w:r>
            <w:r>
              <w:rPr>
                <w:b/>
                <w:i/>
              </w:rPr>
              <w:t>bevarandet av kunskap, och kan skapa risker för strukturellt beroende av externa leverantörer och minskat operativt oberoende</w:t>
            </w:r>
            <w:r>
              <w:t>.</w:t>
            </w:r>
          </w:p>
        </w:tc>
        <w:tc>
          <w:tcPr>
            <w:tcW w:w="4876" w:type="dxa"/>
            <w:tcBorders>
              <w:top w:val="nil"/>
              <w:left w:val="nil"/>
              <w:bottom w:val="nil"/>
              <w:right w:val="nil"/>
            </w:tcBorders>
          </w:tcPr>
          <w:p>
            <w:pPr>
              <w:pStyle w:val="Normal6a"/>
            </w:pPr>
            <w:r>
              <w:t>5.</w:t>
            </w:r>
            <w:r>
              <w:tab/>
            </w:r>
            <w:r>
              <w:t xml:space="preserve">Europaparlamentet noterar med oro att unionens decentraliserade byråer under årens lopp har anförtrotts ett ökande antal uppgifter genom reviderade förordningar, ny lagstiftning eller servicenivåavtal och överenskommelser om medverkan med kommissionen, ofta utan motsvarande strukturella resurser eller fasta tjänster. Parlamentet framhåller att detta återkommande mönster skapar ett operativt tryck som i sin tur kan bidra till svagheter i budgetförvaltningen och ett växande strukturellt beroende av externa uppdragstagare, särskilt på området informations- och kommunikationsteknik (IKT), cybersäkerhet och andra operativa möjliggörande funktioner. Parlamentet </w:t>
            </w:r>
            <w:r>
              <w:rPr>
                <w:b/>
                <w:i/>
              </w:rPr>
              <w:t>konstaterar att</w:t>
            </w:r>
            <w:r>
              <w:t xml:space="preserve"> långsiktigt beroende </w:t>
            </w:r>
            <w:r>
              <w:rPr>
                <w:b/>
                <w:i/>
              </w:rPr>
              <w:t>av externa leverantörer bör utvärderas regelbundet för att säkerställa bevarandet av</w:t>
            </w:r>
            <w:r>
              <w:t xml:space="preserve"> den institutionella kapaciteten, kontinuiteten och </w:t>
            </w:r>
            <w:r>
              <w:rPr>
                <w:b/>
                <w:i/>
              </w:rPr>
              <w:t>det operativa oberoendet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byråerna att minska det strukturella beroendet av externa konsulter, särskilt när det gäller kärnfunktioner.</w:t>
            </w:r>
            <w:r>
              <w:t xml:space="preserve"> </w:t>
            </w:r>
            <w:r>
              <w:rPr>
                <w:b/>
                <w:i/>
              </w:rPr>
              <w:t>Parlamentet betonar att överdriven utkontraktering undergräver det institutionella minnet, ansvarsskyldigheten och valutan för pengarna.</w:t>
            </w:r>
            <w:r>
              <w:t xml:space="preserve"> </w:t>
            </w:r>
            <w:r>
              <w:rPr>
                <w:b/>
                <w:i/>
              </w:rPr>
              <w:t>Parlamentet uppmanar kommissionen att se till att byråerna har tillräckligt med personal för att kunna utföra sina uppdrag internt.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noterar att användningen av externa uppdragstagare och privata aktörer på området för informations- och kommunikationsteknik och cybersäkerhet kan äventyra EU-byråernas oberoende och samtidigt försvaga EU:s digitala suveränitet och medborgarnas personliga integritet.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Europaparlamentet noterar att brister i rättsstatsprincipen i vissa medlemsstater, inbegripet försvagat rättsligt oberoende och försvagad lagföringskapacitet, kan undergräva byråernas samarbetsramar, tillförlitligheten för deras uppgifter och deras operativa integritet.</w:t>
            </w:r>
            <w:r>
              <w:t xml:space="preserve"> </w:t>
            </w:r>
            <w:r>
              <w:rPr>
                <w:b/>
                <w:i/>
              </w:rPr>
              <w:t>Parlamentet uppmanar kommissionen att bedöma och åtgärda dessa risker när den fördelar uppgifter och resurser till byråerna.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trovärdighet och ansvarsskyldighet. Parlamentet </w:t>
            </w:r>
            <w:r>
              <w:rPr>
                <w:b/>
                <w:i/>
              </w:rPr>
              <w:t>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w:t>
            </w:r>
            <w:r>
              <w:t xml:space="preserve"> </w:t>
            </w:r>
            <w:r>
              <w:rPr>
                <w:b/>
                <w:i/>
              </w:rPr>
              <w:t>Parlamentet</w:t>
            </w:r>
            <w:r>
              <w:t xml:space="preserve"> framhåller att transparenta förfaranden, offentliggörande av möten, balanserat och transparent experturval och kontinuerlig </w:t>
            </w:r>
            <w:r>
              <w:rPr>
                <w:b/>
                <w:i/>
              </w:rPr>
              <w:t>granskning av information om ursprungsland</w:t>
            </w:r>
            <w:r>
              <w:t xml:space="preserve"> är oumbärliga för att säkerställa att byråernas beslut </w:t>
            </w:r>
            <w:r>
              <w:rPr>
                <w:b/>
                <w:i/>
              </w:rPr>
              <w:t>enbart</w:t>
            </w:r>
            <w:r>
              <w:t xml:space="preserve"> baseras på </w:t>
            </w:r>
            <w:r>
              <w:rPr>
                <w:b/>
                <w:i/>
              </w:rPr>
              <w:t>objektiva bevis och</w:t>
            </w:r>
            <w:r>
              <w:t xml:space="preserve"> unionens allmänna intresse. Parlamentet uppmanar med kraft alla byråer att införa och verkställa sådana åtgärder.</w:t>
            </w:r>
          </w:p>
        </w:tc>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trovärdighet och ansvarsskyldighet. Parlamentet framhåller att transparenta förfaranden, offentliggörande av möten, balanserat och transparent experturval och kontinuerlig </w:t>
            </w:r>
            <w:r>
              <w:rPr>
                <w:b/>
                <w:i/>
              </w:rPr>
              <w:t>kontroll med avseende på intressekonflikter</w:t>
            </w:r>
            <w:r>
              <w:t xml:space="preserve"> är oumbärliga för att säkerställa att byråernas beslut baseras på unionens allmänna intresse. Parlamentet uppmanar med kraft alla byråer att införa och verkställa sådana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trovärdighet och ansvarsskyldighet. Parlamentet 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 Parlamentet framhåller att transparenta förfaranden, offentliggörande av möten, </w:t>
            </w:r>
            <w:r>
              <w:rPr>
                <w:b/>
                <w:i/>
              </w:rPr>
              <w:t>balanserat</w:t>
            </w:r>
            <w:r>
              <w:t xml:space="preserve"> och transparent experturval och kontinuerlig </w:t>
            </w:r>
            <w:r>
              <w:rPr>
                <w:b/>
                <w:i/>
              </w:rPr>
              <w:t>granskning av information om ursprungsland</w:t>
            </w:r>
            <w:r>
              <w:t xml:space="preserve"> är oumbärliga för att säkerställa att byråernas beslut </w:t>
            </w:r>
            <w:r>
              <w:rPr>
                <w:b/>
                <w:i/>
              </w:rPr>
              <w:t>enbart</w:t>
            </w:r>
            <w:r>
              <w:t xml:space="preserve"> baseras på objektiva bevis och unionens allmänna intresse. Parlamentet uppmanar med kraft alla byråer att införa och verkställa sådana åtgärder.</w:t>
            </w:r>
          </w:p>
        </w:tc>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trovärdighet och ansvarsskyldighet. Parlamentet 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 Parlamentet framhåller att transparenta förfaranden, offentliggörande av möten, </w:t>
            </w:r>
            <w:r>
              <w:rPr>
                <w:b/>
                <w:i/>
              </w:rPr>
              <w:t>motiverat</w:t>
            </w:r>
            <w:r>
              <w:t xml:space="preserve"> och transparent experturval och kontinuerlig </w:t>
            </w:r>
            <w:r>
              <w:rPr>
                <w:b/>
                <w:i/>
              </w:rPr>
              <w:t>kontroll med avseende på intressekonflikter hos chefer, beslutsfattare och enheter samt enskilda personer med kopplingar till dessa byråer</w:t>
            </w:r>
            <w:r>
              <w:t xml:space="preserve"> är oumbärliga för att säkerställa att byråernas beslut baseras på objektiva bevis och unionens allmänna intresse </w:t>
            </w:r>
            <w:r>
              <w:rPr>
                <w:b/>
                <w:i/>
              </w:rPr>
              <w:t>samt en rättidig övervakning av de EU-medel som anslås</w:t>
            </w:r>
            <w:r>
              <w:t>. Parlamentet uppmanar med kraft alla byråer att införa och verkställa sådana åtgärder.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trovärdighet och ansvarsskyldighet. Parlamentet 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 Parlamentet framhåller att transparenta förfaranden, offentliggörande av möten, balanserat och transparent experturval och kontinuerlig </w:t>
            </w:r>
            <w:r>
              <w:rPr>
                <w:b/>
                <w:i/>
              </w:rPr>
              <w:t>granskning av information om ursprungsland</w:t>
            </w:r>
            <w:r>
              <w:t xml:space="preserve"> är oumbärliga för att säkerställa att byråernas beslut enbart baseras på objektiva bevis och unionens allmänna intresse. Parlamentet uppmanar med kraft alla byråer att införa och verkställa sådana åtgärder.</w:t>
            </w:r>
          </w:p>
        </w:tc>
        <w:tc>
          <w:tcPr>
            <w:tcW w:w="4876" w:type="dxa"/>
            <w:tcBorders>
              <w:top w:val="nil"/>
              <w:left w:val="nil"/>
              <w:bottom w:val="nil"/>
              <w:right w:val="nil"/>
            </w:tcBorders>
          </w:tcPr>
          <w:p>
            <w:pPr>
              <w:pStyle w:val="Normal6a"/>
            </w:pPr>
            <w:r>
              <w:t>6.</w:t>
            </w:r>
            <w:r>
              <w:tab/>
            </w:r>
            <w:r>
              <w:t xml:space="preserve">Europaparlamentet betonar att transparens, robusta kontroller av intressekonflikter och tydliga regler för interaktion med berörda parter är viktiga skyddsåtgärder för unionens decentraliserade byråers oberoende, </w:t>
            </w:r>
            <w:r>
              <w:rPr>
                <w:b/>
                <w:i/>
              </w:rPr>
              <w:t>institutionella</w:t>
            </w:r>
            <w:r>
              <w:t xml:space="preserve"> trovärdighet och ansvarsskyldighet </w:t>
            </w:r>
            <w:r>
              <w:rPr>
                <w:b/>
                <w:i/>
              </w:rPr>
              <w:t>samt allmänhetens förtroende för att deras verksamhet är stark och robust</w:t>
            </w:r>
            <w:r>
              <w:t xml:space="preserve">. Parlamentet understryker att många byråer är verksamma inom sektorer där ett nära samarbete med industrin, konsultfirmor, tekniska experter, icke-statliga organisationer eller externa partner är nödvändigt, men där riskerna för otillbörlig påverkan, obalanserade samråd eller bristande transparens kvarstår. Parlamentet framhåller att transparenta förfaranden, offentliggörande av möten, balanserat och transparent experturval och kontinuerlig </w:t>
            </w:r>
            <w:r>
              <w:rPr>
                <w:b/>
                <w:i/>
              </w:rPr>
              <w:t>kontroll med avseende på intressekonflikter</w:t>
            </w:r>
            <w:r>
              <w:t xml:space="preserve"> är oumbärliga för att säkerställa att byråernas beslut enbart baseras på objektiva bevis och unionens allmänna intresse. Parlamentet uppmanar med kraft alla byråer att införa och verkställa sådana åtgärder. </w:t>
            </w:r>
            <w:r>
              <w:rPr>
                <w:b/>
                <w:i/>
              </w:rPr>
              <w:t>Parlamentet uppmanar byråerna att inrätta regelbundna oberoende översyner av ramarna för intressekonflikter och att utan dröjsmål genomföra korrigerande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betonar att intressekonflikter och svängdörrsproblematik utgör systemrisker för styrningen, särskilt för byråer som har ett nära samarbete med industrin.</w:t>
            </w:r>
            <w:r>
              <w:t xml:space="preserve"> </w:t>
            </w:r>
            <w:r>
              <w:rPr>
                <w:b/>
                <w:i/>
              </w:rPr>
              <w:t>Parlamentet efterlyser striktare karensperioder, proaktiv övervakning och full insyn i interaktionen med berörda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uppmanar kommissionen och EU-byråernas nätverk att främja inbördes vägledning mellan byråerna och ömsesidigt lärande för att höja standarderna för god förvaltning och praxis i fråga om transparens.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konstaterar att de decentraliserade byråerna är olika utsatta för lobbyrisker beroende på deras mandat och operativa sammanhang. Parlamentet </w:t>
            </w:r>
            <w:r>
              <w:rPr>
                <w:b/>
                <w:i/>
              </w:rPr>
              <w:t>framhåller att nuvarande</w:t>
            </w:r>
            <w:r>
              <w:t xml:space="preserve"> praxis </w:t>
            </w:r>
            <w:r>
              <w:rPr>
                <w:b/>
                <w:i/>
              </w:rPr>
              <w:t>för att säkerställa</w:t>
            </w:r>
            <w:r>
              <w:t xml:space="preserve"> transparens </w:t>
            </w:r>
            <w:r>
              <w:rPr>
                <w:b/>
                <w:i/>
              </w:rPr>
              <w:t>också skiljer sig åt.</w:t>
            </w:r>
            <w:r>
              <w:t xml:space="preserve"> </w:t>
            </w:r>
            <w:r>
              <w:rPr>
                <w:b/>
                <w:i/>
              </w:rPr>
              <w:t>Parlamentet noterar till exempel att eu-Lisa har ett särskilt öppenhetsregister på sin webbplats som omfattar alla möten</w:t>
            </w:r>
            <w:r>
              <w:t xml:space="preserve"> mellan </w:t>
            </w:r>
            <w:r>
              <w:rPr>
                <w:b/>
                <w:i/>
              </w:rPr>
              <w:t>byråns högsta ledning och ekonomiska aktörer, att Frontex på sin webbplats tillhandahåller ett register med information om möten som är specifikt kopplade till upphandlingsrelaterade frågor och att Echa offentliggör information om de möten som högre chefer håller med externa intressentorganisationer</w:t>
            </w:r>
            <w:r>
              <w:t>. Parlamentet anser att även om en modell som passar alla varken skulle vara proportionerlig eller operativt meningsfull, skulle fastställandet av gemensamma miniminormer öka samstämmigheten</w:t>
            </w:r>
            <w:r>
              <w:rPr>
                <w:b/>
                <w:i/>
              </w:rPr>
              <w:t>.</w:t>
            </w:r>
            <w:r>
              <w:t xml:space="preserve"> </w:t>
            </w:r>
            <w:r>
              <w:rPr>
                <w:b/>
                <w:i/>
              </w:rPr>
              <w:t>Parlamentet noterar byråernas svar under den föregående ansvarsfrihetscykeln, inbegripet deras varierande användning av öppenhetsregistret och det faktum att flera byråer redan har infört interna öppenhetsregister eller system för intressekonflikter som är anpassade till deras mandat</w:t>
            </w:r>
            <w:r>
              <w:t xml:space="preserve">. Parlamentet uppmanar byråerna att anta minimistandarder såsom genomförandet av fyra ögon-principen, en tydlig strategi för uppförandekoden med tydliga regler för att undvika intressekonflikter och genomförandet av </w:t>
            </w:r>
            <w:r>
              <w:rPr>
                <w:b/>
                <w:i/>
              </w:rPr>
              <w:t>särskilda</w:t>
            </w:r>
            <w:r>
              <w:t xml:space="preserve"> interna öppenhetsregister </w:t>
            </w:r>
            <w:r>
              <w:rPr>
                <w:b/>
                <w:i/>
              </w:rPr>
              <w:t>med tydliga standarder</w:t>
            </w:r>
            <w:r>
              <w:t xml:space="preserve"> som återspeglar </w:t>
            </w:r>
            <w:r>
              <w:rPr>
                <w:b/>
                <w:i/>
              </w:rPr>
              <w:t>byråns</w:t>
            </w:r>
            <w:r>
              <w:t xml:space="preserve"> mandat och </w:t>
            </w:r>
            <w:r>
              <w:rPr>
                <w:b/>
                <w:i/>
              </w:rPr>
              <w:t>relevanta</w:t>
            </w:r>
            <w:r>
              <w:t xml:space="preserve"> dataskyddsregler. Parlamentet framhåller att </w:t>
            </w:r>
            <w:r>
              <w:rPr>
                <w:b/>
                <w:i/>
              </w:rPr>
              <w:t>öppenhetsregister</w:t>
            </w:r>
            <w:r>
              <w:t xml:space="preserve"> bör vara tillgängliga för revisorer från fall till fall. Parlamentet anser att genomförandet bör vara progressivt och </w:t>
            </w:r>
            <w:r>
              <w:rPr>
                <w:b/>
                <w:i/>
              </w:rPr>
              <w:t>ta hänsyn till nya</w:t>
            </w:r>
            <w:r>
              <w:t xml:space="preserve"> digitala </w:t>
            </w:r>
            <w:r>
              <w:rPr>
                <w:b/>
                <w:i/>
              </w:rPr>
              <w:t>möjligheter</w:t>
            </w:r>
            <w:r>
              <w:t xml:space="preserve"> för att undvika </w:t>
            </w:r>
            <w:r>
              <w:rPr>
                <w:b/>
                <w:i/>
              </w:rPr>
              <w:t>att skapa ytterligare</w:t>
            </w:r>
            <w:r>
              <w:t xml:space="preserve"> administrativa bördor </w:t>
            </w:r>
            <w:r>
              <w:rPr>
                <w:b/>
                <w:i/>
              </w:rPr>
              <w:t>för byråerna</w:t>
            </w:r>
            <w:r>
              <w:t>.</w:t>
            </w:r>
          </w:p>
        </w:tc>
        <w:tc>
          <w:tcPr>
            <w:tcW w:w="4876" w:type="dxa"/>
            <w:tcBorders>
              <w:top w:val="nil"/>
              <w:left w:val="nil"/>
              <w:bottom w:val="nil"/>
              <w:right w:val="nil"/>
            </w:tcBorders>
          </w:tcPr>
          <w:p>
            <w:pPr>
              <w:pStyle w:val="Normal6a"/>
            </w:pPr>
            <w:r>
              <w:t>7.</w:t>
            </w:r>
            <w:r>
              <w:tab/>
            </w:r>
            <w:r>
              <w:t xml:space="preserve">Europaparlamentet konstaterar att de decentraliserade byråerna är olika utsatta för lobbyrisker beroende på deras mandat och operativa sammanhang. Parlamentet </w:t>
            </w:r>
            <w:r>
              <w:rPr>
                <w:b/>
                <w:i/>
              </w:rPr>
              <w:t>noterar att</w:t>
            </w:r>
            <w:r>
              <w:t xml:space="preserve"> praxis </w:t>
            </w:r>
            <w:r>
              <w:rPr>
                <w:b/>
                <w:i/>
              </w:rPr>
              <w:t>i fråga om</w:t>
            </w:r>
            <w:r>
              <w:t xml:space="preserve"> transparens </w:t>
            </w:r>
            <w:r>
              <w:rPr>
                <w:b/>
                <w:i/>
              </w:rPr>
              <w:t>därför varierar</w:t>
            </w:r>
            <w:r>
              <w:t xml:space="preserve"> mellan </w:t>
            </w:r>
            <w:r>
              <w:rPr>
                <w:b/>
                <w:i/>
              </w:rPr>
              <w:t>byråerna</w:t>
            </w:r>
            <w:r>
              <w:t xml:space="preserve">. Parlamentet anser att även om en modell som passar alla varken skulle vara proportionerlig eller operativt meningsfull, skulle fastställandet av gemensamma miniminormer öka samstämmigheten </w:t>
            </w:r>
            <w:r>
              <w:rPr>
                <w:b/>
                <w:i/>
              </w:rPr>
              <w:t>och ansvarsskyldigheten</w:t>
            </w:r>
            <w:r>
              <w:t xml:space="preserve">. Parlamentet uppmanar byråerna att anta minimistandarder såsom genomförandet av fyra ögon-principen, en tydlig strategi för uppförandekoden med tydliga regler för att undvika intressekonflikter och genomförandet av interna öppenhetsregister som återspeglar </w:t>
            </w:r>
            <w:r>
              <w:rPr>
                <w:b/>
                <w:i/>
              </w:rPr>
              <w:t>deras respektive</w:t>
            </w:r>
            <w:r>
              <w:t xml:space="preserve"> mandat och </w:t>
            </w:r>
            <w:r>
              <w:rPr>
                <w:b/>
                <w:i/>
              </w:rPr>
              <w:t>tillämpliga</w:t>
            </w:r>
            <w:r>
              <w:t xml:space="preserve"> dataskyddsregler. Parlamentet framhåller att </w:t>
            </w:r>
            <w:r>
              <w:rPr>
                <w:b/>
                <w:i/>
              </w:rPr>
              <w:t>sådana register</w:t>
            </w:r>
            <w:r>
              <w:t xml:space="preserve"> bör vara tillgängliga för revisorer från fall till fall. Parlamentet anser att genomförandet </w:t>
            </w:r>
            <w:r>
              <w:rPr>
                <w:b/>
                <w:i/>
              </w:rPr>
              <w:t>av dem</w:t>
            </w:r>
            <w:r>
              <w:t xml:space="preserve"> bör vara progressivt och </w:t>
            </w:r>
            <w:r>
              <w:rPr>
                <w:b/>
                <w:i/>
              </w:rPr>
              <w:t>utnyttja</w:t>
            </w:r>
            <w:r>
              <w:t xml:space="preserve"> digitala </w:t>
            </w:r>
            <w:r>
              <w:rPr>
                <w:b/>
                <w:i/>
              </w:rPr>
              <w:t>lösningar</w:t>
            </w:r>
            <w:r>
              <w:t xml:space="preserve"> för att undvika </w:t>
            </w:r>
            <w:r>
              <w:rPr>
                <w:b/>
                <w:i/>
              </w:rPr>
              <w:t>onödiga</w:t>
            </w:r>
            <w:r>
              <w:t xml:space="preserve"> administrativa bördor.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konstaterar att de decentraliserade byråerna är olika utsatta för lobbyrisker beroende på deras mandat och operativa sammanhang. Parlamentet framhåller att nuvarande praxis för att säkerställa transparens också skiljer sig åt. Parlamentet noterar till exempel att eu-Lisa har ett särskilt öppenhetsregister på sin webbplats som omfattar alla möten mellan byråns högsta ledning och ekonomiska aktörer, att Frontex på sin webbplats tillhandahåller ett register med information om möten som är specifikt kopplade till upphandlingsrelaterade frågor och att Echa offentliggör information om de möten som högre chefer håller med externa intressentorganisationer. Parlamentet anser att även om en modell som passar alla varken skulle vara proportionerlig eller operativt meningsfull, skulle fastställandet av gemensamma miniminormer öka samstämmigheten. Parlamentet noterar byråernas svar under den föregående ansvarsfrihetscykeln, inbegripet deras varierande användning av öppenhetsregistret och det faktum att flera byråer redan har infört interna öppenhetsregister eller system för intressekonflikter som är anpassade till deras mandat. Parlamentet uppmanar byråerna att anta minimistandarder såsom genomförandet av fyra ögon-principen, en tydlig strategi för uppförandekoden med tydliga regler för att undvika intressekonflikter och genomförandet av särskilda interna öppenhetsregister med tydliga standarder som återspeglar byråns mandat och relevanta dataskyddsregler. Parlamentet framhåller att öppenhetsregister bör vara tillgängliga för revisorer från fall till fall. Parlamentet anser att genomförandet bör vara progressivt och ta hänsyn till nya digitala möjligheter för att undvika att skapa ytterligare administrativa bördor för byråerna.</w:t>
            </w:r>
          </w:p>
        </w:tc>
        <w:tc>
          <w:tcPr>
            <w:tcW w:w="4876" w:type="dxa"/>
            <w:tcBorders>
              <w:top w:val="nil"/>
              <w:left w:val="nil"/>
              <w:bottom w:val="nil"/>
              <w:right w:val="nil"/>
            </w:tcBorders>
          </w:tcPr>
          <w:p>
            <w:pPr>
              <w:pStyle w:val="Normal6a"/>
            </w:pPr>
            <w:r>
              <w:t>7.</w:t>
            </w:r>
            <w:r>
              <w:tab/>
            </w:r>
            <w:r>
              <w:t xml:space="preserve">Europaparlamentet konstaterar att de decentraliserade byråerna är olika utsatta för lobbyrisker beroende på deras mandat och operativa sammanhang. Parlamentet framhåller att nuvarande praxis för att säkerställa transparens också skiljer sig åt. Parlamentet noterar till exempel att eu-Lisa har ett särskilt öppenhetsregister på sin webbplats som omfattar alla möten mellan byråns högsta ledning och ekonomiska aktörer, att Frontex på sin webbplats tillhandahåller ett register med information om möten som är specifikt kopplade till upphandlingsrelaterade frågor och att Echa offentliggör information om de möten som högre chefer håller med externa intressentorganisationer. Parlamentet anser att även om en modell som passar alla varken skulle vara proportionerlig eller operativt meningsfull, skulle fastställandet av gemensamma miniminormer öka samstämmigheten. Parlamentet noterar byråernas svar under den föregående ansvarsfrihetscykeln, inbegripet deras varierande användning av öppenhetsregistret och det faktum att flera byråer redan har infört interna öppenhetsregister eller system för intressekonflikter som är anpassade till deras mandat. Parlamentet uppmanar byråerna att anta minimistandarder såsom genomförandet av fyra ögon-principen, en tydlig strategi för uppförandekoden med tydliga regler för att undvika intressekonflikter och genomförandet av särskilda interna öppenhetsregister med tydliga standarder som återspeglar byråns mandat och relevanta dataskyddsregler. Parlamentet framhåller att öppenhetsregister bör vara tillgängliga för revisorer från fall till fall. Parlamentet anser att genomförandet bör vara progressivt och ta hänsyn till nya digitala möjligheter för att undvika att skapa ytterligare administrativa bördor för byråerna. </w:t>
            </w:r>
            <w:r>
              <w:rPr>
                <w:b/>
                <w:i/>
              </w:rPr>
              <w:t>Parlamentet noterar dock att en begränsning av transparensupplysningarna vid Frontex främst till upphandlingsrelaterade möten inte säkerställer en heltäckande offentlig ansvarsskyldighet, särskilt med tanke på byråns operativa verksamhet.</w:t>
            </w:r>
            <w:r>
              <w:t xml:space="preserve"> </w:t>
            </w:r>
            <w:r>
              <w:rPr>
                <w:b/>
                <w:i/>
              </w:rPr>
              <w:t>Parlamentet efterlyser en bredare och mer proaktiv praxis i fråga om transparens, inbegripet rättidig tillgång till handlingar och information som är relevant för det operativa beslutsfattandet.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kräver full transparens i byråernas kontakter med militanta icke-statliga organisationer eller intressegrupper.</w:t>
            </w:r>
            <w:r>
              <w:t xml:space="preserve"> </w:t>
            </w:r>
            <w:r>
              <w:rPr>
                <w:b/>
                <w:i/>
              </w:rPr>
              <w:t>Parlamentet uppmanar byråerna att systematiskt offentliggöra förteckningen över sina möten med samtalspartner som inte tillhör EU-institutionerna eller medlemsstaterna och de bidrag som mottagits.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w:t>
            </w:r>
            <w:r>
              <w:rPr>
                <w:b/>
                <w:i/>
              </w:rPr>
              <w:t>noterar att även om könsfördelningen i unionens decentraliserade byråer håller på att förbättras kvarstår betydande skillnader.</w:t>
            </w:r>
            <w:r>
              <w:t xml:space="preserve"> </w:t>
            </w:r>
            <w:r>
              <w:rPr>
                <w:b/>
                <w:i/>
              </w:rPr>
              <w:t>Parlamentet framhåller att vissa byråer, såsom Acer, Easa, ERA, eu-Lisa och Europol, har en högre andel manliga anställda, medan byråer som CdT, Efsa, EMA, ETF och Eurojust har fler kvinnliga anställda.</w:t>
            </w:r>
            <w:r>
              <w:t xml:space="preserve"> </w:t>
            </w:r>
            <w:r>
              <w:rPr>
                <w:b/>
                <w:i/>
              </w:rPr>
              <w:t>Parlamentet noterar att procentandelen ofta är sektorsspecifik, där män dominerar it-relaterade och brottsbekämpande roller, och kvinnor är vanligare inom utbildningssektorn och hälso- och sjukvårdssektorn.</w:t>
            </w:r>
            <w:r>
              <w:t xml:space="preserve"> </w:t>
            </w:r>
            <w:r>
              <w:rPr>
                <w:b/>
                <w:i/>
              </w:rPr>
              <w:t>Parlamentet påminner om att unionens åtagande att främja jämställdhet i ledande befattningar fortfarande inte har förverkligats fullt ut. Parlamentet betonar att kommissionens insatser i detta avseende bör förbättras.</w:t>
            </w:r>
            <w:r>
              <w:t xml:space="preserve"> </w:t>
            </w:r>
            <w:r>
              <w:rPr>
                <w:b/>
                <w:i/>
              </w:rPr>
              <w:t>Parlamentet</w:t>
            </w:r>
            <w:r>
              <w:t xml:space="preserve"> påminner om att det i förordning (EEG, Euratom, EKSG) nr 259/68 (tjänsteföreskrifterna</w:t>
            </w:r>
            <w:r>
              <w:rPr>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c>
          <w:tcPr>
            <w:tcW w:w="4876" w:type="dxa"/>
            <w:tcBorders>
              <w:top w:val="nil"/>
              <w:left w:val="nil"/>
              <w:bottom w:val="nil"/>
              <w:right w:val="nil"/>
            </w:tcBorders>
          </w:tcPr>
          <w:p>
            <w:pPr>
              <w:pStyle w:val="Normal6a"/>
            </w:pPr>
            <w:r>
              <w:t>8.</w:t>
            </w:r>
            <w:r>
              <w:tab/>
            </w:r>
            <w:r>
              <w:t>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påminner om att det i förordning (EEG, Euratom, EKSG) nr 259/68 (tjänsteföreskrifterna</w:t>
            </w:r>
            <w:r>
              <w:rPr>
                <w:vertAlign w:val="superscript"/>
              </w:rPr>
              <w:t>3</w:t>
            </w:r>
            <w:r>
              <w:t xml:space="preserve">) anges att rekryteringen också bör baseras på </w:t>
            </w:r>
            <w:r>
              <w:rPr>
                <w:b/>
                <w:i/>
              </w:rPr>
              <w:t>meriter och</w:t>
            </w:r>
            <w:r>
              <w:t xml:space="preserve">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r>
              <w:rPr>
                <w:b/>
                <w:i/>
              </w:rPr>
              <w:t>).</w:t>
            </w:r>
          </w:p>
        </w:tc>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w:t>
            </w:r>
            <w:r>
              <w:rPr>
                <w:b/>
                <w:i/>
              </w:rPr>
              <w:t>noterar att procentandelen ofta är sektorsspecifik, där män dominerar it-relaterade och brottsbekämpande roller, och kvinnor är vanligare inom utbildningssektorn och hälso- och sjukvårdssektorn.</w:t>
            </w:r>
            <w:r>
              <w:t xml:space="preserve"> </w:t>
            </w:r>
            <w:r>
              <w:rPr>
                <w:b/>
                <w:i/>
              </w:rPr>
              <w:t>Parlamentet påminner om</w:t>
            </w:r>
            <w:r>
              <w:t xml:space="preserve">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Pr>
                <w:b/>
                <w:i/>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c>
          <w:tcPr>
            <w:tcW w:w="4876" w:type="dxa"/>
            <w:tcBorders>
              <w:top w:val="nil"/>
              <w:left w:val="nil"/>
              <w:bottom w:val="nil"/>
              <w:right w:val="nil"/>
            </w:tcBorders>
          </w:tcPr>
          <w:p>
            <w:pPr>
              <w:pStyle w:val="Normal6a"/>
            </w:pPr>
            <w:r>
              <w:t>8.</w:t>
            </w:r>
            <w:r>
              <w:tab/>
            </w:r>
            <w:r>
              <w:t xml:space="preserve">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w:t>
            </w:r>
            <w:r>
              <w:rPr>
                <w:b/>
                <w:i/>
              </w:rPr>
              <w:t>beklagar</w:t>
            </w:r>
            <w:r>
              <w:t xml:space="preserve">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Pr>
                <w:b/>
                <w:i/>
              </w:rPr>
              <w:t>[1]</w:t>
            </w:r>
            <w:r>
              <w:t xml:space="preserve">) anges att rekryteringen </w:t>
            </w:r>
            <w:r>
              <w:rPr>
                <w:b/>
                <w:i/>
              </w:rPr>
              <w:t>bör ske på grundval av objektiva, transparenta och meritbaserade kriterier och</w:t>
            </w:r>
            <w:r>
              <w:t xml:space="preserve">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w:t>
            </w:r>
            <w:r>
              <w:t xml:space="preserve"> </w:t>
            </w:r>
            <w:r>
              <w:rPr>
                <w:b/>
                <w:i/>
              </w:rPr>
              <w:t>1, ELI: http://data.europa.eu/eli/reg/1968/259(1)/oj.).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noterar att procentandelen ofta är sektorsspecifik, där män dominerar it-relaterade och brottsbekämpande roller, och kvinnor är vanligare inom utbildningssektorn och hälso- och sjukvårdssektorn. Parlamentet påminner om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Pr>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c>
          <w:tcPr>
            <w:tcW w:w="4876" w:type="dxa"/>
            <w:tcBorders>
              <w:top w:val="nil"/>
              <w:left w:val="nil"/>
              <w:bottom w:val="nil"/>
              <w:right w:val="nil"/>
            </w:tcBorders>
          </w:tcPr>
          <w:p>
            <w:pPr>
              <w:pStyle w:val="Normal6a"/>
            </w:pPr>
            <w:r>
              <w:t>8.</w:t>
            </w:r>
            <w:r>
              <w:tab/>
            </w:r>
            <w:r>
              <w:t xml:space="preserve">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noterar att procentandelen ofta är sektorsspecifik, där män dominerar it-relaterade och brottsbekämpande roller, och kvinnor är vanligare inom utbildningssektorn och hälso- och sjukvårdssektorn. Parlamentet påminner om att unionens åtagande att främja jämställdhet i ledande befattningar fortfarande inte har förverkligats fullt ut. Parlamentet betonar att kommissionens insatser i detta avseende bör förbättras. Parlamentet </w:t>
            </w:r>
            <w:r>
              <w:rPr>
                <w:b/>
                <w:i/>
              </w:rPr>
              <w:t>uppmanar byråerna att anta korrigerande strategier, inbegripet transparenta befordringsförfaranden och riktad ledarskapsutveckling som syftar till att förbättra könsfördelningen.</w:t>
            </w:r>
            <w:r>
              <w:t xml:space="preserve"> </w:t>
            </w:r>
            <w:r>
              <w:rPr>
                <w:b/>
                <w:i/>
              </w:rPr>
              <w:t>Parlamentet</w:t>
            </w:r>
            <w:r>
              <w:t xml:space="preserve"> påminner om att det i förordning (EEG, Euratom, EKSG) nr 259/68 (tjänsteföreskrifterna</w:t>
            </w:r>
            <w:r>
              <w:rPr>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r>
              <w:rPr>
                <w:b/>
                <w:i/>
              </w:rPr>
              <w:t>).</w:t>
            </w:r>
          </w:p>
        </w:tc>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noterar att procentandelen ofta är sektorsspecifik, där män dominerar it-relaterade och brottsbekämpande roller, och kvinnor är vanligare inom utbildningssektorn och hälso- och sjukvårdssektorn. Parlamentet påminner om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Pr>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c>
          <w:tcPr>
            <w:tcW w:w="4876" w:type="dxa"/>
            <w:tcBorders>
              <w:top w:val="nil"/>
              <w:left w:val="nil"/>
              <w:bottom w:val="nil"/>
              <w:right w:val="nil"/>
            </w:tcBorders>
          </w:tcPr>
          <w:p>
            <w:pPr>
              <w:pStyle w:val="Normal6a"/>
            </w:pPr>
            <w:r>
              <w:t>8.</w:t>
            </w:r>
            <w:r>
              <w:tab/>
            </w:r>
            <w:r>
              <w:t>Europaparlamentet noterar att de 33 decentraliserade byråerna rapporterade att de 2024 hade totalt 11 491 anställda (jämfört med 10 580 under 2023), bestående av tjänstemän, tillfälligt anställda, kontraktsanställda och utstationerade nationella experter, vilket motsvarar en ökning med 8,61 % jämfört med 2023</w:t>
            </w:r>
            <w:r>
              <w:rPr>
                <w:b/>
                <w:i/>
              </w:rPr>
              <w:t>.</w:t>
            </w:r>
            <w:r>
              <w:t xml:space="preserve"> </w:t>
            </w:r>
            <w:r>
              <w:rPr>
                <w:b/>
                <w:i/>
              </w:rPr>
              <w:t>Parlamentet beklagar denna betydande ökning som leder till ytterligare personalkostnader, i en tid när européerna lider av inflation och stigande levnadskostnader</w:t>
            </w:r>
            <w:r>
              <w:t>. Parlamentet noterar att även om könsfördelningen i unionens decentraliserade byråer håller på att förbättras kvarstår betydande skillnader. Parlamentet framhåller att vissa byråer, såsom Acer, Easa, ERA, eu-Lisa och Europol, har en högre andel manliga anställda, medan byråer som CdT, Efsa, EMA, ETF och Eurojust har fler kvinnliga anställda. Parlamentet noterar att procentandelen ofta är sektorsspecifik, där män dominerar it-relaterade och brottsbekämpande roller, och kvinnor är vanligare inom utbildningssektorn och hälso- och sjukvårdssektorn. Parlamentet påminner om att unionens åtagande att främja jämställdhet i ledande befattningar fortfarande inte har förverkligats fullt ut. Parlamentet betonar att kommissionens insatser i detta avseende bör förbättras. Parlamentet påminner om att det i förordning (EEG, Euratom, EKSG) nr 259/68 (tjänsteföreskrifterna</w:t>
            </w:r>
            <w:r>
              <w:rPr>
                <w:vertAlign w:val="superscript"/>
              </w:rPr>
              <w:t>3</w:t>
            </w:r>
            <w:r>
              <w:t>) anges att rekryteringen också bör baseras på bredast möjliga geografiska balans bland EU:s medlemsstater. Parlamentet noterar att det finns en naturlig tendens till en högre andel personal från den medlemsstat där byrån är belägen. Parlamentet påminner om att byråerna i länder med relativt låg korrigeringskoefficient står inför ständiga utmaningar när det gäller att locka kvalificerad och geografiskt diversifierad personal.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r>
              <w:rPr>
                <w:b/>
                <w:i/>
              </w:rPr>
              <w:t>).</w:t>
            </w:r>
          </w:p>
        </w:tc>
        <w:tc>
          <w:tcPr>
            <w:tcW w:w="4876" w:type="dxa"/>
            <w:tcBorders>
              <w:top w:val="nil"/>
              <w:left w:val="nil"/>
              <w:bottom w:val="nil"/>
              <w:right w:val="nil"/>
            </w:tcBorders>
          </w:tcPr>
          <w:p>
            <w:pPr>
              <w:pStyle w:val="Normal6a"/>
            </w:pPr>
            <w:r>
              <w:rPr>
                <w:vertAlign w:val="superscript"/>
              </w:rPr>
              <w:t>3</w:t>
            </w:r>
            <w:r>
              <w:t xml:space="preserve"> </w:t>
            </w:r>
            <w:r>
              <w:t>Rådets förordning (EEG, Euratom, EKSG) nr 259/68 av den 29 februari 1968 om fastställande av tjänsteföreskrifter för tjänstemännen i Europeiska gemenskaperna och anställningsvillkor för övriga anställda i dessa gemenskaper samt om införande av särskilda tillfälliga åtgärder beträffande kommissionens tjänstemän (EGT L 56, 4.3.1968, s. 1, ELI: http://data.europa.</w:t>
            </w:r>
            <w:r>
              <w:rPr>
                <w:b/>
                <w:i/>
              </w:rPr>
              <w:t>eu/eli/reg/1968/259(1)/oj)</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noterar det ökande antalet anställda vid dessa byråer och efterlyser en ökning av deras budgetar.</w:t>
            </w:r>
            <w:r>
              <w:t xml:space="preserve"> </w:t>
            </w:r>
            <w:r>
              <w:rPr>
                <w:b/>
                <w:i/>
              </w:rPr>
              <w:t> Parlamentet påminner dock om att eventuella framtida justeringar av finansiering eller personal måste baseras på påvisbara effektivitetsvinster, transparenta resultatindikatorer och mätbara operativa resultat.</w:t>
            </w:r>
            <w:r>
              <w:t xml:space="preserve"> </w:t>
            </w:r>
            <w:r>
              <w:rPr>
                <w:b/>
                <w:i/>
              </w:rPr>
              <w:t>Parlamentet understryker att ökade resurser inte bör leda till ökad administration eller dubblering av funktioner som redan utövas av nationella myndigheter.</w:t>
            </w:r>
            <w:r>
              <w:t xml:space="preserve"> </w:t>
            </w:r>
            <w:r>
              <w:rPr>
                <w:b/>
                <w:i/>
              </w:rPr>
              <w:t>Parlamentet betonar behovet av att upprätthålla en smidig och resultatinriktad struktur som är förenlig med varje enskild byrås begränsade mandat enligt unionsrätten.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uppmuntrar byråerna att integrera tydliga mål för en jämn könsfördelning i sina personalstrategier.</w:t>
            </w:r>
            <w:r>
              <w:t xml:space="preserve"> </w:t>
            </w:r>
            <w:r>
              <w:rPr>
                <w:b/>
                <w:i/>
              </w:rPr>
              <w:t>Parlamentet uppmanar byråerna att se till att urvalskommittéerna för chefstjänster har en jämn könsfördelning och arbetar enligt tydliga, meritbaserade kriterier.</w:t>
            </w:r>
            <w:r>
              <w:t xml:space="preserve"> </w:t>
            </w:r>
            <w:r>
              <w:rPr>
                <w:b/>
                <w:i/>
              </w:rPr>
              <w:t>Parlamentet uppmanar kommissionen och EU-byråernas nätverk att utveckla gemensam bästa praxis och riktmärkningsverktyg för att hjälpa byråerna att uppnå en hållbar könsfördelning även när det gäller ledande befattningar.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noterar att personalomsättningen 2024 översteg 5 % vid 16 av 33 byråer (nämligen Berecbyrån, CdT, Cedefop, Cepol, ECDC, EEA, Europeiska arbetsmyndigheten, eu-Lisa, EU-Osha, Eurofound, Eurojust, Europol, FRA) och att två av dem överskred 10 % (EIT och ETF). Parlamentet lovordar de byråer som har vidtagit riktade åtgärder för att förhindra en hög personalomsättning. Parlamentet uppmanar kommissionen och medlemsstaterna att tillåta fler kontraktsanställda under längre perioder eller tillåta ett större antal tillfälligt anställda för att garantera bättre kontinuitet och bevarande av kunskaper.</w:t>
            </w:r>
          </w:p>
        </w:tc>
        <w:tc>
          <w:tcPr>
            <w:tcW w:w="4876" w:type="dxa"/>
            <w:tcBorders>
              <w:top w:val="nil"/>
              <w:left w:val="nil"/>
              <w:bottom w:val="nil"/>
              <w:right w:val="nil"/>
            </w:tcBorders>
          </w:tcPr>
          <w:p>
            <w:pPr>
              <w:pStyle w:val="Normal6a"/>
            </w:pPr>
            <w:r>
              <w:t>9.</w:t>
            </w:r>
            <w:r>
              <w:tab/>
            </w:r>
            <w:r>
              <w:t xml:space="preserve">Europaparlamentet noterar att personalomsättningen 2024 översteg 5 % vid 16 av 33 byråer (nämligen Berecbyrån, CdT, Cedefop, Cepol, ECDC, EEA, Europeiska arbetsmyndigheten, eu-Lisa, EU-Osha, Eurofound, Eurojust, Europol, FRA) och att två av dem överskred 10 % (EIT och ETF). Parlamentet lovordar de byråer som har vidtagit riktade åtgärder för att förhindra en hög personalomsättning. Parlamentet uppmanar kommissionen och medlemsstaterna att tillåta fler kontraktsanställda under längre perioder eller tillåta ett större antal tillfälligt anställda för att garantera bättre kontinuitet och bevarande av kunskaper. </w:t>
            </w:r>
            <w:r>
              <w:rPr>
                <w:b/>
                <w:i/>
              </w:rPr>
              <w:t>Parlamentet betonar att styrelserna har ett kollektivt ansvar för byråernas integritet, ansvarsskyldighet och korrekta funktion.</w:t>
            </w:r>
            <w:r>
              <w:t xml:space="preserve"> </w:t>
            </w:r>
            <w:r>
              <w:rPr>
                <w:b/>
                <w:i/>
              </w:rPr>
              <w:t>Parlamentet beklagar fall där styrelser inte har agerat beslutsamt när det gäller allvarliga iakttagelser och efterlyser ökad insyn i styrelsens överläggningar för den ansvarsfrihetsbeviljande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anser att höga nivåer av utbrändhet, personalomsättning och osäkra anställningar utgör en strukturell risk för den institutionella integriteten, interna kontroller och visselblåsning, och därmed för en sund ekonomisk förvaltning.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Europaparlamentet välkomnar att de flesta byråer under 2024 antog och genomförde stadgan om mångfald och inkludering</w:t>
            </w:r>
            <w:r>
              <w:rPr>
                <w:b/>
                <w:i/>
                <w:vertAlign w:val="superscript"/>
              </w:rPr>
              <w:t>4</w:t>
            </w:r>
            <w:r>
              <w:rPr>
                <w:b/>
                <w:i/>
              </w:rPr>
              <w:t>, som främjar likabehandling, mångfald och inkludering på arbetsplatsen och i det sociala livet.</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https://agencies-network.europa.eu/document/download/04667fb8-be05-4818-9f62-0cb99f0c5538_en?filename=EUAN%20WG%25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välkomnar att de flesta byråer under 2024 antog och genomförde stadgan om mångfald och inkludering</w:t>
            </w:r>
            <w:r>
              <w:rPr>
                <w:vertAlign w:val="superscript"/>
              </w:rPr>
              <w:t>4</w:t>
            </w:r>
            <w:r>
              <w:t>, som främjar likabehandling, mångfald och inkludering på arbetsplatsen och i det sociala livet.</w:t>
            </w:r>
          </w:p>
        </w:tc>
        <w:tc>
          <w:tcPr>
            <w:tcW w:w="4876" w:type="dxa"/>
            <w:tcBorders>
              <w:top w:val="nil"/>
              <w:left w:val="nil"/>
              <w:bottom w:val="nil"/>
              <w:right w:val="nil"/>
            </w:tcBorders>
          </w:tcPr>
          <w:p>
            <w:pPr>
              <w:pStyle w:val="Normal6a"/>
            </w:pPr>
            <w:r>
              <w:t>10.</w:t>
            </w:r>
            <w:r>
              <w:tab/>
            </w:r>
            <w:r>
              <w:t>Europaparlamentet välkomnar att de flesta byråer under 2024 antog och genomförde stadgan om mångfald och inkludering</w:t>
            </w:r>
            <w:r>
              <w:rPr>
                <w:vertAlign w:val="superscript"/>
              </w:rPr>
              <w:t>4</w:t>
            </w:r>
            <w:r>
              <w:t xml:space="preserve">, som främjar likabehandling, mångfald och inkludering på arbetsplatsen och i det sociala livet. </w:t>
            </w:r>
            <w:r>
              <w:rPr>
                <w:b/>
                <w:i/>
              </w:rPr>
              <w:t>Parlamentet uppmanar med kraft de byråer som ännu inte har gjort det att överväga att utan dröjsmål gå vidare med antagandet och genomförandet.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c>
          <w:tcPr>
            <w:tcW w:w="4876" w:type="dxa"/>
            <w:tcBorders>
              <w:top w:val="nil"/>
              <w:left w:val="nil"/>
              <w:bottom w:val="nil"/>
              <w:right w:val="nil"/>
            </w:tcBorders>
          </w:tcPr>
          <w:p>
            <w:pPr>
              <w:pStyle w:val="Normal6a"/>
            </w:pPr>
            <w:r>
              <w:rPr>
                <w:vertAlign w:val="superscript"/>
              </w:rPr>
              <w:t>4</w:t>
            </w:r>
            <w:r>
              <w:t xml:space="preserve"> </w:t>
            </w:r>
            <w:r>
              <w:t>https://agencies-network.europa.eu/document/download/04667fb8-be05-4818-9f62-0cb99f0c5538_en?filename=EUAN%20WG%25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framhåller att inrättandet av en effektiv klagomålsmekanism för personal vid unionens decentraliserade byråer kräver en kombination av starka konfidentialitetsgarantier, inbegripet anonyma rapporteringskanaler, med tydliga, harmoniserade förfaranden som är anpassade till tjänsteföreskrifterna och kommuniceras genom regelbunden personalutbildning. Parlamentet anser att byråerna bör utse oberoende och professionellt utbildade etik- eller klagomålsansvariga, eller använda gemensamma interinstitutionella strukturer för små byråer, för att säkerställa opartisk hantering av begäranden enligt artikel 90 i tjänsteföreskrifterna, rapporter om trakasserier, intressekonflikter och avslöjanden av missförhållanden. Parlamentet uppmanar byråerna att säkerställa </w:t>
            </w:r>
            <w:r>
              <w:rPr>
                <w:b/>
                <w:i/>
              </w:rPr>
              <w:t>att personalen har tillgång till ett externt upptrappningsförfarande och ett robust</w:t>
            </w:r>
            <w:r>
              <w:t xml:space="preserve"> skydd mot repressalier </w:t>
            </w:r>
            <w:r>
              <w:rPr>
                <w:b/>
                <w:i/>
              </w:rPr>
              <w:t>genom systematiska uppföljningskontroller, förbättrad transparens genom anonymiserade årliga rapporter om klagomål och resultat och ökad opartiskhet genom användning av myndighetsövergripande utredningsorgan för känsliga fall</w:t>
            </w:r>
            <w:r>
              <w:t xml:space="preserve">. </w:t>
            </w:r>
            <w:r>
              <w:rPr>
                <w:b/>
                <w:i/>
              </w:rPr>
              <w:t>Parlamentet efterlyser skyddsmekanismer mot falska anklagelser och anmälningar.</w:t>
            </w:r>
          </w:p>
        </w:tc>
        <w:tc>
          <w:tcPr>
            <w:tcW w:w="4876" w:type="dxa"/>
            <w:tcBorders>
              <w:top w:val="nil"/>
              <w:left w:val="nil"/>
              <w:bottom w:val="nil"/>
              <w:right w:val="nil"/>
            </w:tcBorders>
          </w:tcPr>
          <w:p>
            <w:pPr>
              <w:pStyle w:val="Normal6a"/>
            </w:pPr>
            <w:r>
              <w:t>11.</w:t>
            </w:r>
            <w:r>
              <w:tab/>
            </w:r>
            <w:r>
              <w:t xml:space="preserve">Europaparlamentet framhåller att inrättandet av en effektiv klagomålsmekanism för personal vid unionens decentraliserade byråer kräver en kombination av starka konfidentialitetsgarantier, inbegripet anonyma rapporteringskanaler, med tydliga, harmoniserade förfaranden som är anpassade till tjänsteföreskrifterna och kommuniceras genom regelbunden </w:t>
            </w:r>
            <w:r>
              <w:rPr>
                <w:b/>
                <w:i/>
              </w:rPr>
              <w:t>obligatorisk</w:t>
            </w:r>
            <w:r>
              <w:t xml:space="preserve"> personalutbildning. Parlamentet anser att byråerna bör utse oberoende och professionellt utbildade etik- eller klagomålsansvariga, eller använda gemensamma interinstitutionella strukturer för små byråer, för att säkerställa opartisk hantering av begäranden enligt artikel 90 i tjänsteföreskrifterna, rapporter om trakasserier, intressekonflikter och avslöjanden av missförhållanden. Parlamentet uppmanar byråerna att säkerställa </w:t>
            </w:r>
            <w:r>
              <w:rPr>
                <w:b/>
                <w:i/>
              </w:rPr>
              <w:t>ett starkt, oberoende och effektivt skydd för visselblåsare, inbegripet</w:t>
            </w:r>
            <w:r>
              <w:t xml:space="preserve"> skydd mot </w:t>
            </w:r>
            <w:r>
              <w:rPr>
                <w:b/>
                <w:i/>
              </w:rPr>
              <w:t>alla former av</w:t>
            </w:r>
            <w:r>
              <w:t xml:space="preserve"> repressalier.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noterar den viktiga roll som EU-byråernas nätverk och särskilt dess rådgivande kommitté för IKT spelar när det gäller att stödja byråernas beredskap för genomförandet av cybersäkerhetsförordningen genom förbättrad samordning, kunskapsutbyte och samarbete med GD DIGIT, CERT-EU och den interinstitutionella kommittén för digital omställning. Parlamentet uppmanar EU-byråernas nätverk och den rådgivande kommittén för IKT att tillhandahålla omfattande och regelbunden information om läget i genomförandet i alla decentraliserade byråer, inbegripet gemensamma utmaningar, identifierade risker, resursbehov och planerade begränsningsåtgärder, för att möjliggöra effektiv tillsyn.</w:t>
            </w:r>
          </w:p>
        </w:tc>
        <w:tc>
          <w:tcPr>
            <w:tcW w:w="4876" w:type="dxa"/>
            <w:tcBorders>
              <w:top w:val="nil"/>
              <w:left w:val="nil"/>
              <w:bottom w:val="nil"/>
              <w:right w:val="nil"/>
            </w:tcBorders>
          </w:tcPr>
          <w:p>
            <w:pPr>
              <w:pStyle w:val="Normal6a"/>
            </w:pPr>
            <w:r>
              <w:t>12.</w:t>
            </w:r>
            <w:r>
              <w:tab/>
            </w:r>
            <w:r>
              <w:t xml:space="preserve">Europaparlamentet noterar den viktiga roll som EU-byråernas nätverk och särskilt dess rådgivande kommitté för IKT spelar när det gäller att stödja byråernas beredskap för genomförandet av cybersäkerhetsförordningen genom förbättrad samordning, kunskapsutbyte och samarbete med GD DIGIT, CERT-EU och den interinstitutionella kommittén för digital omställning. Parlamentet uppmanar EU-byråernas nätverk och den rådgivande kommittén för IKT att tillhandahålla omfattande och regelbunden information om läget i genomförandet i alla decentraliserade byråer, inbegripet gemensamma utmaningar, identifierade risker, resursbehov och planerade begränsningsåtgärder, för att möjliggöra effektiv tillsyn. </w:t>
            </w:r>
            <w:r>
              <w:rPr>
                <w:b/>
                <w:i/>
              </w:rPr>
              <w:t>Parlamentet betonar behovet av robusta och förstärkta cybersäkerhetsåtgärder för att säkerställa resiliens mot föränderliga hot.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betonar den ökade användningen av verktyg för artificiell intelligens och de möjligheter som dessa erbjuder, men även deras finansiella och operativa risker.</w:t>
            </w:r>
            <w:r>
              <w:t xml:space="preserve"> </w:t>
            </w:r>
            <w:r>
              <w:rPr>
                <w:b/>
                <w:i/>
              </w:rPr>
              <w:t>Parlamentet uppmanar byråerna att inrätta strukturerade riskbedömningar för AI-stödda processer, särskilt när funktioner för ekonomisk förvaltning, upphandling eller beslutsfattande påverkas.</w:t>
            </w:r>
            <w:r>
              <w:t xml:space="preserve"> </w:t>
            </w:r>
            <w:r>
              <w:rPr>
                <w:b/>
                <w:i/>
              </w:rPr>
              <w:t>Parlamentet uppmuntrar byråerna att säkerställa transparens i användningen av AI-verktyg, inbegripet dokumentation av beslutslogik, mekanismer för mänsklig tillsyn och möjligheten att granska automatiserade processer.</w:t>
            </w:r>
            <w:r>
              <w:t xml:space="preserve"> </w:t>
            </w:r>
            <w:r>
              <w:rPr>
                <w:b/>
                <w:i/>
              </w:rPr>
              <w:t>Parlamentet betonar behovet av att säkerställa att användningen av AI förblir helt anpassad till unionens skyldigheter i fråga om dataskydd och cybersäkerhet.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betonar vikten av att ta fram tydliga, robusta och meningsfulla nyckelprestationsindikatorer i EU-byråernas årliga verksamhetsrapporter, eftersom dessa rapporter utgör en primär informationskälla för externa användare. Parlamentet noterar att </w:t>
            </w:r>
            <w:r>
              <w:rPr>
                <w:b/>
                <w:i/>
              </w:rPr>
              <w:t>vissa</w:t>
            </w:r>
            <w:r>
              <w:t xml:space="preserve"> system för nyckelprestationsindikatorer </w:t>
            </w:r>
            <w:r>
              <w:rPr>
                <w:b/>
                <w:i/>
              </w:rPr>
              <w:t>ofta saknar kontinuitet, standardisering, operativt djup, dokumenterade metoder för urval, uppdatering och eliminering av nyckelprestationsindikatorer, transparens, jämförbarhet och flerårig spårning, vilket minskar jämförbarheten och de externa användarnas förmåga att</w:t>
            </w:r>
            <w:r>
              <w:t xml:space="preserve"> objektivt </w:t>
            </w:r>
            <w:r>
              <w:rPr>
                <w:b/>
                <w:i/>
              </w:rPr>
              <w:t>bedöma prestationerna</w:t>
            </w:r>
            <w:r>
              <w:t xml:space="preserve">. Parlamentet understryker att nyckelprestationsindikatorer bör rationaliseras och </w:t>
            </w:r>
            <w:r>
              <w:rPr>
                <w:b/>
                <w:i/>
              </w:rPr>
              <w:t>utformas väl,</w:t>
            </w:r>
            <w:r>
              <w:t xml:space="preserve"> bygga på SMART-principer och tillämpas konsekvent under alla rapporteringscykler, vilket är avgörande för att utvärdera effektivitet, ändamålsenlighet och framsteg mot strategiska mål.</w:t>
            </w:r>
          </w:p>
        </w:tc>
        <w:tc>
          <w:tcPr>
            <w:tcW w:w="4876" w:type="dxa"/>
            <w:tcBorders>
              <w:top w:val="nil"/>
              <w:left w:val="nil"/>
              <w:bottom w:val="nil"/>
              <w:right w:val="nil"/>
            </w:tcBorders>
          </w:tcPr>
          <w:p>
            <w:pPr>
              <w:pStyle w:val="Normal6a"/>
            </w:pPr>
            <w:r>
              <w:t>13.</w:t>
            </w:r>
            <w:r>
              <w:tab/>
            </w:r>
            <w:r>
              <w:t xml:space="preserve">Europaparlamentet betonar vikten av att ta fram tydliga, robusta och meningsfulla nyckelprestationsindikatorer i EU-byråernas årliga verksamhetsrapporter, eftersom dessa rapporter utgör en primär informationskälla för externa användare. Parlamentet noterar att </w:t>
            </w:r>
            <w:r>
              <w:rPr>
                <w:b/>
                <w:i/>
              </w:rPr>
              <w:t>huvudsyftet med ett robust</w:t>
            </w:r>
            <w:r>
              <w:t xml:space="preserve"> system för nyckelprestationsindikatorer </w:t>
            </w:r>
            <w:r>
              <w:rPr>
                <w:b/>
                <w:i/>
              </w:rPr>
              <w:t>är att bedöma resultaten på ett</w:t>
            </w:r>
            <w:r>
              <w:t xml:space="preserve"> objektivt </w:t>
            </w:r>
            <w:r>
              <w:rPr>
                <w:b/>
                <w:i/>
              </w:rPr>
              <w:t>sätt</w:t>
            </w:r>
            <w:r>
              <w:t>. Parlamentet understryker att nyckelprestationsindikatorer bör rationaliseras och bygga på SMART-principer och tillämpas konsekvent under alla rapporteringscykler, vilket är avgörande för att utvärdera effektivitet, ändamålsenlighet och framsteg mot strategiska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betonar vikten av att ta fram tydliga, robusta och meningsfulla nyckelprestationsindikatorer i EU-byråernas årliga verksamhetsrapporter, eftersom dessa rapporter utgör en primär informationskälla för externa användare. Parlamentet noterar att vissa system för nyckelprestationsindikatorer ofta saknar kontinuitet, standardisering, operativt djup, dokumenterade metoder för urval, uppdatering och eliminering av nyckelprestationsindikatorer, transparens, jämförbarhet och flerårig spårning, vilket minskar jämförbarheten och de externa användarnas förmåga att objektivt bedöma prestationerna. Parlamentet understryker att nyckelprestationsindikatorer bör rationaliseras och utformas väl, bygga på SMART-principer och tillämpas konsekvent under alla rapporteringscykler, vilket är avgörande för att utvärdera effektivitet, ändamålsenlighet och framsteg mot strategiska mål.</w:t>
            </w:r>
          </w:p>
        </w:tc>
        <w:tc>
          <w:tcPr>
            <w:tcW w:w="4876" w:type="dxa"/>
            <w:tcBorders>
              <w:top w:val="nil"/>
              <w:left w:val="nil"/>
              <w:bottom w:val="nil"/>
              <w:right w:val="nil"/>
            </w:tcBorders>
          </w:tcPr>
          <w:p>
            <w:pPr>
              <w:pStyle w:val="Normal6a"/>
            </w:pPr>
            <w:r>
              <w:t>13.</w:t>
            </w:r>
            <w:r>
              <w:tab/>
            </w:r>
            <w:r>
              <w:t xml:space="preserve">Europaparlamentet betonar vikten av att ta fram tydliga, robusta och meningsfulla nyckelprestationsindikatorer i EU-byråernas årliga verksamhetsrapporter, eftersom dessa rapporter utgör en primär informationskälla för externa användare. Parlamentet noterar att vissa system för nyckelprestationsindikatorer ofta saknar kontinuitet, standardisering, operativt djup, dokumenterade metoder för urval, uppdatering och eliminering av nyckelprestationsindikatorer, transparens, jämförbarhet och flerårig spårning, vilket minskar jämförbarheten och de externa användarnas förmåga att objektivt bedöma prestationerna. Parlamentet understryker att nyckelprestationsindikatorer bör rationaliseras och utformas väl, bygga på SMART-principer och tillämpas konsekvent under alla rapporteringscykler, vilket är avgörande för att utvärdera effektivitet, ändamålsenlighet och framsteg mot strategiska mål. </w:t>
            </w:r>
            <w:r>
              <w:rPr>
                <w:b/>
                <w:i/>
              </w:rPr>
              <w:t>Parlamentet betonar att en övergång från input-/verksamhetsrapportering till resultat- och effektinriktad rapportering bör minska den administrativa bördan för både revisorer och byråer genom en fokusering på väsentlighet och proportionalitet.</w:t>
            </w:r>
            <w:r>
              <w:t xml:space="preserve"> </w:t>
            </w:r>
            <w:r>
              <w:rPr>
                <w:b/>
                <w:i/>
              </w:rPr>
              <w:t>Parlamentet understryker att prestationsindikatorer uttryckligen måste härledas från målen för varje byrås ursprungliga mandat och fånga upp output, utfall och, framför allt, effekter.</w:t>
            </w:r>
            <w:r>
              <w:t xml:space="preserve"> </w:t>
            </w:r>
            <w:r>
              <w:rPr>
                <w:b/>
                <w:i/>
              </w:rPr>
              <w:t>Parlamentet uppmanar byråerna att inkludera kostnads-nyttoanalyser och transparent budgetering i sina ramar för prestation.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Europaparlamentet noterar i allmänhet en brist i byråernas interna kontroller och förfaranden, där vissa funktionsfel leder till utgifter som skulle gå att undvika.</w:t>
            </w:r>
            <w:r>
              <w:t xml:space="preserve"> </w:t>
            </w:r>
            <w:r>
              <w:rPr>
                <w:b/>
                <w:i/>
              </w:rPr>
              <w:t>Parlamentet kräver eftertryckligen att det görs en offentlig extern revision i syfte att föreslå förstärkta och effektiva harmoniserade interna kontrollregler för byråerna för att åtgärda brister i interna kontrollarrangemang, hantering av intressekonflikter, upphandling, personalprocesser och andra områden som upprepade gånger identifierats av revisionsrätten, för att på detta sätt skydda unionens ekonomiska intressen.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erkänner samarbetet med externa partner såsom Organisationen för ekonomiskt samarbete och utveckling och FN:s nätverk för strategisk planering för att modernisera metoderna för nyckelprestationsindikatorer. Parlamentet framhåller att vissa byråer, såsom Acer, Easa och ECDC, har utvecklat mer robusta och operativt relevanta indikatorer. Parlamentet uppmanar byråer med </w:t>
            </w:r>
            <w:r>
              <w:rPr>
                <w:b/>
                <w:i/>
              </w:rPr>
              <w:t>ineffektiva, icke kvantifierbara och icke mätbara</w:t>
            </w:r>
            <w:r>
              <w:t xml:space="preserve"> system för nyckelprestationsindikatorer att utnyttja dessa starkare modeller och att systematiskt utbyta bästa praxis genom EU-byråernas nätverk, i syfte att förbättra jämförbarheten, öka de årliga verksamhetsrapporternas användbarhet för externa användare och stärka byråernas övergripande prestationsbedömning.</w:t>
            </w:r>
          </w:p>
        </w:tc>
        <w:tc>
          <w:tcPr>
            <w:tcW w:w="4876" w:type="dxa"/>
            <w:tcBorders>
              <w:top w:val="nil"/>
              <w:left w:val="nil"/>
              <w:bottom w:val="nil"/>
              <w:right w:val="nil"/>
            </w:tcBorders>
          </w:tcPr>
          <w:p>
            <w:pPr>
              <w:pStyle w:val="Normal6a"/>
            </w:pPr>
            <w:r>
              <w:t>14.</w:t>
            </w:r>
            <w:r>
              <w:tab/>
            </w:r>
            <w:r>
              <w:t xml:space="preserve">Europaparlamentet erkänner samarbetet med externa partner såsom Organisationen för ekonomiskt samarbete och utveckling och FN:s nätverk för strategisk planering för att modernisera metoderna för nyckelprestationsindikatorer. Parlamentet framhåller att vissa byråer, såsom Acer, Easa och ECDC, har utvecklat mer robusta och operativt relevanta indikatorer. Parlamentet uppmanar byråer med </w:t>
            </w:r>
            <w:r>
              <w:rPr>
                <w:b/>
                <w:i/>
              </w:rPr>
              <w:t>mindre effektiva</w:t>
            </w:r>
            <w:r>
              <w:t xml:space="preserve"> system för nyckelprestationsindikatorer att utnyttja dessa starkare modeller och att systematiskt utbyta bästa praxis genom EU-byråernas nätverk, i syfte att förbättra jämförbarheten, öka de årliga verksamhetsrapporternas användbarhet för externa användare och stärka byråernas övergripande prestationsbedömning.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erkänner samarbetet med externa partner såsom Organisationen för ekonomiskt samarbete och utveckling och FN:s nätverk för strategisk planering för att modernisera metoderna för nyckelprestationsindikatorer. Parlamentet framhåller att vissa byråer, såsom Acer, Easa och ECDC, har utvecklat mer robusta och operativt relevanta indikatorer. Parlamentet uppmanar byråer med ineffektiva, icke kvantifierbara och icke mätbara system för nyckelprestationsindikatorer att utnyttja dessa starkare modeller och att systematiskt utbyta bästa praxis genom EU-byråernas nätverk, i syfte att förbättra jämförbarheten, öka de årliga verksamhetsrapporternas användbarhet för externa användare och stärka byråernas övergripande prestationsbedömning.</w:t>
            </w:r>
          </w:p>
        </w:tc>
        <w:tc>
          <w:tcPr>
            <w:tcW w:w="4876" w:type="dxa"/>
            <w:tcBorders>
              <w:top w:val="nil"/>
              <w:left w:val="nil"/>
              <w:bottom w:val="nil"/>
              <w:right w:val="nil"/>
            </w:tcBorders>
          </w:tcPr>
          <w:p>
            <w:pPr>
              <w:pStyle w:val="Normal6a"/>
            </w:pPr>
            <w:r>
              <w:t>14.</w:t>
            </w:r>
            <w:r>
              <w:tab/>
            </w:r>
            <w:r>
              <w:t xml:space="preserve">Europaparlamentet erkänner samarbetet med externa partner såsom Organisationen för ekonomiskt samarbete och utveckling och FN:s nätverk för strategisk planering för att modernisera metoderna för nyckelprestationsindikatorer. Parlamentet framhåller att vissa byråer, såsom Acer, Easa och ECDC, har utvecklat mer robusta och operativt relevanta indikatorer. Parlamentet uppmanar byråer med ineffektiva, icke kvantifierbara och icke mätbara system för nyckelprestationsindikatorer att utnyttja dessa starkare modeller och att systematiskt utbyta bästa praxis genom EU-byråernas nätverk, i syfte att förbättra jämförbarheten, öka de årliga verksamhetsrapporternas användbarhet för externa användare och stärka byråernas övergripande prestationsbedömning. </w:t>
            </w:r>
            <w:r>
              <w:rPr>
                <w:b/>
                <w:i/>
              </w:rPr>
              <w:t>Parlamentet uppmanar kommissionen att kräva att alla utvärderingar av byråerna enligt punkt 60 i den gemensamma ansatsen systematiskt bedömer valuta för pengarna och varje byrås mätbara inverkan på sitt politikområde, och att program eller verksamheter som inte har visat sig vara effektiva inom en rimlig tidsram avslutas, så att medel som omfördelas till effektivare åtgärder eller återförs till skattebetalarna när så är lämpligt.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uppmanar EU-byråernas nätverk att i samarbete med Europeiska revisionsrätten utveckla och senast i slutet av 2026 för den ansvarsfrihetsbeviljande myndigheten lägga fram en gemensam ram för att mäta byråernas resultat och samhällseffekter, med utgångspunkt i revisionsrättens rekommendation i särskild rapport nr 22/2020.</w:t>
            </w:r>
            <w:r>
              <w:t xml:space="preserve"> </w:t>
            </w:r>
            <w:r>
              <w:rPr>
                <w:b/>
                <w:i/>
              </w:rPr>
              <w:t>Parlamentet anser att denna ram för varje byrå bör innehålla en begränsad uppsättning resultat- och effektindikatorer som är direkt kopplade till dess inrättandemandat, och bör göra det möjligt för parlamentet och skattebetalarna att bedöma konkreta resultat för de resurser som använts.</w:t>
            </w:r>
            <w:r>
              <w:t xml:space="preserve"> </w:t>
            </w:r>
            <w:r>
              <w:rPr>
                <w:b/>
                <w:i/>
              </w:rPr>
              <w:t>Parlamentet vänder sig till EU-byråernas nätverk med frågan huruvida det planerar att införa en sådan gemensam ram och, om så är fallet, uppmanar nätverket att informera den ansvarsfrihetsbeviljande myndigheten om den förväntade tidsplanen och metoden.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uppmärksammar Europeiska byrån för bedrägeribekämpnings (Olaf) utredningar som berör flera byråer: Enisa (två ärenden 2024, ett pågående, ett avskrivet och ett rekryteringsärende 2025), eu-Lisa (undersökningar om intressekonflikter och upphandlingar), EIT (tre ärenden som avsåg KI-grupper avslutades med återkrav på 15–20 miljoner EUR), Frontex (åtta avslutade ärenden 2023–2024) och pågående utredningar vid Acer och EEA. Parlamentet uppmanar med kraft alla byråer att säkerställa ett fullständigt samarbete med Olaf, att stärka de interna kontrollerna, rekryterings- och upphandlingsgarantierna och att tillhandahålla ytterligare information till den ansvarsfrihetsbeviljande myndigheten så snart sekretessrestriktionerna har hävts.</w:t>
            </w:r>
          </w:p>
        </w:tc>
        <w:tc>
          <w:tcPr>
            <w:tcW w:w="4876" w:type="dxa"/>
            <w:tcBorders>
              <w:top w:val="nil"/>
              <w:left w:val="nil"/>
              <w:bottom w:val="nil"/>
              <w:right w:val="nil"/>
            </w:tcBorders>
          </w:tcPr>
          <w:p>
            <w:pPr>
              <w:pStyle w:val="Normal6a"/>
            </w:pPr>
            <w:r>
              <w:t>15.</w:t>
            </w:r>
            <w:r>
              <w:tab/>
            </w:r>
            <w:r>
              <w:t xml:space="preserve">Europaparlamentet uppmärksammar Europeiska byrån för bedrägeribekämpnings (Olaf) utredningar som berör flera byråer: Enisa (två ärenden 2024, ett pågående, ett avskrivet och ett rekryteringsärende 2025), eu-Lisa (undersökningar om intressekonflikter och upphandlingar), EIT (tre ärenden som avsåg KI-grupper avslutades med återkrav på 15–20 miljoner EUR), Frontex (åtta avslutade ärenden 2023–2024) och pågående utredningar vid Acer och EEA. Parlamentet uppmanar med kraft alla byråer att säkerställa ett fullständigt samarbete med Olaf, att stärka de interna kontrollerna, rekryterings- och upphandlingsgarantierna och att tillhandahålla ytterligare information till den ansvarsfrihetsbeviljande myndigheten så snart sekretessrestriktionerna har hävts. </w:t>
            </w:r>
            <w:r>
              <w:rPr>
                <w:b/>
                <w:i/>
              </w:rPr>
              <w:t>Parlamentet betonar att när det gäller Europeiska gräns- och kustbevakningsbyrån (Frontex) måste upprepade tidigare utredningar och resultat som rör efterlevnad av grundläggande rättigheter och bristande styrning beaktas vid bedömningen av byråns övergripande resultat och villkoren för tilldelning av budgetmedel.</w:t>
            </w:r>
            <w:r>
              <w:t xml:space="preserve"> </w:t>
            </w:r>
            <w:r>
              <w:rPr>
                <w:b/>
                <w:i/>
              </w:rPr>
              <w:t>Parlamentet påminner om att den ansvarsfrihetsbeviljande myndigheten under ansvarsfrihetsförfarandet för 2023 ägnade stor uppmärksamhet åt Olafs utredning av EU-byråernas nätverk, vilket ledde till att beviljandet av ansvarsfrihet ursprungligen sköts upp.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Europaparlamentet noterar att två utredningar från Olafs sida också pågår gällande anklagelser mot Frontex om trakasserier, misskötsamhet och handgripliga avvisningar av migranter och en utredning från Europaparlamentets sida gällande anklagelser om kränkningar av de grundläggande rättigheterna inom Frontex.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Europaparlamentet noterar att Frontex mellan 2006 och 2018 samordnade patruller utanför Nordvästafrikas kust för att stoppa båtar som transporterade migranter och asylsökande på internationellt vatten – och i mauretanska och senegalesiska vatten, med ländernas samtycke – med hjälp av sin egen utrustning, sina egna fartyg och egna flygplan, och ibland genom gemensamma insatser med mauretanska och senegalesiska styrkor.</w:t>
            </w:r>
            <w:r>
              <w:t xml:space="preserve"> </w:t>
            </w:r>
            <w:r>
              <w:rPr>
                <w:b/>
                <w:i/>
              </w:rPr>
              <w:t>Det europeiska centrumet för konstitutionella och mänskliga rättigheter (ECCHR), som begärde dokumentation från Frontex om detta, rapporterade att det var oklart vilken ”screeningverksamhet” som genomfördes före återvändanden. ECCHR framhöll bristerna när det gäller ansvarsskyldighet och transparens och noterade att Frontex hade redigerat betydande delar av de handlingar som lämnats in, inbegripet information om potentiella kränkningar av de mänskliga rättigheterna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https://www.hrw.org/report/2025/08/27/they-accused-me-of-trying-to-go-to-europe/migration-control-abuses-and-eu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15f.</w:t>
            </w:r>
            <w:r>
              <w:tab/>
            </w:r>
            <w:r>
              <w:rPr>
                <w:b/>
                <w:i/>
              </w:rPr>
              <w:t>Europaparlamentet påminner om att Frontex mandat utökades avsevärt 2019, när en reviderad förordning ledde till att dess uppgifter utökades och en permanent kår med 10 000 gränsbevakningstjänstemän godkändes.</w:t>
            </w:r>
            <w:r>
              <w:t xml:space="preserve"> </w:t>
            </w:r>
            <w:r>
              <w:rPr>
                <w:b/>
                <w:i/>
              </w:rPr>
              <w:t>Frontex årliga budget sköt i höjden från 142 miljoner euro 2015 till 922 miljoner euro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15g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15g.</w:t>
            </w:r>
            <w:r>
              <w:tab/>
            </w:r>
            <w:r>
              <w:rPr>
                <w:b/>
                <w:i/>
              </w:rPr>
              <w:t>Europaparlamentet noterar att bristen på transparens undergräver allmänhetens intresse av att hålla en EU-institution ansvarig och begränsar det civila samhällets tillsyn.</w:t>
            </w:r>
            <w:r>
              <w:t xml:space="preserve"> </w:t>
            </w:r>
            <w:r>
              <w:rPr>
                <w:b/>
                <w:i/>
              </w:rPr>
              <w:t>Parlamentet noterar att europeiska skattebetalare har rätt till information om hur Frontex använder flygövervakning för att möjliggöra ingripande av libyska styrkor – med full vetskap om de godtyckliga frihetsberövanden, det våld och den exploatering som människor utsätts för när de återvänder till Libyen – i stället för räddning och landsättning på en säker plats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https://www.hrw.org/news/2024/04/24/eu-misses-opportunity-frontex-transparency-accountability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noterar att avsaknaden av undantagsklausuler som gör det möjligt att säga upp hyresavtal i förtid fortsätter att utgöra en ekonomisk risk för EU:s byråer. Parlamentet påminner om att vikten av att inkludera sådana klausuler i hyresavtalen, vilket framgår av den svåra situationen efter brexit för Europeiska läkemedelsmyndigheten (EMA), som inte kunde säga upp sitt långsiktiga hyresavtal i London och därför var tvungen att betala hyra i både London och Amsterdam. Parlamentet konstaterar att flera byråer har infört uppsägningsklausuler sedan 2019</w:t>
            </w:r>
            <w:r>
              <w:rPr>
                <w:b/>
                <w:i/>
              </w:rPr>
              <w:t>, men påpekar</w:t>
            </w:r>
            <w:r>
              <w:t xml:space="preserve"> att detta inte är fallet för alla byråer och att nya eller förlängda hyresavtal i vissa fall har undertecknats </w:t>
            </w:r>
            <w:r>
              <w:rPr>
                <w:b/>
                <w:i/>
              </w:rPr>
              <w:t>utan sådana bestämmelser</w:t>
            </w:r>
            <w:r>
              <w:t xml:space="preserve">. Parlamentet uppmanar med kraft byråerna och kommissionen att systematiskt </w:t>
            </w:r>
            <w:r>
              <w:rPr>
                <w:b/>
                <w:i/>
              </w:rPr>
              <w:t>bedöma behovet av uppsägningsklausuler</w:t>
            </w:r>
            <w:r>
              <w:t xml:space="preserve"> när de förhandlar om eller förnyar hyresavtal, med beaktande av lärdomarna från tidigare erfarenheter, för att begränsa den finansiella exponeringen och säkerställa större budgetflexibilitet.</w:t>
            </w:r>
          </w:p>
        </w:tc>
        <w:tc>
          <w:tcPr>
            <w:tcW w:w="4876" w:type="dxa"/>
            <w:tcBorders>
              <w:top w:val="nil"/>
              <w:left w:val="nil"/>
              <w:bottom w:val="nil"/>
              <w:right w:val="nil"/>
            </w:tcBorders>
          </w:tcPr>
          <w:p>
            <w:pPr>
              <w:pStyle w:val="Normal6a"/>
            </w:pPr>
            <w:r>
              <w:t>16.</w:t>
            </w:r>
            <w:r>
              <w:tab/>
            </w:r>
            <w:r>
              <w:t xml:space="preserve">Europaparlamentet noterar att avsaknaden av undantagsklausuler som gör det möjligt att säga upp hyresavtal i förtid fortsätter att utgöra en ekonomisk risk för EU:s byråer. Parlamentet påminner om att vikten av att inkludera sådana klausuler i hyresavtalen, vilket framgår av den svåra situationen efter brexit för Europeiska läkemedelsmyndigheten (EMA), som inte kunde säga upp sitt långsiktiga hyresavtal i London och därför var tvungen att betala hyra i både London och Amsterdam. Parlamentet konstaterar att flera byråer har infört uppsägningsklausuler sedan 2019 </w:t>
            </w:r>
            <w:r>
              <w:rPr>
                <w:b/>
                <w:i/>
              </w:rPr>
              <w:t>och beklagar</w:t>
            </w:r>
            <w:r>
              <w:t xml:space="preserve"> att detta inte är fallet för alla byråer och att nya eller förlängda hyresavtal i vissa fall har undertecknats. Parlamentet uppmanar med kraft byråerna och kommissionen att systematiskt </w:t>
            </w:r>
            <w:r>
              <w:rPr>
                <w:b/>
                <w:i/>
              </w:rPr>
              <w:t>införa en uppsägningsklausul</w:t>
            </w:r>
            <w:r>
              <w:t xml:space="preserve"> när de förhandlar om eller förnyar hyresavtal, med beaktande av lärdomarna från tidigare erfarenheter, för att begränsa den finansiella exponeringen och säkerställa större budgetflexibilitet.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noterar att avsaknaden av undantagsklausuler som gör det möjligt att säga upp hyresavtal i förtid fortsätter att utgöra en ekonomisk risk för EU:s byråer. Parlamentet påminner om att vikten av att inkludera sådana klausuler i hyresavtalen, vilket framgår av den svåra situationen efter brexit för Europeiska läkemedelsmyndigheten (EMA), som inte kunde säga upp sitt långsiktiga hyresavtal i London och därför var tvungen att betala hyra i både London och Amsterdam. Parlamentet konstaterar att flera byråer har infört uppsägningsklausuler sedan 2019, men påpekar att detta inte är fallet för alla byråer och att nya eller förlängda hyresavtal i vissa fall har undertecknats utan sådana bestämmelser. Parlamentet uppmanar med kraft byråerna och kommissionen att systematiskt </w:t>
            </w:r>
            <w:r>
              <w:rPr>
                <w:b/>
                <w:i/>
              </w:rPr>
              <w:t>bedöma behovet av</w:t>
            </w:r>
            <w:r>
              <w:t xml:space="preserve"> uppsägningsklausuler när de förhandlar om eller förnyar hyresavtal, med beaktande av lärdomarna från tidigare erfarenheter, för att begränsa den finansiella exponeringen och </w:t>
            </w:r>
            <w:r>
              <w:rPr>
                <w:b/>
                <w:i/>
              </w:rPr>
              <w:t>säkerställa större budgetflexibilitet</w:t>
            </w:r>
            <w:r>
              <w:t>.</w:t>
            </w:r>
          </w:p>
        </w:tc>
        <w:tc>
          <w:tcPr>
            <w:tcW w:w="4876" w:type="dxa"/>
            <w:tcBorders>
              <w:top w:val="nil"/>
              <w:left w:val="nil"/>
              <w:bottom w:val="nil"/>
              <w:right w:val="nil"/>
            </w:tcBorders>
          </w:tcPr>
          <w:p>
            <w:pPr>
              <w:pStyle w:val="Normal6a"/>
            </w:pPr>
            <w:r>
              <w:t>16.</w:t>
            </w:r>
            <w:r>
              <w:tab/>
            </w:r>
            <w:r>
              <w:t xml:space="preserve">Europaparlamentet noterar </w:t>
            </w:r>
            <w:r>
              <w:rPr>
                <w:b/>
                <w:i/>
              </w:rPr>
              <w:t>med fasa</w:t>
            </w:r>
            <w:r>
              <w:t xml:space="preserve"> att avsaknaden av undantagsklausuler som gör det möjligt att säga upp hyresavtal i förtid fortsätter att utgöra en ekonomisk risk för EU:s byråer. Parlamentet påminner om att vikten av att inkludera sådana klausuler i hyresavtalen, vilket framgår av den svåra situationen efter brexit för Europeiska läkemedelsmyndigheten (EMA), som </w:t>
            </w:r>
            <w:r>
              <w:rPr>
                <w:b/>
                <w:i/>
              </w:rPr>
              <w:t>skulle kunna stå inför en skuld på 543 miljoner EUR för hyran av sina tidigare lokaler i London fram till 2039, trots andrahandsuthyrningen av lokalerna till ett företag som nyligen har omförhandlat hyran nedåt.</w:t>
            </w:r>
            <w:r>
              <w:t xml:space="preserve"> </w:t>
            </w:r>
            <w:r>
              <w:rPr>
                <w:b/>
                <w:i/>
              </w:rPr>
              <w:t>Parlamentet beklagar därför att EMA i slutet av 2024 gjorde en avsättning för ett förlustavtal till ett värde på 122,1 miljoner EUR, som delvis ersattes av kommissionen, eftersom EMA efter brexit</w:t>
            </w:r>
            <w:r>
              <w:t xml:space="preserve"> inte kunde säga upp sitt långsiktiga hyresavtal i London och därför var tvungen att betala hyra i både London och Amsterdam. Parlamentet konstaterar att flera byråer har infört uppsägningsklausuler sedan 2019, men påpekar att detta inte är fallet för alla byråer och att nya eller förlängda hyresavtal i vissa fall har undertecknats utan sådana bestämmelser</w:t>
            </w:r>
            <w:r>
              <w:rPr>
                <w:b/>
                <w:i/>
              </w:rPr>
              <w:t>, vilket tyder på en bedrövlig amatörmässighet eller till och med likgiltighet inför användningen av skattebetalarnas pengar i unionens medlemsstater</w:t>
            </w:r>
            <w:r>
              <w:t xml:space="preserve">. Parlamentet uppmanar med kraft byråerna och kommissionen att systematiskt </w:t>
            </w:r>
            <w:r>
              <w:rPr>
                <w:b/>
                <w:i/>
              </w:rPr>
              <w:t>införa sådana</w:t>
            </w:r>
            <w:r>
              <w:t xml:space="preserve"> uppsägningsklausuler när de förhandlar om eller förnyar hyresavtal, med beaktande av lärdomarna från tidigare erfarenheter, för att begränsa den finansiella exponeringen och </w:t>
            </w:r>
            <w:r>
              <w:rPr>
                <w:b/>
                <w:i/>
              </w:rPr>
              <w:t>därmed stoppa slöseriet med EU-medborgarnas pengar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noterar med oro att den totala budgeten för de 33 decentraliserade byråerna har ökat från 3,6 miljarder EUR 2023 till 4,1 miljarder EUR 2024, vilket motsvarar en ökning med cirka 14 %.</w:t>
            </w:r>
            <w:r>
              <w:t xml:space="preserve"> </w:t>
            </w:r>
            <w:r>
              <w:rPr>
                <w:b/>
                <w:i/>
              </w:rPr>
              <w:t>Parlamentet betonar att den övergripande trenden måste bedömas mot bakgrund av EU:s finanspolitiska ställning.</w:t>
            </w:r>
            <w:r>
              <w:t xml:space="preserve"> </w:t>
            </w:r>
            <w:r>
              <w:rPr>
                <w:b/>
                <w:i/>
              </w:rPr>
              <w:t>Parlamentet vill att kommissionen på ett omfattande sätt analyserar vad byråernas expansion faktiskt har kostat de senaste fem åren, inbegripet en tydlig uppdelning mellan vad som beror på nya uppdrag och vad som är ren administrativ tillväxt, och uppmanar kommissionen att framöver se till att varje ökning kan motiveras med ett tydligt mervärde.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är bekymrat över att byråernas allmänna budget mer än fördubblats på 10 år till 5,3 miljarder EUR 2024 (jämfört med 4,7 miljarder EUR 2023), vilket motsvarar 4 % av unionens allmänna budget för 2024 (jämfört med 3 % 2023)</w:t>
            </w:r>
            <w:r>
              <w:rPr>
                <w:b/>
                <w:i/>
                <w:vertAlign w:val="superscript"/>
              </w:rPr>
              <w:t>7 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t</w:t>
            </w:r>
            <w:r>
              <w:t xml:space="preserve"> </w:t>
            </w:r>
            <w:r>
              <w:rPr>
                <w:b/>
                <w:i/>
              </w:rPr>
              <w:t>https://www.eca.europa.eu/ECAPublications/SAR-AGENCIES-2024/SAR-AGENCIES-2024_SV.pdf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betonar att byråernas budgetökningar måste åtföljas av en motsvarande förstärkning av styrningen, de interna kontrollerna, personalkapaciteten och absorptionsplaneringen.</w:t>
            </w:r>
            <w:r>
              <w:t xml:space="preserve"> </w:t>
            </w:r>
            <w:r>
              <w:rPr>
                <w:b/>
                <w:i/>
              </w:rPr>
              <w:t>Parlamentet varnar för att en stadig budgettillväxt utan en motsvarande administrativ kapacitet och kontrollkapacitet ökar risken för oriktigheter, överföringar och ineffektiva utgifter.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påpekar att Frontex budget ökade från 118 miljoner EUR 2011 till 922 miljoner EUR 2024, vilket är den mest betydande budgetökningen bland byråerna under de senaste åren.</w:t>
            </w:r>
            <w:r>
              <w:t xml:space="preserve"> </w:t>
            </w:r>
            <w:r>
              <w:rPr>
                <w:b/>
                <w:i/>
              </w:rPr>
              <w:t>Parlamentet anser att alla ytterligare budgetökningar för Frontex strikt måste villkoras av påvisbara förbättringar när det gäller efterlevnaden av grundläggande rättigheter, transparens, absorptionsförmåga och effektiv uppföljning av rekommendationer från parlamentet, ombudsmannen, Olaf och ombudet för grundläggande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Europaparlamentet noterar att Europeiska unionens byrå för grundläggande rättigheter (FRA) fortsätter att verka med jämförelsevis begränsade budget- och personalresurser trots de stadigt växande förväntningarna på byrån att stödja unionens institutioner, organ och byråer när det gäller att säkerställa ett genomförande av unionsrätten som är förenligt med de grundläggande rättigheterna.</w:t>
            </w:r>
            <w:r>
              <w:t xml:space="preserve"> </w:t>
            </w:r>
            <w:r>
              <w:rPr>
                <w:b/>
                <w:i/>
              </w:rPr>
              <w:t>Parlamentet understryker att denna strukturella brist på resurser står i kontrast till utvidgningen av mandaten och budgetarna för de byråer som utövar operativa befogenheter eller verkställighetsbefogenheter.</w:t>
            </w:r>
            <w:r>
              <w:t xml:space="preserve"> </w:t>
            </w:r>
            <w:r>
              <w:rPr>
                <w:b/>
                <w:i/>
              </w:rPr>
              <w:t>Parlamentet uppmanar kommissionen och budgetmyndigheten att förse FRA med tillräckliga, stabila och förutsägbara resurser som står i proportion till dess övergripande roll som unionens övervakare av de grundläggande rättigheterna.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noterar att EEA:s budgetökning för 2024 återspeglar </w:t>
            </w:r>
            <w:r>
              <w:rPr>
                <w:b/>
                <w:i/>
              </w:rPr>
              <w:t>nya</w:t>
            </w:r>
            <w:r>
              <w:t xml:space="preserve"> lagstiftningsmandat och </w:t>
            </w:r>
            <w:r>
              <w:rPr>
                <w:b/>
                <w:i/>
              </w:rPr>
              <w:t>pågående</w:t>
            </w:r>
            <w:r>
              <w:t xml:space="preserve"> operativa </w:t>
            </w:r>
            <w:r>
              <w:rPr>
                <w:b/>
                <w:i/>
              </w:rPr>
              <w:t>behov, förordningen om</w:t>
            </w:r>
            <w:r>
              <w:t xml:space="preserve"> restaurering av natur </w:t>
            </w:r>
            <w:r>
              <w:rPr>
                <w:b/>
                <w:i/>
              </w:rPr>
              <w:t>(som antogs i slutet av 2024)</w:t>
            </w:r>
            <w:r>
              <w:t xml:space="preserve">, </w:t>
            </w:r>
            <w:r>
              <w:rPr>
                <w:b/>
                <w:i/>
              </w:rPr>
              <w:t>en omarbetning av förordningen om ett europeiskt register över utsläpp och överföringar av föroreningar, EU:s certifiering av koldioxidupptag och kolinlagrande jordbruk och ett initiativ för utökad</w:t>
            </w:r>
            <w:r>
              <w:t xml:space="preserve"> övervakning av utsläpp </w:t>
            </w:r>
            <w:r>
              <w:rPr>
                <w:b/>
                <w:i/>
              </w:rPr>
              <w:t>från tunga fordon stöddes genom rekrytering av personal</w:t>
            </w:r>
            <w:r>
              <w:t xml:space="preserve">. Parlamentet </w:t>
            </w:r>
            <w:r>
              <w:rPr>
                <w:b/>
                <w:i/>
              </w:rPr>
              <w:t>noterar vidare att</w:t>
            </w:r>
            <w:r>
              <w:t xml:space="preserve"> byrån </w:t>
            </w:r>
            <w:r>
              <w:rPr>
                <w:b/>
                <w:i/>
              </w:rPr>
              <w:t>också genomförde</w:t>
            </w:r>
            <w:r>
              <w:t xml:space="preserve"> uppgifter </w:t>
            </w:r>
            <w:r>
              <w:rPr>
                <w:b/>
                <w:i/>
              </w:rPr>
              <w:t>inom ramen för den reviderade förordningen om markanvändning, förändrad markanvändning och skogsbruk (2023)</w:t>
            </w:r>
            <w:r>
              <w:t xml:space="preserve">. Parlamentet är också medvetet om att nya servicenivåavtal med GD Havsfrågor och fiske, GD Hälsa och livsmedelssäkerhet och GD Forskning och innovation har </w:t>
            </w:r>
            <w:r>
              <w:rPr>
                <w:b/>
                <w:i/>
              </w:rPr>
              <w:t>utökat</w:t>
            </w:r>
            <w:r>
              <w:t xml:space="preserve"> byråns roll när det gäller återställande av hav och vatten, </w:t>
            </w:r>
            <w:r>
              <w:rPr>
                <w:b/>
                <w:i/>
              </w:rPr>
              <w:t>hälsohot</w:t>
            </w:r>
            <w:r>
              <w:t xml:space="preserve"> och integrering av miljödata, och därigenom stärkt </w:t>
            </w:r>
            <w:r>
              <w:rPr>
                <w:b/>
                <w:i/>
              </w:rPr>
              <w:t>EU:s stöd till klimat, biologisk mångfald och politik</w:t>
            </w:r>
            <w:r>
              <w:t>.</w:t>
            </w:r>
          </w:p>
        </w:tc>
        <w:tc>
          <w:tcPr>
            <w:tcW w:w="4876" w:type="dxa"/>
            <w:tcBorders>
              <w:top w:val="nil"/>
              <w:left w:val="nil"/>
              <w:bottom w:val="nil"/>
              <w:right w:val="nil"/>
            </w:tcBorders>
          </w:tcPr>
          <w:p>
            <w:pPr>
              <w:pStyle w:val="Normal6a"/>
            </w:pPr>
            <w:r>
              <w:t>19.</w:t>
            </w:r>
            <w:r>
              <w:tab/>
            </w:r>
            <w:r>
              <w:t xml:space="preserve">Europaparlamentet noterar att EEA:s budgetökning för 2024 återspeglar </w:t>
            </w:r>
            <w:r>
              <w:rPr>
                <w:b/>
                <w:i/>
              </w:rPr>
              <w:t>utvidgningen av dess</w:t>
            </w:r>
            <w:r>
              <w:t xml:space="preserve"> lagstiftningsmandat och operativa </w:t>
            </w:r>
            <w:r>
              <w:rPr>
                <w:b/>
                <w:i/>
              </w:rPr>
              <w:t>ansvar till följd av genomförandet av den europeiska gröna given, inbegripet arbetet med</w:t>
            </w:r>
            <w:r>
              <w:t xml:space="preserve"> restaurering av natur, övervakning av utsläpp</w:t>
            </w:r>
            <w:r>
              <w:rPr>
                <w:b/>
                <w:i/>
              </w:rPr>
              <w:t>, koldioxidhantering, rapportering av föroreningar och markanvändningspolitik</w:t>
            </w:r>
            <w:r>
              <w:t xml:space="preserve">. Parlamentet </w:t>
            </w:r>
            <w:r>
              <w:rPr>
                <w:b/>
                <w:i/>
              </w:rPr>
              <w:t>betonar att den riktade personalförstärkningen har gjort det möjligt för</w:t>
            </w:r>
            <w:r>
              <w:t xml:space="preserve"> byrån </w:t>
            </w:r>
            <w:r>
              <w:rPr>
                <w:b/>
                <w:i/>
              </w:rPr>
              <w:t>att reagera effektivt på dessa nya</w:t>
            </w:r>
            <w:r>
              <w:t xml:space="preserve"> uppgifter </w:t>
            </w:r>
            <w:r>
              <w:rPr>
                <w:b/>
                <w:i/>
              </w:rPr>
              <w:t>och förbättra sina analysers kvalitet, aktualitet och vetenskapliga soliditet</w:t>
            </w:r>
            <w:r>
              <w:t xml:space="preserve">. Parlamentet är också medvetet om att nya servicenivåavtal med GD Havsfrågor och fiske, GD Hälsa och livsmedelssäkerhet och GD Forskning och innovation har </w:t>
            </w:r>
            <w:r>
              <w:rPr>
                <w:b/>
                <w:i/>
              </w:rPr>
              <w:t>breddat</w:t>
            </w:r>
            <w:r>
              <w:t xml:space="preserve"> byråns roll när det gäller återställande av hav och vatten, </w:t>
            </w:r>
            <w:r>
              <w:rPr>
                <w:b/>
                <w:i/>
              </w:rPr>
              <w:t>hälsorelaterade miljöhot</w:t>
            </w:r>
            <w:r>
              <w:t xml:space="preserve"> och integrering av miljödata, och därigenom stärkt </w:t>
            </w:r>
            <w:r>
              <w:rPr>
                <w:b/>
                <w:i/>
              </w:rPr>
              <w:t>unionens övergripande kapacitet att genomföra prioriteringarna i den gröna given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noterar att EEA:s budgetökning för 2024 återspeglar nya lagstiftningsmandat och pågående operativa behov, förordningen om restaurering av natur (som antogs i slutet av 2024), en omarbetning av förordningen om ett europeiskt register över utsläpp och överföringar av föroreningar, EU:s certifiering av koldioxidupptag och kolinlagrande jordbruk och ett initiativ för utökad övervakning av utsläpp från tunga fordon stöddes genom rekrytering av personal. Parlamentet noterar vidare att byrån också genomförde uppgifter inom ramen för den reviderade förordningen om markanvändning, förändrad markanvändning och skogsbruk (2023). Parlamentet är också medvetet om att nya servicenivåavtal med GD Havsfrågor och fiske, GD Hälsa och livsmedelssäkerhet och GD Forskning och innovation har utökat byråns roll när det gäller återställande av hav och vatten, hälsohot och integrering av miljödata, och därigenom </w:t>
            </w:r>
            <w:r>
              <w:rPr>
                <w:b/>
                <w:i/>
              </w:rPr>
              <w:t>stärkt EU:s stöd till klimat, biologisk mångfald och politik</w:t>
            </w:r>
            <w:r>
              <w:t>.</w:t>
            </w:r>
          </w:p>
        </w:tc>
        <w:tc>
          <w:tcPr>
            <w:tcW w:w="4876" w:type="dxa"/>
            <w:tcBorders>
              <w:top w:val="nil"/>
              <w:left w:val="nil"/>
              <w:bottom w:val="nil"/>
              <w:right w:val="nil"/>
            </w:tcBorders>
          </w:tcPr>
          <w:p>
            <w:pPr>
              <w:pStyle w:val="Normal6a"/>
            </w:pPr>
            <w:r>
              <w:t>19.</w:t>
            </w:r>
            <w:r>
              <w:tab/>
            </w:r>
            <w:r>
              <w:t xml:space="preserve">Europaparlamentet noterar att EEA:s budgetökning </w:t>
            </w:r>
            <w:r>
              <w:rPr>
                <w:b/>
                <w:i/>
              </w:rPr>
              <w:t>på 33,56 %</w:t>
            </w:r>
            <w:r>
              <w:t xml:space="preserve"> för 2024 återspeglar nya lagstiftningsmandat och pågående operativa behov, förordningen om restaurering av natur (som antogs i slutet av 2024), en omarbetning av förordningen om ett europeiskt register över utsläpp och överföringar av föroreningar, EU:s certifiering av koldioxidupptag och kolinlagrande jordbruk och ett initiativ för utökad övervakning av utsläpp från tunga fordon stöddes genom rekrytering av personal. Parlamentet noterar vidare att byrån också genomförde uppgifter inom ramen för den reviderade förordningen om markanvändning, förändrad markanvändning och skogsbruk (2023). Parlamentet är också medvetet om att nya servicenivåavtal med GD Havsfrågor och fiske, GD Hälsa och livsmedelssäkerhet och GD Forskning och innovation har utökat byråns roll när det gäller återställande av hav och vatten, hälsohot och integrering av miljödata, och därigenom </w:t>
            </w:r>
            <w:r>
              <w:rPr>
                <w:b/>
                <w:i/>
              </w:rPr>
              <w:t>bidragit med data och analyser till stöd för unionens miljöpolitik.</w:t>
            </w:r>
            <w:r>
              <w:t xml:space="preserve"> </w:t>
            </w:r>
            <w:r>
              <w:rPr>
                <w:b/>
                <w:i/>
              </w:rPr>
              <w:t>Parlamentet betonar att en sådan betydande budgetökning kräver en noggrann kostnads-nyttoanalys.</w:t>
            </w:r>
            <w:r>
              <w:t xml:space="preserve"> </w:t>
            </w:r>
            <w:r>
              <w:rPr>
                <w:b/>
                <w:i/>
              </w:rPr>
              <w:t>Parlamentet insisterar på att EEA:s utvidgade miljöövervakningsverksamhet respekterar principen om teknikneutralitet och bygger på objektiva vetenskapliga data snarare än på förutbestämda politiska resultat</w:t>
            </w:r>
            <w:r>
              <w:t xml:space="preserve">. </w:t>
            </w:r>
            <w:r>
              <w:rPr>
                <w:b/>
                <w:i/>
              </w:rPr>
              <w:t>Parlamentet understryker att övervakningsramarna bör fånga upp hela spektrumet av tillgängliga tekniker och strategier, inbegripet deras respektive kostnader för företag, medlemsstater och skattebetalare.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Europaparlamentet anser att Enisa befinner sig i en kritisk position på grund av den ökande komplexiteten i unionens cybersäkerhetsbehov och </w:t>
            </w:r>
            <w:r>
              <w:rPr>
                <w:b/>
                <w:i/>
              </w:rPr>
              <w:t>bristen på proportionell finansiering och tillräcklig personal</w:t>
            </w:r>
            <w:r>
              <w:t xml:space="preserve">. Parlamentet </w:t>
            </w:r>
            <w:r>
              <w:rPr>
                <w:b/>
                <w:i/>
              </w:rPr>
              <w:t>upprepar</w:t>
            </w:r>
            <w:r>
              <w:t xml:space="preserve"> rådets slutsatser om Enisa från december 2024, där man framhåller Enisas centrala roll i unionens cybersäkerhetsekosystem och behovet av att anpassa finansiering och resurser till dess utvidgade mandat.</w:t>
            </w:r>
          </w:p>
        </w:tc>
        <w:tc>
          <w:tcPr>
            <w:tcW w:w="4876" w:type="dxa"/>
            <w:tcBorders>
              <w:top w:val="nil"/>
              <w:left w:val="nil"/>
              <w:bottom w:val="nil"/>
              <w:right w:val="nil"/>
            </w:tcBorders>
          </w:tcPr>
          <w:p>
            <w:pPr>
              <w:pStyle w:val="Normal6a"/>
            </w:pPr>
            <w:r>
              <w:t>23.</w:t>
            </w:r>
            <w:r>
              <w:tab/>
            </w:r>
            <w:r>
              <w:t xml:space="preserve">Europaparlamentet anser att Enisa befinner sig i en kritisk position på grund av den ökande komplexiteten i unionens cybersäkerhetsbehov och </w:t>
            </w:r>
            <w:r>
              <w:rPr>
                <w:b/>
                <w:i/>
              </w:rPr>
              <w:t>behovet av proportionerlig bemanning</w:t>
            </w:r>
            <w:r>
              <w:t xml:space="preserve">. Parlamentet </w:t>
            </w:r>
            <w:r>
              <w:rPr>
                <w:b/>
                <w:i/>
              </w:rPr>
              <w:t>noterar</w:t>
            </w:r>
            <w:r>
              <w:t xml:space="preserve"> rådets slutsatser om Enisa från december 2024, där man framhåller Enisas centrala roll i unionens cybersäkerhetsekosystem och behovet av att anpassa finansiering och resurser till dess utvidgade mandat. </w:t>
            </w:r>
            <w:r>
              <w:rPr>
                <w:b/>
                <w:i/>
              </w:rPr>
              <w:t>Parlamentet betonar dock att alla ytterligare resurser måste åtföljas av mätbara prestationsmål och regelbunden rapportering om de konkreta resultat som uppnåtts, så att den ansvarsfrihetsbeviljande myndigheten kan bedöma valuta för pengarna.</w:t>
            </w:r>
            <w:r>
              <w:t xml:space="preserve"> </w:t>
            </w:r>
            <w:r>
              <w:rPr>
                <w:b/>
                <w:i/>
              </w:rPr>
              <w:t>Parlamentet betonar dock att alla ytterligare resurser måste åtföljas av mätbara prestationsmål och regelbunden rapportering om de konkreta resultat som uppnåtts, så att den ansvarsfrihetsbeviljande myndigheten kan bedöma valuta för pengarna.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Europaparlamentet </w:t>
            </w:r>
            <w:r>
              <w:rPr>
                <w:b/>
                <w:i/>
              </w:rPr>
              <w:t>anser</w:t>
            </w:r>
            <w:r>
              <w:t xml:space="preserve"> att Enisa befinner sig i en kritisk position på grund av den ökande komplexiteten i unionens cybersäkerhetsbehov och bristen på proportionell finansiering och tillräcklig personal. Parlamentet upprepar rådets slutsatser om Enisa från december 2024, där man framhåller Enisas centrala roll i unionens cybersäkerhetsekosystem och behovet av att anpassa finansiering och resurser till dess utvidgade mandat.</w:t>
            </w:r>
          </w:p>
        </w:tc>
        <w:tc>
          <w:tcPr>
            <w:tcW w:w="4876" w:type="dxa"/>
            <w:tcBorders>
              <w:top w:val="nil"/>
              <w:left w:val="nil"/>
              <w:bottom w:val="nil"/>
              <w:right w:val="nil"/>
            </w:tcBorders>
          </w:tcPr>
          <w:p>
            <w:pPr>
              <w:pStyle w:val="Normal6a"/>
            </w:pPr>
            <w:r>
              <w:t>23.</w:t>
            </w:r>
            <w:r>
              <w:tab/>
            </w:r>
            <w:r>
              <w:t xml:space="preserve">Europaparlamentet </w:t>
            </w:r>
            <w:r>
              <w:rPr>
                <w:b/>
                <w:i/>
              </w:rPr>
              <w:t>uttrycker allvarlig oro över</w:t>
            </w:r>
            <w:r>
              <w:t xml:space="preserve"> att Enisa befinner sig i en kritisk position på grund av den ökande komplexiteten i unionens cybersäkerhetsbehov</w:t>
            </w:r>
            <w:r>
              <w:rPr>
                <w:b/>
                <w:i/>
              </w:rPr>
              <w:t>, den fortsatta upptrappningen av cyberhot</w:t>
            </w:r>
            <w:r>
              <w:t xml:space="preserve"> och bristen på proportionell finansiering och tillräcklig personal. Parlamentet upprepar rådets slutsatser om Enisa från december 2024, där man framhåller Enisas centrala roll i unionens cybersäkerhetsekosystem och behovet av att anpassa finansiering och resurser till dess utvidgade mandat.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Europaparlamentet noterar den gradvisa utvidgningen av Europols mandat, inbegripet nyligen antagna och föreslagna åtgärder som ger ökad kapacitet att bekämpa grov och organiserad brottslighet, såsom smuggling av migranter, människohandel, cyberbrottslighet och terrorism. Parlamentet påminner om att denna utveckling bland annat omfattar stärkt samarbete med privata aktörer genom direkt datautbyte, förstärkt kapacitet för storskalig dataanalys och uppgraderat operativt stöd till medlemsstaterna via specialiserade stödgrupper. Parlamentet betonar att ett effektivt genomförande av dessa ytterligare uppgifter kräver en motsvarande ökning av Europols personalresurser. Parlamentet konstaterar </w:t>
            </w:r>
            <w:r>
              <w:rPr>
                <w:b/>
                <w:i/>
              </w:rPr>
              <w:t>dock</w:t>
            </w:r>
            <w:r>
              <w:t xml:space="preserve"> att Europols budget 2024 endast ökade med 5,78 % jämfört med 2023</w:t>
            </w:r>
            <w:r>
              <w:rPr>
                <w:b/>
                <w:i/>
              </w:rPr>
              <w:t>.</w:t>
            </w:r>
            <w:r>
              <w:t xml:space="preserve"> </w:t>
            </w:r>
            <w:r>
              <w:rPr>
                <w:b/>
                <w:i/>
              </w:rPr>
              <w:t>Parlamentet begär därför med eftertryck att Europols budget förstärks ytterligare</w:t>
            </w:r>
            <w:r>
              <w:t xml:space="preserve"> för att ta itu med den ihållande personalbristen </w:t>
            </w:r>
            <w:r>
              <w:rPr>
                <w:b/>
                <w:i/>
              </w:rPr>
              <w:t>och säkerställa att dess ekonomiska resurser står i proportion till dess utökade ansvar</w:t>
            </w:r>
            <w:r>
              <w:t>.</w:t>
            </w:r>
          </w:p>
        </w:tc>
        <w:tc>
          <w:tcPr>
            <w:tcW w:w="4876" w:type="dxa"/>
            <w:tcBorders>
              <w:top w:val="nil"/>
              <w:left w:val="nil"/>
              <w:bottom w:val="nil"/>
              <w:right w:val="nil"/>
            </w:tcBorders>
          </w:tcPr>
          <w:p>
            <w:pPr>
              <w:pStyle w:val="Normal6a"/>
            </w:pPr>
            <w:r>
              <w:t>25.</w:t>
            </w:r>
            <w:r>
              <w:tab/>
            </w:r>
            <w:r>
              <w:t xml:space="preserve">Europaparlamentet noterar den gradvisa utvidgningen av Europols mandat, inbegripet nyligen antagna och föreslagna åtgärder som ger ökad kapacitet att bekämpa grov och organiserad brottslighet, såsom smuggling av migranter, människohandel, cyberbrottslighet och terrorism. Parlamentet påminner om att denna utveckling bland annat omfattar stärkt samarbete med privata aktörer genom direkt datautbyte, förstärkt kapacitet för storskalig dataanalys och uppgraderat operativt stöd till medlemsstaterna via specialiserade stödgrupper. Parlamentet betonar att </w:t>
            </w:r>
            <w:r>
              <w:rPr>
                <w:b/>
                <w:i/>
              </w:rPr>
              <w:t>en sådan utvidgning av operativa och analytiska befogenheter medför betydande utmaningar när det gäller demokratisk ansvarsskyldighet, dataskydd, efterlevnad av grundläggande rättigheter och effektiv tillsyn.</w:t>
            </w:r>
            <w:r>
              <w:t xml:space="preserve"> </w:t>
            </w:r>
            <w:r>
              <w:rPr>
                <w:b/>
                <w:i/>
              </w:rPr>
              <w:t>Parlamentet betonar att</w:t>
            </w:r>
            <w:r>
              <w:t xml:space="preserve"> ett effektivt genomförande av dessa ytterligare uppgifter kräver en motsvarande ökning av Europols personalresurser</w:t>
            </w:r>
            <w:r>
              <w:rPr>
                <w:b/>
                <w:i/>
              </w:rPr>
              <w:t>, men även robusta interna skyddsåtgärder, tillräcklig efterlevnadskapacitet och stärkta tillsynsmekanismer</w:t>
            </w:r>
            <w:r>
              <w:t xml:space="preserve">. Parlamentet konstaterar </w:t>
            </w:r>
            <w:r>
              <w:rPr>
                <w:b/>
                <w:i/>
              </w:rPr>
              <w:t>i detta avseende</w:t>
            </w:r>
            <w:r>
              <w:t xml:space="preserve"> att Europols budget 2024 endast ökade med 5,78 % jämfört med 2023</w:t>
            </w:r>
            <w:r>
              <w:rPr>
                <w:b/>
                <w:i/>
              </w:rPr>
              <w:t>, vilket är otillräckligt</w:t>
            </w:r>
            <w:r>
              <w:t xml:space="preserve"> för att ta itu med den ihållande personalbristen</w:t>
            </w:r>
            <w:r>
              <w:rPr>
                <w:b/>
                <w:i/>
              </w:rPr>
              <w:t>, särskilt på områden som rör efterlevnad, dataskydd och tillsyn.</w:t>
            </w:r>
            <w:r>
              <w:t xml:space="preserve"> </w:t>
            </w:r>
            <w:r>
              <w:rPr>
                <w:b/>
                <w:i/>
              </w:rPr>
              <w:t>Parlamentet kräver därför att varje ytterligare förstärkning av Europols budget villkoras av påvisbara förbättringar av styrningen, ansvarsskyldigheten och respekten för de grundläggande rättigheterna, i linje med parlamentets långvariga farhågor som uttryckts i tidigare ansvarsfrihetsförfaranden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Europaparlamentet noterar den gradvisa utvidgningen av Europols mandat, inbegripet nyligen antagna och föreslagna åtgärder som ger ökad kapacitet att bekämpa grov och organiserad brottslighet, såsom smuggling av migranter, människohandel, cyberbrottslighet och terrorism. Parlamentet påminner om att denna utveckling bland annat omfattar stärkt samarbete med privata aktörer genom direkt datautbyte, förstärkt kapacitet för storskalig dataanalys och uppgraderat operativt stöd till medlemsstaterna via specialiserade stödgrupper. Parlamentet betonar att ett effektivt genomförande av dessa ytterligare uppgifter kräver en motsvarande ökning av Europols personalresurser. Parlamentet konstaterar dock att Europols budget 2024 endast ökade med 5,78 % jämfört med 2023. Parlamentet begär därför med eftertryck att Europols budget förstärks ytterligare för att ta itu med den ihållande personalbristen och säkerställa att dess ekonomiska resurser står i proportion till dess utökade ansvar.</w:t>
            </w:r>
          </w:p>
        </w:tc>
        <w:tc>
          <w:tcPr>
            <w:tcW w:w="4876" w:type="dxa"/>
            <w:tcBorders>
              <w:top w:val="nil"/>
              <w:left w:val="nil"/>
              <w:bottom w:val="nil"/>
              <w:right w:val="nil"/>
            </w:tcBorders>
          </w:tcPr>
          <w:p>
            <w:pPr>
              <w:pStyle w:val="Normal6a"/>
            </w:pPr>
            <w:r>
              <w:t>25.</w:t>
            </w:r>
            <w:r>
              <w:tab/>
            </w:r>
            <w:r>
              <w:t xml:space="preserve">Europaparlamentet noterar den gradvisa utvidgningen av Europols mandat, inbegripet nyligen antagna och föreslagna åtgärder som ger ökad kapacitet att bekämpa grov och organiserad brottslighet, såsom smuggling av migranter, människohandel, cyberbrottslighet och terrorism. Parlamentet påminner om att denna utveckling bland annat omfattar stärkt samarbete med privata aktörer genom direkt datautbyte, förstärkt kapacitet för storskalig dataanalys och uppgraderat operativt stöd till medlemsstaterna via specialiserade stödgrupper. Parlamentet betonar att ett effektivt genomförande av dessa ytterligare uppgifter kräver en motsvarande ökning av Europols personalresurser. Parlamentet konstaterar dock att Europols budget 2024 endast ökade med 5,78 % jämfört med 2023. Parlamentet begär därför med eftertryck att Europols budget förstärks ytterligare för att ta itu med den ihållande personalbristen och säkerställa att dess ekonomiska resurser står i proportion till dess utökade ansvar. </w:t>
            </w:r>
            <w:r>
              <w:rPr>
                <w:b/>
                <w:i/>
              </w:rPr>
              <w:t>Parlamentet betonar att Europols roll i kampen mot smuggling av migranter, gränsöverskridande organiserad brottslighet och terrorism är av högsta prioritet och att tillräckliga resurser för dessa huvuduppgifter bör ha företräde framför mindre brådskande utgifter på andra områden av byråernas verksamhet.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Europaparlamentet betonar att Europeiska gräns- och kustbevakningsbyrån (Frontex) måste koncentrera sina resurser på sina centrala operativa uppgifter, dvs. gränsövervakning av Schengenområdet, bekämpning av gränsöverskridande brottslighet och stöd till effektiva återvändandeinsatser, som är avgörande för att upprätthålla en trovärdig ram för migrationshantering för unionen.</w:t>
            </w:r>
            <w:r>
              <w:t xml:space="preserve"> </w:t>
            </w:r>
            <w:r>
              <w:rPr>
                <w:b/>
                <w:i/>
              </w:rPr>
              <w:t>Parlamentet efterlyser en fortsatt prioritering av rekrytering personal i första ledet vid unionens yttre gränser och en motsvarande rationalisering av administrativa tjänster.</w:t>
            </w:r>
            <w:r>
              <w:t xml:space="preserve"> </w:t>
            </w:r>
            <w:r>
              <w:rPr>
                <w:b/>
                <w:i/>
              </w:rPr>
              <w:t>Parlamentet noterar att unionens övergripande återvändandegrad fortfarande är otillräcklig i förhållande till omfattningen av de irreguljära migrationsströmmarna.</w:t>
            </w:r>
            <w:r>
              <w:t xml:space="preserve"> </w:t>
            </w:r>
            <w:r>
              <w:rPr>
                <w:b/>
                <w:i/>
              </w:rPr>
              <w:t>Parlamentet uppmanar med kraft Frontex att ytterligare stärka sina återvändandeinsatser och att intensifiera samarbetet med medlemsstaterna och tredjeländer för att förbättra återvändandeprogrammens effektivitet.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Europaparlamentet noterar Frontex fortsatta insatser för att stärka rollen och kapaciteten för sitt ombud för grundläggande rättigheter.</w:t>
            </w:r>
            <w:r>
              <w:t xml:space="preserve"> </w:t>
            </w:r>
            <w:r>
              <w:rPr>
                <w:b/>
                <w:i/>
              </w:rPr>
              <w:t>Parlamentet understryker att ombudets verksamhet bör komplettera och stödja, och inte hindra, ett effektivt genomförande av Frontex operativa mandat enligt definitionen i dess inrättandeförordning, närmare bestämt bistå medlemsstaterna i skyddet av de yttre gränserna, stödja irreguljära migranters återvändande och säkra Schengenområdet.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Europaparlamentet </w:t>
            </w:r>
            <w:r>
              <w:rPr>
                <w:b/>
                <w:i/>
              </w:rPr>
              <w:t>noterar behovet av att öka</w:t>
            </w:r>
            <w:r>
              <w:t xml:space="preserve"> Eurojusts </w:t>
            </w:r>
            <w:r>
              <w:rPr>
                <w:b/>
                <w:i/>
              </w:rPr>
              <w:t>personal</w:t>
            </w:r>
            <w:r>
              <w:t xml:space="preserve"> med tanke på utvidgningen av byråns mandat till tredjeländer, särskilt efter </w:t>
            </w:r>
            <w:r>
              <w:rPr>
                <w:b/>
                <w:i/>
              </w:rPr>
              <w:t>invasionen av</w:t>
            </w:r>
            <w:r>
              <w:t xml:space="preserve"> Ukraina 2022, och påminner om att denna utvidgning av Eurojusts befogenheter kommer att göra det möjligt för Eurojust att samla in, lagra och analysera bevis för centrala internationella brott (krigsförbrytelser, folkmord, brott mot mänskligheten), utbyta dessa bevis med nationella myndigheter och internationella organ, inbegripet Internationella brottmålsdomstolen, genom att inrätta en särskild databas med bevis om centrala internationella brott, som går utöver enbart stöd i utredningar och aktivt säkrar viktiga bevis för framtida utredningar</w:t>
            </w:r>
            <w:r>
              <w:rPr>
                <w:b/>
                <w:i/>
              </w:rPr>
              <w:t>, samtidigt som</w:t>
            </w:r>
            <w:r>
              <w:t xml:space="preserve"> parlamentet </w:t>
            </w:r>
            <w:r>
              <w:rPr>
                <w:b/>
                <w:i/>
              </w:rPr>
              <w:t>noterar att den procentuella ökningen av budgeten för 2024 var blygsam jämfört med 2023 års budget, och</w:t>
            </w:r>
            <w:r>
              <w:t xml:space="preserve"> uppmanar med kraft till att anslagen för personal, tillsammans med den totala budgeten, ökas i enlighet med detta med tanke på det förväntade framtida mandatet.</w:t>
            </w:r>
          </w:p>
        </w:tc>
        <w:tc>
          <w:tcPr>
            <w:tcW w:w="4876" w:type="dxa"/>
            <w:tcBorders>
              <w:top w:val="nil"/>
              <w:left w:val="nil"/>
              <w:bottom w:val="nil"/>
              <w:right w:val="nil"/>
            </w:tcBorders>
          </w:tcPr>
          <w:p>
            <w:pPr>
              <w:pStyle w:val="Normal6a"/>
            </w:pPr>
            <w:r>
              <w:t>26.</w:t>
            </w:r>
            <w:r>
              <w:tab/>
            </w:r>
            <w:r>
              <w:t xml:space="preserve">Europaparlamentet </w:t>
            </w:r>
            <w:r>
              <w:rPr>
                <w:b/>
                <w:i/>
              </w:rPr>
              <w:t>efterlyser en ökning av</w:t>
            </w:r>
            <w:r>
              <w:t xml:space="preserve"> Eurojusts </w:t>
            </w:r>
            <w:r>
              <w:rPr>
                <w:b/>
                <w:i/>
              </w:rPr>
              <w:t>personalstyrka</w:t>
            </w:r>
            <w:r>
              <w:t xml:space="preserve"> med tanke på utvidgningen av byråns mandat till tredjeländer, särskilt efter </w:t>
            </w:r>
            <w:r>
              <w:rPr>
                <w:b/>
                <w:i/>
              </w:rPr>
              <w:t>Rysslands aggression mot</w:t>
            </w:r>
            <w:r>
              <w:t xml:space="preserve"> Ukraina 2022, och påminner om att denna utvidgning av Eurojusts befogenheter kommer att göra det möjligt för Eurojust att samla in, lagra och analysera bevis för centrala internationella brott (krigsförbrytelser, folkmord, brott mot mänskligheten), utbyta dessa bevis med nationella myndigheter och internationella organ, inbegripet Internationella brottmålsdomstolen, genom att inrätta en särskild databas med bevis om centrala internationella brott, som går utöver enbart stöd i utredningar och aktivt säkrar viktiga bevis för framtida utredningar</w:t>
            </w:r>
            <w:r>
              <w:rPr>
                <w:b/>
                <w:i/>
              </w:rPr>
              <w:t>.</w:t>
            </w:r>
            <w:r>
              <w:t xml:space="preserve"> Parlamentet uppmanar med kraft till att anslagen för personal, tillsammans med den totala budgeten, ökas i enlighet med detta med tanke på det förväntade framtida mandatet.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Europaparlamentet påminner om att man redan i </w:t>
            </w:r>
            <w:r>
              <w:rPr>
                <w:b/>
                <w:i/>
              </w:rPr>
              <w:t>resolutionerna</w:t>
            </w:r>
            <w:r>
              <w:t xml:space="preserve"> om ansvarsfrihet för 2023 noterade </w:t>
            </w:r>
            <w:r>
              <w:rPr>
                <w:b/>
                <w:i/>
              </w:rPr>
              <w:t>vikten av att stärka</w:t>
            </w:r>
            <w:r>
              <w:t xml:space="preserve"> de europeiska tillsynsmyndigheternas (EBA, Eiopa och Esma) </w:t>
            </w:r>
            <w:r>
              <w:rPr>
                <w:b/>
                <w:i/>
              </w:rPr>
              <w:t>kapacitet att identifiera och separat redovisa kostnaderna för verksamhet som finansieras genom olika intäktsflöden.</w:t>
            </w:r>
            <w:r>
              <w:t xml:space="preserve"> </w:t>
            </w:r>
            <w:r>
              <w:rPr>
                <w:b/>
                <w:i/>
              </w:rPr>
              <w:t>Parlamentet är medvetet om att deras</w:t>
            </w:r>
            <w:r>
              <w:t xml:space="preserve"> inrättandeförordningar inte föreskriver en åtskillnad mellan verksamhet som finansieras med unionsbidrag och nationella bidrag</w:t>
            </w:r>
            <w:r>
              <w:rPr>
                <w:b/>
                <w:i/>
              </w:rPr>
              <w:t>, och med tanke på bristen på tydlig avgränsning i förordningarna</w:t>
            </w:r>
            <w:r>
              <w:t xml:space="preserve"> mellan de två finansieringskällorna </w:t>
            </w:r>
            <w:r>
              <w:rPr>
                <w:b/>
                <w:i/>
              </w:rPr>
              <w:t>gör dessa myndigheter ingen åtskillnad mellan kostnader som täcks av unionens budget och de som finansieras av medlemsstaterna, vilket revisionsrätten betonade i sin årsrapport 2023</w:t>
            </w:r>
            <w:r>
              <w:t>.</w:t>
            </w:r>
          </w:p>
        </w:tc>
        <w:tc>
          <w:tcPr>
            <w:tcW w:w="4876" w:type="dxa"/>
            <w:tcBorders>
              <w:top w:val="nil"/>
              <w:left w:val="nil"/>
              <w:bottom w:val="nil"/>
              <w:right w:val="nil"/>
            </w:tcBorders>
          </w:tcPr>
          <w:p>
            <w:pPr>
              <w:pStyle w:val="Normal6a"/>
            </w:pPr>
            <w:r>
              <w:t>30.</w:t>
            </w:r>
            <w:r>
              <w:tab/>
            </w:r>
            <w:r>
              <w:t xml:space="preserve">Europaparlamentet påminner om att man redan i </w:t>
            </w:r>
            <w:r>
              <w:rPr>
                <w:b/>
                <w:i/>
              </w:rPr>
              <w:t>resolutionen</w:t>
            </w:r>
            <w:r>
              <w:t xml:space="preserve"> om ansvarsfrihet för 2023 noterade </w:t>
            </w:r>
            <w:r>
              <w:rPr>
                <w:b/>
                <w:i/>
              </w:rPr>
              <w:t>att</w:t>
            </w:r>
            <w:r>
              <w:t xml:space="preserve"> de europeiska tillsynsmyndigheternas (EBA, Eiopa och Esma) inrättandeförordningar inte föreskriver en åtskillnad mellan verksamhet som finansieras med unionsbidrag och nationella bidrag</w:t>
            </w:r>
            <w:r>
              <w:rPr>
                <w:b/>
                <w:i/>
              </w:rPr>
              <w:t>.</w:t>
            </w:r>
            <w:r>
              <w:t xml:space="preserve"> </w:t>
            </w:r>
            <w:r>
              <w:rPr>
                <w:b/>
                <w:i/>
              </w:rPr>
              <w:t>Parlamentet noterar att den övergripande kostnadsdelningsmekanismen i praktiken inte kräver någon differentiering på nivån för enskilda verksamheter</w:t>
            </w:r>
            <w:r>
              <w:t xml:space="preserve"> mellan de två finansieringskällorna.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Europaparlamentet anser </w:t>
            </w:r>
            <w:r>
              <w:rPr>
                <w:b/>
                <w:i/>
              </w:rPr>
              <w:t>att införandet av separat kostnadsredovisning för de europeiska tillsynsmyndigheternas verksamhet</w:t>
            </w:r>
            <w:r>
              <w:t xml:space="preserve"> skulle </w:t>
            </w:r>
            <w:r>
              <w:rPr>
                <w:b/>
                <w:i/>
              </w:rPr>
              <w:t>öka transparensen, ansvarsskyldigheten och beslutsfattandet och göra det möjligt för berörda parter, inbegripet medlemsstater, finansinstitut och skattebetalare, att bättre bedöma effektivitet och rättvisa</w:t>
            </w:r>
            <w:r>
              <w:t xml:space="preserve">. Parlamentet betonar att </w:t>
            </w:r>
            <w:r>
              <w:rPr>
                <w:b/>
                <w:i/>
              </w:rPr>
              <w:t>den nuvarande bristen på differentiering begränsar tillsynen och insisterar på att kostnaderna och intäkterna för de europeiska tillsynsmyndigheternas</w:t>
            </w:r>
            <w:r>
              <w:t xml:space="preserve"> verksamhet </w:t>
            </w:r>
            <w:r>
              <w:rPr>
                <w:b/>
                <w:i/>
              </w:rPr>
              <w:t>tydligt bör identifieras, redovisas separat och offentliggöras i årsredovisningar och programplaneringsdokument</w:t>
            </w:r>
            <w:r>
              <w:t>.</w:t>
            </w:r>
          </w:p>
        </w:tc>
        <w:tc>
          <w:tcPr>
            <w:tcW w:w="4876" w:type="dxa"/>
            <w:tcBorders>
              <w:top w:val="nil"/>
              <w:left w:val="nil"/>
              <w:bottom w:val="nil"/>
              <w:right w:val="nil"/>
            </w:tcBorders>
          </w:tcPr>
          <w:p>
            <w:pPr>
              <w:pStyle w:val="Normal6a"/>
            </w:pPr>
            <w:r>
              <w:t>31.</w:t>
            </w:r>
            <w:r>
              <w:tab/>
            </w:r>
            <w:r>
              <w:t xml:space="preserve">Europaparlamentet anser </w:t>
            </w:r>
            <w:r>
              <w:rPr>
                <w:b/>
                <w:i/>
              </w:rPr>
              <w:t>i detta sammanhang att ökad transparens i budgeteringen och verksamhetsbaserad rapportering</w:t>
            </w:r>
            <w:r>
              <w:t xml:space="preserve"> skulle </w:t>
            </w:r>
            <w:r>
              <w:rPr>
                <w:b/>
                <w:i/>
              </w:rPr>
              <w:t>bidra till förbättrad tillsyn och ansvarsskyldighet, särskilt för byråer som finansieras genom flera inkomstflöden</w:t>
            </w:r>
            <w:r>
              <w:t xml:space="preserve">. Parlamentet betonar att </w:t>
            </w:r>
            <w:r>
              <w:rPr>
                <w:b/>
                <w:i/>
              </w:rPr>
              <w:t>tydlighet när det gäller kopplingen mellan inkomstkällor och</w:t>
            </w:r>
            <w:r>
              <w:t xml:space="preserve"> verksamhet </w:t>
            </w:r>
            <w:r>
              <w:rPr>
                <w:b/>
                <w:i/>
              </w:rPr>
              <w:t>stärker förtroendet för en sund användning av unionens medel, samtidigt som den rättsliga ram som fastställs i byråernas inrättandeförordningar respekteras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är bekymrat över CdT:s negativa ekonomiska resultat på 5,7 miljoner EUR och den kontinuerliga minskningen av rörelseintäkterna, främst kopplad till minskningen av antalet fakturerade sidor med 11,4 % 2024 och med 17,6 % 2023. Parlamentet noterar att reserven för prisstabilitet, som skapades 2011 för att kompensera för fluktuationer i affärsvolymen från kunder och för att hjälpa CdT att säkerställa budget- och prisstabilitet, nådde en topp på 15,6 miljoner EUR 2014 och minskade till 8,9 miljoner EUR 2024 (en minskning med 42,9 % sedan 2014). Parlamentet är medvetet om att när reserven väl är helt uttömd skulle eventuella ytterligare underskott behöva täckas av subventioner från unionens budget, i enlighet med CdT:s inrättandeförordning. Parlamentet noterar CdT:s uppföljande svar på ansvarsfrihetsförfarandet för 2023 och uppmanar styrelsen att fortsätta att rapportera om utvecklingen av dessa planer till den ansvarsfrihetsbeviljande myndigheten, med tanke på den fortsatta minskningen av intäkterna. Parlamentet </w:t>
            </w:r>
            <w:r>
              <w:rPr>
                <w:b/>
                <w:i/>
              </w:rPr>
              <w:t>uppmuntrar</w:t>
            </w:r>
            <w:r>
              <w:t xml:space="preserve"> CdT att </w:t>
            </w:r>
            <w:r>
              <w:rPr>
                <w:b/>
                <w:i/>
              </w:rPr>
              <w:t>identifiera nya tjänster som centrumet skulle kunna tillhandahålla och nya inkomstkällor,</w:t>
            </w:r>
            <w:r>
              <w:t xml:space="preserve"> med tanke på </w:t>
            </w:r>
            <w:r>
              <w:rPr>
                <w:b/>
                <w:i/>
              </w:rPr>
              <w:t>förekomsten</w:t>
            </w:r>
            <w:r>
              <w:t xml:space="preserve"> av ny kostnadsfri översättningsteknik </w:t>
            </w:r>
            <w:r>
              <w:rPr>
                <w:b/>
                <w:i/>
              </w:rPr>
              <w:t>som skulle kunna påverka antalet översättningsbeställningar</w:t>
            </w:r>
            <w:r>
              <w:t>.</w:t>
            </w:r>
          </w:p>
        </w:tc>
        <w:tc>
          <w:tcPr>
            <w:tcW w:w="4876" w:type="dxa"/>
            <w:tcBorders>
              <w:top w:val="nil"/>
              <w:left w:val="nil"/>
              <w:bottom w:val="nil"/>
              <w:right w:val="nil"/>
            </w:tcBorders>
          </w:tcPr>
          <w:p>
            <w:pPr>
              <w:pStyle w:val="Normal6a"/>
            </w:pPr>
            <w:r>
              <w:t>33.</w:t>
            </w:r>
            <w:r>
              <w:tab/>
            </w:r>
            <w:r>
              <w:t xml:space="preserve">Europaparlamentet är bekymrat över CdT:s negativa ekonomiska resultat på 5,7 miljoner EUR och den kontinuerliga minskningen av rörelseintäkterna, främst kopplad till minskningen av antalet fakturerade sidor med 11,4 % 2024 och med 17,6 % 2023. Parlamentet noterar att reserven för prisstabilitet, som skapades 2011 för att kompensera för fluktuationer i affärsvolymen från kunder och för att hjälpa CdT att säkerställa budget- och prisstabilitet, nådde en topp på 15,6 miljoner EUR 2014 och minskade till 8,9 miljoner EUR 2024 (en minskning med 42,9 % sedan 2014). Parlamentet är medvetet om att när reserven väl är helt uttömd skulle eventuella ytterligare underskott behöva täckas av subventioner från unionens budget, i enlighet med CdT:s inrättandeförordning. Parlamentet noterar CdT:s uppföljande svar på ansvarsfrihetsförfarandet för 2023 och uppmanar styrelsen att fortsätta att rapportera om utvecklingen av dessa planer till den ansvarsfrihetsbeviljande myndigheten, med tanke på den fortsatta minskningen av intäkterna. Parlamentet </w:t>
            </w:r>
            <w:r>
              <w:rPr>
                <w:b/>
                <w:i/>
              </w:rPr>
              <w:t>uppmanar</w:t>
            </w:r>
            <w:r>
              <w:t xml:space="preserve"> CdT att </w:t>
            </w:r>
            <w:r>
              <w:rPr>
                <w:b/>
                <w:i/>
              </w:rPr>
              <w:t>se över sin verksamhet under året och överväga och anpassa sina personalresurser</w:t>
            </w:r>
            <w:r>
              <w:t xml:space="preserve"> med tanke på </w:t>
            </w:r>
            <w:r>
              <w:rPr>
                <w:b/>
                <w:i/>
              </w:rPr>
              <w:t>att den utbredda användningen</w:t>
            </w:r>
            <w:r>
              <w:t xml:space="preserve"> av ny kostnadsfri översättningsteknik </w:t>
            </w:r>
            <w:r>
              <w:rPr>
                <w:b/>
                <w:i/>
              </w:rPr>
              <w:t>har lett till en stadig och ihållande nedgång i centrumets verksamhet. Målet bör därmed vara att minska den budget som tilldelas av de organ som utnyttjar dess tjänster</w:t>
            </w:r>
            <w:r>
              <w:t xml:space="preserve">. </w:t>
            </w:r>
            <w:r>
              <w:rPr>
                <w:b/>
                <w:i/>
              </w:rPr>
              <w:t>Parlamentet begär att man överväger att avsluta CdT:s mandat.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Europaparlamentet insisterar på att även om det i budgetförordningen inte fastställs några tak för överföringar, undergräver återkommande och alltför stora överföringar principen om budgetens ettårighet och </w:t>
            </w:r>
            <w:r>
              <w:rPr>
                <w:b/>
                <w:i/>
              </w:rPr>
              <w:t>kan tyda</w:t>
            </w:r>
            <w:r>
              <w:t xml:space="preserve"> på strukturella problem i budgetprocessen och budgetens genomförandecykel.</w:t>
            </w:r>
          </w:p>
        </w:tc>
        <w:tc>
          <w:tcPr>
            <w:tcW w:w="4876" w:type="dxa"/>
            <w:tcBorders>
              <w:top w:val="nil"/>
              <w:left w:val="nil"/>
              <w:bottom w:val="nil"/>
              <w:right w:val="nil"/>
            </w:tcBorders>
          </w:tcPr>
          <w:p>
            <w:pPr>
              <w:pStyle w:val="Normal6a"/>
            </w:pPr>
            <w:r>
              <w:t>34.</w:t>
            </w:r>
            <w:r>
              <w:tab/>
            </w:r>
            <w:r>
              <w:t xml:space="preserve">Europaparlamentet insisterar på att även om det i budgetförordningen inte fastställs några tak för överföringar, undergräver återkommande och alltför stora överföringar principen om budgetens ettårighet och </w:t>
            </w:r>
            <w:r>
              <w:rPr>
                <w:b/>
                <w:i/>
              </w:rPr>
              <w:t>tyder</w:t>
            </w:r>
            <w:r>
              <w:t xml:space="preserve"> på strukturella problem i budgetprocessen och budgetens genomförandecykel. </w:t>
            </w:r>
            <w:r>
              <w:rPr>
                <w:b/>
                <w:i/>
              </w:rPr>
              <w:t>Parlamentet uppmanar kommissionen att kräva att byråer med återkommande överföringar som överstiger 15 % lämnar in planer för korrigerande åtgärder inom sex månader, inbegripet en bedömning av huruvida de begärda budgetanslagen är anpassade till den faktiska genomförandekapaciteten.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Europaparlamentet noterar att 11 byråer (Acer, ECDC, EFCA, EIGE, Europeiska arbetsmyndigheten, EMA, Enisa, ESA, eu-Lisa, EU-Osha, Eurofound, EUSPA, FRA och Frontex) under 2024 hade överföringsnivåer på över 15 % för alla budgetavdelningar i kombination, med återkommande mönster. Parlamentet noterar att överföringarna för Frontex och ESA uppgick till mer än 40 % respektive 30 %.</w:t>
            </w:r>
          </w:p>
        </w:tc>
        <w:tc>
          <w:tcPr>
            <w:tcW w:w="4876" w:type="dxa"/>
            <w:tcBorders>
              <w:top w:val="nil"/>
              <w:left w:val="nil"/>
              <w:bottom w:val="nil"/>
              <w:right w:val="nil"/>
            </w:tcBorders>
          </w:tcPr>
          <w:p>
            <w:pPr>
              <w:pStyle w:val="Normal6a"/>
            </w:pPr>
            <w:r>
              <w:t>35.</w:t>
            </w:r>
            <w:r>
              <w:tab/>
            </w:r>
            <w:r>
              <w:t xml:space="preserve">Europaparlamentet noterar att 11 byråer (Acer, ECDC, EFCA, EIGE, Europeiska arbetsmyndigheten, EMA, Enisa, ESA, eu-Lisa, EU-Osha, Eurofound, EUSPA, FRA och Frontex) under 2024 hade överföringsnivåer på över 15 % för alla budgetavdelningar i kombination, med återkommande mönster. Parlamentet noterar att överföringarna för Frontex och ESA uppgick till mer än 40 % respektive 30 %. </w:t>
            </w:r>
            <w:r>
              <w:rPr>
                <w:b/>
                <w:i/>
              </w:rPr>
              <w:t>Parlamentet uppmanar byråerna att förbättra den fleråriga planeringen, planeringen av upphandlingar och åtagandeprognoserna för att säkerställa att anslagen genomförs inom det budgetår för vilket de har godkänts.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avvisar därför FRA:s begäran om mer finansiering.</w:t>
            </w:r>
            <w:r>
              <w:t xml:space="preserve"> </w:t>
            </w:r>
            <w:r>
              <w:rPr>
                <w:b/>
                <w:i/>
              </w:rPr>
              <w:t>Parlamentet betonar att FRA bör fullgöra sitt uppdrag under iakttagande av neutralitet och transparens.</w:t>
            </w:r>
            <w:r>
              <w:t xml:space="preserve"> </w:t>
            </w:r>
            <w:r>
              <w:rPr>
                <w:b/>
                <w:i/>
              </w:rPr>
              <w:t>Parlamentet påminner om att byråns budget endast bör användas för opartisk evidensbaserad analys och för fullgörandet av dess centrala rättsliga uppgifter.</w:t>
            </w:r>
            <w:r>
              <w:t xml:space="preserve"> </w:t>
            </w:r>
            <w:r>
              <w:rPr>
                <w:b/>
                <w:i/>
              </w:rPr>
              <w:t>Parlamentet efterlyser därför ett slut på dess ständiga försök att blanda sig i institutionernas och byråernas verksamhet, särskilt de som har intern personal med ansvar för grundläggande rättigheter.</w:t>
            </w:r>
            <w:r>
              <w:t xml:space="preserve"> </w:t>
            </w:r>
            <w:r>
              <w:rPr>
                <w:b/>
                <w:i/>
              </w:rPr>
              <w:t>Parlamentet begär att man överväger att avsluta mandatet för denna byrå, vars verksamhet överlappar flera byråers tjänster , vilket begränsar dess mervärde.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noterar att Frontex under 2024 förde över 43 % av årets icke-differentierade anslag till 2025 och att revisionsrätten i sin årsrapport om EU:s byråer för budgetåret 2024 betonade att en återkommande hög andel överföringar undergräver principen om budgetens ettårighet och tyder på strukturella problem i budgetprocessen och budgetgenomförandecykeln.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Europaparlamentet påminner om att byråerna måste fokusera på sin kärnverksamhet.</w:t>
            </w:r>
            <w:r>
              <w:t xml:space="preserve"> </w:t>
            </w:r>
            <w:r>
              <w:rPr>
                <w:b/>
                <w:i/>
              </w:rPr>
              <w:t>Parlamentet kritiserar den ideologiska påverkan från icke-statliga politiskt vänsterorienterade organisationer som förekommit under de senaste åren och som fått kommissionens stöd.</w:t>
            </w:r>
            <w:r>
              <w:t xml:space="preserve"> </w:t>
            </w:r>
            <w:r>
              <w:rPr>
                <w:b/>
                <w:i/>
              </w:rPr>
              <w:t>Parlamentet beklagar i detta avseende att personal och budget för övervakning av grundläggande rättigheter har ökats till nackdel för tjänstemän i Frontex stående styrka, något som dess direktör påminde om 2024</w:t>
            </w:r>
            <w:r>
              <w:rPr>
                <w:b/>
                <w:i/>
                <w:vertAlign w:val="superscript"/>
              </w:rPr>
              <w:t>35 t</w:t>
            </w:r>
            <w:r>
              <w:rPr>
                <w:b/>
                <w:i/>
              </w:rPr>
              <w:t>, vilket har avlett – och ibland till och med hindrat – Frontex när det gäller utförandet av dess huvuduppdrag.</w:t>
            </w:r>
            <w:r>
              <w:t xml:space="preserve"> </w:t>
            </w:r>
            <w:r>
              <w:rPr>
                <w:b/>
                <w:i/>
              </w:rPr>
              <w:t>Parlamentet betonar att alla Frontex verksamheter och resurser måste förbli inriktade på gränsskyddet, kampen mot gränsöverskridande brottslighet, förebyggandet av irreguljär migration och ett effektivt återvändande för dem som inte har laglig rätt att stanna.</w:t>
            </w:r>
            <w:r>
              <w:t xml:space="preserve"> </w:t>
            </w:r>
            <w:r>
              <w:rPr>
                <w:b/>
                <w:i/>
              </w:rPr>
              <w:t>Parlamentet efterlyser en omfördelning av resurser så att resurserna förblir inriktade på centrala gränsförvaltningsuppgifter och en fortsatt rekrytering av nödvändig personal i första ledet vid EU:s yttre gränser och rationalisering av antalet administrativa tjänster.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 t</w:t>
            </w:r>
            <w:r>
              <w:t xml:space="preserve"> </w:t>
            </w:r>
            <w:r>
              <w:rPr>
                <w:b/>
                <w:i/>
              </w:rPr>
              <w:t>https://fr.euronews.com/my-europe/2024/03/05/nous-ne-sommes-pas-lagence-europeenne-de-sauvetage-souligne-le-directeur-de-frontex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anser att överföringar i vissa fall kan motiveras av verksamhetens fleråriga karaktär eller orsakas av faktorer utanför de berörda byråernas kontroll. Parlamentet noterar revisionsrättens uttalande vid utfrågningen den 1 december 2025 om att den enligt sin nya revisionsmetod kommer att sträva efter att ge en tydligare övergripande översikt över typen av överföringar i framtida rapporter, och erkänner samtidigt revisionsrättens förtydligande att en differentierad uppdelning av orsakerna till överföringar mellan byråer inte är genomförbar på grund av metod- och resursbegränsningar. Parlamentet välkomnar revisionsrättens beredvillighet att lyfta fram återkommande mönster och systemfaktorer som bidrar till alltför stora överföringar</w:t>
            </w:r>
            <w:r>
              <w:rPr>
                <w:b/>
                <w:i/>
              </w:rPr>
              <w:t>, och</w:t>
            </w:r>
            <w:r>
              <w:t xml:space="preserve"> uppmanar byråerna att förbättra sina budgetprognoser och sin projektplanering för att minimera oplanerade överföringar och säkerställa att anslagen används effektivt under budgetåret.</w:t>
            </w:r>
          </w:p>
        </w:tc>
        <w:tc>
          <w:tcPr>
            <w:tcW w:w="4876" w:type="dxa"/>
            <w:tcBorders>
              <w:top w:val="nil"/>
              <w:left w:val="nil"/>
              <w:bottom w:val="nil"/>
              <w:right w:val="nil"/>
            </w:tcBorders>
          </w:tcPr>
          <w:p>
            <w:pPr>
              <w:pStyle w:val="Normal6a"/>
            </w:pPr>
            <w:r>
              <w:t>36.</w:t>
            </w:r>
            <w:r>
              <w:tab/>
            </w:r>
            <w:r>
              <w:t>Europaparlamentet anser att överföringar i vissa fall kan motiveras av verksamhetens fleråriga karaktär eller orsakas av faktorer utanför de berörda byråernas kontroll. Parlamentet noterar revisionsrättens uttalande vid utfrågningen den 1 december 2025 om att den enligt sin nya revisionsmetod kommer att sträva efter att ge en tydligare övergripande översikt över typen av överföringar i framtida rapporter, och erkänner samtidigt revisionsrättens förtydligande att en differentierad uppdelning av orsakerna till överföringar mellan byråer inte är genomförbar på grund av metod- och resursbegränsningar. Parlamentet välkomnar revisionsrättens beredvillighet att lyfta fram återkommande mönster och systemfaktorer som bidrar till alltför stora överföringar</w:t>
            </w:r>
            <w:r>
              <w:rPr>
                <w:b/>
                <w:i/>
              </w:rPr>
              <w:t>.</w:t>
            </w:r>
            <w:r>
              <w:t xml:space="preserve"> </w:t>
            </w:r>
            <w:r>
              <w:rPr>
                <w:b/>
                <w:i/>
              </w:rPr>
              <w:t>Parlamentet betonar dock att ihållande höga och återkommande nivåer av överföringar kan tyda på underliggande strukturella utmaningar i planeringen, genomförandet eller resurstilldelningen.</w:t>
            </w:r>
            <w:r>
              <w:t xml:space="preserve"> </w:t>
            </w:r>
            <w:r>
              <w:rPr>
                <w:b/>
                <w:i/>
              </w:rPr>
              <w:t>Parlamentet</w:t>
            </w:r>
            <w:r>
              <w:t xml:space="preserve"> uppmanar byråerna att förbättra sina budgetprognoser och sin projektplanering för att minimera oplanerade överföringar och säkerställa att anslagen används effektivt under budgetåret.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Europaparlamentet påminner om att det i regelverket föreskrivs att byråerna ska göra betalningar inom särskilda tidsfrister. Parlamentet noterar att </w:t>
            </w:r>
            <w:r>
              <w:rPr>
                <w:b/>
                <w:i/>
              </w:rPr>
              <w:t>om</w:t>
            </w:r>
            <w:r>
              <w:t xml:space="preserve"> dessa tidsfrister </w:t>
            </w:r>
            <w:r>
              <w:rPr>
                <w:b/>
                <w:i/>
              </w:rPr>
              <w:t>inte respekteras kan fordringsägarna få rätt till</w:t>
            </w:r>
            <w:r>
              <w:t xml:space="preserve"> dröjsmålsränta. Parlamentet konstaterar att revisionsrätten för 2024 rapporterar att för 11 byråer (Acer, Cedefop, Cepol, EEA, Europeiska arbetsmyndigheten, Enisa, ETF, EUDA, Eurojust, FRA och Frontex) gjordes mer än 5 % av betalningarna efter den tillämpliga tidsfristen. Parlamentet </w:t>
            </w:r>
            <w:r>
              <w:rPr>
                <w:b/>
                <w:i/>
              </w:rPr>
              <w:t>är bekymrat</w:t>
            </w:r>
            <w:r>
              <w:t xml:space="preserve"> över ökningen av sena betalningar sedan 2022, vilket är en ökning jämfört med 2023 (nio byråer) och 2022 (fem byråer).</w:t>
            </w:r>
          </w:p>
        </w:tc>
        <w:tc>
          <w:tcPr>
            <w:tcW w:w="4876" w:type="dxa"/>
            <w:tcBorders>
              <w:top w:val="nil"/>
              <w:left w:val="nil"/>
              <w:bottom w:val="nil"/>
              <w:right w:val="nil"/>
            </w:tcBorders>
          </w:tcPr>
          <w:p>
            <w:pPr>
              <w:pStyle w:val="Normal6a"/>
            </w:pPr>
            <w:r>
              <w:t>37.</w:t>
            </w:r>
            <w:r>
              <w:tab/>
            </w:r>
            <w:r>
              <w:t xml:space="preserve">Europaparlamentet påminner om att det i regelverket föreskrivs att byråerna ska göra betalningar inom särskilda tidsfrister. Parlamentet noterar att </w:t>
            </w:r>
            <w:r>
              <w:rPr>
                <w:b/>
                <w:i/>
              </w:rPr>
              <w:t>underlåtenhet att respektera</w:t>
            </w:r>
            <w:r>
              <w:t xml:space="preserve"> dessa tidsfrister </w:t>
            </w:r>
            <w:r>
              <w:rPr>
                <w:b/>
                <w:i/>
              </w:rPr>
              <w:t>undergräver unionens trovärdighet som avtalspart och kan medföra ytterligare kostnader såsom</w:t>
            </w:r>
            <w:r>
              <w:t xml:space="preserve"> dröjsmålsränta. Parlamentet konstaterar att revisionsrätten för 2024 rapporterar att för 11 byråer (Acer, Cedefop, Cepol, EEA, Europeiska arbetsmyndigheten, Enisa, ETF, EUDA, Eurojust, FRA och Frontex) gjordes mer än 5 % av betalningarna efter den tillämpliga tidsfristen. Parlamentet </w:t>
            </w:r>
            <w:r>
              <w:rPr>
                <w:b/>
                <w:i/>
              </w:rPr>
              <w:t>uttrycker oro</w:t>
            </w:r>
            <w:r>
              <w:t xml:space="preserve"> över ökningen av sena betalningar sedan 2022, vilket är en ökning jämfört med 2023 (nio byråer) och 2022 (fem byråer). </w:t>
            </w:r>
            <w:r>
              <w:rPr>
                <w:b/>
                <w:i/>
              </w:rPr>
              <w:t>Parlamentet efterlyser planer för korrigerande åtgärder vid byråer där sena betalningar kvarstår under flera 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Europaparlamentet insisterar på behovet av att säkerställa efterlevnad av lagstadgade tidsfrister för betalningar och noterar att en hög frekvens av försenade betalningar kan inverka negativt på byråernas anseende. Parlamentet uppmanar de berörda byråerna att vidta åtgärder för att undvika framtida betalningsförseningar och dröjsmålsränta och säkerställa att skyldigheterna fullgörs i tid.</w:t>
            </w:r>
          </w:p>
        </w:tc>
        <w:tc>
          <w:tcPr>
            <w:tcW w:w="4876" w:type="dxa"/>
            <w:tcBorders>
              <w:top w:val="nil"/>
              <w:left w:val="nil"/>
              <w:bottom w:val="nil"/>
              <w:right w:val="nil"/>
            </w:tcBorders>
          </w:tcPr>
          <w:p>
            <w:pPr>
              <w:pStyle w:val="Normal6a"/>
            </w:pPr>
            <w:r>
              <w:t>38.</w:t>
            </w:r>
            <w:r>
              <w:tab/>
            </w:r>
            <w:r>
              <w:t xml:space="preserve">Europaparlamentet insisterar på behovet av att säkerställa efterlevnad av lagstadgade tidsfrister för betalningar och noterar att en hög frekvens av försenade betalningar kan inverka negativt på byråernas anseende. Parlamentet uppmanar de berörda byråerna att vidta åtgärder för att undvika framtida betalningsförseningar och dröjsmålsränta och säkerställa att skyldigheterna fullgörs i tid. </w:t>
            </w:r>
            <w:r>
              <w:rPr>
                <w:b/>
                <w:i/>
              </w:rPr>
              <w:t>Parlamentet påminner om att iakttagande av betalningsfrister enligt budgetförordningen utgör en rättslig skyldighet och en central del av den ekonomiska förvaltningen.</w:t>
            </w:r>
            <w:r>
              <w:t xml:space="preserve"> </w:t>
            </w:r>
            <w:r>
              <w:rPr>
                <w:b/>
                <w:i/>
              </w:rPr>
              <w:t>Parlamentet uppmanar byråerna att genomföra korrigerande åtgärder som säkerställer systematisk respekt för föreskrivna tidsfrister.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Europaparlamentet uppmanar </w:t>
            </w:r>
            <w:r>
              <w:rPr>
                <w:b/>
                <w:i/>
              </w:rPr>
              <w:t>med kraft</w:t>
            </w:r>
            <w:r>
              <w:t xml:space="preserve"> de europeiska tillsynsmyndigheterna (EBA, Eiopa och Esma) att </w:t>
            </w:r>
            <w:r>
              <w:rPr>
                <w:b/>
                <w:i/>
              </w:rPr>
              <w:t>förbättra sin kapacitet att identifiera och separat redovisa kostnaderna för</w:t>
            </w:r>
            <w:r>
              <w:t xml:space="preserve"> verksamhet som finansieras genom </w:t>
            </w:r>
            <w:r>
              <w:rPr>
                <w:b/>
                <w:i/>
              </w:rPr>
              <w:t>olika</w:t>
            </w:r>
            <w:r>
              <w:t xml:space="preserve"> intäktsflöden i syfte att </w:t>
            </w:r>
            <w:r>
              <w:rPr>
                <w:b/>
                <w:i/>
              </w:rPr>
              <w:t>förbättra redovisningstillsynen och transparensen, i enlighet med revisionsrättens rekommendationer, eftersom det faktum att de inte kan redovisa dessa utgör en risk</w:t>
            </w:r>
            <w:r>
              <w:t xml:space="preserve"> för transparensen </w:t>
            </w:r>
            <w:r>
              <w:rPr>
                <w:b/>
                <w:i/>
              </w:rPr>
              <w:t>vid användningen av unionens medel</w:t>
            </w:r>
            <w:r>
              <w:t>.</w:t>
            </w:r>
          </w:p>
        </w:tc>
        <w:tc>
          <w:tcPr>
            <w:tcW w:w="4876" w:type="dxa"/>
            <w:tcBorders>
              <w:top w:val="nil"/>
              <w:left w:val="nil"/>
              <w:bottom w:val="nil"/>
              <w:right w:val="nil"/>
            </w:tcBorders>
          </w:tcPr>
          <w:p>
            <w:pPr>
              <w:pStyle w:val="Normal6a"/>
            </w:pPr>
            <w:r>
              <w:t>39.</w:t>
            </w:r>
            <w:r>
              <w:tab/>
            </w:r>
            <w:r>
              <w:t xml:space="preserve">Europaparlamentet uppmanar de europeiska tillsynsmyndigheterna (EBA, Eiopa och Esma) att </w:t>
            </w:r>
            <w:r>
              <w:rPr>
                <w:b/>
                <w:i/>
              </w:rPr>
              <w:t>fortsätta att stärka transparensen i sina verksamhetsbaserade budgeterings- och kostnadsberäkningssystem, särskilt när det gäller</w:t>
            </w:r>
            <w:r>
              <w:t xml:space="preserve"> verksamhet som finansieras genom </w:t>
            </w:r>
            <w:r>
              <w:rPr>
                <w:b/>
                <w:i/>
              </w:rPr>
              <w:t>tillsynsavgifter eller andra särskilda</w:t>
            </w:r>
            <w:r>
              <w:t xml:space="preserve"> intäktsflöden</w:t>
            </w:r>
            <w:r>
              <w:rPr>
                <w:b/>
                <w:i/>
              </w:rPr>
              <w:t>,</w:t>
            </w:r>
            <w:r>
              <w:t xml:space="preserve"> i syfte att </w:t>
            </w:r>
            <w:r>
              <w:rPr>
                <w:b/>
                <w:i/>
              </w:rPr>
              <w:t>minska de risker</w:t>
            </w:r>
            <w:r>
              <w:t xml:space="preserve"> för transparensen </w:t>
            </w:r>
            <w:r>
              <w:rPr>
                <w:b/>
                <w:i/>
              </w:rPr>
              <w:t>som revisionsrätten identifierat när det gäller inkomstförvaltning och finansieringsstrukturer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w:t>
            </w:r>
          </w:p>
        </w:tc>
        <w:tc>
          <w:tcPr>
            <w:tcW w:w="4876" w:type="dxa"/>
            <w:tcBorders>
              <w:top w:val="nil"/>
              <w:left w:val="nil"/>
              <w:bottom w:val="nil"/>
              <w:right w:val="nil"/>
            </w:tcBorders>
          </w:tcPr>
          <w:p>
            <w:pPr>
              <w:pStyle w:val="Normal6a"/>
            </w:pPr>
            <w:r>
              <w:t>40.</w:t>
            </w:r>
            <w:r>
              <w:tab/>
            </w:r>
            <w:r>
              <w:t xml:space="preserve">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 </w:t>
            </w:r>
            <w:r>
              <w:rPr>
                <w:b/>
                <w:i/>
              </w:rPr>
              <w:t>Med tanke på de berörda beloppen, som uppgår till miljoner euro, och revisionsrättens upprepade varningar i sina årsrapporter under årens lopp, är parlamentet oroat över antalet byråer som alltför lättvindigt följer förfarandena för offentlig upphandling, vilket är den främsta källan till oriktiga betalningar.</w:t>
            </w:r>
            <w:r>
              <w:t xml:space="preserve"> </w:t>
            </w:r>
            <w:r>
              <w:rPr>
                <w:b/>
                <w:i/>
              </w:rPr>
              <w:t>Parlamentet är bekymrat över att dessa brister är återkommande, särskilt hos vissa byråer som inte verkar ha vidtagit nödvändiga åtgärder eller är villiga att sätta stopp för denna situation.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w:t>
            </w:r>
          </w:p>
        </w:tc>
        <w:tc>
          <w:tcPr>
            <w:tcW w:w="4876" w:type="dxa"/>
            <w:tcBorders>
              <w:top w:val="nil"/>
              <w:left w:val="nil"/>
              <w:bottom w:val="nil"/>
              <w:right w:val="nil"/>
            </w:tcBorders>
          </w:tcPr>
          <w:p>
            <w:pPr>
              <w:pStyle w:val="Normal6a"/>
            </w:pPr>
            <w:r>
              <w:t>40.</w:t>
            </w:r>
            <w:r>
              <w:tab/>
            </w:r>
            <w:r>
              <w:t xml:space="preserve">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 </w:t>
            </w:r>
            <w:r>
              <w:rPr>
                <w:b/>
                <w:i/>
              </w:rPr>
              <w:t>Parlamentet uppmanar de berörda byråerna att stärka sina förhandskontroller, förbättra dokumentationen av tilldelningskriterierna och säkerställa en strikt motivering av förhandlade förfaranden utan offentliggörande.</w:t>
            </w:r>
            <w:r>
              <w:t xml:space="preserve"> </w:t>
            </w:r>
            <w:r>
              <w:rPr>
                <w:b/>
                <w:i/>
              </w:rPr>
              <w:t>Parlamentet uppmanar kommissionen att tillhandahålla riktad vägledning och utbildning till byråer med återkommande upphandlingsbrister.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w:t>
            </w:r>
          </w:p>
        </w:tc>
        <w:tc>
          <w:tcPr>
            <w:tcW w:w="4876" w:type="dxa"/>
            <w:tcBorders>
              <w:top w:val="nil"/>
              <w:left w:val="nil"/>
              <w:bottom w:val="nil"/>
              <w:right w:val="nil"/>
            </w:tcBorders>
          </w:tcPr>
          <w:p>
            <w:pPr>
              <w:pStyle w:val="Normal6a"/>
            </w:pPr>
            <w:r>
              <w:t>40.</w:t>
            </w:r>
            <w:r>
              <w:tab/>
            </w:r>
            <w:r>
              <w:t xml:space="preserve">Europaparlamentet noterar slutsatsen från revisionsrätten i dess årsrapport om EU:s byråer för budgetåret 2024 att revisionsrättens granskning visade liknande resultat som föregående år, och att brister i förfarandena för offentlig upphandling var den främsta källan till oriktiga betalningar. </w:t>
            </w:r>
            <w:r>
              <w:rPr>
                <w:b/>
                <w:i/>
              </w:rPr>
              <w:t>Parlamentet uppmanar byråerna att säkerställa fullständig spårbarhet, konkurrensutsatta förfaranden och korrekt dokumentation i all upphandlingsverksamhet (inbegripet kontrakt till lågt värde), och uppmanar byråernas internrevisionstjänster att prioritera upphandlingsöversyner.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Europaparlamentet uppmanar revisionsrätten att årligen, för varje berörd byrå, informera parlamentet om antalet klagomål till Olaf från anställda vid byråerna som Olaf har beslutat att inte utreda och som rör intressekonflikter och offentlig upphandling, eftersom sådana klagomål är användbara tidiga tecken.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40b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Europaparlamentet påminner om att det vid alla upphandlingar är viktigt att respektera alla principer:</w:t>
            </w:r>
            <w:r>
              <w:t xml:space="preserve"> </w:t>
            </w:r>
            <w:r>
              <w:rPr>
                <w:b/>
                <w:i/>
              </w:rPr>
              <w:t>transparens, proportionalitet, likabehandling, icke-diskriminering, rättvis konkurrens mellan anbudsgivare, leveranser osv., samtidigt som europeiska företag och produkter eller produkter med öppen källkod prioriteras framför företag utanför EU (teknisk suveränitet, livsmedelssuveränitet osv.).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Europaparlamentet noterar att revisionsrätten, liksom tidigare år, anser att risken avseende sund ekonomisk förvaltning är medelhög och främst förknippad med förfaranden för offentlig upphandling.</w:t>
            </w:r>
          </w:p>
        </w:tc>
        <w:tc>
          <w:tcPr>
            <w:tcW w:w="4876" w:type="dxa"/>
            <w:tcBorders>
              <w:top w:val="nil"/>
              <w:left w:val="nil"/>
              <w:bottom w:val="nil"/>
              <w:right w:val="nil"/>
            </w:tcBorders>
          </w:tcPr>
          <w:p>
            <w:pPr>
              <w:pStyle w:val="Normal6a"/>
            </w:pPr>
            <w:r>
              <w:t>43.</w:t>
            </w:r>
            <w:r>
              <w:tab/>
            </w:r>
            <w:r>
              <w:t xml:space="preserve">Europaparlamentet noterar att revisionsrätten, liksom tidigare år, anser att risken avseende sund ekonomisk förvaltning är medelhög och främst förknippad med förfaranden för offentlig upphandling. </w:t>
            </w:r>
            <w:r>
              <w:rPr>
                <w:b/>
                <w:i/>
              </w:rPr>
              <w:t>Parlamentet betonar att byråerna inte alltid når tillfredsställande resultat i fråga om transparens och valuta för pengarna vid anbudsförfaranden med komplexa upphandlingsregler och förfaranden</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https://www.eca.europa.eu/ECAPublications/SAR-AGENCIES-2024/SAR-AGENCIES-2024_SV.pdf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Europaparlamentet noterar att revisionsrätten anser att risken för budgetförvaltningen är låg, och att revisionsrättens granskning avslöjade brister som främst gällde den automatiska överföringen av outnyttjade anslag till påföljande budgetår och sena betalningar. Parlamentet framhåller att brister i förvaltnings- och kontrollsystemen rör förhållanden som till exempel avsaknad av lämpliga förhands- eller efterhandskontroller, upphandlingar för operativa ändamål som inleds utan korrekta finansieringsbeslut, utgifter som genomförs utan korrekt delegering av befogenheter av en utanordnare, brister i förvaltningen av bidrag och förseningar i kommissionens bedömning av en byrå.</w:t>
            </w:r>
          </w:p>
        </w:tc>
        <w:tc>
          <w:tcPr>
            <w:tcW w:w="4876" w:type="dxa"/>
            <w:tcBorders>
              <w:top w:val="nil"/>
              <w:left w:val="nil"/>
              <w:bottom w:val="nil"/>
              <w:right w:val="nil"/>
            </w:tcBorders>
          </w:tcPr>
          <w:p>
            <w:pPr>
              <w:pStyle w:val="Normal6a"/>
            </w:pPr>
            <w:r>
              <w:t>44.</w:t>
            </w:r>
            <w:r>
              <w:tab/>
            </w:r>
            <w:r>
              <w:t xml:space="preserve">Europaparlamentet noterar att revisionsrätten anser att risken för budgetförvaltningen är låg, och att revisionsrättens granskning avslöjade brister som främst gällde den automatiska överföringen av outnyttjade anslag till påföljande budgetår och sena betalningar. Parlamentet framhåller att brister i förvaltnings- och kontrollsystemen rör förhållanden som till exempel avsaknad av lämpliga förhands- eller efterhandskontroller, upphandlingar för operativa ändamål som inleds utan korrekta finansieringsbeslut, utgifter som genomförs utan korrekt delegering av befogenheter av en utanordnare, brister i förvaltningen av bidrag och förseningar i kommissionens bedömning av en byrå. </w:t>
            </w:r>
            <w:r>
              <w:rPr>
                <w:b/>
                <w:i/>
              </w:rPr>
              <w:t>Parlamentet betonar att dessa brister, som förtecknats av revisionsrätten, undergräver en sund ekonomisk förvaltning och utsätter byråerna för finansiella risker och anseenderisker.</w:t>
            </w:r>
            <w:r>
              <w:t xml:space="preserve"> </w:t>
            </w:r>
            <w:r>
              <w:rPr>
                <w:b/>
                <w:i/>
              </w:rPr>
              <w:t>Parlamentet uppmanar de berörda byråerna att säkerställa fullständig efterlevnad av budgetförordningen och att vidta nödvändiga korrigerande åtgärder, och uppmanar kommissionen att noga övervaka genomförandet av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Europaparlamentet noterar att när det gäller Europeiska arbetsmyndigheten avser reservationen betalningar på 2,6 miljoner EUR 2024, vilket motsvarar 5,7 % av samtliga tillgängliga betalningsbemyndiganden. Parlamentet noterar att detta belopp inkluderar 2,2 miljoner EUR för ett kontrakt som ansågs vara oriktigt i 2022 års revisionsrapport på grund av att det tilldelade värdet överskred den fastställda högsta kontraktsgränsen, i strid med punkt 12.3 a i bilaga I till budgetförordningen, och 0,4 miljoner EUR i samband med brister i förhandskontrollerna när det gäller kontraktsgenomförandet. Parlamentet noterar Europeiska arbetsmyndighetens svar under utfrågningen den 1 december 2025 att de faktiska betalningarna inom ramen för kontraktet, trots den oriktiga tilldelningen, höll sig inom det tak på 6 miljoner EUR som fastställs i kravspecifikationerna, och att kontraktet var avgörande för att säkerställa myndighetens kontinuitet i verksamheten under dess inledande etableringsfas. Parlamentet noterar vidare att det oriktiga kontraktet löpte ut i februari 2024 och inte förnyades. Parlamentet välkomnar myndighetens försäkringar om att korrigerande åtgärder har vidtagits, inbegripet reviderade anbudsunderlag, stärkta upphandlingsförfaranden och uppdaterade interna checklistor för att förhindra liknande oriktigheter.</w:t>
            </w:r>
          </w:p>
        </w:tc>
        <w:tc>
          <w:tcPr>
            <w:tcW w:w="4876" w:type="dxa"/>
            <w:tcBorders>
              <w:top w:val="nil"/>
              <w:left w:val="nil"/>
              <w:bottom w:val="nil"/>
              <w:right w:val="nil"/>
            </w:tcBorders>
          </w:tcPr>
          <w:p>
            <w:pPr>
              <w:pStyle w:val="Normal6a"/>
            </w:pPr>
            <w:r>
              <w:t>48.</w:t>
            </w:r>
            <w:r>
              <w:tab/>
            </w:r>
            <w:r>
              <w:t xml:space="preserve">Europaparlamentet noterar att när det gäller Europeiska arbetsmyndigheten avser reservationen betalningar på 2,6 miljoner EUR 2024, vilket motsvarar 5,7 % av samtliga tillgängliga betalningsbemyndiganden. Parlamentet noterar att detta belopp inkluderar 2,2 miljoner EUR för ett kontrakt som ansågs vara oriktigt i 2022 års revisionsrapport på grund av att det tilldelade värdet överskred den fastställda högsta kontraktsgränsen, i strid med punkt 12.3 a i bilaga I till budgetförordningen, och 0,4 miljoner EUR i samband med brister i förhandskontrollerna när det gäller kontraktsgenomförandet. Parlamentet noterar Europeiska arbetsmyndighetens svar under utfrågningen den 1 december 2025 att de faktiska betalningarna inom ramen för kontraktet, trots den oriktiga tilldelningen, höll sig inom det tak på 6 miljoner EUR som fastställs i kravspecifikationerna, och att kontraktet var avgörande för att säkerställa myndighetens kontinuitet i verksamheten under dess inledande etableringsfas. Parlamentet noterar vidare att det oriktiga kontraktet löpte ut i februari 2024 och inte förnyades. Parlamentet välkomnar myndighetens försäkringar om att korrigerande åtgärder har vidtagits, inbegripet reviderade anbudsunderlag, stärkta upphandlingsförfaranden och uppdaterade interna checklistor för att förhindra liknande oriktigheter. </w:t>
            </w:r>
            <w:r>
              <w:rPr>
                <w:b/>
                <w:i/>
              </w:rPr>
              <w:t>Parlamentet uppmuntrar Europeiska arbetsmyndigheten att stärka planerings- och prioriteringsmekanismerna för att säkerställa en effektiv användning av anslag och ett genomförande i tid av operativ verksamhet i framtiden.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Europaparlamentet noterar att ”iakttagelser” i byråernas särskilda årsrapporter i själva verket är icke tidsbundna rekommendationer från revisionsrätten. Parlamentet noterar att revisionsrätten årligen följer upp dessa iakttagelser genom att bedöma deras status som ”pågår” eller ”har genomförts”.</w:t>
            </w:r>
          </w:p>
        </w:tc>
        <w:tc>
          <w:tcPr>
            <w:tcW w:w="4876" w:type="dxa"/>
            <w:tcBorders>
              <w:top w:val="nil"/>
              <w:left w:val="nil"/>
              <w:bottom w:val="nil"/>
              <w:right w:val="nil"/>
            </w:tcBorders>
          </w:tcPr>
          <w:p>
            <w:pPr>
              <w:pStyle w:val="Normal6a"/>
            </w:pPr>
            <w:r>
              <w:t>50.</w:t>
            </w:r>
            <w:r>
              <w:tab/>
            </w:r>
            <w:r>
              <w:t xml:space="preserve">Europaparlamentet noterar att ”iakttagelser” i byråernas särskilda årsrapporter i själva verket är icke tidsbundna rekommendationer från revisionsrätten. Parlamentet noterar att revisionsrätten årligen följer upp dessa iakttagelser genom att bedöma deras status som ”pågår” eller ”har genomförts”. </w:t>
            </w:r>
            <w:r>
              <w:rPr>
                <w:b/>
                <w:i/>
              </w:rPr>
              <w:t>Parlamentet anser dock att långvariga pågående iakttagelser bör kräva snabba och konkreta korrigerande åtgärder, åtföljda av förstärkt tillsyn från respektive styrelses sida för att förhindra återkommande brister.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Europaparlamentet uppmärksammar den betydande inverkan som rättsakten om digital operativ motståndskraft (DORA) och förordningen om marknader för kryptotillgångar (MiCAR) har på Europeiska bankmyndighetens (EBA) operativa mandat och uppgifter. Parlamentet </w:t>
            </w:r>
            <w:r>
              <w:rPr>
                <w:b/>
                <w:i/>
              </w:rPr>
              <w:t>noterar med oro att de ursprungliga bestämmelserna inte på ett tillfredsställande sätt tog itu med de ekonomiska resurser som behövdes för att inrätta dessa funktioner eller för förberedelse- och genomförandefaserna för den relevanta politiken.</w:t>
            </w:r>
            <w:r>
              <w:t xml:space="preserve"> </w:t>
            </w:r>
            <w:r>
              <w:rPr>
                <w:b/>
                <w:i/>
              </w:rPr>
              <w:t>Parlamentet stöder till fullo myndighetens åsikt att framtida finansieringsöversikter för rättsakter måste föregripa och tillhandahålla tillräckliga resurser för ett snabbt och effektivt inrättande av sådana komplexa mandat.</w:t>
            </w:r>
            <w:r>
              <w:t xml:space="preserve"> </w:t>
            </w:r>
            <w:r>
              <w:rPr>
                <w:b/>
                <w:i/>
              </w:rPr>
              <w:t>Parlamentet kräver att lämplig</w:t>
            </w:r>
            <w:r>
              <w:t xml:space="preserve"> finansiering </w:t>
            </w:r>
            <w:r>
              <w:rPr>
                <w:b/>
                <w:i/>
              </w:rPr>
              <w:t>anslås för att hantera utvidgningen av detta mandat</w:t>
            </w:r>
            <w:r>
              <w:t>.</w:t>
            </w:r>
          </w:p>
        </w:tc>
        <w:tc>
          <w:tcPr>
            <w:tcW w:w="4876" w:type="dxa"/>
            <w:tcBorders>
              <w:top w:val="nil"/>
              <w:left w:val="nil"/>
              <w:bottom w:val="nil"/>
              <w:right w:val="nil"/>
            </w:tcBorders>
          </w:tcPr>
          <w:p>
            <w:pPr>
              <w:pStyle w:val="Normal6a"/>
            </w:pPr>
            <w:r>
              <w:t>54.</w:t>
            </w:r>
            <w:r>
              <w:tab/>
            </w:r>
            <w:r>
              <w:t xml:space="preserve">Europaparlamentet uppmärksammar den betydande inverkan som rättsakten om digital operativ motståndskraft (DORA) och förordningen om marknader för kryptotillgångar (MiCAR) har på Europeiska bankmyndighetens (EBA) operativa mandat och uppgifter. Parlamentet </w:t>
            </w:r>
            <w:r>
              <w:rPr>
                <w:b/>
                <w:i/>
              </w:rPr>
              <w:t>betonar att all ytterligare</w:t>
            </w:r>
            <w:r>
              <w:t xml:space="preserve"> finansiering </w:t>
            </w:r>
            <w:r>
              <w:rPr>
                <w:b/>
                <w:i/>
              </w:rPr>
              <w:t>måste föregås av en detaljerad bedömning av EBA:s befintliga resurstilldelning och identifiering av potentiella interna effektivitetsvinster innan ytterligare unionsbidrag begärs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Europaparlamentet uppmärksammar den betydande inverkan som rättsakten om digital operativ motståndskraft (DORA) och förordningen om marknader för kryptotillgångar (MiCAR) har på Europeiska bankmyndighetens (EBA) operativa mandat och uppgifter. Parlamentet noterar med oro att de ursprungliga bestämmelserna inte på ett tillfredsställande sätt tog itu med de ekonomiska resurser som behövdes för att inrätta dessa funktioner eller för förberedelse- och genomförandefaserna för den relevanta politiken. Parlamentet stöder till fullo myndighetens åsikt att framtida finansieringsöversikter för rättsakter måste föregripa och tillhandahålla tillräckliga resurser för ett snabbt och effektivt inrättande av sådana komplexa mandat. </w:t>
            </w:r>
            <w:r>
              <w:rPr>
                <w:b/>
                <w:i/>
              </w:rPr>
              <w:t>Parlamentet kräver att lämplig finansiering anslås för att hantera utvidgningen av detta mandat.</w:t>
            </w:r>
          </w:p>
        </w:tc>
        <w:tc>
          <w:tcPr>
            <w:tcW w:w="4876" w:type="dxa"/>
            <w:tcBorders>
              <w:top w:val="nil"/>
              <w:left w:val="nil"/>
              <w:bottom w:val="nil"/>
              <w:right w:val="nil"/>
            </w:tcBorders>
          </w:tcPr>
          <w:p>
            <w:pPr>
              <w:pStyle w:val="Normal6a"/>
            </w:pPr>
            <w:r>
              <w:t>54.</w:t>
            </w:r>
            <w:r>
              <w:tab/>
            </w:r>
            <w:r>
              <w:t>Europaparlamentet uppmärksammar den betydande inverkan som rättsakten om digital operativ motståndskraft (DORA) och förordningen om marknader för kryptotillgångar (MiCAR) har på Europeiska bankmyndighetens (EBA) operativa mandat och uppgifter. Parlamentet noterar med oro att de ursprungliga bestämmelserna inte på ett tillfredsställande sätt tog itu med de ekonomiska resurser som behövdes för att inrätta dessa funktioner eller för förberedelse- och genomförandefaserna för den relevanta politiken. Parlamentet stöder till fullo myndighetens åsikt att framtida finansieringsöversikter för rättsakter måste föregripa och tillhandahålla tillräckliga resurser för ett snabbt och effektivt inrättande av sådana komplexa mandat.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Europaparlamentet noterar att Cepol i juni 2024 upplevde en betydande cyberattack som påverkade alla affärsområden, vilket ledde till att tio utbildningsaktiviteter på plats ställdes in och att all onlineutbildning avbröts under återstoden av året. Parlamentet noterar vidare att händelsen inte bara störde Cepols operativa verksamhet, utan också ledde till ytterligare oplanerade utgifter i samband med incidenthantering, systemåterställning och förbättrade cybersäkerhetsåtgärder. Parlamentet </w:t>
            </w:r>
            <w:r>
              <w:rPr>
                <w:b/>
                <w:i/>
              </w:rPr>
              <w:t>är medvetet om</w:t>
            </w:r>
            <w:r>
              <w:t xml:space="preserve"> att attacken föranledde en brottsutredning som stöddes av CERT-EU och Europol. Parlamentet uppmärksammar att CERT-EU rekommenderade att infrastrukturen skulle byggas om, vilket ledde till att GD DIGIT inom tre veckor </w:t>
            </w:r>
            <w:r>
              <w:rPr>
                <w:b/>
                <w:i/>
              </w:rPr>
              <w:t>genomförde</w:t>
            </w:r>
            <w:r>
              <w:t xml:space="preserve"> en nolltillitsstrategi.</w:t>
            </w:r>
          </w:p>
        </w:tc>
        <w:tc>
          <w:tcPr>
            <w:tcW w:w="4876" w:type="dxa"/>
            <w:tcBorders>
              <w:top w:val="nil"/>
              <w:left w:val="nil"/>
              <w:bottom w:val="nil"/>
              <w:right w:val="nil"/>
            </w:tcBorders>
          </w:tcPr>
          <w:p>
            <w:pPr>
              <w:pStyle w:val="Normal6a"/>
            </w:pPr>
            <w:r>
              <w:t>57.</w:t>
            </w:r>
            <w:r>
              <w:tab/>
            </w:r>
            <w:r>
              <w:t xml:space="preserve">Europaparlamentet noterar att Cepol i juni 2024 upplevde en betydande cyberattack som påverkade alla affärsområden, vilket ledde till att tio utbildningsaktiviteter på plats ställdes in och att all onlineutbildning avbröts under återstoden av året. Parlamentet noterar vidare att händelsen inte bara störde Cepols operativa verksamhet, utan också ledde till ytterligare oplanerade utgifter i samband med incidenthantering, systemåterställning och förbättrade cybersäkerhetsåtgärder. Parlamentet </w:t>
            </w:r>
            <w:r>
              <w:rPr>
                <w:b/>
                <w:i/>
              </w:rPr>
              <w:t>noterar att säkerhetsöverträdelsen var ett direkt resultat av en sofistikerad cyberattack som riktade sig mot Cepols digitala infrastruktur, och att obehöriga aktörer fick tillgång till en betydande mängd personuppgifter, vilket äventyrade deras konfidentialitet, integritet och tillgänglighet.</w:t>
            </w:r>
            <w:r>
              <w:t xml:space="preserve"> </w:t>
            </w:r>
            <w:r>
              <w:rPr>
                <w:b/>
                <w:i/>
              </w:rPr>
              <w:t>Parlamentet betonar att på grund av cyberincidenten var omkring 99 000 personer tvungna att underrättas direkt om att deras personuppgifter hade kränkts,</w:t>
            </w:r>
            <w:r>
              <w:t xml:space="preserve"> </w:t>
            </w:r>
            <w:r>
              <w:rPr>
                <w:b/>
                <w:i/>
              </w:rPr>
              <w:t>och</w:t>
            </w:r>
            <w:r>
              <w:t> att attacken föranledde en brottsutredning som stöddes av CERT-EU och Europol</w:t>
            </w:r>
            <w:r>
              <w:rPr>
                <w:b/>
                <w:i/>
              </w:rPr>
              <w:t>.</w:t>
            </w:r>
            <w:r>
              <w:t xml:space="preserve"> </w:t>
            </w:r>
            <w:r>
              <w:rPr>
                <w:b/>
                <w:i/>
              </w:rPr>
              <w:t>Parlamentet är bekymrat över att den fientliga aktören, trots vissa indicier, inte har identifierats slutgiltigt</w:t>
            </w:r>
            <w:r>
              <w:t xml:space="preserve">. Parlamentet uppmärksammar att CERT-EU rekommenderade att infrastrukturen skulle byggas om, vilket ledde till att GD DIGIT inom tre veckor </w:t>
            </w:r>
            <w:r>
              <w:rPr>
                <w:b/>
                <w:i/>
              </w:rPr>
              <w:t>inrättade en fullständigt molnbaserad it-miljö, baserad på</w:t>
            </w:r>
            <w:r>
              <w:t xml:space="preserve"> en nolltillitsstrategi </w:t>
            </w:r>
            <w:r>
              <w:rPr>
                <w:b/>
                <w:i/>
              </w:rPr>
              <w:t>och med ny utrustning</w:t>
            </w:r>
            <w:r>
              <w:t xml:space="preserve">. </w:t>
            </w:r>
            <w:r>
              <w:rPr>
                <w:b/>
                <w:i/>
              </w:rPr>
              <w:t>Parlamentet noterar att Cepol för närvarande genomför 42 cybersäkerhetsuppgifter och cybersäkerhetsprojekt som en del av sin cybersäkerhetsplan.</w:t>
            </w:r>
            <w:r>
              <w:t xml:space="preserve"> </w:t>
            </w:r>
            <w:r>
              <w:rPr>
                <w:b/>
                <w:i/>
              </w:rPr>
              <w:t>Parlamentet framhåller att informations- och utbildningstillfällen om IKT-säkerhet har genomförts för all personal, kompletterat med regelbundna meddelanden och uppdateringar på intranätet, som en del av standardpraxisen.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Europaparlamentet noterar att Cepol i juni 2024 upplevde en betydande cyberattack som påverkade alla affärsområden, vilket ledde till att tio utbildningsaktiviteter på plats ställdes in och att all onlineutbildning avbröts under återstoden av året. Parlamentet noterar vidare att händelsen inte bara störde Cepols operativa verksamhet, utan också ledde till ytterligare oplanerade utgifter i samband med incidenthantering, systemåterställning och förbättrade cybersäkerhetsåtgärder. Parlamentet är medvetet om att attacken föranledde en brottsutredning som stöddes av CERT-EU och Europol. Parlamentet uppmärksammar att CERT-EU rekommenderade att infrastrukturen skulle byggas om, vilket ledde till att GD DIGIT inom tre veckor genomförde en nolltillitsstrategi.</w:t>
            </w:r>
          </w:p>
        </w:tc>
        <w:tc>
          <w:tcPr>
            <w:tcW w:w="4876" w:type="dxa"/>
            <w:tcBorders>
              <w:top w:val="nil"/>
              <w:left w:val="nil"/>
              <w:bottom w:val="nil"/>
              <w:right w:val="nil"/>
            </w:tcBorders>
          </w:tcPr>
          <w:p>
            <w:pPr>
              <w:pStyle w:val="Normal6a"/>
            </w:pPr>
            <w:r>
              <w:t>57.</w:t>
            </w:r>
            <w:r>
              <w:tab/>
            </w:r>
            <w:r>
              <w:t xml:space="preserve">Europaparlamentet noterar att Cepol i juni 2024 upplevde en betydande cyberattack som påverkade alla affärsområden, vilket ledde till att tio utbildningsaktiviteter på plats ställdes in och att all onlineutbildning avbröts under återstoden av året. Parlamentet noterar vidare att händelsen inte bara störde Cepols operativa verksamhet, utan också ledde till ytterligare oplanerade utgifter i samband med incidenthantering, systemåterställning och förbättrade cybersäkerhetsåtgärder. Parlamentet är medvetet om att attacken föranledde en brottsutredning som stöddes av CERT-EU och Europol. Parlamentet uppmärksammar att CERT-EU rekommenderade att infrastrukturen skulle byggas om, vilket ledde till att GD DIGIT inom tre veckor genomförde en nolltillitsstrategi. </w:t>
            </w:r>
            <w:r>
              <w:rPr>
                <w:b/>
                <w:i/>
              </w:rPr>
              <w:t>Parlamentet betonar att brister i cybersäkerheten inte bara utgör operativa risker utan även anseenderisker och rättsliga risker för byråerna.</w:t>
            </w:r>
            <w:r>
              <w:t xml:space="preserve"> </w:t>
            </w:r>
            <w:r>
              <w:rPr>
                <w:b/>
                <w:i/>
              </w:rPr>
              <w:t>Parlamentet efterlyser bindande minimistandarder för cybersäkerhet och tillräcklig och stabil finansiering för att säkerställa ett effektivt genomförande av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Europaparlamentet noterar därför den totala minskningen av utbildningsverksamheten under 2024 och betonar behovet av att se till att Cepols resurser främst används för operativ och teknisk utbildning som är direkt relevant för brottsbekämpning.</w:t>
            </w:r>
            <w:r>
              <w:t xml:space="preserve"> </w:t>
            </w:r>
            <w:r>
              <w:rPr>
                <w:b/>
                <w:i/>
              </w:rPr>
              <w:t>Parlamentet påminner om att Cepols mandat är att förbättra polissamarbetet, stärka utredningskapaciteten och förebygga gränsöverskridande brottslighet, och inte att tillhandahålla tematisk eller ideologisk utbildning.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Europaparlamentet betonar att när byråer är verksamma utanför unionens territorium eller samarbetar med myndigheter i tredjeländer är de fortfarande fullt bundna av unionsrätten, inbegripet skyldigheter avseende grundläggande rättigheter, transparenskrav och standarder för ansvarsskyldighet.</w:t>
            </w:r>
            <w:r>
              <w:t xml:space="preserve"> </w:t>
            </w:r>
            <w:r>
              <w:rPr>
                <w:b/>
                <w:i/>
              </w:rPr>
              <w:t>Parlamentet uppmanar kommissionen att säkerställa att samarbetsavtal, operativa arrangemang och ramar för datadelning innehåller verkställbara skyddsåtgärder, övervakningsmekanismer och tydliga skyldigheter att rapportera till den ansvarsfrihetsbeviljande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Europaparlamentet påminner om att förordning (EU, Euratom) 2023/284</w:t>
            </w:r>
            <w:r>
              <w:rPr>
                <w:vertAlign w:val="superscript"/>
              </w:rPr>
              <w:t>16</w:t>
            </w:r>
            <w:r>
              <w:t xml:space="preserve">fastställer en bindande och ambitiös cybersäkerhetsram för alla decentraliserade byråer, inbegripet antagandet av ett övergripande riskhanteringssystem för cybersäkerhet, genomförandet av robusta tekniska och organisatoriska åtgärder i alla IKT-miljöer, den gradvisa övergången till en nolltillitsarkitektur, stärkt samarbete med CERT-EU och strikta incidentrapporteringsskyldigheter. Parlamentet noterar att flera av dessa centrala krav fortfarande är utmanande med tanke på de nuvarande ojämna beredskapsnivåerna bland byråerna. Parlamentet betonar att alla byråer </w:t>
            </w:r>
            <w:r>
              <w:rPr>
                <w:b/>
                <w:i/>
              </w:rPr>
              <w:t>måste behandla Cepols cyberangrepp som en tydlig lärdom och påskynda genomförandet av förordningens cybersäkerhetsbestämmelser</w:t>
            </w:r>
            <w:r>
              <w:t>.</w:t>
            </w:r>
          </w:p>
        </w:tc>
        <w:tc>
          <w:tcPr>
            <w:tcW w:w="4876" w:type="dxa"/>
            <w:tcBorders>
              <w:top w:val="nil"/>
              <w:left w:val="nil"/>
              <w:bottom w:val="nil"/>
              <w:right w:val="nil"/>
            </w:tcBorders>
          </w:tcPr>
          <w:p>
            <w:pPr>
              <w:pStyle w:val="Normal6a"/>
            </w:pPr>
            <w:r>
              <w:t>58.</w:t>
            </w:r>
            <w:r>
              <w:tab/>
            </w:r>
            <w:r>
              <w:t>Europaparlamentet påminner om att förordning (EU, Euratom) 2023/284</w:t>
            </w:r>
            <w:r>
              <w:rPr>
                <w:vertAlign w:val="superscript"/>
              </w:rPr>
              <w:t>16</w:t>
            </w:r>
            <w:r>
              <w:t xml:space="preserve"> fastställer en bindande och ambitiös cybersäkerhetsram för alla decentraliserade byråer, inbegripet antagandet av ett övergripande riskhanteringssystem för cybersäkerhet, genomförandet av robusta tekniska och organisatoriska åtgärder i alla IKT-miljöer, den gradvisa övergången till en nolltillitsarkitektur, stärkt samarbete med CERT-EU och strikta incidentrapporteringsskyldigheter. Parlamentet noterar att flera av dessa centrala krav fortfarande är utmanande med tanke på de nuvarande ojämna beredskapsnivåerna bland byråerna. Parlamentet betonar att </w:t>
            </w:r>
            <w:r>
              <w:rPr>
                <w:b/>
                <w:i/>
              </w:rPr>
              <w:t>den cybersäkerhetsincident som påverkade Cepol visar på systemsårbarheten hos de byråer som hanterar känsliga uppgifter.</w:t>
            </w:r>
            <w:r>
              <w:t xml:space="preserve"> </w:t>
            </w:r>
            <w:r>
              <w:rPr>
                <w:b/>
                <w:i/>
              </w:rPr>
              <w:t>Parlamentet efterlyser ett påskyndat genomförande i</w:t>
            </w:r>
            <w:r>
              <w:t xml:space="preserve"> alla byråer </w:t>
            </w:r>
            <w:r>
              <w:rPr>
                <w:b/>
                <w:i/>
              </w:rPr>
              <w:t>av cybersäkerhetsbestämmelserna i förordning (EU, Euratom) 2023/284 och regelbundna stresstester av byråernas it- och driftskontinuitetssystem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förordning (EU, Euratom) 2023/2841 av den 13 december 2023 om åtgärder för en hög gemensam cybersäkerhetsnivå vid unionens institutioner, organ och byråer (OJ L, 2023/2841, 18.12.2023, ELI: http://data.europa.</w:t>
            </w:r>
            <w:r>
              <w:rPr>
                <w:b/>
                <w:i/>
              </w:rPr>
              <w:t>eu/eli/reg/2023/2841/oj</w:t>
            </w:r>
            <w:r>
              <w:t>.</w:t>
            </w:r>
            <w:r>
              <w:rPr>
                <w:b/>
                <w:i/>
              </w:rPr>
              <w:t>).</w:t>
            </w:r>
          </w:p>
        </w:tc>
        <w:tc>
          <w:tcPr>
            <w:tcW w:w="4876" w:type="dxa"/>
            <w:tcBorders>
              <w:top w:val="nil"/>
              <w:left w:val="nil"/>
              <w:bottom w:val="nil"/>
              <w:right w:val="nil"/>
            </w:tcBorders>
          </w:tcPr>
          <w:p>
            <w:pPr>
              <w:pStyle w:val="Normal6a"/>
            </w:pPr>
            <w:r>
              <w:rPr>
                <w:vertAlign w:val="superscript"/>
              </w:rPr>
              <w:t>16</w:t>
            </w:r>
            <w:r>
              <w:t xml:space="preserve"> </w:t>
            </w:r>
            <w:r>
              <w:t>Europaparlamentets och rådets förordning (EU, Euratom) 2023/2841 av den 13 december 2023 om åtgärder för en hög gemensam cybersäkerhetsnivå vid unionens institutioner, organ och byråer (OJ L, 2023/2841, 18.12.2023, ELI: http://data.europa.</w:t>
            </w:r>
            <w:r>
              <w:rPr>
                <w:b/>
                <w:i/>
              </w:rPr>
              <w:t>eu/eli/reg/2023/2841/oj)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Europaparlamentet påminner om att förordning (EU, Euratom) 2023/284</w:t>
            </w:r>
            <w:r>
              <w:rPr>
                <w:vertAlign w:val="superscript"/>
              </w:rPr>
              <w:t>16</w:t>
            </w:r>
            <w:r>
              <w:t xml:space="preserve">fastställer en bindande och ambitiös cybersäkerhetsram för alla decentraliserade byråer, inbegripet antagandet av ett övergripande riskhanteringssystem för cybersäkerhet, genomförandet av robusta tekniska och organisatoriska åtgärder i alla IKT-miljöer, den gradvisa övergången till en nolltillitsarkitektur, stärkt samarbete med CERT-EU </w:t>
            </w:r>
            <w:r>
              <w:rPr>
                <w:b/>
                <w:i/>
              </w:rPr>
              <w:t>och</w:t>
            </w:r>
            <w:r>
              <w:t xml:space="preserve"> strikta incidentrapporteringsskyldigheter. Parlamentet noterar att flera av dessa centrala krav fortfarande är utmanande med tanke på de nuvarande ojämna beredskapsnivåerna bland byråerna. Parlamentet betonar att alla byråer måste behandla Cepols cyberangrepp som en tydlig lärdom och påskynda genomförandet av förordningens cybersäkerhetsbestämmelser.</w:t>
            </w:r>
          </w:p>
        </w:tc>
        <w:tc>
          <w:tcPr>
            <w:tcW w:w="4876" w:type="dxa"/>
            <w:tcBorders>
              <w:top w:val="nil"/>
              <w:left w:val="nil"/>
              <w:bottom w:val="nil"/>
              <w:right w:val="nil"/>
            </w:tcBorders>
          </w:tcPr>
          <w:p>
            <w:pPr>
              <w:pStyle w:val="Normal6a"/>
            </w:pPr>
            <w:r>
              <w:t>58.</w:t>
            </w:r>
            <w:r>
              <w:tab/>
            </w:r>
            <w:r>
              <w:t>Europaparlamentet påminner om att förordning (EU, Euratom) 2023/284</w:t>
            </w:r>
            <w:r>
              <w:rPr>
                <w:vertAlign w:val="superscript"/>
              </w:rPr>
              <w:t>16</w:t>
            </w:r>
            <w:r>
              <w:t xml:space="preserve"> fastställer en bindande och ambitiös cybersäkerhetsram för alla decentraliserade byråer, inbegripet antagandet av ett övergripande riskhanteringssystem för cybersäkerhet </w:t>
            </w:r>
            <w:r>
              <w:rPr>
                <w:b/>
                <w:i/>
              </w:rPr>
              <w:t>som omfattar finansiella mekanismer</w:t>
            </w:r>
            <w:r>
              <w:t xml:space="preserve">, </w:t>
            </w:r>
            <w:r>
              <w:rPr>
                <w:b/>
                <w:i/>
              </w:rPr>
              <w:t>operativa plattformar och känsliga uppgifter, samt</w:t>
            </w:r>
            <w:r>
              <w:t xml:space="preserve"> genomförandet av robusta tekniska och organisatoriska åtgärder i alla IKT-miljöer, den gradvisa övergången till en nolltillitsarkitektur, stärkt samarbete med CERT-EU</w:t>
            </w:r>
            <w:r>
              <w:rPr>
                <w:b/>
                <w:i/>
              </w:rPr>
              <w:t>, GD DIGIT och andra relevanta interinstitutionella organ samt</w:t>
            </w:r>
            <w:r>
              <w:t xml:space="preserve"> strikta incidentrapporteringsskyldigheter. Parlamentet noterar att flera av dessa centrala krav fortfarande är utmanande med tanke på de nuvarande ojämna beredskapsnivåerna bland byråerna. Parlamentet </w:t>
            </w:r>
            <w:r>
              <w:rPr>
                <w:b/>
                <w:i/>
              </w:rPr>
              <w:t>uppmanar byråerna att anordna regelbundna simuleringsövningar för cyberincidenter och att validera beredskaps- och samordningsförfaranden.</w:t>
            </w:r>
            <w:r>
              <w:t xml:space="preserve"> </w:t>
            </w:r>
            <w:r>
              <w:rPr>
                <w:b/>
                <w:i/>
              </w:rPr>
              <w:t>Parlamentet</w:t>
            </w:r>
            <w:r>
              <w:t xml:space="preserve"> betonar att alla byråer måste behandla Cepols cyberangrepp som en tydlig lärdom och påskynda genomförandet av förordningens cybersäkerhetsbestämmelser.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Europaparlamentets och rådets förordning (EU, Euratom) 2023/2841 av den 13 december 2023 om åtgärder för en hög gemensam cybersäkerhetsnivå vid unionens institutioner, organ och byråer (OJ L, 2023/2841, 18.12.2023, ELI: http://data.europa.</w:t>
            </w:r>
            <w:r>
              <w:rPr>
                <w:b/>
                <w:i/>
              </w:rPr>
              <w:t>eu/eli/reg/2023/2841/oj</w:t>
            </w:r>
            <w:r>
              <w:t>.</w:t>
            </w:r>
            <w:r>
              <w:rPr>
                <w:b/>
                <w:i/>
              </w:rPr>
              <w:t>).</w:t>
            </w:r>
          </w:p>
        </w:tc>
        <w:tc>
          <w:tcPr>
            <w:tcW w:w="4876" w:type="dxa"/>
            <w:tcBorders>
              <w:top w:val="nil"/>
              <w:left w:val="nil"/>
              <w:bottom w:val="nil"/>
              <w:right w:val="nil"/>
            </w:tcBorders>
          </w:tcPr>
          <w:p>
            <w:pPr>
              <w:pStyle w:val="Normal6a"/>
            </w:pPr>
            <w:r>
              <w:rPr>
                <w:vertAlign w:val="superscript"/>
              </w:rPr>
              <w:t>16</w:t>
            </w:r>
            <w:r>
              <w:t xml:space="preserve"> </w:t>
            </w:r>
            <w:r>
              <w:t>Europaparlamentets och rådets förordning (EU, Euratom) 2023/2841 av den 13 december 2023 om åtgärder för en hög gemensam cybersäkerhetsnivå vid unionens institutioner, organ och byråer (OJ L, 2023/2841, 18.12.2023, ELI: http://data.europa.</w:t>
            </w:r>
            <w:r>
              <w:rPr>
                <w:b/>
                <w:i/>
              </w:rPr>
              <w:t>eu/eli/reg/2023/2841/oj)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Europaparlamentet uppmanar byråerna att stärka kapaciteten för övervakning och upptäckt av hot i realtid för att minimera exponeringen och svarstiden i händelse av cyberattacker.</w:t>
            </w:r>
            <w:r>
              <w:t xml:space="preserve"> </w:t>
            </w:r>
            <w:r>
              <w:rPr>
                <w:b/>
                <w:i/>
              </w:rPr>
              <w:t>Parlamentet uppmuntrar byråerna att genomföra kontinuerliga informations- och utbildningsprogram om cybersäkerhet för personalen.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59a.</w:t>
            </w:r>
            <w:r>
              <w:tab/>
            </w:r>
            <w:r>
              <w:rPr>
                <w:b/>
                <w:i/>
              </w:rPr>
              <w:t>Europaparlamentet noterar att män är underrepresenterade bland EIGE:s personal och endast utgör 29 % av personalstyrkan och 21 % av styrelsen (åtta män), och uppmuntrar EIGE att säkerställa en jämnare könsfördelning vid framtida rekrytering av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Europaparlamentet noterar revisionsrättens iakttagelser om EIGE:s förvaltnings- och kontrollsystem, bland annat </w:t>
            </w:r>
            <w:r>
              <w:rPr>
                <w:b/>
                <w:i/>
              </w:rPr>
              <w:t>följande</w:t>
            </w:r>
            <w:r>
              <w:t>:</w:t>
            </w:r>
          </w:p>
        </w:tc>
        <w:tc>
          <w:tcPr>
            <w:tcW w:w="4876" w:type="dxa"/>
            <w:tcBorders>
              <w:top w:val="nil"/>
              <w:left w:val="nil"/>
              <w:bottom w:val="nil"/>
              <w:right w:val="nil"/>
            </w:tcBorders>
          </w:tcPr>
          <w:p>
            <w:pPr>
              <w:pStyle w:val="Normal6a"/>
            </w:pPr>
            <w:r>
              <w:t>59.</w:t>
            </w:r>
            <w:r>
              <w:tab/>
            </w:r>
            <w:r>
              <w:t xml:space="preserve">Europaparlamentet noterar revisionsrättens iakttagelser om EIGE:s förvaltnings- och kontrollsystem, bland annat </w:t>
            </w:r>
            <w:r>
              <w:rPr>
                <w:b/>
                <w:i/>
              </w:rPr>
              <w:t>överdrivna och restriktiva kriterier i ett anbudsförfarande för städtjänster 2024, brister i två anbudsutvärderingar på grund av bristande beviskrav och svag tillsyn över tre kontrakt baserade på tids- och materialåtgång där antalet arbetsdagar inte verifierades, vilket skapar risker för överbetalning.</w:t>
            </w:r>
            <w:r>
              <w:t xml:space="preserve"> </w:t>
            </w:r>
            <w:r>
              <w:rPr>
                <w:b/>
                <w:i/>
              </w:rPr>
              <w:t>Parlamentet noterar EIGE</w:t>
            </w:r>
            <w:r>
              <w:t>:</w:t>
            </w:r>
            <w:r>
              <w:rPr>
                <w:b/>
                <w:i/>
              </w:rPr>
              <w:t>s åtagande att stärka förhandskontrollerna.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Oriktigheter vid upphandling:</w:t>
            </w:r>
            <w:r>
              <w:t xml:space="preserve"> </w:t>
            </w:r>
            <w:r>
              <w:rPr>
                <w:b/>
                <w:i/>
              </w:rPr>
              <w:t>Parlamentet påpekar att EIGE under 2024 tillämpade överdrivna krav på ekonomisk kapacitet och restriktiva urvalskriterier i ett anbudsförfarande för städtjänster som, enligt revisionsrätten, kan ha avskräckt eller till och med hindrat potentiella anbudsgivare från att delta.</w:t>
            </w:r>
            <w:r>
              <w:t xml:space="preserve"> </w:t>
            </w:r>
            <w:r>
              <w:rPr>
                <w:b/>
                <w:i/>
              </w:rPr>
              <w:t>Parlamentet konstaterar att EIGE betonar att de restriktiva kriterierna begärdes av medupphandlande myndigheter (kommissionen och parlamentet) och att inga potentiella anbudsgivare klagade över urvalskriterierna.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Otillräcklig utvärdering av anbud:</w:t>
            </w:r>
            <w:r>
              <w:t xml:space="preserve"> </w:t>
            </w:r>
            <w:r>
              <w:rPr>
                <w:b/>
                <w:i/>
              </w:rPr>
              <w:t>Parlamentet noterar att EIGE:s utvärderingskommittéer i två upphandlingar (220 000 EUR och 193 175 EUR) inte gjorde en korrekt bedömning av anbudsgivarnas förmåga att leda expertgrupper, eftersom EIGE i kravspecifikationerna inte hade krävt att anbudsgivarna skulle tillhandahålla lämpliga bevis i detta avseende, vilket riskerade att leda till bristfälligt tillhandahållande av tjänster.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Bristfällig kontraktstillsyn:</w:t>
            </w:r>
            <w:r>
              <w:t xml:space="preserve"> </w:t>
            </w:r>
            <w:r>
              <w:rPr>
                <w:b/>
                <w:i/>
              </w:rPr>
              <w:t>Parlamentet konstaterar att EIGE betalade fakturor inom ramen för tre tids- och materialbaserade avtal utan att kontrollera de faktiska arbetsdagar som utförts, vilket strider mot artikel 45.5 i dess budgetförordning och utsätter institutet för risker för alltför stora betalningar.</w:t>
            </w:r>
            <w:r>
              <w:t xml:space="preserve"> </w:t>
            </w:r>
            <w:r>
              <w:rPr>
                <w:b/>
                <w:i/>
              </w:rPr>
              <w:t>Parlamentet noterar att EIGE kommer att stärka förhandskontrollerna i enlighet med detta.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Europaparlamentet noterar revisionsrättens iakttagelser </w:t>
            </w:r>
            <w:r>
              <w:rPr>
                <w:b/>
                <w:i/>
              </w:rPr>
              <w:t>avseende eu-Lisa, varav de flesta rör</w:t>
            </w:r>
            <w:r>
              <w:t xml:space="preserve"> oriktigheter i samband med upphandling </w:t>
            </w:r>
            <w:r>
              <w:rPr>
                <w:b/>
                <w:i/>
              </w:rPr>
              <w:t>som inletts under</w:t>
            </w:r>
            <w:r>
              <w:t xml:space="preserve"> tidigare </w:t>
            </w:r>
            <w:r>
              <w:rPr>
                <w:b/>
                <w:i/>
              </w:rPr>
              <w:t>år och som ledde till</w:t>
            </w:r>
            <w:r>
              <w:t xml:space="preserve"> oriktiga betalningar under 2024</w:t>
            </w:r>
            <w:r>
              <w:rPr>
                <w:b/>
                <w:i/>
              </w:rPr>
              <w:t>, bland annat följande:</w:t>
            </w:r>
          </w:p>
        </w:tc>
        <w:tc>
          <w:tcPr>
            <w:tcW w:w="4876" w:type="dxa"/>
            <w:tcBorders>
              <w:top w:val="nil"/>
              <w:left w:val="nil"/>
              <w:bottom w:val="nil"/>
              <w:right w:val="nil"/>
            </w:tcBorders>
          </w:tcPr>
          <w:p>
            <w:pPr>
              <w:pStyle w:val="Normal6a"/>
            </w:pPr>
            <w:r>
              <w:t>60.</w:t>
            </w:r>
            <w:r>
              <w:tab/>
            </w:r>
            <w:r>
              <w:t xml:space="preserve">Europaparlamentet noterar revisionsrättens iakttagelser </w:t>
            </w:r>
            <w:r>
              <w:rPr>
                <w:b/>
                <w:i/>
              </w:rPr>
              <w:t>om eu-Lisa, främst när det gäller</w:t>
            </w:r>
            <w:r>
              <w:t xml:space="preserve"> oriktigheter i samband med upphandling </w:t>
            </w:r>
            <w:r>
              <w:rPr>
                <w:b/>
                <w:i/>
              </w:rPr>
              <w:t>från</w:t>
            </w:r>
            <w:r>
              <w:t xml:space="preserve"> tidigare </w:t>
            </w:r>
            <w:r>
              <w:rPr>
                <w:b/>
                <w:i/>
              </w:rPr>
              <w:t>förfaranden som genererade</w:t>
            </w:r>
            <w:r>
              <w:t xml:space="preserve"> oriktiga betalningar under 2024</w:t>
            </w:r>
            <w:r>
              <w:rPr>
                <w:b/>
                <w:i/>
              </w:rPr>
              <w:t>.</w:t>
            </w:r>
            <w:r>
              <w:t xml:space="preserve"> </w:t>
            </w:r>
            <w:r>
              <w:rPr>
                <w:b/>
                <w:i/>
              </w:rPr>
              <w:t>Parlamentet framhåller särskilt ett oriktigt förhandlat förfarande för hyra av lokaler i Strasbourg, där tilldelningskriterierna omförhandlades och lokalerna inte uppfyllde specifikationerna (850 000 EUR).</w:t>
            </w:r>
            <w:r>
              <w:t xml:space="preserve"> </w:t>
            </w:r>
            <w:r>
              <w:rPr>
                <w:b/>
                <w:i/>
              </w:rPr>
              <w:t>ändringar av anbudsgivarnas ekonomiska anbud i ett förfarande för el- och anläggningsarbeten, vilket ledde till ett oriktigt kontrakt (150 000 EUR),</w:t>
            </w:r>
            <w:r>
              <w:t xml:space="preserve"> </w:t>
            </w:r>
            <w:r>
              <w:rPr>
                <w:b/>
                <w:i/>
              </w:rPr>
              <w:t>ändringar av prissättningsaspekter utöver vad som är tillåtet enligt artikel 151 i budgetförordningen, som påverkar kontraktstilldelningen (1,4 miljoner EUR),</w:t>
            </w:r>
            <w:r>
              <w:t xml:space="preserve"> </w:t>
            </w:r>
            <w:r>
              <w:rPr>
                <w:b/>
                <w:i/>
              </w:rPr>
              <w:t>oro över den förnyade konkurrensutsättningen för övervakning och underhåll av VIS, där det vinnande anbudet (47,8 miljoner EUR) var oproportionerligt lägre än konkurrenternas och medförde betydande operativa och avtalsmässiga risker,</w:t>
            </w:r>
            <w:r>
              <w:t xml:space="preserve"> </w:t>
            </w:r>
            <w:r>
              <w:rPr>
                <w:b/>
                <w:i/>
              </w:rPr>
              <w:t>och den olösta tvisten om kostnaderna för underhåll av in- och utresesystemet, som ledde till att täckningen förföll och till att eu-Lisa betalade 5,3 miljoner EUR 2023 och 1,3 miljoner EUR 2024 för avgifter för återställande som eu-Lisa anser borde ha betalats av entreprenören.</w:t>
            </w:r>
            <w:r>
              <w:t xml:space="preserve"> </w:t>
            </w:r>
            <w:r>
              <w:rPr>
                <w:b/>
                <w:i/>
              </w:rPr>
              <w:t>Parlamentet beklagar att rättstvister inte hade inletts i slutet av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Oriktigheter i ett förhandlat förfarande för hyra av lokaler i Strasbourg, som inleddes 2019 och avslutades 2020, där lokalernas yta och antalet arbetsplatser var lägre än de behov som angavs i kravspecifikationerna, och anbudet avvisades inte trots att dess kvalitet bedömdes vara mycket låg.</w:t>
            </w:r>
            <w:r>
              <w:t xml:space="preserve"> </w:t>
            </w:r>
            <w:r>
              <w:rPr>
                <w:b/>
                <w:i/>
              </w:rPr>
              <w:t>Parlamentet noterar vidare att tilldelningskriterierna därefter också förhandlades fram med anbudsgivaren, i strid med artikel 167.3 och punkt 6.5 i bilaga I till budgetförordningen.</w:t>
            </w:r>
            <w:r>
              <w:t xml:space="preserve"> </w:t>
            </w:r>
            <w:r>
              <w:rPr>
                <w:b/>
                <w:i/>
              </w:rPr>
              <w:t>Parlamentet framhåller att det förhandlade förfarandet och det resulterande hyreskontraktet är oriktiga, liksom alla tillhörande betalningar, som 2024 uppgick till 850 000 EUR.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Ändringar av anbudsgivarnas ekonomiska anbud under ett upphandlingsförfarande för el- samt bygg- och anläggningsprojekt i Strasbourg, som påverkade resultatet av förfarandet och ledde till ett oriktigt kontrakt och tillhörande betalningar på 150 000 EUR under 2024.</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Ändringar av prissättningsaspekterna i finansiella anbud utöver de korrigeringar som tillåts enligt artikel 151 i budgetförordningen, som på ett avgörande sätt påverkade resultatet av ett anbudsförfarande och ledde till oriktiga kontrakt och tillhörande betalningar på totalt 1,4 miljoner EUR under 2024.</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Förnyad konkurrensutsättning för övervaknings- och underhållstjänster i samband med Informationssystemet för viseringar.</w:t>
            </w:r>
            <w:r>
              <w:t xml:space="preserve"> </w:t>
            </w:r>
            <w:r>
              <w:rPr>
                <w:b/>
                <w:i/>
              </w:rPr>
              <w:t>Parlamentet är bekymrat över att den utvalda anbudsgivaren (47,8 miljoner EUR) var fem gånger lägre än den näst billigaste (243,4 miljoner EUR) och 50 gånger lägre än den högsta (2,4 miljarder EUR), vilket väcker farhågor om dess giltighet.</w:t>
            </w:r>
            <w:r>
              <w:t xml:space="preserve"> </w:t>
            </w:r>
            <w:r>
              <w:rPr>
                <w:b/>
                <w:i/>
              </w:rPr>
              <w:t>Parlamentet uppmärksammar att eu-Lisa inrättade en arbetsgrupp för att se över denna förnyade konkurrensutsättning som bekräftade de finansansvarigas bedömning, men rapporterade operativa och avtalsmässiga risker kopplade till att byrån skulle behöva betala merparten av kontraktspriset i förskott.</w:t>
            </w:r>
            <w:r>
              <w:t xml:space="preserve"> </w:t>
            </w:r>
            <w:r>
              <w:rPr>
                <w:b/>
                <w:i/>
              </w:rPr>
              <w:t>Parlamentet framhåller att revisionsrätten har ansett att denna risk är betydande.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Parlamentet påminner om att det till följd av förseningar i genomförandet av in- och utresesystemet uppstod en tvist där entreprenören vägrade att täcka ytterligare underhållskostnader för vissa it-produkter, vilket ledde till att underhållstäckningen upphörde mellan november 2022 och april 2023 och utsatte eu-Lisa för operativa risker.</w:t>
            </w:r>
            <w:r>
              <w:t xml:space="preserve"> </w:t>
            </w:r>
            <w:r>
              <w:rPr>
                <w:b/>
                <w:i/>
              </w:rPr>
              <w:t>Parlamentet påminner om att eu-Lisa ändrade det övergripande ramavtalet för drift 2023 för att hantera den omedelbara risken för driftskontinuiteten, så att det inbegrep avgifter för återställande, straffavgifter som tillämpas när underhållet inte förnyas i tid, och därefter betalade 5,3 miljoner EUR 2023 och 1,3 miljoner EUR 2024 för förnyelse av programvaruunderhåll och tillhörande kostnader för återställande, som enligt byråns tolkning borde ha burits av entreprenören för in- och utresesystemet.</w:t>
            </w:r>
            <w:r>
              <w:t xml:space="preserve"> </w:t>
            </w:r>
            <w:r>
              <w:rPr>
                <w:b/>
                <w:i/>
              </w:rPr>
              <w:t>Parlamentet påminner vidare om att eu-Lisa, trots de omtvistade beloppens storlek och den fortsatta öppna statusen för revisionsrättens iakttagelse, inte hade inlett någon rättstvist mot entreprenören för in- och utresesystemet i slutet av 2024.</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Europaparlamentet erkänner att eu-Lisa ställs inför betydande utmaningar </w:t>
            </w:r>
            <w:r>
              <w:rPr>
                <w:b/>
                <w:i/>
              </w:rPr>
              <w:t>och</w:t>
            </w:r>
            <w:r>
              <w:t xml:space="preserve"> betonar att </w:t>
            </w:r>
            <w:r>
              <w:rPr>
                <w:b/>
                <w:i/>
              </w:rPr>
              <w:t>byrån måste öka sin</w:t>
            </w:r>
            <w:r>
              <w:t xml:space="preserve"> personal </w:t>
            </w:r>
            <w:r>
              <w:rPr>
                <w:b/>
                <w:i/>
              </w:rPr>
              <w:t>för att effektivt ta itu med dessa utmaningar och säkerställa kontinuiteten i sin verksamhet, och att detta följaktligen bör</w:t>
            </w:r>
            <w:r>
              <w:t xml:space="preserve"> finansieras.</w:t>
            </w:r>
          </w:p>
        </w:tc>
        <w:tc>
          <w:tcPr>
            <w:tcW w:w="4876" w:type="dxa"/>
            <w:tcBorders>
              <w:top w:val="nil"/>
              <w:left w:val="nil"/>
              <w:bottom w:val="nil"/>
              <w:right w:val="nil"/>
            </w:tcBorders>
          </w:tcPr>
          <w:p>
            <w:pPr>
              <w:pStyle w:val="Normal6a"/>
            </w:pPr>
            <w:r>
              <w:t>62.</w:t>
            </w:r>
            <w:r>
              <w:tab/>
            </w:r>
            <w:r>
              <w:t>Europaparlamentet erkänner att eu-Lisa ställs inför betydande utmaningar</w:t>
            </w:r>
            <w:r>
              <w:rPr>
                <w:b/>
                <w:i/>
              </w:rPr>
              <w:t>.</w:t>
            </w:r>
            <w:r>
              <w:t xml:space="preserve"> </w:t>
            </w:r>
            <w:r>
              <w:rPr>
                <w:b/>
                <w:i/>
              </w:rPr>
              <w:t>Parlamentet noterar dock att revisionsrätten har identifierat ihållande och systematiska upphandlingsoriktigheter i eu-Lisas verksamhet.</w:t>
            </w:r>
            <w:r>
              <w:t xml:space="preserve"> </w:t>
            </w:r>
            <w:r>
              <w:rPr>
                <w:b/>
                <w:i/>
              </w:rPr>
              <w:t>Parlamentet</w:t>
            </w:r>
            <w:r>
              <w:t xml:space="preserve"> betonar att </w:t>
            </w:r>
            <w:r>
              <w:rPr>
                <w:b/>
                <w:i/>
              </w:rPr>
              <w:t>innan ytterligare</w:t>
            </w:r>
            <w:r>
              <w:t xml:space="preserve"> personal </w:t>
            </w:r>
            <w:r>
              <w:rPr>
                <w:b/>
                <w:i/>
              </w:rPr>
              <w:t>godkänns och</w:t>
            </w:r>
            <w:r>
              <w:t xml:space="preserve"> finansieras </w:t>
            </w:r>
            <w:r>
              <w:rPr>
                <w:b/>
                <w:i/>
              </w:rPr>
              <w:t>måste byrån först visa att den har åtgärdat de strukturella brister som revisionsrätten identifierat och att befintliga resurser används på ett ändamålsenligt sätt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Europaparlamentet välkomnar att Europols operativa specialgrupper och gemensamma utredningsgrupper spelade en avgörande roll för att knäcka den krypterade kommunikationsplattformen Matrix, vilket visar på deras kompletterande men olika roller i kampen mot gränsöverskridande organiserad brottslighet. Operationen inleddes som en operativ arbetsgrupp i juni 2024 mellan Nederländerna, Frankrike, Litauen, Italien och Spanien, med underlättat underrättelseutbyte och övervakning av brottslig verksamhet. Parlamentet betonar att övergången till en gemensam utredningsgrupp inom ramen för Eurojust möjliggjorde formell utredningssamordning, vilket ledde till gripanden, beslag och dekryptering av 2,3 miljoner meddelanden på 33 språk. Parlamentet konstaterar att de tyska myndigheterna tillhandahöll tekniskt stöd, medan den spanska, franska och nederländska polisen samarbetade under hela utredningen. Parlamentet anser att detta fall understryker det gränsöverskridande samarbetets effektivitet när det gäller att spränga olagliga nätverk och behovet av fortsatta investeringar i brottsbekämpningskapacitet för att komma till rätta med nya brottsliga strategier.</w:t>
            </w:r>
          </w:p>
        </w:tc>
        <w:tc>
          <w:tcPr>
            <w:tcW w:w="4876" w:type="dxa"/>
            <w:tcBorders>
              <w:top w:val="nil"/>
              <w:left w:val="nil"/>
              <w:bottom w:val="nil"/>
              <w:right w:val="nil"/>
            </w:tcBorders>
          </w:tcPr>
          <w:p>
            <w:pPr>
              <w:pStyle w:val="Normal6a"/>
            </w:pPr>
            <w:r>
              <w:t>70.</w:t>
            </w:r>
            <w:r>
              <w:tab/>
            </w:r>
            <w:r>
              <w:t xml:space="preserve">Europaparlamentet välkomnar att Europols operativa specialgrupper och gemensamma utredningsgrupper spelade en avgörande roll för att knäcka den krypterade kommunikationsplattformen Matrix, vilket visar på deras kompletterande men olika roller i kampen mot gränsöverskridande organiserad brottslighet. Operationen inleddes som en operativ arbetsgrupp i juni 2024 mellan Nederländerna, Frankrike, Litauen, Italien och Spanien, med underlättat underrättelseutbyte och övervakning av brottslig verksamhet. Parlamentet betonar att övergången till en gemensam utredningsgrupp inom ramen för Eurojust möjliggjorde formell utredningssamordning, vilket ledde till gripanden, beslag och dekryptering av 2,3 miljoner meddelanden på 33 språk. Parlamentet konstaterar att de tyska myndigheterna tillhandahöll tekniskt stöd, medan den spanska, franska och nederländska polisen samarbetade under hela utredningen. Parlamentet anser att detta fall understryker det gränsöverskridande samarbetets effektivitet när det gäller att spränga olagliga nätverk och behovet av fortsatta investeringar i brottsbekämpningskapacitet för att komma till rätta med nya brottsliga strategier. </w:t>
            </w:r>
            <w:r>
              <w:rPr>
                <w:b/>
                <w:i/>
              </w:rPr>
              <w:t>Parlamentet betonar och välkomnar de positiva resultat som uppnåtts av de byråer som organiserar samarbetet mellan medlemsstaterna.</w:t>
            </w:r>
            <w:r>
              <w:t xml:space="preserve"> </w:t>
            </w:r>
            <w:r>
              <w:rPr>
                <w:b/>
                <w:i/>
              </w:rPr>
              <w:t>Parlamentet beklagar å andra sidan att majoriteten av byråerna har en mer toppstyrd, föreskrivande och teknokratisk centraliseringsstrategi gentemot medlemsstaterna.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Europaparlamentet noterar lägesrapporten från Europeiska unionens asylbyrå (EUAA) av den 31 oktober 2025 om genomförandet av korrigerande åtgärder, enligt överenskommelsen mellan den verkställande direktören och styrelsen, som en uppföljning av parlamentets resolution. Parlamentet noterar att styrelsen tar itu med parlamentets iakttagelser i linje med sina förfaranden och kommer att se över framstegen med kvarstående åtgärder vid sitt möte i november 2025.</w:t>
            </w:r>
          </w:p>
        </w:tc>
        <w:tc>
          <w:tcPr>
            <w:tcW w:w="4876" w:type="dxa"/>
            <w:tcBorders>
              <w:top w:val="nil"/>
              <w:left w:val="nil"/>
              <w:bottom w:val="nil"/>
              <w:right w:val="nil"/>
            </w:tcBorders>
          </w:tcPr>
          <w:p>
            <w:pPr>
              <w:pStyle w:val="Normal6a"/>
            </w:pPr>
            <w:r>
              <w:t>71.</w:t>
            </w:r>
            <w:r>
              <w:tab/>
            </w:r>
            <w:r>
              <w:t xml:space="preserve">Europaparlamentet noterar lägesrapporten från Europeiska unionens asylbyrå (EUAA) av den 31 oktober 2025 om genomförandet av korrigerande åtgärder, enligt överenskommelsen mellan den verkställande direktören och styrelsen, som en uppföljning av parlamentets resolution. Parlamentet noterar att styrelsen tar itu med parlamentets iakttagelser i linje med sina förfaranden och kommer att se över framstegen med kvarstående åtgärder vid sitt möte i november 2025. </w:t>
            </w:r>
            <w:r>
              <w:rPr>
                <w:b/>
                <w:i/>
              </w:rPr>
              <w:t>Parlamentet uppmanar med kraft byrån att fullt ut klargöra alla olösta frågor, att genomföra Olafs rekommendationer på ett trovärdigt och transparent sätt och att inrätta robusta mekanismer för intern kontroll, etisk tillsyn och ansvarsskyldighet.</w:t>
            </w:r>
            <w:r>
              <w:t xml:space="preserve"> </w:t>
            </w:r>
            <w:r>
              <w:rPr>
                <w:b/>
                <w:i/>
              </w:rPr>
              <w:t>Parlamentet uppmanar byrån att utan onödigt dröjsmål informera den ansvarsfrihetsbeviljande myndigheten om eventuella korrigerande åtgärder som vidtagits.</w:t>
            </w:r>
            <w:r>
              <w:t xml:space="preserve"> </w:t>
            </w:r>
            <w:r>
              <w:rPr>
                <w:b/>
                <w:i/>
              </w:rPr>
              <w:t>Parlamentet betonar det akuta behovet av att EUAA stöder medlemsstaterna i åtgärder för att förhindra irreguljär migration och behandlar beslut om återvändande på ett effektivt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71.</w:t>
            </w:r>
            <w:r>
              <w:tab/>
            </w:r>
            <w:r>
              <w:t>Europaparlamentet noterar lägesrapporten från Europeiska unionens asylbyrå (EUAA) av den 31 oktober 2025 om genomförandet av korrigerande åtgärder, enligt överenskommelsen mellan den verkställande direktören och styrelsen, som en uppföljning av parlamentets resolution. Parlamentet noterar att styrelsen tar itu med parlamentets iakttagelser i linje med sina förfaranden och kommer att se över framstegen med kvarstående åtgärder vid sitt möte i november 2025.</w:t>
            </w:r>
          </w:p>
        </w:tc>
        <w:tc>
          <w:tcPr>
            <w:tcW w:w="4876" w:type="dxa"/>
            <w:tcBorders>
              <w:top w:val="nil"/>
              <w:left w:val="nil"/>
              <w:bottom w:val="nil"/>
              <w:right w:val="nil"/>
            </w:tcBorders>
          </w:tcPr>
          <w:p>
            <w:pPr>
              <w:pStyle w:val="Normal6a"/>
            </w:pPr>
            <w:r>
              <w:t>71.</w:t>
            </w:r>
            <w:r>
              <w:tab/>
            </w:r>
            <w:r>
              <w:t xml:space="preserve">Europaparlamentet noterar lägesrapporten från Europeiska unionens asylbyrå (EUAA) av den 31 oktober 2025 om genomförandet av korrigerande åtgärder, enligt överenskommelsen mellan den verkställande direktören och styrelsen, som en uppföljning av parlamentets resolution. Parlamentet </w:t>
            </w:r>
            <w:r>
              <w:rPr>
                <w:b/>
                <w:i/>
              </w:rPr>
              <w:t>välkomnar att EUAA efter flera år äntligen har sagt upp sina hyreskontrakt för lokaler på Lesbos och i Rom, som revisionsrätten sedan 2014 hade konstaterat var oriktiga och som fortfarande kostade 123 800 EUR enbart under 2023, utan att några ytterligare kostnader uppstod under 2024.</w:t>
            </w:r>
            <w:r>
              <w:t xml:space="preserve"> </w:t>
            </w:r>
            <w:r>
              <w:rPr>
                <w:b/>
                <w:i/>
              </w:rPr>
              <w:t>Parlamentet upprepar sin oro över avvikelsen i en sådan försening när det gäller att ta itu med ett problem som hade uppmärksammats för en tid sedan, och de ekonomiska förluster som uppstått till följd av detta, med tanke på att dessa resurser skulle ha kunnat anslås någon annanstans, särskilt för att stödja dess åtgärder för att bekämpa olaglig invandring.</w:t>
            </w:r>
            <w:r>
              <w:t xml:space="preserve"> </w:t>
            </w:r>
            <w:r>
              <w:rPr>
                <w:b/>
                <w:i/>
              </w:rPr>
              <w:t>Parlamentet</w:t>
            </w:r>
            <w:r>
              <w:t xml:space="preserve"> noterar att styrelsen tar itu med parlamentets iakttagelser i linje med sina förfaranden och kommer att se över framstegen med kvarstående åtgärder vid sitt möte i november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72a.</w:t>
            </w:r>
            <w:r>
              <w:tab/>
            </w:r>
            <w:r>
              <w:rPr>
                <w:b/>
                <w:i/>
              </w:rPr>
              <w:t>Europaparlamentet betonar att avslutandet av Olafs utredningar inte i sig undanröjer bristerna i styrningen.</w:t>
            </w:r>
            <w:r>
              <w:t xml:space="preserve"> </w:t>
            </w:r>
            <w:r>
              <w:rPr>
                <w:b/>
                <w:i/>
              </w:rPr>
              <w:t>Parlamentet upprepar att den ansvarsfrihetsbeviljande myndigheten behåller fullständiga tillsynsrättigheter till dess att strukturella svagheter i förvaltningen, transparensen och hanteringen av intressekonflikter har åtgärdats och verifierats fullt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Europaparlamentet betonar att urvalet av icke-statliga organisationer eller experter från det civila samhället som deltar i debatter i byråerna måste återspegla balansen mellan de politiska krafterna i Europaparlamentet (EUAA).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Erik Marquardt</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Europaparlamentet förbehåller sig rätten att villkora eller skjuta upp framtida beslut om ansvarsfrihet om byråerna inte genomför fullständiga och verifierbara strukturreformer till följd av allvarliga iakttagelser.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Europaparlamentet noterar att beviljandet av ansvarsfrihet för EUAA sköts upp i maj 2025 på grund av ”mycket oroande” slutsatser från Europeiska byrån för bedrägeribekämpning (Olaf) när det gäller styrning och stabilitet.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73b.</w:t>
            </w:r>
            <w:r>
              <w:tab/>
            </w:r>
            <w:r>
              <w:rPr>
                <w:b/>
                <w:i/>
              </w:rPr>
              <w:t>Europaparlamentet noterar att EUAA:s högsta ledning kringgick tjänsteföreskrifterna för att befordra en ”krets av vänner” till högre chefsbefattningar, vilket Olaf upptäckte i en konfidentiell utredning,</w:t>
            </w:r>
            <w:r>
              <w:t xml:space="preserve"> </w:t>
            </w:r>
            <w:r>
              <w:rPr>
                <w:b/>
                <w:i/>
              </w:rPr>
              <w:t>och att Olafs utredare har noterat att sådana anställningsmetoder strider mot EU:s tjänsteföreskrifter eftersom ledningen hade anklagats för att kringgå etablerade förfaranden och ignorera interna rekommendationer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https://www.politico.eu/article/eu-asylum-agency-bosses-promotions-watchdog-probe/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75 – led va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Parlamentet insisterar på att Frontex har skyldigheter i fråga om mänskliga rättigheter enligt EU:s stadga om de grundläggande rättigheterna samt enligt Frontexförordningen från 2019 och byråns egen handlingsplan för grundläggande rättigheter.</w:t>
            </w:r>
            <w:r>
              <w:t xml:space="preserve"> </w:t>
            </w:r>
            <w:r>
              <w:rPr>
                <w:b/>
                <w:i/>
              </w:rPr>
              <w:t>Parlamentet understryker att enligt internationell människorättslagstiftning är Frontex skyldigt att avstå från att direkt kränka alla personers mänskliga rättigheter och att indirekt utsätta dem för allvarliga kränkningar av de mänskliga rättigheterna, såsom tortyr, på annat håll.</w:t>
            </w:r>
            <w:r>
              <w:t xml:space="preserve"> </w:t>
            </w:r>
            <w:r>
              <w:rPr>
                <w:b/>
                <w:i/>
              </w:rPr>
              <w:t>Parlamentet uppmanar därför med kraft byrån att vidta åtgärder för att minska de risker för de mänskliga rättigheterna som dess underrättelseverksamhet och gränsförvaltningsverksamhet medför.</w:t>
            </w:r>
            <w:r>
              <w:t xml:space="preserve"> </w:t>
            </w:r>
            <w:r>
              <w:rPr>
                <w:b/>
                <w:i/>
              </w:rPr>
              <w:t>Parlamentet påminner dessutom om att Frontex också är skyldigt att skydda rätten till liv, bland annat genom att vidta positiva åtgärder för att förhindra förlust av människoliv när det finns förutsebara hot och livshotande situationer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https://www.hrw.org/news/2025/04/14/eu-border-agency-use-aerial-surveillance-save-lives-sea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75 – led va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Parlamentet uppmanar Frontex att stärka budgetplaneringen och budgetgenomförandet för att säkerställa efterlevnad av principen om ettårighet.</w:t>
            </w:r>
            <w:r>
              <w:t xml:space="preserve"> </w:t>
            </w:r>
            <w:r>
              <w:rPr>
                <w:b/>
                <w:i/>
              </w:rPr>
              <w:t>Parlamentet betonar att omfattningen av och komplexiteten i byråns mandat kräver robusta interna mekanismer och uppmanar byrån att stärka tillsynen över upphandlings- och kontraktsförvaltningsförfarandena.</w:t>
            </w:r>
            <w:r>
              <w:t xml:space="preserve"> </w:t>
            </w:r>
            <w:r>
              <w:rPr>
                <w:b/>
                <w:i/>
              </w:rPr>
              <w:t>Parlamentet uppmuntrar Frontex att stärka uppföljningsförfarandena för revisionsresultat och att rapportera mätbara framsteg till den ansvarsfrihetsbeviljande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75 – led vb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vb)</w:t>
            </w:r>
            <w:r>
              <w:tab/>
            </w:r>
            <w:r>
              <w:rPr>
                <w:b/>
                <w:i/>
              </w:rPr>
              <w:t>Parlamentet insisterar på att ändringar av Frontex mandat och budget bör stärka snarare än försvaga dess människorättsnormer, transparens och ansvarsskyldighet,</w:t>
            </w:r>
            <w:r>
              <w:t xml:space="preserve"> </w:t>
            </w:r>
            <w:r>
              <w:rPr>
                <w:b/>
                <w:i/>
              </w:rPr>
              <w:t>och att detta skulle inbegripa att se till att tillhandahållandet av Frontex resurser och tjänster till medlemsstaterna villkoras av en bred definition av nöd, samarbete med humanitära organisationer och övervakning av nödsituationer och räddningsinsatser.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75 – led va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Eurojust att dela framtida budgetbehov med kommissionen när det gäller den framtida utvidgningen av mandatet och efterlyser med kraft tillräcklig finansiering och personal för att ta itu med denna utvidgning av mandatet.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78.</w:t>
            </w:r>
            <w:r>
              <w:tab/>
            </w:r>
            <w:r>
              <w:t>Europaparlamentet noterar med oro att Europeiska arbetsmyndigheten fortfarande i alltför hög grad förlitar sig på tillfälligt anställda, utstationerade nationella experter och inhyrd personal för centrala operativa och finansiella funktioner. Parlamentet konstaterar att i slutet av 2022 utgjorde tillfälligt anställda 58 % av myndighetens personal, och trots en liten minskning förblev andelen mycket hög, 47 % i slutet av både 2023 och 2024. Parlamentet noterar vidare att myndigheten, i strid med artikel 41.1 i myndighetens finansiella bestämmelser, använde sig av en tillfällig arbetstagare och en praktikant för att utföra central finansiell verksamhet i samband med budgetgenomförandet mellan november 2022 och mars 2023, en praxis som fortsatte under 2023 och höll i sig under 2024 då en tillfällig arbetstagare fortsatte att användas för viktiga finansiella arbetsuppgifter.</w:t>
            </w:r>
          </w:p>
        </w:tc>
        <w:tc>
          <w:tcPr>
            <w:tcW w:w="4876" w:type="dxa"/>
            <w:tcBorders>
              <w:top w:val="nil"/>
              <w:left w:val="nil"/>
              <w:bottom w:val="nil"/>
              <w:right w:val="nil"/>
            </w:tcBorders>
          </w:tcPr>
          <w:p>
            <w:pPr>
              <w:pStyle w:val="Normal6a"/>
            </w:pPr>
            <w:r>
              <w:t>78.</w:t>
            </w:r>
            <w:r>
              <w:tab/>
            </w:r>
            <w:r>
              <w:t xml:space="preserve">Europaparlamentet noterar med oro att Europeiska arbetsmyndigheten fortfarande i alltför hög grad förlitar sig på tillfälligt anställda, utstationerade nationella experter och inhyrd personal för centrala operativa och finansiella funktioner. Parlamentet konstaterar att i slutet av 2022 utgjorde tillfälligt anställda 58 % av myndighetens personal, och trots en liten minskning förblev andelen mycket hög, 47 % i slutet av både 2023 och 2024. Parlamentet noterar vidare att myndigheten, i strid med artikel 41.1 i myndighetens finansiella bestämmelser, använde sig av en tillfällig arbetstagare och en praktikant för att utföra central finansiell verksamhet i samband med budgetgenomförandet mellan november 2022 och mars 2023, en praxis som fortsatte under 2023 och höll i sig under 2024 då en tillfällig arbetstagare fortsatte att användas för viktiga finansiella arbetsuppgifter. </w:t>
            </w:r>
            <w:r>
              <w:rPr>
                <w:b/>
                <w:i/>
              </w:rPr>
              <w:t>Parlamentet noterar att Europeiska arbetsmyndighetens direktör regelbundet under utfrågningar och skriftligen ber parlamentet att omvandla myndighetens tjänster för utstationerade nationella experter till fasta tjänster för tillfälligt anställda.</w:t>
            </w:r>
            <w:r>
              <w:t xml:space="preserve"> </w:t>
            </w:r>
            <w:r>
              <w:rPr>
                <w:b/>
                <w:i/>
              </w:rPr>
              <w:t>Parlamentet påminner om att revisionsrätten har slagit fast att alla uttagningsprov måste vara öppna och att tjänster inte får vara reserverade för interna sökande.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 xml:space="preserve">Europaparlamentet noterar den förklaring som Europeiska arbetsmyndighetens verkställande direktör lämnade vid utfrågningen den 1 december 2025 om den strukturellt höga andelen tillfälligt anställda, särskilt utstationerade nationella experter, som för närvarande utgör omkring 42–50 % av myndighetens operativa personal och </w:t>
            </w:r>
            <w:r>
              <w:rPr>
                <w:b/>
                <w:i/>
              </w:rPr>
              <w:t>är</w:t>
            </w:r>
            <w:r>
              <w:t xml:space="preserve"> rättsligt </w:t>
            </w:r>
            <w:r>
              <w:rPr>
                <w:b/>
                <w:i/>
              </w:rPr>
              <w:t>förhindrade att</w:t>
            </w:r>
            <w:r>
              <w:t xml:space="preserve"> utföra </w:t>
            </w:r>
            <w:r>
              <w:rPr>
                <w:b/>
                <w:i/>
              </w:rPr>
              <w:t>centrala uppgifter såsom att företräda myndigheten eller hantera finansiella ärenden och upphandlingsärenden</w:t>
            </w:r>
            <w:r>
              <w:t xml:space="preserve">, vilket skapar en koncentration av ansvarsområden och en högre risk för fel. Parlamentet stöder </w:t>
            </w:r>
            <w:r>
              <w:rPr>
                <w:b/>
                <w:i/>
              </w:rPr>
              <w:t>verkställande direktörens begäran om</w:t>
            </w:r>
            <w:r>
              <w:t xml:space="preserve"> en justering av tjänsteförteckningen för att </w:t>
            </w:r>
            <w:r>
              <w:rPr>
                <w:b/>
                <w:i/>
              </w:rPr>
              <w:t>möjliggöra en övergång från personalresurser</w:t>
            </w:r>
            <w:r>
              <w:t xml:space="preserve"> baserade på utstationerade nationella experter </w:t>
            </w:r>
            <w:r>
              <w:rPr>
                <w:b/>
                <w:i/>
              </w:rPr>
              <w:t>till fler</w:t>
            </w:r>
            <w:r>
              <w:t xml:space="preserve"> tjänster för tillfälligt anställda som </w:t>
            </w:r>
            <w:r>
              <w:rPr>
                <w:b/>
                <w:i/>
              </w:rPr>
              <w:t>bör tillsättas</w:t>
            </w:r>
            <w:r>
              <w:t xml:space="preserve"> genom öppna och konkurrensutsatta förfaranden inom det befintliga budgettaket. Arbetsmyndigheten bör </w:t>
            </w:r>
            <w:r>
              <w:rPr>
                <w:b/>
                <w:i/>
              </w:rPr>
              <w:t>vara en förebild</w:t>
            </w:r>
            <w:r>
              <w:t xml:space="preserve"> när det gäller arbetsrättsliga normer och sträva efter att erbjuda längre kontrakt</w:t>
            </w:r>
            <w:r>
              <w:rPr>
                <w:b/>
                <w:i/>
              </w:rPr>
              <w:t>, vilket skulle vara fördelaktigt</w:t>
            </w:r>
            <w:r>
              <w:t xml:space="preserve"> för personalen, kontinuiteten i verksamheten</w:t>
            </w:r>
            <w:r>
              <w:rPr>
                <w:b/>
                <w:i/>
              </w:rPr>
              <w:t>,</w:t>
            </w:r>
            <w:r>
              <w:t xml:space="preserve"> bevarandet av kunskap </w:t>
            </w:r>
            <w:r>
              <w:rPr>
                <w:b/>
                <w:i/>
              </w:rPr>
              <w:t>och undvikandet av flaskhalsar</w:t>
            </w:r>
            <w:r>
              <w:t>.</w:t>
            </w:r>
          </w:p>
        </w:tc>
        <w:tc>
          <w:tcPr>
            <w:tcW w:w="4876" w:type="dxa"/>
            <w:tcBorders>
              <w:top w:val="nil"/>
              <w:left w:val="nil"/>
              <w:bottom w:val="nil"/>
              <w:right w:val="nil"/>
            </w:tcBorders>
          </w:tcPr>
          <w:p>
            <w:pPr>
              <w:pStyle w:val="Normal6a"/>
            </w:pPr>
            <w:r>
              <w:t>79.</w:t>
            </w:r>
            <w:r>
              <w:tab/>
            </w:r>
            <w:r>
              <w:t xml:space="preserve">Europaparlamentet noterar den förklaring som Europeiska arbetsmyndighetens verkställande direktör lämnade vid utfrågningen den 1 december 2025 om den strukturellt höga andelen tillfälligt anställda, särskilt utstationerade nationella experter, som för närvarande utgör omkring 42–50 % av myndighetens operativa personal och </w:t>
            </w:r>
            <w:r>
              <w:rPr>
                <w:b/>
                <w:i/>
              </w:rPr>
              <w:t>som</w:t>
            </w:r>
            <w:r>
              <w:t xml:space="preserve"> rättsligt </w:t>
            </w:r>
            <w:r>
              <w:rPr>
                <w:b/>
                <w:i/>
              </w:rPr>
              <w:t>sett inte kan</w:t>
            </w:r>
            <w:r>
              <w:t xml:space="preserve"> utföra </w:t>
            </w:r>
            <w:r>
              <w:rPr>
                <w:b/>
                <w:i/>
              </w:rPr>
              <w:t>kärnfunktioner</w:t>
            </w:r>
            <w:r>
              <w:t xml:space="preserve">, vilket skapar en koncentration av ansvarsområden och en högre risk för fel. Parlamentet stöder en justering av tjänsteförteckningen för att </w:t>
            </w:r>
            <w:r>
              <w:rPr>
                <w:b/>
                <w:i/>
              </w:rPr>
              <w:t>ersätta resurser</w:t>
            </w:r>
            <w:r>
              <w:t xml:space="preserve"> baserade på utstationerade nationella experter </w:t>
            </w:r>
            <w:r>
              <w:rPr>
                <w:b/>
                <w:i/>
              </w:rPr>
              <w:t>med ytterligare</w:t>
            </w:r>
            <w:r>
              <w:t xml:space="preserve"> tjänster för tillfälligt anställda som </w:t>
            </w:r>
            <w:r>
              <w:rPr>
                <w:b/>
                <w:i/>
              </w:rPr>
              <w:t>tillsätts</w:t>
            </w:r>
            <w:r>
              <w:t xml:space="preserve"> genom öppna och konkurrensutsatta förfaranden inom det befintliga budgettaket. </w:t>
            </w:r>
            <w:r>
              <w:rPr>
                <w:b/>
                <w:i/>
              </w:rPr>
              <w:t>Parlamentet anser att</w:t>
            </w:r>
            <w:r>
              <w:t xml:space="preserve"> arbetsmyndigheten bör </w:t>
            </w:r>
            <w:r>
              <w:rPr>
                <w:b/>
                <w:i/>
              </w:rPr>
              <w:t>föregå med gott exempel</w:t>
            </w:r>
            <w:r>
              <w:t xml:space="preserve"> när det gäller arbetsrättsliga normer och sträva efter att erbjuda längre kontrakt för </w:t>
            </w:r>
            <w:r>
              <w:rPr>
                <w:b/>
                <w:i/>
              </w:rPr>
              <w:t>att stödja</w:t>
            </w:r>
            <w:r>
              <w:t xml:space="preserve"> personalen, kontinuiteten i verksamheten </w:t>
            </w:r>
            <w:r>
              <w:rPr>
                <w:b/>
                <w:i/>
              </w:rPr>
              <w:t>och</w:t>
            </w:r>
            <w:r>
              <w:t xml:space="preserve"> bevarandet av kunskap.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79.</w:t>
            </w:r>
            <w:r>
              <w:tab/>
            </w:r>
            <w:r>
              <w:t>Europaparlamentet noterar den förklaring som Europeiska arbetsmyndighetens verkställande direktör lämnade vid utfrågningen den 1 december 2025 om den strukturellt höga andelen tillfälligt anställda, särskilt utstationerade nationella experter, som för närvarande utgör omkring 42–50 % av myndighetens operativa personal och är rättsligt förhindrade att utföra centrala uppgifter såsom att företräda myndigheten eller hantera finansiella ärenden och upphandlingsärenden, vilket skapar en koncentration av ansvarsområden och en högre risk för fel. Parlamentet stöder verkställande direktörens begäran om en justering av tjänsteförteckningen för att möjliggöra en övergång från personalresurser baserade på utstationerade nationella experter till fler tjänster för tillfälligt anställda som bör tillsättas genom öppna och konkurrensutsatta förfaranden inom det befintliga budgettaket. Arbetsmyndigheten bör vara en förebild när det gäller arbetsrättsliga normer och sträva efter att erbjuda längre kontrakt, vilket skulle vara fördelaktigt för personalen, kontinuiteten i verksamheten, bevarandet av kunskap och undvikandet av flaskhalsar.</w:t>
            </w:r>
          </w:p>
        </w:tc>
        <w:tc>
          <w:tcPr>
            <w:tcW w:w="4876" w:type="dxa"/>
            <w:tcBorders>
              <w:top w:val="nil"/>
              <w:left w:val="nil"/>
              <w:bottom w:val="nil"/>
              <w:right w:val="nil"/>
            </w:tcBorders>
          </w:tcPr>
          <w:p>
            <w:pPr>
              <w:pStyle w:val="Normal6a"/>
            </w:pPr>
            <w:r>
              <w:t>79.</w:t>
            </w:r>
            <w:r>
              <w:tab/>
            </w:r>
            <w:r>
              <w:t xml:space="preserve">Europaparlamentet noterar den förklaring som Europeiska arbetsmyndighetens verkställande direktör lämnade vid utfrågningen den 1 december 2025 om den strukturellt höga andelen tillfälligt anställda, särskilt utstationerade nationella experter, som för närvarande utgör omkring 42–50 % av myndighetens operativa personal och är rättsligt förhindrade att utföra centrala uppgifter såsom att företräda myndigheten eller hantera finansiella ärenden och upphandlingsärenden, vilket skapar en koncentration av ansvarsområden och en högre risk för fel. Parlamentet stöder verkställande direktörens begäran om en justering av tjänsteförteckningen för att möjliggöra en övergång från personalresurser baserade på utstationerade nationella experter till fler tjänster för tillfälligt anställda som bör tillsättas genom öppna och konkurrensutsatta förfaranden inom det befintliga budgettaket. Arbetsmyndigheten bör vara en förebild när det gäller arbetsrättsliga normer och sträva efter att erbjuda längre kontrakt, vilket skulle vara fördelaktigt för personalen, kontinuiteten i verksamheten, bevarandet av kunskap och undvikandet av flaskhalsar. </w:t>
            </w:r>
            <w:r>
              <w:rPr>
                <w:b/>
                <w:i/>
              </w:rPr>
              <w:t>Parlamentet uppmanar myndigheten att ytterligare stärka samarbetet med nationella arbetsmarknadsmyndigheter för att undvika dubbelarbete och förbättra informationsutbytet.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Europaparlamentet konstaterar att övervakningssystemen vid alla byråer, inbegripet SMART-mål och nyckelprestationsindikator, bör stärkas för att förbättra prestationsbedömningen och berörda parters deltagande. Parlamentet betonar att dataluckor (särskilt hos ETF), uteblivna prestationsmål och avsaknaden av indikatorer på nationell nivå undergräver ändamålsenligheten. Parlamentet konstaterar att dessa utmaningar kräver fullständigare data, fastställande av tydligare mål och förbättrade övervakningsramar för att säkerställa omfattande prestationsbedömningar och anpassning till berörda parters behov.</w:t>
            </w:r>
          </w:p>
        </w:tc>
        <w:tc>
          <w:tcPr>
            <w:tcW w:w="4876" w:type="dxa"/>
            <w:tcBorders>
              <w:top w:val="nil"/>
              <w:left w:val="nil"/>
              <w:bottom w:val="nil"/>
              <w:right w:val="nil"/>
            </w:tcBorders>
          </w:tcPr>
          <w:p>
            <w:pPr>
              <w:pStyle w:val="Normal6a"/>
            </w:pPr>
            <w:r>
              <w:t>81.</w:t>
            </w:r>
            <w:r>
              <w:tab/>
            </w:r>
            <w:r>
              <w:t xml:space="preserve">Europaparlamentet konstaterar att övervakningssystemen vid alla byråer, inbegripet SMART-mål och nyckelprestationsindikator, bör stärkas för att förbättra prestationsbedömningen och berörda parters deltagande. Parlamentet betonar att dataluckor (särskilt hos ETF), uteblivna prestationsmål och avsaknaden av indikatorer på nationell nivå undergräver ändamålsenligheten. Parlamentet konstaterar att dessa utmaningar kräver fullständigare data, fastställande av tydligare mål och förbättrade övervakningsramar för att säkerställa omfattande prestationsbedömningar och anpassning till berörda parters behov. </w:t>
            </w:r>
            <w:r>
              <w:rPr>
                <w:b/>
                <w:i/>
              </w:rPr>
              <w:t>Parlamentet betonar vikten av transparenta styrningsstrukturer och skyddsåtgärder för intressekonflikter för att stödja berörda parters förtroende för byråernas 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Europaparlamentet noterar att de fyra byråerna (Cedefop, EU-Osha, Eurofound och ETF) har potential att minska den administrativa bördan och förbättra effektiviteten genom delade tjänster</w:t>
            </w:r>
            <w:r>
              <w:rPr>
                <w:vertAlign w:val="superscript"/>
              </w:rPr>
              <w:t>20</w:t>
            </w:r>
            <w:r>
              <w:t xml:space="preserve">. Parlamentet betonar att </w:t>
            </w:r>
            <w:r>
              <w:rPr>
                <w:b/>
                <w:i/>
              </w:rPr>
              <w:t>byråerna</w:t>
            </w:r>
            <w:r>
              <w:t xml:space="preserve"> bör minska de administrativa bördorna för personalen och upprätthålla en hållbar arbetsbörda genom att dela gemensamma tjänster för personalfunktioner, rättsliga funktioner, it-funktioner och tekniska funktioner. Parlamentet påpekar att detta skulle göra det möjligt för byråerna att minska den personal som arbetar med administrativa frågor och öka fokuseringen på kärnverksamheten.</w:t>
            </w:r>
          </w:p>
        </w:tc>
        <w:tc>
          <w:tcPr>
            <w:tcW w:w="4876" w:type="dxa"/>
            <w:tcBorders>
              <w:top w:val="nil"/>
              <w:left w:val="nil"/>
              <w:bottom w:val="nil"/>
              <w:right w:val="nil"/>
            </w:tcBorders>
          </w:tcPr>
          <w:p>
            <w:pPr>
              <w:pStyle w:val="Normal6a"/>
            </w:pPr>
            <w:r>
              <w:t>82.</w:t>
            </w:r>
            <w:r>
              <w:tab/>
            </w:r>
            <w:r>
              <w:t>Europaparlamentet noterar att de fyra byråerna (Cedefop, EU-Osha, Eurofound och ETF) har potential att minska den administrativa bördan och förbättra effektiviteten genom delade tjänster</w:t>
            </w:r>
            <w:r>
              <w:rPr>
                <w:vertAlign w:val="superscript"/>
              </w:rPr>
              <w:t>20</w:t>
            </w:r>
            <w:r>
              <w:t xml:space="preserve">. Parlamentet betonar att </w:t>
            </w:r>
            <w:r>
              <w:rPr>
                <w:b/>
                <w:i/>
              </w:rPr>
              <w:t>samtliga byråer</w:t>
            </w:r>
            <w:r>
              <w:t xml:space="preserve"> bör minska de administrativa bördorna för personalen och upprätthålla en hållbar arbetsbörda genom att dela gemensamma tjänster för personalfunktioner, rättsliga </w:t>
            </w:r>
            <w:r>
              <w:rPr>
                <w:b/>
                <w:i/>
              </w:rPr>
              <w:t>funktioner, finansiella</w:t>
            </w:r>
            <w:r>
              <w:t xml:space="preserve"> funktioner, it-funktioner och tekniska funktioner. Parlamentet påpekar att detta skulle göra det möjligt för byråerna att minska den personal som arbetar med administrativa frågor och </w:t>
            </w:r>
            <w:r>
              <w:rPr>
                <w:b/>
                <w:i/>
              </w:rPr>
              <w:t>bidra till en ökning av personalens expertis.</w:t>
            </w:r>
            <w:r>
              <w:t xml:space="preserve"> </w:t>
            </w:r>
            <w:r>
              <w:rPr>
                <w:b/>
                <w:i/>
              </w:rPr>
              <w:t>Parlamentet efterlyser dessutom en sammanslagning av uppbyggda resurser och kapaciteter genom att, via en enda plattform, centralisera stödfunktioner där så är möjligt, för att på detta sätt göra det möjligt för var och en av dessa byråer att göra inbesparingar och </w:t>
            </w:r>
            <w:r>
              <w:t>öka fokuseringen på kärnverksamheten.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w:t>
            </w:r>
            <w:r>
              <w:rPr>
                <w:b/>
                <w:i/>
              </w:rPr>
              <w:t>0222</w:t>
            </w:r>
            <w:r>
              <w:t>.</w:t>
            </w:r>
          </w:p>
        </w:tc>
        <w:tc>
          <w:tcPr>
            <w:tcW w:w="4876" w:type="dxa"/>
            <w:tcBorders>
              <w:top w:val="nil"/>
              <w:left w:val="nil"/>
              <w:bottom w:val="nil"/>
              <w:right w:val="nil"/>
            </w:tcBorders>
          </w:tcPr>
          <w:p>
            <w:pPr>
              <w:pStyle w:val="Normal6a"/>
            </w:pPr>
            <w:r>
              <w:rPr>
                <w:vertAlign w:val="superscript"/>
              </w:rPr>
              <w:t>20</w:t>
            </w:r>
            <w:r>
              <w:t xml:space="preserve"> </w:t>
            </w:r>
            <w:r>
              <w:t xml:space="preserve">SWD(2024) </w:t>
            </w:r>
            <w:r>
              <w:rPr>
                <w:b/>
                <w:i/>
              </w:rPr>
              <w:t>222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Europaparlamentet noterar att de fyra byråerna (Cedefop, EU-Osha, Eurofound och ETF) har potential att minska den administrativa bördan och förbättra effektiviteten genom delade tjänster</w:t>
            </w:r>
            <w:r>
              <w:rPr>
                <w:vertAlign w:val="superscript"/>
              </w:rPr>
              <w:t>20</w:t>
            </w:r>
            <w:r>
              <w:t>. Parlamentet betonar att byråerna bör minska de administrativa bördorna för personalen och upprätthålla en hållbar arbetsbörda genom att dela gemensamma tjänster för personalfunktioner, rättsliga funktioner, it-funktioner och tekniska funktioner. Parlamentet påpekar att detta skulle göra det möjligt för byråerna att minska den personal som arbetar med administrativa frågor och öka fokuseringen på kärnverksamheten.</w:t>
            </w:r>
          </w:p>
        </w:tc>
        <w:tc>
          <w:tcPr>
            <w:tcW w:w="4876" w:type="dxa"/>
            <w:tcBorders>
              <w:top w:val="nil"/>
              <w:left w:val="nil"/>
              <w:bottom w:val="nil"/>
              <w:right w:val="nil"/>
            </w:tcBorders>
          </w:tcPr>
          <w:p>
            <w:pPr>
              <w:pStyle w:val="Normal6a"/>
            </w:pPr>
            <w:r>
              <w:t>82.</w:t>
            </w:r>
            <w:r>
              <w:tab/>
            </w:r>
            <w:r>
              <w:t>Europaparlamentet noterar att de fyra byråerna (Cedefop, EU-Osha, Eurofound och ETF) har potential att minska den administrativa bördan och förbättra effektiviteten genom delade tjänster</w:t>
            </w:r>
            <w:r>
              <w:rPr>
                <w:vertAlign w:val="superscript"/>
              </w:rPr>
              <w:t>20</w:t>
            </w:r>
            <w:r>
              <w:t xml:space="preserve">. Parlamentet betonar att byråerna bör minska de administrativa bördorna för personalen och upprätthålla en hållbar arbetsbörda genom att dela gemensamma tjänster för personalfunktioner, rättsliga funktioner, it-funktioner och tekniska funktioner. Parlamentet påpekar att detta skulle göra det möjligt för byråerna att minska den personal som arbetar med administrativa frågor och öka fokuseringen på kärnverksamheten. </w:t>
            </w:r>
            <w:r>
              <w:rPr>
                <w:b/>
                <w:i/>
              </w:rPr>
              <w:t>Parlamentet uppmanar dessa byråer att i nära samordning med revisionsrätten utarbeta en strukturerad genomförandeplan för delade tjänster med konkreta delmål, inbegripet mätbara mål för effektivitetsvinster och beräknade besparingar i euro.</w:t>
            </w:r>
            <w:r>
              <w:t xml:space="preserve"> </w:t>
            </w:r>
            <w:r>
              <w:rPr>
                <w:b/>
                <w:i/>
              </w:rPr>
              <w:t>Parlamentet insisterar på att denna plan bör underlätta ömsesidigt utbyte av bästa praxis och rekommendationer mellan de berörda byråerna och inom hela EUAN, med utgångspunkt i revisionsrättens revisionsresultat och övergripande utvärderingar.</w:t>
            </w:r>
            <w:r>
              <w:t xml:space="preserve"> </w:t>
            </w:r>
            <w:r>
              <w:rPr>
                <w:b/>
                <w:i/>
              </w:rPr>
              <w:t>Parlamentet uppmanar kommissionen att årligen rapportera till den ansvarsfrihetsbeviljande myndigheten om de framsteg som gjorts inom ramen för denna plan, med angivande av hur enskilda byråers resultat har förbättrats och de faktiska besparingar som gjorts.</w:t>
            </w:r>
            <w:r>
              <w:t xml:space="preserve"> </w:t>
            </w:r>
            <w:r>
              <w:rPr>
                <w:b/>
                <w:i/>
              </w:rPr>
              <w:t>Parlamentet betonar att den första lägesrapporten bör läggas fram i slutet av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SWD(2024)</w:t>
            </w:r>
            <w:r>
              <w:rPr>
                <w:b/>
                <w:i/>
              </w:rPr>
              <w:t>0222</w:t>
            </w:r>
            <w:r>
              <w:t>.</w:t>
            </w:r>
          </w:p>
        </w:tc>
        <w:tc>
          <w:tcPr>
            <w:tcW w:w="4876" w:type="dxa"/>
            <w:tcBorders>
              <w:top w:val="nil"/>
              <w:left w:val="nil"/>
              <w:bottom w:val="nil"/>
              <w:right w:val="nil"/>
            </w:tcBorders>
          </w:tcPr>
          <w:p>
            <w:pPr>
              <w:pStyle w:val="Normal6a"/>
            </w:pPr>
            <w:r>
              <w:rPr>
                <w:vertAlign w:val="superscript"/>
              </w:rPr>
              <w:t>20</w:t>
            </w:r>
            <w:r>
              <w:t xml:space="preserve"> </w:t>
            </w:r>
            <w:r>
              <w:t xml:space="preserve">SWD(2024) </w:t>
            </w:r>
            <w:r>
              <w:rPr>
                <w:b/>
                <w:i/>
              </w:rPr>
              <w:t>222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Europaparlamentet noterar att Cedefop har varit inblandat i en rättstvist med en tidigare anställd vars kontrakt inte förlängdes 2017. Parlamentet påminner om att tribunalen 2020 ogiltigförklarade Cedefops beslut och beordrade utbetalning av ekonomisk ersättning, vilket Cedefop gjorde. Parlamentet noterar att en efterföljande talan som väckts av den tidigare anställde om verkställandet av domen ogillades av tribunalen i februari 2024. Parlamentet konstaterar att den tidigare anställde har överklagat domen till Europeiska unionens domstol (mål C-209/24 P) och att den slutliga domen ännu inte har avkunnats. Parlamentet påminner om att tribunalen fann överträdelser av grundläggande förfarandegarantier, inbegripet rätten att bli hörd, rätten till försvar, aktsamhetskravet och principen om god förvaltning. Parlamentet </w:t>
            </w:r>
            <w:r>
              <w:rPr>
                <w:b/>
                <w:i/>
              </w:rPr>
              <w:t>noterar med oro att inget disciplinärt förfarande verkar ha inletts</w:t>
            </w:r>
            <w:r>
              <w:t xml:space="preserve"> till följd av </w:t>
            </w:r>
            <w:r>
              <w:rPr>
                <w:b/>
                <w:i/>
              </w:rPr>
              <w:t>dessa resultat</w:t>
            </w:r>
            <w:r>
              <w:t xml:space="preserve">. Parlamentet kritiserar den utdragna beslutsprocessen </w:t>
            </w:r>
            <w:r>
              <w:rPr>
                <w:b/>
                <w:i/>
              </w:rPr>
              <w:t>och</w:t>
            </w:r>
            <w:r>
              <w:t xml:space="preserve"> att ärendet ännu inte är avslutat</w:t>
            </w:r>
            <w:r>
              <w:rPr>
                <w:b/>
                <w:i/>
              </w:rPr>
              <w:t>.</w:t>
            </w:r>
            <w:r>
              <w:t xml:space="preserve"> </w:t>
            </w:r>
            <w:r>
              <w:rPr>
                <w:b/>
                <w:i/>
              </w:rPr>
              <w:t>Parlamentet kräver att den anställde i fråga får ersättning för förlorad inkomst</w:t>
            </w:r>
            <w:r>
              <w:t>. Parlamentet kräver att personalrelaterade beslut fattas på ett transparent och spårbart sätt.</w:t>
            </w:r>
          </w:p>
        </w:tc>
        <w:tc>
          <w:tcPr>
            <w:tcW w:w="4876" w:type="dxa"/>
            <w:tcBorders>
              <w:top w:val="nil"/>
              <w:left w:val="nil"/>
              <w:bottom w:val="nil"/>
              <w:right w:val="nil"/>
            </w:tcBorders>
          </w:tcPr>
          <w:p>
            <w:pPr>
              <w:pStyle w:val="Normal6a"/>
            </w:pPr>
            <w:r>
              <w:t>83.</w:t>
            </w:r>
            <w:r>
              <w:tab/>
            </w:r>
            <w:r>
              <w:t xml:space="preserve">Europaparlamentet noterar att Cedefop har varit inblandat i en rättstvist med en tidigare anställd vars kontrakt inte förlängdes 2017. Parlamentet påminner om att tribunalen 2020 ogiltigförklarade Cedefops beslut och beordrade utbetalning av ekonomisk ersättning, vilket Cedefop gjorde. Parlamentet noterar att en efterföljande talan som väckts av den tidigare anställde om verkställandet av domen ogillades av tribunalen i februari 2024. Parlamentet konstaterar att den tidigare anställde har överklagat domen till Europeiska unionens domstol (mål C-209/24 P) och att den slutliga domen ännu inte har avkunnats. Parlamentet påminner om att tribunalen fann överträdelser av grundläggande förfarandegarantier, inbegripet rätten att bli hörd, rätten till försvar, aktsamhetskravet och principen om god förvaltning. Parlamentet </w:t>
            </w:r>
            <w:r>
              <w:rPr>
                <w:b/>
                <w:i/>
              </w:rPr>
              <w:t>understryker att styrelsen,</w:t>
            </w:r>
            <w:r>
              <w:t xml:space="preserve"> till följd av </w:t>
            </w:r>
            <w:r>
              <w:rPr>
                <w:b/>
                <w:i/>
              </w:rPr>
              <w:t>direktörens bristande efterlevnad av uppförandekoden och de administrativa och förfarandemässiga bestämmelserna, vägrade att förnya avtalet med direktören</w:t>
            </w:r>
            <w:r>
              <w:t>. Parlamentet kritiserar den utdragna beslutsprocessen</w:t>
            </w:r>
            <w:r>
              <w:rPr>
                <w:b/>
                <w:i/>
              </w:rPr>
              <w:t>, de alltför höga kostnaderna för det rättsliga förfarandet och de juridiska rådgivarna och det faktum</w:t>
            </w:r>
            <w:r>
              <w:t xml:space="preserve"> att ärendet ännu inte är avslutat. Parlamentet kräver att personalrelaterade beslut fattas på ett transparent och spårbart sätt. </w:t>
            </w:r>
            <w:r>
              <w:rPr>
                <w:b/>
                <w:i/>
              </w:rPr>
              <w:t>Parlamentet uppmanar kommissionen och byråerna att inrätta mekanismer som ger byråerna större flexibilitet att hantera och lösa personalrelaterade tvister i ett tidigt skede, bland annat genom uppgörelser i godo när så är lämpligt, för att undvika långdragna och kostsamma rättstvister.</w:t>
            </w:r>
            <w:r>
              <w:t xml:space="preserve"> </w:t>
            </w:r>
            <w:r>
              <w:rPr>
                <w:b/>
                <w:i/>
              </w:rPr>
              <w:t>Parlamentet uppmanar vidare kommissionen och EU-byråernas nätverk att inrätta en gemensam rättstjänst för byråerna som ägnar sig åt att hantera byråernas rättsliga frågor och tillhandahålla snabb rättslig vägledning.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Europaparlamentet noterar att Cedefop har varit inblandat i en rättstvist med en tidigare anställd vars kontrakt inte förlängdes 2017. Parlamentet påminner om att tribunalen 2020 ogiltigförklarade Cedefops beslut och beordrade utbetalning av ekonomisk ersättning, vilket Cedefop gjorde. Parlamentet noterar att en efterföljande talan som väckts av den tidigare anställde om verkställandet av domen ogillades av tribunalen i februari 2024. Parlamentet konstaterar att den tidigare anställde har överklagat domen till Europeiska unionens domstol (mål C-209/24 P) och att den slutliga domen ännu inte har avkunnats. Parlamentet påminner om att tribunalen fann överträdelser av grundläggande förfarandegarantier, </w:t>
            </w:r>
            <w:r>
              <w:rPr>
                <w:b/>
                <w:i/>
              </w:rPr>
              <w:t>inbegripet rätten att bli hörd, rätten till försvar, aktsamhetskravet och principen om god förvaltning.</w:t>
            </w:r>
            <w:r>
              <w:t xml:space="preserve"> </w:t>
            </w:r>
            <w:r>
              <w:rPr>
                <w:b/>
                <w:i/>
              </w:rPr>
              <w:t>Parlamentet noterar med oro att inget disciplinärt förfarande</w:t>
            </w:r>
            <w:r>
              <w:t xml:space="preserve"> verkar </w:t>
            </w:r>
            <w:r>
              <w:rPr>
                <w:b/>
                <w:i/>
              </w:rPr>
              <w:t>ha inletts till följd av dessa resultat</w:t>
            </w:r>
            <w:r>
              <w:t xml:space="preserve">. Parlamentet kritiserar den utdragna beslutsprocessen och att ärendet ännu inte är avslutat. Parlamentet kräver att den anställde </w:t>
            </w:r>
            <w:r>
              <w:rPr>
                <w:b/>
                <w:i/>
              </w:rPr>
              <w:t>i fråga</w:t>
            </w:r>
            <w:r>
              <w:t xml:space="preserve"> får ersättning för förlorad inkomst. Parlamentet kräver att personalrelaterade beslut fattas på ett transparent och spårbart sätt.</w:t>
            </w:r>
          </w:p>
        </w:tc>
        <w:tc>
          <w:tcPr>
            <w:tcW w:w="4876" w:type="dxa"/>
            <w:tcBorders>
              <w:top w:val="nil"/>
              <w:left w:val="nil"/>
              <w:bottom w:val="nil"/>
              <w:right w:val="nil"/>
            </w:tcBorders>
          </w:tcPr>
          <w:p>
            <w:pPr>
              <w:pStyle w:val="Normal6a"/>
            </w:pPr>
            <w:r>
              <w:t>83.</w:t>
            </w:r>
            <w:r>
              <w:tab/>
            </w:r>
            <w:r>
              <w:t xml:space="preserve">Europaparlamentet noterar att Cedefop har varit inblandat i en rättstvist med en tidigare anställd vars kontrakt inte förlängdes 2017. Parlamentet påminner om att tribunalen 2020 ogiltigförklarade Cedefops beslut och beordrade utbetalning av ekonomisk ersättning, vilket Cedefop gjorde. Parlamentet noterar att en efterföljande talan som väckts av den tidigare anställde om verkställandet av domen ogillades av tribunalen i februari 2024. Parlamentet konstaterar att den tidigare anställde har överklagat domen till Europeiska unionens domstol (mål C-209/24 P) och att den slutliga domen ännu inte har avkunnats. Parlamentet påminner om att tribunalen fann överträdelser av grundläggande förfarandegarantier, </w:t>
            </w:r>
            <w:r>
              <w:rPr>
                <w:b/>
                <w:i/>
              </w:rPr>
              <w:t>men trots detta</w:t>
            </w:r>
            <w:r>
              <w:t xml:space="preserve"> verkar </w:t>
            </w:r>
            <w:r>
              <w:rPr>
                <w:b/>
                <w:i/>
              </w:rPr>
              <w:t>inga disciplinära åtgärder ha vidtagits</w:t>
            </w:r>
            <w:r>
              <w:t xml:space="preserve">. Parlamentet kritiserar den utdragna beslutsprocessen och att ärendet ännu inte är avslutat. Parlamentet kräver att den </w:t>
            </w:r>
            <w:r>
              <w:rPr>
                <w:b/>
                <w:i/>
              </w:rPr>
              <w:t>berörda</w:t>
            </w:r>
            <w:r>
              <w:t xml:space="preserve"> anställde får ersättning för förlorad inkomst. Parlamentet kräver att personalrelaterade beslut fattas på ett transparent och spårbart 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84a.</w:t>
            </w:r>
            <w:r>
              <w:tab/>
            </w:r>
            <w:r>
              <w:rPr>
                <w:b/>
                <w:i/>
              </w:rPr>
              <w:t>Europaparlamentet konstaterar att 75 % av de arbetsrelaterade cancerfallen är kopplade till asbestexponering och uppmärksammar EU-Oshas bidrag under 2024 till kommissionens nya riktlinjer om asbest, och uppmuntrar EU-Osha att fortsätta att anslå personal- och budgetresurser för att bidra till medvetenhet om asbest och metoder för att råda bot på det utbredda asbestproblemet i hela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Europaparlamentet uppmärksammar kommissionens genomförandebeslut av den 28 juni 2024 om återkallande av kommissionens beslut C(2018)4831 om att i enlighet med förordning (EG) nr 726/2004 avslå ansökan om godkännande för försäljning av humanläkemedlet Aplidin (plitidepsin). Återkallandet grundades på att en intressekonflikt konstaterats, dvs. att en av de vetenskapliga rådgivare som deltog i den rådgivande gruppen spelat en aktiv roll i utvecklingen av ett konkurrerande läkemedel, en omständighet som borde ha uteslutit vederbörandes deltagande enligt principen om objektiv opartiskhet. Parlamentet betonar att EMA avsevärt har stärkt sin policy för hantering av konkurrerande intressen för ledamöter i vetenskapliga kommittéer och experter, och att den antogs av EMA:s styrelse i december 2024 och trädde i kraft den 1 maj 2025.</w:t>
            </w:r>
          </w:p>
        </w:tc>
        <w:tc>
          <w:tcPr>
            <w:tcW w:w="4876" w:type="dxa"/>
            <w:tcBorders>
              <w:top w:val="nil"/>
              <w:left w:val="nil"/>
              <w:bottom w:val="nil"/>
              <w:right w:val="nil"/>
            </w:tcBorders>
          </w:tcPr>
          <w:p>
            <w:pPr>
              <w:pStyle w:val="Normal6a"/>
            </w:pPr>
            <w:r>
              <w:t>94.</w:t>
            </w:r>
            <w:r>
              <w:tab/>
            </w:r>
            <w:r>
              <w:t xml:space="preserve">Europaparlamentet uppmärksammar kommissionens genomförandebeslut av den 28 juni 2024 om återkallande av kommissionens beslut C(2018)4831 om att i enlighet med förordning (EG) nr 726/2004 avslå ansökan om godkännande för försäljning av humanläkemedlet Aplidin (plitidepsin). Återkallandet grundades på att en intressekonflikt konstaterats, dvs. att en av de vetenskapliga rådgivare som deltog i den rådgivande gruppen spelat en aktiv roll i utvecklingen av ett konkurrerande läkemedel, en omständighet som borde ha uteslutit vederbörandes deltagande enligt principen om objektiv opartiskhet. Parlamentet </w:t>
            </w:r>
            <w:r>
              <w:rPr>
                <w:b/>
                <w:i/>
              </w:rPr>
              <w:t>påminner också om att domstolen 2024 ogiltigförklarade</w:t>
            </w:r>
            <w:r>
              <w:rPr>
                <w:b/>
                <w:i/>
                <w:vertAlign w:val="superscript"/>
              </w:rPr>
              <w:t>1 a</w:t>
            </w:r>
            <w:r>
              <w:t xml:space="preserve"> </w:t>
            </w:r>
            <w:r>
              <w:rPr>
                <w:b/>
                <w:i/>
              </w:rPr>
              <w:t>ett avslag på en ansökan om godkännande för försäljning av läkemedlet Hopveus (även känt som Debrégeas et associés Pharma eller D&amp;A Pharma), en produkt som utvecklats av det franska företaget Debrégeas, efter en intressekonflikt som involverade en expert i egenskap av ”ansvarig prövare” i en klinisk prövning av en konkurrerande produkt (mål C-291/22 P).</w:t>
            </w:r>
            <w:r>
              <w:t xml:space="preserve"> </w:t>
            </w:r>
            <w:r>
              <w:rPr>
                <w:b/>
                <w:i/>
              </w:rPr>
              <w:t>Parlamentet påminner om den upprepade kritiken av EMA:s överväganden och partiska eller skrala analys av allvarliga biverkningar.</w:t>
            </w:r>
            <w:r>
              <w:t xml:space="preserve"> </w:t>
            </w:r>
            <w:r>
              <w:rPr>
                <w:b/>
                <w:i/>
              </w:rPr>
              <w:t>Parlamentet noterar att EMA regelbundet anklagas för att bagatellisera rapporterna om fall av allvarliga biverkningar, för att inte i tillräcklig utsträckning granska obearbetade kliniska rapporter eller för att reagera alltför långsamt när risker identifierats som skapar polemik och leder till bristande förtroende för dess bedömningar (covid-vacciner, HPV-vaccin osv.).</w:t>
            </w:r>
            <w:r>
              <w:t xml:space="preserve"> </w:t>
            </w:r>
            <w:r>
              <w:rPr>
                <w:b/>
                <w:i/>
              </w:rPr>
              <w:t>Parlamentet påminner om EMA:s beroende av uppgifter från industrin:</w:t>
            </w:r>
            <w:r>
              <w:t xml:space="preserve"> </w:t>
            </w:r>
            <w:r>
              <w:rPr>
                <w:b/>
                <w:i/>
              </w:rPr>
              <w:t>kritiker påpekar att EMA i alltför hög grad förlitar sig på sponsrade kliniska prövningar, vilket får en stor inverkan på allmänhetens förtroende.</w:t>
            </w:r>
            <w:r>
              <w:t xml:space="preserve"> </w:t>
            </w:r>
            <w:r>
              <w:rPr>
                <w:b/>
                <w:i/>
              </w:rPr>
              <w:t>Dessa kontroverser har bidragit till en minskad vaccinationstäckning i vissa länder och klagomål om EMA:s bristande oberoende och närhet till Big Pharma.</w:t>
            </w:r>
            <w:r>
              <w:t xml:space="preserve"> </w:t>
            </w:r>
            <w:r>
              <w:rPr>
                <w:b/>
                <w:i/>
              </w:rPr>
              <w:t>Parlamentet</w:t>
            </w:r>
            <w:r>
              <w:t xml:space="preserve"> betonar att EMA avsevärt har stärkt sin policy för hantering av konkurrerande intressen för ledamöter i vetenskapliga kommittéer och experter, och att den antogs av EMA:s styrelse i december 2024 och trädde i kraft den 1 maj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https://eur-lex.europa.eu/legal-content/SV/TXT/PDF/?uri=CELEX:62022CJ0291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Europaparlamentet lovordar Europeiska läkemedelsmyndighetens arbete med att åtgärda läkemedelsbristen när det gäller antibiotikumet amoxicillin i Europa och samarbetet med den nationella läkemedelsmyndigheten för att lösa bristen, vilket ledde till att amoxicillin ströks från förteckningen över restnoterade läkemedel 2024.</w:t>
            </w:r>
            <w:r>
              <w:t xml:space="preserve"> </w:t>
            </w:r>
            <w:r>
              <w:rPr>
                <w:b/>
                <w:i/>
              </w:rPr>
              <w:t>Parlamentet uppmuntrar EMA att fortsätta att använda personal- och budgetresurser för liknande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94a.</w:t>
            </w:r>
            <w:r>
              <w:tab/>
            </w:r>
            <w:r>
              <w:rPr>
                <w:b/>
                <w:i/>
              </w:rPr>
              <w:t>Europaparlamentet fördömer dessutom att ett belopp på 72 000 EUR anslogs för juldekorationer 2024 genom företaget Santa ́s Office</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https://www.ema.europa.eu/en/documents/other/annual-list-contracts-2024_en.pdf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94b.</w:t>
            </w:r>
            <w:r>
              <w:tab/>
            </w:r>
            <w:r>
              <w:rPr>
                <w:b/>
                <w:i/>
              </w:rPr>
              <w:t>Europaparlamentet noterar att revisionsrätten i sin särskilda rapport 12/2024 rekommenderade Europeiska läkemedelsmyndigheten att fortsätta att arbeta för att göra sin kommunikation lättillgänglig för allmänheten, så att allmänheten får en bättre inblick i hur denna myndighet använder EU-medel.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94c.</w:t>
            </w:r>
            <w:r>
              <w:tab/>
            </w:r>
            <w:r>
              <w:rPr>
                <w:b/>
                <w:i/>
              </w:rPr>
              <w:t>Europaparlamentet noterar att revisionsrätten i sin särskilda rapport 12/2024 rekommenderade Europeiska läkemedelsmyndigheten att fortsätta att arbeta och samordna verksamheten med ECDC och Hera för att säkerställa bättre beredskap för framtida pandemier, inbegripet en tydligare arbets- och ansvarsfördelning och en effektivare användning av EU-medel.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94d.</w:t>
            </w:r>
            <w:r>
              <w:tab/>
            </w:r>
            <w:r>
              <w:rPr>
                <w:b/>
                <w:i/>
              </w:rPr>
              <w:t>Europaparlamentet noterar att revisionsrätten i sin särskilda rapport 12/24 rekommenderade att EMA bör se över de verktyg, förfaranden och riktlinjer som myndigheten införde under pandemin, fastställa vilka av dessa som bör bibehållas för framtida pandemier eller andra krissituationer och anpassa dem till den pågående vetenskapliga och tekniska utvecklingen.</w:t>
            </w:r>
            <w:r>
              <w:t xml:space="preserve"> </w:t>
            </w:r>
            <w:r>
              <w:rPr>
                <w:b/>
                <w:i/>
              </w:rPr>
              <w:t>Parlamentet uppmuntrar till en tillräcklig resursanvändning för att uppnå detta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94e.</w:t>
            </w:r>
            <w:r>
              <w:tab/>
            </w:r>
            <w:r>
              <w:rPr>
                <w:b/>
                <w:i/>
              </w:rPr>
              <w:t>Europaparlamentet betonar att EMA har flaggat för en pågående brist på kritiska cancerläkemedel, däribland fludarabin, vindesin, fluorouracil, cisplatin, topotekan och metotrexat, som är avgörande för behandlingen av patienter med leukemi, lymfom, äggstockscancer och småcellscancer i lungorna.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94f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94f.</w:t>
            </w:r>
            <w:r>
              <w:tab/>
            </w:r>
            <w:r>
              <w:rPr>
                <w:b/>
                <w:i/>
              </w:rPr>
              <w:t>Europaparlamentet betonar att EMA har uppmärksammat den fortlöpande bristen på kritiska diabetesläkemedel, däribland insulin aspart (Fiasp, NovoRapid PumpCart), insulin lispro (Sanofi), humaninsulin i alla former (kort-, snabb-, medellång-, bland- och långverkande), Insuman Rapid, Basal, Comb 25, liraglutid (Victoza), dulaglutid (Trulicity) och liraglutid (Saxenda), vilka är avgörande för hanteringen av typ 1- och typ 2-diabetes och för patienter som behöver GLP-1-receptoragonister för blodsockerkontroll och metabolisk riskminskning.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95.</w:t>
            </w:r>
            <w:r>
              <w:tab/>
            </w:r>
            <w:r>
              <w:t xml:space="preserve">Europaparlamentet uttrycker allvarlig oro över </w:t>
            </w:r>
            <w:r>
              <w:rPr>
                <w:b/>
                <w:i/>
              </w:rPr>
              <w:t>de</w:t>
            </w:r>
            <w:r>
              <w:t xml:space="preserve"> upprepade överträdelser av budgetförordningen </w:t>
            </w:r>
            <w:r>
              <w:rPr>
                <w:b/>
                <w:i/>
              </w:rPr>
              <w:t>som identifierats i EUDA:s upphandlingsförfaranden</w:t>
            </w:r>
            <w:r>
              <w:t xml:space="preserve">, och noterar de fem oriktigheter som revisionsrätten </w:t>
            </w:r>
            <w:r>
              <w:rPr>
                <w:b/>
                <w:i/>
              </w:rPr>
              <w:t>påpekade 2024.</w:t>
            </w:r>
            <w:r>
              <w:t xml:space="preserve"> </w:t>
            </w:r>
            <w:r>
              <w:rPr>
                <w:b/>
                <w:i/>
              </w:rPr>
              <w:t>Parlamentet betonar att dessa oriktigheter omfattar</w:t>
            </w:r>
          </w:p>
        </w:tc>
        <w:tc>
          <w:tcPr>
            <w:tcW w:w="4876" w:type="dxa"/>
            <w:tcBorders>
              <w:top w:val="nil"/>
              <w:left w:val="nil"/>
              <w:bottom w:val="nil"/>
              <w:right w:val="nil"/>
            </w:tcBorders>
          </w:tcPr>
          <w:p>
            <w:pPr>
              <w:pStyle w:val="Normal6a"/>
            </w:pPr>
            <w:r>
              <w:t>95.</w:t>
            </w:r>
            <w:r>
              <w:tab/>
            </w:r>
            <w:r>
              <w:t xml:space="preserve">Europaparlamentet uttrycker allvarlig oro över upprepade överträdelser av budgetförordningen </w:t>
            </w:r>
            <w:r>
              <w:rPr>
                <w:b/>
                <w:i/>
              </w:rPr>
              <w:t>i samband med EUDA:s upphandling</w:t>
            </w:r>
            <w:r>
              <w:t xml:space="preserve">, och noterar de fem oriktigheter som revisionsrätten </w:t>
            </w:r>
            <w:r>
              <w:rPr>
                <w:b/>
                <w:i/>
              </w:rPr>
              <w:t>konstaterade 2024:</w:t>
            </w:r>
            <w:r>
              <w:t xml:space="preserve"> </w:t>
            </w:r>
            <w:r>
              <w:rPr>
                <w:b/>
                <w:i/>
              </w:rPr>
              <w:t>otillåten uppdelning av kontrakt och omotiverade förhandlade förfaranden för kontrakt för evenemang i Lissabon (210 668 EUR),</w:t>
            </w:r>
            <w:r>
              <w:t xml:space="preserve"> </w:t>
            </w:r>
            <w:r>
              <w:rPr>
                <w:b/>
                <w:i/>
              </w:rPr>
              <w:t>stora brister i ett kontrakt på 410 000 EUR för ett rapporteringssystem för narkotikahandel, vilket gör kontraktet och en betalning på 60 000 EUR oriktiga,</w:t>
            </w:r>
            <w:r>
              <w:t xml:space="preserve"> </w:t>
            </w:r>
            <w:r>
              <w:rPr>
                <w:b/>
                <w:i/>
              </w:rPr>
              <w:t>alltför stora betalningar på 14 007 EUR för invigningsceremonier,</w:t>
            </w:r>
            <w:r>
              <w:t xml:space="preserve"> </w:t>
            </w:r>
            <w:r>
              <w:rPr>
                <w:b/>
                <w:i/>
              </w:rPr>
              <w:t>bristfällig upphandling för ett datainsamlingsavtal på 10 000 EUR i Ukraina,</w:t>
            </w:r>
            <w:r>
              <w:t xml:space="preserve"> </w:t>
            </w:r>
            <w:r>
              <w:rPr>
                <w:b/>
                <w:i/>
              </w:rPr>
              <w:t>och bristande efterlevnad av offentlighetskrav och krav gällande intressekonflikter i samband med ett kontrakt för tillfälliga tjänster till ett värde av 100 000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otillåten uppdelning av kontrakt och felaktig användning av förhandlade förfaranden utan motivering för tre kontrakt avseende ett evenemang i Lissabon (lokalhyra och catering, totalt 210 668 EUR), såväl som brist på viktig dokumentation och bristande efterlevnad av kraven på offentliggörande av upphandling,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allvarliga brister i ett kontrakt på 410 000 EUR för ett rapporteringssystem för narkotikahandel, inbegripet avsaknad av korrekta anbudsspecifikationer, tilldelningskriterier och en utvärderingskommitté, vilket gör både kontraktet och dess betalning på 60 000 EUR oriktiga,</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oskäligt höga betalningar på 14 007 EUR som överskrider det överenskomna kontraktsvärdet för invigningsceremonier, i strid med artikel 73 i EUDA:s budgetförordning,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bristfällig upphandling av ett avtal på 10 000 EUR om insamling av uppgifter i Ukraina, där tilldelningskriterier och ordentlig dokumentation saknades,</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95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bristande efterlevnad av offentlighetskrav och förklaringar om intressekonflikter vid en upphandling av tillfälliga tjänster till ett värde av 100 000 EUR.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97a.</w:t>
            </w:r>
            <w:r>
              <w:tab/>
            </w:r>
            <w:r>
              <w:rPr>
                <w:b/>
                <w:i/>
              </w:rPr>
              <w:t>Europaparlamentet noterar den analys- och samordningsverksamhet som EUDA bedriver till stöd för nationella myndigheter.</w:t>
            </w:r>
            <w:r>
              <w:t xml:space="preserve"> </w:t>
            </w:r>
            <w:r>
              <w:rPr>
                <w:b/>
                <w:i/>
              </w:rPr>
              <w:t>Parlamentet noterar att EUDA under 2024 utbildade över 11 700 yrkesverksamma på området narkotikakontroll, däribland tjänstemän inom brottsbekämpning, hälso- och sjukvårdspersonal och beslutsfattare.</w:t>
            </w:r>
            <w:r>
              <w:t xml:space="preserve"> </w:t>
            </w:r>
            <w:r>
              <w:rPr>
                <w:b/>
                <w:i/>
              </w:rPr>
              <w:t>Parlamentet påminner om att EU:s resurser på detta område i första hand bör bidra till att förebygga och bekämpa narkotikahandel, stärka det brottsbekämpande samarbetet och skydda folkhälsan och den allmänna säkerheten, och att utbildningsverksamheten bör fortsätta att vara inriktad på operativt samarbete, utbyte av underrättelser och förebyggande av organiserad brottslighet.</w:t>
            </w:r>
            <w:r>
              <w:t xml:space="preserve"> </w:t>
            </w:r>
            <w:r>
              <w:rPr>
                <w:b/>
                <w:i/>
              </w:rPr>
              <w:t>Parlamentet understryker att samarbetet med andra EU-byråer måste syfta till att stärka säkerheten och gränskontrollernas effektivitet, säkerställa mätbara resultat och en effektiv användning av unionens medel.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98a.</w:t>
            </w:r>
            <w:r>
              <w:tab/>
            </w:r>
            <w:r>
              <w:rPr>
                <w:b/>
                <w:i/>
              </w:rPr>
              <w:t>Europaparlamentet betonar att revisionsrätten rekommenderar att ECDC samarbetar med medlemsstaterna för att stärka ett harmoniserat EU-omfattande övervakningssystem för infektionssjukdomar, förbättra de interna processerna för att tillhandahålla snabbare och mer praktisk vägledning och kommunicera tydligare med allmänheten med hjälp av klarspråk för att bättre återspegla användningen av EU-medel, vilket revisionsrätten noterade i sin särskilda rapport 12/2024.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98a.</w:t>
            </w:r>
            <w:r>
              <w:tab/>
            </w:r>
            <w:r>
              <w:rPr>
                <w:b/>
                <w:i/>
              </w:rPr>
              <w:t>Europaparlamentet välkomnar att Efsa har antagit en ny policy för hantering av intressekonflikter efter att ha varit föremål för olika fall:</w:t>
            </w:r>
            <w:r>
              <w:t xml:space="preserve"> </w:t>
            </w:r>
            <w:r>
              <w:rPr>
                <w:b/>
                <w:i/>
              </w:rPr>
              <w:t>Diána Bánáti, tidigare styrelseordförande, som avgick 2012 efter att ha anslutit sig till ILSI (en branschvänlig lobbygrupp) och underlåtit att uppge sina kopplingar till gruppen, och Suzy Renckens, tidigare chef för GMO-enheten, som anslöt sig till Syngenta 2008.</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100 – led ii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ECDC och EMA att använda en del av sin budget till att genomföra de rekommendationer som Europeiska revisionsrätten lade fram i sin särskilda rapport nr 12/2024 och som förtecknas ovan,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100 – led ii 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iib)</w:t>
            </w:r>
            <w:r>
              <w:tab/>
            </w:r>
            <w:r>
              <w:rPr>
                <w:b/>
                <w:i/>
              </w:rPr>
              <w:t>EMA, kommissionen och medlemsstaterna att vidta omedelbara åtgärder för att åtgärda den pågående bristen på de kritiska läkemedel som förtecknas ovan, och uppmanar i detta avseende EMA att ha ett nära samarbete med nationella myndigheter och Europeiska kommissionen för att</w:t>
            </w:r>
            <w:r>
              <w:t xml:space="preserve"> </w:t>
            </w:r>
            <w:r>
              <w:rPr>
                <w:b/>
                <w:i/>
              </w:rPr>
              <w:t>i) anslå tillräckliga resurser för att nå en lösning på problemet, ii) analysera och behandla orsakerna till dessa brister, inbegripet tillverkning, försörjningskedja, distributionsutmaningar och hinder på den inre marknaden eller nationell protektionism, även behovet av produktion av europeiska läkemedel, iii) utarbeta beredskapsplaner för att säkerställa oavbruten tillgång för patienterna, bland annat prioritering av fall med stora behov;</w:t>
            </w:r>
            <w:r>
              <w:t xml:space="preserve"> </w:t>
            </w:r>
            <w:r>
              <w:rPr>
                <w:b/>
                <w:i/>
              </w:rPr>
              <w:t>parlamentet betonar att omedelbara och samordnade åtgärder är avgörande för att förhindra förseningar i behandlingen, undvika att patientresultaten försämras och skydda allmänhetens förtroende för det europeiska hälso- och sjukvårdssystemet;</w:t>
            </w:r>
            <w:r>
              <w:t xml:space="preserve"> </w:t>
            </w:r>
            <w:r>
              <w:rPr>
                <w:b/>
                <w:i/>
              </w:rPr>
              <w:t>parlamentet uppmuntrar EMA att använda ytterligare interna resurser från sin budget för att uppnå detta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104.</w:t>
            </w:r>
            <w:r>
              <w:tab/>
            </w:r>
            <w:r>
              <w:t>Europaparlamentet noterar revisionsrättens tre iakttagelser om oriktigheter i samband med upphandling inom EEA, däribland följande:</w:t>
            </w:r>
          </w:p>
        </w:tc>
        <w:tc>
          <w:tcPr>
            <w:tcW w:w="4876" w:type="dxa"/>
            <w:tcBorders>
              <w:top w:val="nil"/>
              <w:left w:val="nil"/>
              <w:bottom w:val="nil"/>
              <w:right w:val="nil"/>
            </w:tcBorders>
          </w:tcPr>
          <w:p>
            <w:pPr>
              <w:pStyle w:val="Normal6a"/>
            </w:pPr>
            <w:r>
              <w:t>104.</w:t>
            </w:r>
            <w:r>
              <w:tab/>
            </w:r>
            <w:r>
              <w:t xml:space="preserve">Europaparlamentet noterar revisionsrättens tre iakttagelser om oriktigheter i samband med upphandling inom EEA, däribland följande: </w:t>
            </w:r>
            <w:r>
              <w:rPr>
                <w:b/>
                <w:i/>
              </w:rPr>
              <w:t>oriktiga betalningar enligt ramavtalet för matsals- och cateringtjänster (6 514 EUR återbetalades utan faktura och en prisökning på 34 % utöver indexeringsmekanismen);</w:t>
            </w:r>
            <w:r>
              <w:t xml:space="preserve"> </w:t>
            </w:r>
            <w:r>
              <w:rPr>
                <w:b/>
                <w:i/>
              </w:rPr>
              <w:t>användning av det interna systemet för expertmöten i stället för de beställningssedlar som krävs, vilket hindrar en korrekt övervakning av kumulativa utgifter och riskerar att leda till överskridanden av avtalstaken;</w:t>
            </w:r>
            <w:r>
              <w:t xml:space="preserve"> </w:t>
            </w:r>
            <w:r>
              <w:rPr>
                <w:b/>
                <w:i/>
              </w:rPr>
              <w:t>underlåtenhet att specificera kontraktstypen för ett it-konsultkontrakt på 731 000 EUR, i strid med bilaga I till budgetförordningen.</w:t>
            </w:r>
            <w:r>
              <w:t xml:space="preserve"> </w:t>
            </w:r>
            <w:r>
              <w:rPr>
                <w:b/>
                <w:i/>
              </w:rPr>
              <w:t>Parlamentet noterar byråns förklaringar och åtaganden att stärka förfarandena och säkerställa en framtida efterlevnad.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Oriktiga betalningar enligt ett ramavtal för matsals- och cateringtjänster, med återbetalning av 6 514 EUR utan faktura ställd till byrån i strid med artikel 111.2 i budgetförordningen, och en höjning av lunchpriserna med 34 % över den överenskomna indexeringsmekanismen.</w:t>
            </w:r>
            <w:r>
              <w:t xml:space="preserve"> </w:t>
            </w:r>
            <w:r>
              <w:rPr>
                <w:b/>
                <w:i/>
              </w:rPr>
              <w:t>Parlamentet noterar byråns svar att detta var isolerade incidenter, och att förfarandena sedan dess förtydligats och förstärkts, och att prisjusteringen berodde på exceptionella inflationsförhållanden.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Användning av byråns interna system för expertmöten vid beställning av cateringtjänster, i stället för de beställningssedlar som krävs enligt ramavtalet, vilket förhindrar tillförlitlig övervakning av kumulativa utgifter och leder till en risk för att kontraktstaket överskrids, vilket strider mot artikel 111.1 och 111.3 i budgetförordningen.</w:t>
            </w:r>
            <w:r>
              <w:t xml:space="preserve"> </w:t>
            </w:r>
            <w:r>
              <w:rPr>
                <w:b/>
                <w:i/>
              </w:rPr>
              <w:t>Parlamentet noterar EEA:s svar att systemet för expertmöten tillhandahåller en rationaliserad kontrollprocess och att byrån kommer att ändra ramavtalet i enlighet med detta.</w:t>
            </w:r>
            <w:r>
              <w:t xml:space="preserve"> </w:t>
            </w:r>
            <w:r>
              <w:rPr>
                <w:b/>
                <w:i/>
              </w:rPr>
              <w:t>Parlamentet betonar att för att fullt ut ta hänsyn till revisionsrättens betänkligheter bör systemet för expertmöten integreras med redovisningssystemet för att säkerställa att alla cateringbeställningar automatiskt genererar rättsligt bindande åtaganden.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Typ av kontrakt:</w:t>
            </w:r>
            <w:r>
              <w:t xml:space="preserve"> </w:t>
            </w:r>
            <w:r>
              <w:rPr>
                <w:b/>
                <w:i/>
              </w:rPr>
              <w:t>Europaparlamentet noterar att EEA underlät att ange typen av specifikt kontrakt (fast pris eller baserat på tids- och materialåtgång) för ett it-konsultavtal till ett belopp av 731 000 EUR, i strid med avsnitt 1.1 i bilaga I till budgetförordningen, vilket innebar att det inte gick att stämma av det totala kontraktsbeloppet mot priset per konsult.</w:t>
            </w:r>
            <w:r>
              <w:t xml:space="preserve"> </w:t>
            </w:r>
            <w:r>
              <w:rPr>
                <w:b/>
                <w:i/>
              </w:rPr>
              <w:t>Parlamentet noterar EEA:s förklaring att utelämnandet inte hade någon ekonomisk inverkan, och åtagandet att alla framtida kontrakt ska innehålla denna information.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Typ av kontrakt: Europaparlamentet </w:t>
            </w:r>
            <w:r>
              <w:rPr>
                <w:b/>
                <w:i/>
              </w:rPr>
              <w:t>noterar</w:t>
            </w:r>
            <w:r>
              <w:t xml:space="preserve"> att EEA underlät att ange typen av specifikt kontrakt (fast pris eller baserat på tids- och materialåtgång) för ett it-konsultavtal till ett belopp av </w:t>
            </w:r>
            <w:r>
              <w:rPr>
                <w:b/>
                <w:i/>
              </w:rPr>
              <w:t>731 000</w:t>
            </w:r>
            <w:r>
              <w:t xml:space="preserve"> EUR, i strid med avsnitt 1.1 i bilaga I till budgetförordningen, vilket innebar att det inte gick att stämma av det totala kontraktsbeloppet mot priset per konsult. Parlamentet noterar EEA:s förklaring att utelämnandet inte hade någon ekonomisk inverkan, och åtagandet att alla framtida kontrakt ska innehålla denna information.</w:t>
            </w:r>
          </w:p>
        </w:tc>
        <w:tc>
          <w:tcPr>
            <w:tcW w:w="4876" w:type="dxa"/>
            <w:tcBorders>
              <w:top w:val="nil"/>
              <w:left w:val="nil"/>
              <w:bottom w:val="nil"/>
              <w:right w:val="nil"/>
            </w:tcBorders>
          </w:tcPr>
          <w:p>
            <w:pPr>
              <w:pStyle w:val="Normal6a"/>
            </w:pPr>
            <w:r>
              <w:rPr>
                <w:b/>
                <w:i/>
              </w:rPr>
              <w:t>–</w:t>
            </w:r>
            <w:r>
              <w:tab/>
            </w:r>
            <w:r>
              <w:t xml:space="preserve">Typ av kontrakt: Europaparlamentet </w:t>
            </w:r>
            <w:r>
              <w:rPr>
                <w:b/>
                <w:i/>
              </w:rPr>
              <w:t>beklagar</w:t>
            </w:r>
            <w:r>
              <w:t xml:space="preserve"> att EEA underlät att ange typen av specifikt kontrakt (fast pris eller baserat på tids- och materialåtgång) för ett it-konsultavtal till ett belopp av </w:t>
            </w:r>
            <w:r>
              <w:rPr>
                <w:b/>
                <w:i/>
              </w:rPr>
              <w:t>731 000</w:t>
            </w:r>
            <w:r>
              <w:t xml:space="preserve"> EUR, i strid med avsnitt 1.1 i bilaga I till budgetförordningen, vilket innebar att det inte gick att stämma av det totala kontraktsbeloppet mot priset per konsult. Parlamentet noterar EEA:s förklaring att utelämnandet inte hade någon ekonomisk inverkan, och åtagandet att alla framtida kontrakt ska innehålla denna information. </w:t>
            </w:r>
            <w:r>
              <w:rPr>
                <w:b/>
                <w:i/>
              </w:rPr>
              <w:t>Parlamentet uppmanar enträget till en professionalisering av byråernas juridiska tjänster och inköpstjänster för att undvika att dessa fel upprepas och därmed äventyrar offentliga medel.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104a.</w:t>
            </w:r>
            <w:r>
              <w:tab/>
            </w:r>
            <w:r>
              <w:rPr>
                <w:b/>
                <w:i/>
              </w:rPr>
              <w:t>Europaparlamentet påpekar att flera EEA-publikationer återspeglar en ideologisk strategi för den gröna given som skulle kunna ha en oproportionerlig inverkan på de europeiska jordbruks- och industrisektorerna, och uppmanar byrån att främja en rigorös vetenskaplig strategi utan politisk aktivism.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Europaparlamentet noterar revisionsrättens iakttagelse att Echa tecknade ett specifikt it-infrastrukturkontrakt till ett värde av 8,1 miljoner EUR, vilket överskred det belopp som den vidaredelegerade utanordnaren hade befogenhet att godkänna med 1,3 miljoner EUR. Parlamentet noterar myndighetens förklaring att kontraktet baserades på icke-bindande uppskattningar av servicevolymerna inom ramen för de årliga anslagen och att de faktiska budgetåtagandena inte överskred de delegerade befogenheterna. Parlamentet uppmuntrar Echa att säkerställa en tydlig samstämmighet mellan finansiell delegering och avtalsenliga åtaganden.</w:t>
            </w:r>
          </w:p>
        </w:tc>
        <w:tc>
          <w:tcPr>
            <w:tcW w:w="4876" w:type="dxa"/>
            <w:tcBorders>
              <w:top w:val="nil"/>
              <w:left w:val="nil"/>
              <w:bottom w:val="nil"/>
              <w:right w:val="nil"/>
            </w:tcBorders>
          </w:tcPr>
          <w:p>
            <w:pPr>
              <w:pStyle w:val="Normal6a"/>
            </w:pPr>
            <w:r>
              <w:t>105.</w:t>
            </w:r>
            <w:r>
              <w:tab/>
            </w:r>
            <w:r>
              <w:t xml:space="preserve">Europaparlamentet noterar revisionsrättens iakttagelse att Echa tecknade ett specifikt it-infrastrukturkontrakt till ett värde av 8,1 miljoner EUR, vilket överskred det belopp som den vidaredelegerade utanordnaren hade befogenhet att godkänna med 1,3 miljoner EUR. Parlamentet noterar myndighetens förklaring att kontraktet baserades på icke-bindande uppskattningar av servicevolymerna inom ramen för de årliga anslagen och att de faktiska budgetåtagandena inte överskred de delegerade befogenheterna. Parlamentet uppmuntrar Echa att säkerställa en tydlig samstämmighet mellan finansiell delegering och avtalsenliga åtaganden. </w:t>
            </w:r>
            <w:r>
              <w:rPr>
                <w:b/>
                <w:i/>
              </w:rPr>
              <w:t>Parlamentet uppmanar byrån att införa förbättrade framåtblickande granskningsmekanismer för externa uppdragstagare som deltar i arbete med koppling till myndighetens beslutsfattande.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106.</w:t>
            </w:r>
            <w:r>
              <w:tab/>
            </w:r>
            <w:r>
              <w:t>Europaparlamentet uppmärksammar den oro som flera civilsamhällesorganisationer har gett uttryck för när det gäller en potentiell yrkesmässig intressekonflikt i fallet Ramboll Germany GmbH, en konsultfirma som tidigare utförde tekniska studier för Echa och samtidigt tillhandahöll tjänster till aktörer inom industrin som försökte påverka kommande PFAS-begränsningar. Parlamentet noterar organisationernas påstående att Rambolls parallella verksamhet kan ha äventyrat den opartiskhet som krävs enligt artiklarna 2.56 och 143 d i budgetförordningen.</w:t>
            </w:r>
          </w:p>
        </w:tc>
        <w:tc>
          <w:tcPr>
            <w:tcW w:w="4876" w:type="dxa"/>
            <w:tcBorders>
              <w:top w:val="nil"/>
              <w:left w:val="nil"/>
              <w:bottom w:val="nil"/>
              <w:right w:val="nil"/>
            </w:tcBorders>
          </w:tcPr>
          <w:p>
            <w:pPr>
              <w:pStyle w:val="Normal6a"/>
            </w:pPr>
            <w:r>
              <w:t>106.</w:t>
            </w:r>
            <w:r>
              <w:tab/>
            </w:r>
            <w:r>
              <w:t xml:space="preserve">Europaparlamentet uppmärksammar den oro som flera civilsamhällesorganisationer har gett uttryck för när det gäller en potentiell yrkesmässig intressekonflikt i fallet Ramboll Germany GmbH, en konsultfirma som tidigare utförde tekniska studier för Echa och samtidigt tillhandahöll tjänster till aktörer inom industrin som försökte påverka kommande PFAS-begränsningar. Parlamentet </w:t>
            </w:r>
            <w:r>
              <w:rPr>
                <w:b/>
                <w:i/>
              </w:rPr>
              <w:t>betonar att rådgivande expertstrukturer bör återspegla en balanserad representation av vetenskaplig expertis liksom expertis från industrin och det civila samhället för att stärka legitimiteten och ett evidensbaserat beslutsfattande.</w:t>
            </w:r>
            <w:r>
              <w:t xml:space="preserve"> </w:t>
            </w:r>
            <w:r>
              <w:rPr>
                <w:b/>
                <w:i/>
              </w:rPr>
              <w:t>Parlamentet</w:t>
            </w:r>
            <w:r>
              <w:t xml:space="preserve"> noterar organisationernas påstående att Rambolls parallella verksamhet kan ha äventyrat den opartiskhet som krävs enligt artiklarna 2.56 och 143 d i budgetförordningen. </w:t>
            </w:r>
            <w:r>
              <w:rPr>
                <w:b/>
                <w:i/>
              </w:rPr>
              <w:t>Parlamentet betonar att principen om sund ekonomisk förvaltning kräver att byrån ser till att upphandling och genomförande av kontrakt genomförs på ett sätt som bevarar den institutionella opartiskheten och allmänhetens förtroende.</w:t>
            </w:r>
            <w:r>
              <w:t xml:space="preserve"> </w:t>
            </w:r>
            <w:r>
              <w:rPr>
                <w:b/>
                <w:i/>
              </w:rPr>
              <w:t>Parlamentet noterar att upplevda intressekonflikter kan påverka trovärdigheten för unionsfinansierad verksamhet även om det inte skulle ha förekommit förfarandefel.</w:t>
            </w:r>
            <w:r>
              <w:t xml:space="preserve"> </w:t>
            </w:r>
            <w:r>
              <w:rPr>
                <w:b/>
                <w:i/>
              </w:rPr>
              <w:t>Parlamentet efterlyser förstärkta skyddsåtgärder för att hantera både faktiska och uppenbara risker.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w:t>
            </w:r>
            <w:r>
              <w:rPr>
                <w:b/>
                <w:i/>
              </w:rPr>
              <w:t>dock vikten</w:t>
            </w:r>
            <w:r>
              <w:t xml:space="preserve"> av att säkerställa robusta</w:t>
            </w:r>
            <w:r>
              <w:rPr>
                <w:b/>
                <w:i/>
              </w:rPr>
              <w:t>,</w:t>
            </w:r>
            <w:r>
              <w:t xml:space="preserve"> proaktiva </w:t>
            </w:r>
            <w:r>
              <w:rPr>
                <w:b/>
                <w:i/>
              </w:rPr>
              <w:t>och framåtblickande kontroller av</w:t>
            </w:r>
            <w:r>
              <w:t xml:space="preserve"> intressekonflikter </w:t>
            </w:r>
            <w:r>
              <w:rPr>
                <w:b/>
                <w:i/>
              </w:rPr>
              <w:t>för alla externa uppdragstagare, särskilt de som deltar i tekniskt arbete som bidrar till känsliga regleringsbeslut, och uttrycker oro över att vissa kontrakt mellan icke-statliga organisationer och kommissionen innehöll punkter i arbetsprogrammet i syfte att undergräva Echas arbete och beslutsprocessen i relevanta utskott i Europaparlamentet, och betonar att det i expertgrupper bör råda en balans mellan ledamöter från olika sektorer, inbegripet den privata sektorn, vetenskapliga sektorer och det civila samhället, så att olika kompetenser och synpunkter representeras</w:t>
            </w:r>
            <w:r>
              <w:t>.</w:t>
            </w:r>
          </w:p>
        </w:tc>
        <w:tc>
          <w:tcPr>
            <w:tcW w:w="4876" w:type="dxa"/>
            <w:tcBorders>
              <w:top w:val="nil"/>
              <w:left w:val="nil"/>
              <w:bottom w:val="nil"/>
              <w:right w:val="nil"/>
            </w:tcBorders>
          </w:tcPr>
          <w:p>
            <w:pPr>
              <w:pStyle w:val="Normal6a"/>
            </w:pPr>
            <w:r>
              <w:t>107.</w:t>
            </w:r>
            <w:r>
              <w:tab/>
            </w:r>
            <w:r>
              <w:t xml:space="preserve">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w:t>
            </w:r>
            <w:r>
              <w:rPr>
                <w:b/>
                <w:i/>
              </w:rPr>
              <w:t>behovet</w:t>
            </w:r>
            <w:r>
              <w:t xml:space="preserve"> av att säkerställa </w:t>
            </w:r>
            <w:r>
              <w:rPr>
                <w:b/>
                <w:i/>
              </w:rPr>
              <w:t>särskilt</w:t>
            </w:r>
            <w:r>
              <w:t xml:space="preserve"> robusta </w:t>
            </w:r>
            <w:r>
              <w:rPr>
                <w:b/>
                <w:i/>
              </w:rPr>
              <w:t>och</w:t>
            </w:r>
            <w:r>
              <w:t xml:space="preserve"> proaktiva </w:t>
            </w:r>
            <w:r>
              <w:rPr>
                <w:b/>
                <w:i/>
              </w:rPr>
              <w:t>förfaranden för att förhindra alla risker för</w:t>
            </w:r>
            <w:r>
              <w:t xml:space="preserve"> intressekonflikter.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 xml:space="preserve">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 och </w:t>
            </w:r>
            <w:r>
              <w:rPr>
                <w:b/>
                <w:i/>
              </w:rPr>
              <w:t>uttrycker oro över att vissa kontrakt mellan icke-statliga organisationer och kommissionen innehöll punkter i arbetsprogrammet i syfte att undergräva Echas arbete och beslutsprocessen i relevanta utskott i Europaparlamentet, och</w:t>
            </w:r>
            <w:r>
              <w:t xml:space="preserve"> betonar att det i expertgrupper bör råda en balans mellan ledamöter från olika sektorer, inbegripet den privata sektorn, vetenskapliga sektorer och det civila samhället, så att olika kompetenser och synpunkter representeras.</w:t>
            </w:r>
          </w:p>
        </w:tc>
        <w:tc>
          <w:tcPr>
            <w:tcW w:w="4876" w:type="dxa"/>
            <w:tcBorders>
              <w:top w:val="nil"/>
              <w:left w:val="nil"/>
              <w:bottom w:val="nil"/>
              <w:right w:val="nil"/>
            </w:tcBorders>
          </w:tcPr>
          <w:p>
            <w:pPr>
              <w:pStyle w:val="Normal6a"/>
            </w:pPr>
            <w:r>
              <w:t>107.</w:t>
            </w:r>
            <w:r>
              <w:tab/>
            </w:r>
            <w:r>
              <w:t xml:space="preserve">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 och betonar att det i expertgrupper bör råda en balans mellan ledamöter från olika sektorer, inbegripet den privata sektorn, vetenskapliga sektorer och det civila samhället, så att olika kompetenser och synpunkter representeras. </w:t>
            </w:r>
            <w:r>
              <w:rPr>
                <w:b/>
                <w:i/>
              </w:rPr>
              <w:t>Parlamentet uppmanar byrån att integrera kontroller av entreprenörernas oberoende i sin bredare ram för intern kontroll och riskhantering.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w:t>
            </w:r>
            <w:r>
              <w:rPr>
                <w:b/>
                <w:i/>
              </w:rPr>
              <w:t>, och</w:t>
            </w:r>
            <w:r>
              <w:t xml:space="preserve"> uttrycker </w:t>
            </w:r>
            <w:r>
              <w:rPr>
                <w:b/>
                <w:i/>
              </w:rPr>
              <w:t>oro</w:t>
            </w:r>
            <w:r>
              <w:t xml:space="preserve"> över att vissa kontrakt mellan icke-statliga organisationer och kommissionen innehöll punkter i arbetsprogrammet i syfte att undergräva Echas arbete och beslutsprocessen i relevanta utskott i Europaparlamentet, </w:t>
            </w:r>
            <w:r>
              <w:rPr>
                <w:b/>
                <w:i/>
              </w:rPr>
              <w:t>och</w:t>
            </w:r>
            <w:r>
              <w:t xml:space="preserve"> betonar att det i expertgrupper bör råda en balans mellan ledamöter från olika sektorer, inbegripet den privata sektorn, vetenskapliga sektorer och det civila samhället, så att olika kompetenser och synpunkter representeras.</w:t>
            </w:r>
          </w:p>
        </w:tc>
        <w:tc>
          <w:tcPr>
            <w:tcW w:w="4876" w:type="dxa"/>
            <w:tcBorders>
              <w:top w:val="nil"/>
              <w:left w:val="nil"/>
              <w:bottom w:val="nil"/>
              <w:right w:val="nil"/>
            </w:tcBorders>
          </w:tcPr>
          <w:p>
            <w:pPr>
              <w:pStyle w:val="Normal6a"/>
            </w:pPr>
            <w:r>
              <w:t>107.</w:t>
            </w:r>
            <w:r>
              <w:tab/>
            </w:r>
            <w:r>
              <w:t>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w:t>
            </w:r>
            <w:r>
              <w:rPr>
                <w:b/>
                <w:i/>
              </w:rPr>
              <w:t>.</w:t>
            </w:r>
            <w:r>
              <w:t xml:space="preserve"> </w:t>
            </w:r>
            <w:r>
              <w:rPr>
                <w:b/>
                <w:i/>
              </w:rPr>
              <w:t>Parlamentet</w:t>
            </w:r>
            <w:r>
              <w:t xml:space="preserve"> uttrycker </w:t>
            </w:r>
            <w:r>
              <w:rPr>
                <w:b/>
                <w:i/>
              </w:rPr>
              <w:t>sin bestörtning</w:t>
            </w:r>
            <w:r>
              <w:t xml:space="preserve"> över att vissa kontrakt mellan icke-statliga organisationer och kommissionen innehöll punkter i arbetsprogrammet i syfte att undergräva Echas arbete och beslutsprocessen i relevanta utskott i Europaparlamentet, </w:t>
            </w:r>
            <w:r>
              <w:rPr>
                <w:b/>
                <w:i/>
              </w:rPr>
              <w:t>vilket återigen utgör en inblandning från kommissionens sida – som betalas av medlemsstaternas skattebetalare – i syfte att styra beslut i enlighet med sin ideologiska strategi, till nackdel för den demokratiska lagstiftningsprocessen.</w:t>
            </w:r>
            <w:r>
              <w:t xml:space="preserve"> </w:t>
            </w:r>
            <w:r>
              <w:rPr>
                <w:b/>
                <w:i/>
              </w:rPr>
              <w:t>Parlamentet</w:t>
            </w:r>
            <w:r>
              <w:t xml:space="preserve"> betonar att det i expertgrupper bör råda en balans mellan ledamöter från olika sektorer, inbegripet den privata sektorn, vetenskapliga sektorer och det civila samhället, så att olika kompetenser och synpunkter representeras.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107.</w:t>
            </w:r>
            <w:r>
              <w:tab/>
            </w:r>
            <w:r>
              <w:t>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 och uttrycker oro över att vissa kontrakt mellan icke-statliga organisationer och kommissionen innehöll punkter i arbetsprogrammet i syfte att undergräva Echas arbete och beslutsprocessen i relevanta utskott i Europaparlamentet</w:t>
            </w:r>
            <w:r>
              <w:rPr>
                <w:b/>
                <w:i/>
              </w:rPr>
              <w:t>, och</w:t>
            </w:r>
            <w:r>
              <w:t xml:space="preserve"> betonar att det i expertgrupper bör råda en balans mellan ledamöter från olika sektorer, inbegripet den privata sektorn, vetenskapliga sektorer och det civila samhället, så att olika kompetenser och synpunkter representeras.</w:t>
            </w:r>
          </w:p>
        </w:tc>
        <w:tc>
          <w:tcPr>
            <w:tcW w:w="4876" w:type="dxa"/>
            <w:tcBorders>
              <w:top w:val="nil"/>
              <w:left w:val="nil"/>
              <w:bottom w:val="nil"/>
              <w:right w:val="nil"/>
            </w:tcBorders>
          </w:tcPr>
          <w:p>
            <w:pPr>
              <w:pStyle w:val="Normal6a"/>
            </w:pPr>
            <w:r>
              <w:t>107.</w:t>
            </w:r>
            <w:r>
              <w:tab/>
            </w:r>
            <w:r>
              <w:t>Europaparlamentet noterar dock Echas klargörande att det arbete som Ramboll Deutschland utförde för myndigheten avseende PFAS utfördes mellan 2020 och 2021, före konsultfirmans samarbete med industrin 2022, och att bedömningar av intressekonflikter utfördes i enlighet med Echas förfaranden vid den tidpunkt då kontraktet tilldelades. Parlamentet noterar vidare att Ramboll enligt det nuvarande ramavtalet från 2024 inte har lämnat in anbud för specifika kontrakt. Parlamentet välkomnar Echas uttalande om att myndigheten genomförde en detaljerad intern översyn till följd av begäranden om tillgång till handlingar och inte fann några ohanterade intressekonflikter. Parlamentet betonar dock vikten av att säkerställa robusta, proaktiva och framåtblickande kontroller av intressekonflikter för alla externa uppdragstagare, särskilt de som deltar i tekniskt arbete som bidrar till känsliga regleringsbeslut, och uttrycker oro över att vissa kontrakt mellan icke-statliga organisationer och kommissionen innehöll punkter i arbetsprogrammet i syfte att undergräva Echas arbete och beslutsprocessen i relevanta utskott i Europaparlamentet</w:t>
            </w:r>
            <w:r>
              <w:rPr>
                <w:b/>
                <w:i/>
              </w:rPr>
              <w:t>.</w:t>
            </w:r>
            <w:r>
              <w:t xml:space="preserve"> </w:t>
            </w:r>
            <w:r>
              <w:rPr>
                <w:b/>
                <w:i/>
              </w:rPr>
              <w:t>Parlamentet uppmanar kommissionen att säkerställa full transparens när det gäller sådana kontrakt och att låta verksamhet som finansieras av icke-statliga organisationer och som syftar till att påverka reglerings- eller lagstiftningsresultat omfattas av samma gransknings- och upplysningskrav som alla andra berörda parter.</w:t>
            </w:r>
            <w:r>
              <w:t xml:space="preserve"> </w:t>
            </w:r>
            <w:r>
              <w:rPr>
                <w:b/>
                <w:i/>
              </w:rPr>
              <w:t>Parlamentet</w:t>
            </w:r>
            <w:r>
              <w:t xml:space="preserve"> betonar att det i expertgrupper bör råda en balans mellan ledamöter från olika sektorer, inbegripet den privata sektorn, vetenskapliga sektorer och det civila samhället, så att olika kompetenser och synpunkter representeras.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107a.</w:t>
            </w:r>
            <w:r>
              <w:tab/>
            </w:r>
            <w:r>
              <w:rPr>
                <w:b/>
                <w:i/>
              </w:rPr>
              <w:t>Europaparlamentet understryker att Echas yttranden har en direkt inverkan på konkurrenskraften inom strategiska sektorer såsom jordbruket, jordbruksbaserade livsmedel, plastbearbetning och den europeiska kemiska industrin.</w:t>
            </w:r>
            <w:r>
              <w:t xml:space="preserve"> </w:t>
            </w:r>
            <w:r>
              <w:rPr>
                <w:b/>
                <w:i/>
              </w:rPr>
              <w:t>Parlamentet anser att dess yttranden inte får leda till en lagstiftningsinflation som destabiliserar europeiska företag, särskilt små och medelstora företag, eller till systematiska förbud utan koppling till den industriella verkligheten och den internationella konkurrenskraften.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 xml:space="preserve">Europaparlamentet </w:t>
            </w:r>
            <w:r>
              <w:rPr>
                <w:b/>
                <w:i/>
              </w:rPr>
              <w:t>påminner om att revisionsrättens iakttagelse om Acers strukturella beroende av tillfälligt anställda kvarstår sedan 2019, och att tillfälligt anställda fortsätter att utföra långsiktiga arbetsuppgifter som normalt bör utföras av direkt anställd personal.</w:t>
            </w:r>
            <w:r>
              <w:t xml:space="preserve"> </w:t>
            </w:r>
            <w:r>
              <w:rPr>
                <w:b/>
                <w:i/>
              </w:rPr>
              <w:t>Parlamentet</w:t>
            </w:r>
            <w:r>
              <w:t xml:space="preserve"> noterar att </w:t>
            </w:r>
            <w:r>
              <w:rPr>
                <w:b/>
                <w:i/>
              </w:rPr>
              <w:t>även om antalet tillfälligt arbetstagare minskade från 18 under 2023 till 16 under 2024 kvarstod situationen, och att Acer har för avsikt att utkontraktera vissa av dessa arbetsuppgifter.</w:t>
            </w:r>
            <w:r>
              <w:t xml:space="preserve"> </w:t>
            </w:r>
            <w:r>
              <w:rPr>
                <w:b/>
                <w:i/>
              </w:rPr>
              <w:t>Parlamentet noterar byråns svar på frågeformuläret, att omfattande</w:t>
            </w:r>
            <w:r>
              <w:t xml:space="preserve"> utkontraktering </w:t>
            </w:r>
            <w:r>
              <w:rPr>
                <w:b/>
                <w:i/>
              </w:rPr>
              <w:t>är nödvändig på grund av otillräckliga interna resurser och specialiserad expertis.</w:t>
            </w:r>
            <w:r>
              <w:t xml:space="preserve"> </w:t>
            </w:r>
            <w:r>
              <w:rPr>
                <w:b/>
                <w:i/>
              </w:rPr>
              <w:t>Parlamentet konstaterar att Acer utkontrakterar ett brett spektrum av funktioner, däribland högt specialiserade konsultuppgifter och studier inom energireglering, juridiska tjänster, evenemangsorganisation och olika allmänna tjänster, men att det största beroendet rör</w:t>
            </w:r>
            <w:r>
              <w:t xml:space="preserve"> it-området, där </w:t>
            </w:r>
            <w:r>
              <w:rPr>
                <w:b/>
                <w:i/>
              </w:rPr>
              <w:t>utformningen, utvecklingen, genomförandet, stödet, underhållet och säkerheten i dess system till stor del utförs av</w:t>
            </w:r>
            <w:r>
              <w:t xml:space="preserve"> externa </w:t>
            </w:r>
            <w:r>
              <w:rPr>
                <w:b/>
                <w:i/>
              </w:rPr>
              <w:t>tjänsteleverantörer</w:t>
            </w:r>
            <w:r>
              <w:t xml:space="preserve">. Parlamentet </w:t>
            </w:r>
            <w:r>
              <w:rPr>
                <w:b/>
                <w:i/>
              </w:rPr>
              <w:t>betonar i detta avseende att mer än 100 externa it-experter arbetar (inte nödvändigtvis på heltid) med att tillhandahålla it-tjänster till Acer, jämfört med endast 17 interna it-anställda, vilket skapar en betydande strukturell obalans.</w:t>
            </w:r>
            <w:r>
              <w:t xml:space="preserve"> </w:t>
            </w:r>
            <w:r>
              <w:rPr>
                <w:b/>
                <w:i/>
              </w:rPr>
              <w:t>Parlamentet noterar vidare att Acer uppger</w:t>
            </w:r>
            <w:r>
              <w:t xml:space="preserve"> att denna </w:t>
            </w:r>
            <w:r>
              <w:rPr>
                <w:b/>
                <w:i/>
              </w:rPr>
              <w:t>utkontrakteringsmodell uttryckligen</w:t>
            </w:r>
            <w:r>
              <w:t xml:space="preserve"> rekommenderades av kommissionen </w:t>
            </w:r>
            <w:r>
              <w:rPr>
                <w:b/>
                <w:i/>
              </w:rPr>
              <w:t>med tanke på byråns begränsade tjänsteförteckning och resursbegränsningar</w:t>
            </w:r>
            <w:r>
              <w:t xml:space="preserve">. Parlamentet </w:t>
            </w:r>
            <w:r>
              <w:rPr>
                <w:b/>
                <w:i/>
              </w:rPr>
              <w:t>understryker dock att ett sådant ihållande beroende av externa leverantörer av grundläggande it-kapacitet, i kombination med fortsatt användning av tillfälliga arbetstagare för permanenta uppgifter, ger anledning till oro när det gäller bevarande</w:t>
            </w:r>
            <w:r>
              <w:t xml:space="preserve"> av kunskap</w:t>
            </w:r>
            <w:r>
              <w:rPr>
                <w:b/>
                <w:i/>
              </w:rPr>
              <w:t>, operativ kontinuitet och långsiktig institutionell kapacitet</w:t>
            </w:r>
            <w:r>
              <w:t>.</w:t>
            </w:r>
          </w:p>
        </w:tc>
        <w:tc>
          <w:tcPr>
            <w:tcW w:w="4876" w:type="dxa"/>
            <w:tcBorders>
              <w:top w:val="nil"/>
              <w:left w:val="nil"/>
              <w:bottom w:val="nil"/>
              <w:right w:val="nil"/>
            </w:tcBorders>
          </w:tcPr>
          <w:p>
            <w:pPr>
              <w:pStyle w:val="Normal6a"/>
            </w:pPr>
            <w:r>
              <w:t>111.</w:t>
            </w:r>
            <w:r>
              <w:tab/>
            </w:r>
            <w:r>
              <w:t xml:space="preserve">Europaparlamentet noterar att </w:t>
            </w:r>
            <w:r>
              <w:rPr>
                <w:b/>
                <w:i/>
              </w:rPr>
              <w:t>Acers modell för</w:t>
            </w:r>
            <w:r>
              <w:t xml:space="preserve"> utkontraktering </w:t>
            </w:r>
            <w:r>
              <w:rPr>
                <w:b/>
                <w:i/>
              </w:rPr>
              <w:t>har blivit alltför omfattande, särskilt på</w:t>
            </w:r>
            <w:r>
              <w:t xml:space="preserve"> it-området, där </w:t>
            </w:r>
            <w:r>
              <w:rPr>
                <w:b/>
                <w:i/>
              </w:rPr>
              <w:t>byrån till övervägande del förlitar sig på</w:t>
            </w:r>
            <w:r>
              <w:t xml:space="preserve"> externa </w:t>
            </w:r>
            <w:r>
              <w:rPr>
                <w:b/>
                <w:i/>
              </w:rPr>
              <w:t>leverantörer</w:t>
            </w:r>
            <w:r>
              <w:t xml:space="preserve">. Parlamentet </w:t>
            </w:r>
            <w:r>
              <w:rPr>
                <w:b/>
                <w:i/>
              </w:rPr>
              <w:t>anser</w:t>
            </w:r>
            <w:r>
              <w:t xml:space="preserve"> att denna </w:t>
            </w:r>
            <w:r>
              <w:rPr>
                <w:b/>
                <w:i/>
              </w:rPr>
              <w:t>modell, som ursprungligen</w:t>
            </w:r>
            <w:r>
              <w:t xml:space="preserve"> rekommenderades av kommissionen</w:t>
            </w:r>
            <w:r>
              <w:rPr>
                <w:b/>
                <w:i/>
              </w:rPr>
              <w:t>, nu bör omprövas mot bakgrund av de strukturella risker som den skapar</w:t>
            </w:r>
            <w:r>
              <w:t xml:space="preserve">. Parlamentet </w:t>
            </w:r>
            <w:r>
              <w:rPr>
                <w:b/>
                <w:i/>
              </w:rPr>
              <w:t>betonar att det stora it-beroendet måste åtgärdas snarast för att skydda bevarandet</w:t>
            </w:r>
            <w:r>
              <w:t xml:space="preserve"> av kunskap </w:t>
            </w:r>
            <w:r>
              <w:rPr>
                <w:b/>
                <w:i/>
              </w:rPr>
              <w:t>och den operativa kontinuiteten</w:t>
            </w:r>
            <w:r>
              <w:t xml:space="preserve">. </w:t>
            </w:r>
            <w:r>
              <w:rPr>
                <w:b/>
                <w:i/>
              </w:rPr>
              <w:t>Parlamentet begär att kommissionen och Acer rapporterar till den ansvarsfrihetsbeviljande myndigheten om de korrigerande åtgärder som vidtagits.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111a.</w:t>
            </w:r>
            <w:r>
              <w:tab/>
            </w:r>
            <w:r>
              <w:rPr>
                <w:b/>
                <w:i/>
              </w:rPr>
              <w:t>Europaparlamentet beklagar ökningen på 17,26 % av Acers budget för 2024 jämfört med 2023, med tanke på dess ineffektivitet eller till och med kontraproduktiva effekt under de senaste åren, särskilt återöppnandet av kolkraftverk, som per definition är förorenande, för att säkerställa en miniminivå av stabilitet i energiförsörjningen i Europa.</w:t>
            </w:r>
            <w:r>
              <w:t xml:space="preserve"> </w:t>
            </w:r>
            <w:r>
              <w:rPr>
                <w:b/>
                <w:i/>
              </w:rPr>
              <w:t>Parlamentet beklagar att byrån inte har hejdat ökningen av energikostnaderna genom att arbeta för ett alternativt prissättningssystem för att skydda de europeiska konsumenternas intressen.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Gilles Boyer, Olivier Chastel,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120.</w:t>
            </w:r>
            <w:r>
              <w:tab/>
            </w:r>
            <w:r>
              <w:t>Europaparlamentet noterar att EIT under 2023 ändrade strukturen för sina bidragsöverenskommelser från årliga till fleråriga bidrag. Parlamentet uppmärksammar att denna förändring påverkar revisionsrättens bedömning av lagligheten och korrektheten, som endast kan göras vid tidpunkten för mellanliggande betalningar och slutbetalningar. Parlamentet noterar att EIT under 2024 betalade ut 412 miljoner EUR i förfinansiering i samband med fleråriga bidragsöverenskommelser, vilket motsvarar 92,9 % av de totala utbetalningarna för året. Parlamentet noterar att dessa utbetalningars laglighet och korrekthet kommer att bedömas under kommande år.</w:t>
            </w:r>
          </w:p>
        </w:tc>
        <w:tc>
          <w:tcPr>
            <w:tcW w:w="4876" w:type="dxa"/>
            <w:tcBorders>
              <w:top w:val="nil"/>
              <w:left w:val="nil"/>
              <w:bottom w:val="nil"/>
              <w:right w:val="nil"/>
            </w:tcBorders>
          </w:tcPr>
          <w:p>
            <w:pPr>
              <w:pStyle w:val="Normal6a"/>
            </w:pPr>
            <w:r>
              <w:t>120.</w:t>
            </w:r>
            <w:r>
              <w:tab/>
            </w:r>
            <w:r>
              <w:t xml:space="preserve">Europaparlamentet noterar att EIT under 2023 ändrade strukturen för sina bidragsöverenskommelser från årliga till fleråriga bidrag. Parlamentet uppmärksammar att denna förändring påverkar revisionsrättens bedömning av lagligheten och korrektheten, som endast kan göras vid tidpunkten för mellanliggande betalningar och slutbetalningar. Parlamentet noterar att EIT under 2024 betalade ut 412 miljoner EUR i förfinansiering i samband med fleråriga bidragsöverenskommelser, vilket motsvarar 92,9 % av de totala utbetalningarna för året. Parlamentet noterar att dessa utbetalningars laglighet och korrekthet kommer att bedömas under kommande år. </w:t>
            </w:r>
            <w:r>
              <w:rPr>
                <w:b/>
                <w:i/>
              </w:rPr>
              <w:t>Parlamentet betonar att en så stor andel utbetalningar av förfinansiering kräver förstärkta övervaknings- och kontrollmekanismer för att minska risken för framtida finansiella korrigeringar eller återkrav.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124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Otillräckliga personalresurser. Parlamentet noterar att revisionsrätten och kommissionens tjänst för internrevision erkänner denna risk och belyser oriktigheter till följd av underbemanning. Parlamentet </w:t>
            </w:r>
            <w:r>
              <w:rPr>
                <w:b/>
                <w:i/>
              </w:rPr>
              <w:t>kräver att antalet anställda ökas och att finansieringen ökas i enlighet med detta</w:t>
            </w:r>
            <w:r>
              <w:t>.</w:t>
            </w:r>
          </w:p>
        </w:tc>
        <w:tc>
          <w:tcPr>
            <w:tcW w:w="4876" w:type="dxa"/>
            <w:tcBorders>
              <w:top w:val="nil"/>
              <w:left w:val="nil"/>
              <w:bottom w:val="nil"/>
              <w:right w:val="nil"/>
            </w:tcBorders>
          </w:tcPr>
          <w:p>
            <w:pPr>
              <w:pStyle w:val="Normal6a"/>
            </w:pPr>
            <w:r>
              <w:rPr>
                <w:b/>
                <w:i/>
              </w:rPr>
              <w:t>–</w:t>
            </w:r>
            <w:r>
              <w:tab/>
            </w:r>
            <w:r>
              <w:t xml:space="preserve">Otillräckliga personalresurser. Parlamentet noterar att revisionsrätten och kommissionens tjänst för internrevision erkänner denna risk och belyser oriktigheter till följd av underbemanning. Parlamentet </w:t>
            </w:r>
            <w:r>
              <w:rPr>
                <w:b/>
                <w:i/>
              </w:rPr>
              <w:t>uppmanar EIT att lägga fram en detaljerad bedömning av personalbehoven, där de begärda ytterligare tjänsterna kopplas till specifika operativa mål och förväntade resultat, innan någon ökning av personalfinansieringen godkänns.</w:t>
            </w:r>
            <w:r>
              <w:t xml:space="preserve"> </w:t>
            </w:r>
            <w:r>
              <w:rPr>
                <w:b/>
                <w:i/>
              </w:rPr>
              <w:t>Parlamentet noterar att den ansvarsfrihetsbeviljande myndigheten inte kan ställa sig bakom öppna resurskrav utan att tydligt visa hur ytterligare personal kommer att bidra till bättre resultat och minskade oriktigheter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127a.</w:t>
            </w:r>
            <w:r>
              <w:tab/>
            </w:r>
            <w:r>
              <w:rPr>
                <w:b/>
                <w:i/>
              </w:rPr>
              <w:t>Europaparlamentet noterar EUSPA:s strategiska roll som en central pelare i EU:s rymdprogram för att stärka unionens industriella bas, konkurrenskraft och innovation.</w:t>
            </w:r>
            <w:r>
              <w:t xml:space="preserve"> </w:t>
            </w:r>
            <w:r>
              <w:rPr>
                <w:b/>
                <w:i/>
              </w:rPr>
              <w:t>Parlamentet uppmanar kommissionen att vid utarbetandet av nästa fleråriga budgetram säkerställa att EUSPA har tillräckliga befogenheter och resurser för att stärka sina prestationer och sin genomförandekapacitet till stöd för unionens strategiska oberoende och suveränitet, bland annat genom att genomföra nya uppgifter inom ramen för EU:s rymdförordning.</w:t>
            </w:r>
            <w:r>
              <w:t xml:space="preserve"> </w:t>
            </w:r>
            <w:r>
              <w:rPr>
                <w:b/>
                <w:i/>
              </w:rPr>
              <w:t>Parlamentet understryker vikten av att prioritera europeisk upphandling på områden som är avgörande för unionens resiliens, säkerhet och tekniska oberoende.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124</w:t>
    </w:r>
    <w:r>
      <w:fldChar w:fldCharType="end"/>
    </w:r>
    <w:r>
      <w:t>/</w:t>
    </w:r>
    <w:r>
      <w:fldChar w:fldCharType="begin"/>
    </w:r>
    <w:r>
      <w:instrText xml:space="preserve"> NUMPAGES </w:instrText>
    </w:r>
    <w:r>
      <w:fldChar w:fldCharType="separate"/>
    </w:r>
    <w:r>
      <w:t>125</w:t>
    </w:r>
    <w:r>
      <w:fldChar w:fldCharType="end"/>
    </w:r>
    <w:r>
      <w:tab/>
    </w:r>
    <w:r>
      <w:rPr>
        <w:rStyle w:val="HideTWBExt"/>
      </w:rPr>
      <w:t>&lt;PathFdR&gt;</w:t>
    </w:r>
    <w:r>
      <w:t>AM\1336258SV.docx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AM\1336258SV.docx</w:t>
    </w:r>
    <w:r>
      <w:rPr>
        <w:rStyle w:val="HideTWBExt"/>
      </w:rPr>
      <w:t>&lt;/PathFdR&gt;</w:t>
    </w:r>
    <w:r>
      <w:tab/>
    </w:r>
    <w:r>
      <w:fldChar w:fldCharType="begin"/>
    </w:r>
    <w:r>
      <w:instrText xml:space="preserve"> PAGE </w:instrText>
    </w:r>
    <w:r>
      <w:fldChar w:fldCharType="separate"/>
    </w:r>
    <w:r>
      <w:t>125</w:t>
    </w:r>
    <w:r>
      <w:fldChar w:fldCharType="end"/>
    </w:r>
    <w:r>
      <w:t>/</w:t>
    </w:r>
    <w:r>
      <w:fldChar w:fldCharType="begin"/>
    </w:r>
    <w:r>
      <w:instrText xml:space="preserve"> NUMPAGES </w:instrText>
    </w:r>
    <w:r>
      <w:fldChar w:fldCharType="separate"/>
    </w:r>
    <w:r>
      <w:t>125</w:t>
    </w:r>
    <w:r>
      <w:fldChar w:fldCharType="end"/>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AM\1336258SV.docx</w:t>
    </w:r>
    <w:r>
      <w:rPr>
        <w:rStyle w:val="HideTWBExt"/>
      </w:rPr>
      <w:t>&lt;/PathFdR&gt;</w:t>
    </w:r>
    <w:r>
      <w:tab/>
    </w:r>
    <w:r>
      <w:tab/>
    </w:r>
    <w:r>
      <w:t>PE</w:t>
    </w:r>
    <w:r>
      <w:rPr>
        <w:rStyle w:val="HideTWBExt"/>
      </w:rPr>
      <w:t>&lt;NoPE&gt;</w:t>
    </w:r>
    <w:r>
      <w:t>784.141</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125</Pages>
  <Words>29677</Words>
  <Characters>203583</Characters>
  <Application>Microsoft Office Word</Application>
  <DocSecurity>0</DocSecurity>
  <Lines>1</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398041</vt:lpwstr>
  </property>
  <property fmtid="{D5CDD505-2E9C-101B-9397-08002B2CF9AE}" pid="7" name="dmxml.render.traceId">
    <vt:lpwstr>69a7d70d0dc18231f8b521fa5ac54a93</vt:lpwstr>
  </property>
  <property fmtid="{D5CDD505-2E9C-101B-9397-08002B2CF9AE}" pid="8" name="FooterPath">
    <vt:lpwstr>AM\1336258SV.docx</vt:lpwstr>
  </property>
  <property fmtid="{D5CDD505-2E9C-101B-9397-08002B2CF9AE}" pid="9" name="PE Number">
    <vt:lpwstr>784.141</vt:lpwstr>
  </property>
  <property fmtid="{D5CDD505-2E9C-101B-9397-08002B2CF9AE}" pid="10" name="UID">
    <vt:lpwstr>eu.europa.europarl-DIN1-2026-0000040745_01.01-sv-01.00_text-xml</vt:lpwstr>
  </property>
</Properties>
</file>