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Výbor pro rozpočtovou kontrolu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2025/2148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(DEC)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28. 1. 2026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38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(PE778.060v01-00)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Udělení absolutoria za rok 2024: souhrnný rozpočet EU – Soudní dvůr Evropské unie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(2025/2148(DEC))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SDEU pomáhá zachovávat hodnoty Unie a prostřednictvím své judikatury usiluje o budování Evropy;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SDEU pomáhá zachovávat hodnoty Unie a prostřednictvím své judikatury usiluje o budování Evropy </w:t>
            </w:r>
            <w:r>
              <w:rPr>
                <w:b/>
                <w:i/>
              </w:rPr>
              <w:t>a zároveň zůstává odpovědný občanům prostřednictvím právní jistoty, jednotnosti judikatury a dodržování mezí soudního výkladu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konstatuje, že rozpočet SDEU spadá do okruhu 7 VFR „Evropská veřejná správa“, který v roce 2023 činil 13,3 miliardy EUR (což představuje 6,9 % celkového rozpočtu Unie); konstatuje, že rozpočet SDEU ve výši přibližně 0,5 miliardy EUR představuje přibližně 3,76 % celkových správních výdajů Unie, což je pokles oproti 3,9 % v roce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konstatuje, že rozpočet SDEU spadá do okruhu 7 VFR „Evropská veřejná správa“, který v roce 2023 činil 13,3 miliardy EUR (což představuje 6,9 % celkového rozpočtu Unie); konstatuje, že rozpočet SDEU ve výši přibližně 0,5 miliardy EUR představuje přibližně 3,76 % celkových správních výdajů Unie, což je pokles oproti 3,9 % v roce 2023; </w:t>
            </w:r>
            <w:r>
              <w:rPr>
                <w:b/>
                <w:i/>
              </w:rPr>
              <w:t>zdůrazňuje, že v případech týkajících se vyšetřování rozpočtu Unie musí všechny příslušné orgány plně dodržovat zásady spravedlivého procesu a základní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konstatuje, že personální výdaje představují téměř 80 % rozpočtu SDEU a že aktualizace platů překročily původní prognózy v roce 2024;</w:t>
            </w:r>
            <w:r>
              <w:t xml:space="preserve"> </w:t>
            </w:r>
            <w:r>
              <w:rPr>
                <w:b/>
                <w:i/>
              </w:rPr>
              <w:t>zdůrazňuje, že ačkoli tato zvýšení byla absorbována bez dalšího navýšení rozpočtu, jejich opakující se povaha vyvolává otázky, pokud jde o střednědobou rozpočtovou udržitelnost v rámci stávajících omezení VFR;</w:t>
            </w:r>
            <w:r>
              <w:t xml:space="preserve"> </w:t>
            </w:r>
            <w:r>
              <w:rPr>
                <w:b/>
                <w:i/>
              </w:rPr>
              <w:t>vyzývá k posílení víceletého plánování pracovních sil a výdajů, aniž by byla ohrožena nezávislost soudnictví;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souhlasí s tím, že schopnost SDEU reagovat na stále se zvyšující pracovní zátěž je na jedné straně ztížena pokyny Komise pro přípravu rozpočtu, které omezují zvýšení všech výdajů nesouvisejících s platy na nejvýše 2 % a odrazují od žádostí o nová pracovní místa, a na druhé straně tím, že úřad EPSO neposkytuje orgánům Unie přiměřeně velký soubor úspěšných uchazečů z výběrových řízení, z něhož by mohly přijímat zaměstnance; dále konstatuje, že inflační dopady ruské útočné války proti Ukrajině nadále vytvářely rozpočtový tlak na SDEU např. prostřednictvím rostoucích nákladů na služební cesty nebo zvýšením cen smluvního zboží a služeb; chválí SDEU za opatření, která zmírňují tyto dopady snížením počtu služebních cest, omezením výdajů na energii a především stanovováním prioritních projektů při přípravě rozpočtových odhadů; uznává, že je třeba, aby všechny orgány Unie zlepšily své řízení rozpočtu tím, že při uzavírání smluv s poskytovateli služeb zohlední také kolísání cen, zejména v odvětví energetiky;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souhlasí s tím, že schopnost SDEU reagovat na stále se zvyšující pracovní zátěž je na jedné straně ztížena pokyny Komise pro přípravu rozpočtu, které omezují zvýšení všech výdajů nesouvisejících s platy na nejvýše 2 % a odrazují od žádostí o nová pracovní místa, a na druhé straně tím, že úřad EPSO neposkytuje orgánům Unie přiměřeně velký soubor úspěšných uchazečů z výběrových řízení, z něhož by mohly přijímat zaměstnance; dále konstatuje, že inflační dopady </w:t>
            </w:r>
            <w:r>
              <w:rPr>
                <w:b/>
                <w:i/>
              </w:rPr>
              <w:t>protiprávní</w:t>
            </w:r>
            <w:r>
              <w:t xml:space="preserve"> ruské útočné války proti Ukrajině nadále vytvářely rozpočtový tlak na SDEU např. prostřednictvím rostoucích nákladů na služební cesty nebo zvýšením cen smluvního zboží a služeb; chválí SDEU za opatření, která zmírňují tyto dopady snížením počtu služebních cest, omezením výdajů na energii a především stanovováním prioritních projektů při přípravě rozpočtových odhadů; uznává, že je třeba, aby všechny orgány Unie zlepšily své řízení rozpočtu tím, že při uzavírání smluv s poskytovateli služeb zohlední také kolísání cen, zejména v odvětví energetiky; </w:t>
            </w:r>
            <w:r>
              <w:rPr>
                <w:b/>
                <w:i/>
              </w:rPr>
              <w:t>vyzývá SDEU, aby i nadále posiloval nákladovou efektivnost a proaktivní rozpočtové plánování s cílem zachovat kvalitu soudnictví v rámci dostupných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 uspokojením konstatuje, že rozpočet na služební cesty členů a zaměstnanců SDEU se již druhý rok po sobě snížil, a to z 638 000 EUR v roce 2023 na 616 000 EUR v roce 2024, což představuje pokles přibližně o </w:t>
            </w:r>
            <w:r>
              <w:rPr>
                <w:b/>
                <w:i/>
              </w:rPr>
              <w:t>3,3</w:t>
            </w:r>
            <w:r>
              <w:t xml:space="preserve">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s uspokojením konstatuje, že rozpočet na služební cesty členů a zaměstnanců SDEU se již druhý rok po sobě snížil, a to z 638 000 EUR v roce 2023 na 616 000 EUR v roce 2024, což představuje pokles přibližně o </w:t>
            </w:r>
            <w:r>
              <w:rPr>
                <w:b/>
                <w:i/>
              </w:rPr>
              <w:t>3,44</w:t>
            </w:r>
            <w:r>
              <w:t xml:space="preserve"> 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na základě odpovědí SDEU na dotazník k udělení absolutoria za rok 2024 s uznáním konstatuje, že SDEU vyvinul úsilí ohledně dokončení reformy soudnictví za účelem částečného přenesení příslušnosti k rozhodování o předběžných otázkách ze Soudního dvora na Tribunál a ohledně umožnění provádění nového regulačního rámce od 1. října 2024; v této souvislosti bere na vědomí reorganizaci struktury Tribunálu, změnu jednacího řádu SDEU, přijetí nového souboru pravidel praxe Tribunálu pro provádění jednacího řádu, přijetí nového rozhodnutí o podávání a doručování procesních písemností prostřednictvím aplikace e-Curia, vývoj nového softwaru („One-stop-shop“) pro rychlou analýzu a vyřizování věcí a harmonizaci praxe rejstříků obou soudů v roce 2024; s uznáním konstatuje, že během prvních tří měsíců po vstupu reformy v platnost bylo již 20 rozhodnutí o předběžné otázce předáno Tribunálu, což představuje první výsledky směrem k vyváženějšímu rozdělení pracovní zátěže mezi oba soudy; konstatuje, že jedinými dodatečnými náklady spojenými s prováděním reformy soudnictví byly náklady na informační technologie spojené s rozvojem softwaru One-stop-shop ve výši přibližně 805 000 EUR, zatímco z hlediska zaměstnanců byla reforma udržena na neutrální rozpočtové úrovni díky reorganizaci pracovních míst a povinností v rámci orgánu;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na základě odpovědí SDEU na dotazník k udělení absolutoria za rok 2024 s uznáním konstatuje, že SDEU vyvinul úsilí ohledně dokončení reformy soudnictví za účelem částečného přenesení příslušnosti k rozhodování o předběžných otázkách ze Soudního dvora na Tribunál a ohledně umožnění provádění nového regulačního rámce od 1. října 2024; v této souvislosti bere na vědomí reorganizaci struktury Tribunálu, změnu jednacího řádu SDEU, přijetí nového souboru pravidel praxe Tribunálu pro provádění jednacího řádu, přijetí nového rozhodnutí o podávání a doručování procesních písemností prostřednictvím aplikace e-Curia, vývoj nového softwaru („One-stop-shop“) pro rychlou analýzu a vyřizování věcí a harmonizaci praxe rejstříků obou soudů v roce 2024; </w:t>
            </w:r>
            <w:r>
              <w:rPr>
                <w:b/>
                <w:i/>
              </w:rPr>
              <w:t>uznává, že digitalizace vyřizování soudních případů přispívá k větší účinnosti a kvalitě soudních výsledků;</w:t>
            </w:r>
            <w:r>
              <w:t xml:space="preserve"> s uznáním konstatuje, že během prvních tří měsíců po vstupu reformy v platnost bylo již 20 rozhodnutí o předběžné otázce předáno Tribunálu, což představuje první výsledky směrem k vyváženějšímu rozdělení pracovní zátěže mezi oba soudy; konstatuje, že jedinými dodatečnými náklady spojenými s prováděním reformy soudnictví byly náklady na informační technologie spojené s rozvojem softwaru One-stop-shop ve výši přibližně 805 000 EUR, zatímco z hlediska zaměstnanců byla reforma udržena na neutrální rozpočtové úrovni díky reorganizaci pracovních míst a povinností v rámci orgánu; </w:t>
            </w:r>
            <w:r>
              <w:rPr>
                <w:b/>
                <w:i/>
              </w:rPr>
              <w:t>vybízí SDEU, aby dále sledoval dopad digitálních nástrojů na dobu zpracování a rovnováhu pracovní zátěže a podával o něm zprávy;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na základě odpovědí SDEU na dotazník k udělení absolutoria za rok 2024 s uznáním konstatuje, že SDEU vyvinul úsilí ohledně dokončení reformy soudnictví za účelem částečného přenesení příslušnosti k rozhodování o předběžných otázkách ze Soudního dvora na Tribunál a ohledně umožnění provádění nového regulačního rámce od 1. října 2024; v této souvislosti bere na vědomí reorganizaci struktury Tribunálu, změnu jednacího řádu SDEU, přijetí nového souboru pravidel praxe Tribunálu pro provádění jednacího řádu, přijetí nového rozhodnutí o podávání a doručování procesních písemností prostřednictvím aplikace e-Curia, vývoj nového softwaru („One-stop-shop“) pro rychlou analýzu a vyřizování věcí a harmonizaci praxe rejstříků obou soudů v roce 2024; s uznáním konstatuje, že během prvních tří měsíců po vstupu reformy v platnost bylo již 20 rozhodnutí o předběžné otázce předáno Tribunálu, což představuje první výsledky směrem k vyváženějšímu rozdělení pracovní zátěže mezi oba soudy; konstatuje, že jedinými dodatečnými náklady spojenými s prováděním reformy soudnictví byly náklady na informační technologie spojené s rozvojem softwaru One-stop-shop ve výši přibližně 805 000 EUR, zatímco z hlediska zaměstnanců byla reforma udržena na neutrální rozpočtové úrovni díky reorganizaci pracovních míst a povinností v rámci orgánu;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na základě odpovědí SDEU na dotazník k udělení absolutoria za rok 2024 s uznáním konstatuje, že SDEU vyvinul úsilí ohledně dokončení reformy soudnictví za účelem částečného přenesení příslušnosti k rozhodování o předběžných otázkách ze Soudního dvora na Tribunál a ohledně umožnění provádění nového regulačního rámce od 1. října 2024; v této souvislosti bere na vědomí reorganizaci struktury Tribunálu, změnu jednacího řádu SDEU, přijetí nového souboru pravidel praxe Tribunálu pro provádění jednacího řádu, přijetí nového rozhodnutí o podávání a doručování procesních písemností prostřednictvím aplikace e-Curia, vývoj nového softwaru („One-stop-shop“) pro rychlou analýzu a vyřizování věcí a harmonizaci praxe rejstříků obou soudů v roce 2024; s uznáním konstatuje, že během prvních tří měsíců po vstupu reformy v platnost bylo již 20 rozhodnutí o předběžné otázce předáno Tribunálu, což představuje první výsledky směrem k vyváženějšímu rozdělení pracovní zátěže mezi oba soudy; konstatuje, že jedinými dodatečnými náklady spojenými s prováděním reformy soudnictví byly náklady na informační technologie spojené s rozvojem softwaru One-stop-shop ve výši přibližně 805 000 EUR, zatímco z hlediska zaměstnanců byla reforma udržena na neutrální rozpočtové úrovni díky reorganizaci pracovních míst a povinností v rámci orgánu; </w:t>
            </w:r>
            <w:r>
              <w:rPr>
                <w:b/>
                <w:i/>
              </w:rPr>
              <w:t>vyzývá Soudní dvůr, aby pro příští postup udělování absolutoria předložil komplexní hodnocení ex post reformy, včetně jejího dopadu na délku řízení a rozdělení pracovní zátěže mezi oba soudy;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na základě odpovědí SDEU na dotazník k udělení absolutoria za rok 2024 s uznáním konstatuje, že SDEU vyvinul úsilí ohledně dokončení reformy soudnictví za účelem částečného přenesení příslušnosti k rozhodování o předběžných otázkách ze Soudního dvora na Tribunál a ohledně umožnění provádění nového regulačního rámce od 1. října 2024; v této souvislosti bere na vědomí reorganizaci struktury Tribunálu, změnu jednacího řádu SDEU, přijetí nového souboru pravidel praxe Tribunálu pro provádění jednacího řádu, přijetí nového rozhodnutí o podávání a doručování procesních písemností prostřednictvím aplikace e-Curia, vývoj nového softwaru („One-stop-shop“) pro rychlou analýzu a vyřizování věcí a harmonizaci praxe rejstříků obou soudů v roce 2024; s uznáním konstatuje, že během prvních tří měsíců po vstupu reformy v platnost bylo již 20 rozhodnutí o předběžné otázce předáno Tribunálu, což představuje první výsledky směrem k vyváženějšímu rozdělení pracovní zátěže mezi oba soudy; konstatuje, že jedinými dodatečnými náklady spojenými s prováděním reformy soudnictví byly náklady na informační technologie spojené s rozvojem softwaru One-stop-shop ve výši přibližně 805 000 EUR, zatímco z hlediska zaměstnanců byla reforma udržena na neutrální rozpočtové úrovni díky reorganizaci pracovních míst a povinností v rámci orgánu;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na základě odpovědí SDEU na dotazník k udělení absolutoria za rok 2024 s uznáním konstatuje, že SDEU vyvinul úsilí ohledně dokončení reformy soudnictví za účelem částečného přenesení příslušnosti k rozhodování o předběžných otázkách ze Soudního dvora na Tribunál a ohledně umožnění provádění nového regulačního rámce od 1. října 2024; v této souvislosti bere na vědomí reorganizaci struktury Tribunálu, změnu jednacího řádu SDEU, přijetí nového souboru pravidel praxe Tribunálu pro provádění jednacího řádu, přijetí nového rozhodnutí o podávání a doručování procesních písemností prostřednictvím aplikace e-Curia, vývoj nového softwaru („One-stop-shop“) pro rychlou analýzu a vyřizování věcí a harmonizaci praxe rejstříků obou soudů v roce 2024; s uznáním konstatuje, že během prvních tří měsíců po vstupu reformy v platnost bylo již 20 rozhodnutí o předběžné otázce předáno Tribunálu, což představuje první výsledky směrem k vyváženějšímu rozdělení pracovní zátěže mezi oba soudy; konstatuje, že jedinými dodatečnými náklady spojenými s prováděním reformy soudnictví byly náklady na informační technologie spojené s rozvojem softwaru One-stop-shop ve výši přibližně 805 000 EUR, zatímco z hlediska zaměstnanců byla reforma udržena na neutrální rozpočtové úrovni díky reorganizaci pracovních míst a povinností v rámci orgánu; </w:t>
            </w:r>
            <w:r>
              <w:rPr>
                <w:b/>
                <w:i/>
              </w:rPr>
              <w:t>vyzývá SDEU, aby v souvislosti s budoucími postupy udělování absolutoria podal zprávu o konkrétním dopadu reformy soudnictví na účinnost, délku řízení a rozložení pracovní zátěže;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na základě odpovědí SDEU na dotazník k udělení absolutoria za rok 2024 s uznáním konstatuje, že SDEU vyvinul úsilí ohledně dokončení reformy soudnictví za účelem částečného přenesení příslušnosti k rozhodování o předběžných otázkách ze Soudního dvora na Tribunál a ohledně umožnění provádění nového regulačního rámce od 1. října 2024; v této souvislosti bere na vědomí reorganizaci struktury Tribunálu, změnu jednacího řádu SDEU, přijetí nového souboru pravidel praxe Tribunálu pro provádění jednacího řádu, přijetí nového rozhodnutí o podávání a doručování procesních písemností prostřednictvím aplikace e-Curia, vývoj nového softwaru („One-stop-shop“) pro rychlou analýzu a vyřizování věcí a harmonizaci praxe rejstříků obou soudů v roce 2024; s uznáním konstatuje, že během prvních tří měsíců po vstupu reformy v platnost bylo již </w:t>
            </w:r>
            <w:r>
              <w:rPr>
                <w:b/>
                <w:i/>
              </w:rPr>
              <w:t>20</w:t>
            </w:r>
            <w:r>
              <w:t xml:space="preserve"> rozhodnutí o předběžné otázce předáno Tribunálu, což představuje první výsledky směrem k vyváženějšímu rozdělení pracovní zátěže mezi oba soudy; konstatuje, že jedinými dodatečnými náklady spojenými s prováděním reformy soudnictví byly náklady na informační technologie spojené s rozvojem softwaru One-stop-shop ve výši přibližně 805 000 EUR, zatímco z hlediska zaměstnanců byla reforma udržena na neutrální rozpočtové úrovni díky reorganizaci pracovních míst a povinností v rámci orgánu;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na základě odpovědí SDEU na dotazník k udělení absolutoria za rok 2024 s uznáním konstatuje, že SDEU vyvinul úsilí ohledně dokončení reformy soudnictví za účelem částečného přenesení příslušnosti k rozhodování o předběžných otázkách ze Soudního dvora na Tribunál a ohledně umožnění provádění nového regulačního rámce od 1. října 2024; v této souvislosti bere na vědomí reorganizaci struktury Tribunálu, změnu jednacího řádu SDEU, přijetí nového souboru pravidel praxe Tribunálu pro provádění jednacího řádu, přijetí nového rozhodnutí o podávání a doručování procesních písemností prostřednictvím aplikace e-Curia, vývoj nového softwaru („One-stop-shop“) pro rychlou analýzu a vyřizování věcí a harmonizaci praxe rejstříků obou soudů v roce 2024; s uznáním konstatuje, že během prvních tří měsíců po vstupu reformy v platnost bylo již </w:t>
            </w:r>
            <w:r>
              <w:rPr>
                <w:b/>
                <w:i/>
              </w:rPr>
              <w:t>19</w:t>
            </w:r>
            <w:r>
              <w:t xml:space="preserve"> rozhodnutí o předběžné otázce předáno Tribunálu, což představuje první výsledky směrem k vyváženějšímu rozdělení pracovní zátěže mezi oba soudy; konstatuje, že jedinými dodatečnými náklady spojenými s prováděním reformy soudnictví byly náklady na informační technologie spojené s rozvojem softwaru One-stop-shop ve výši přibližně 805 000 EUR, zatímco z hlediska zaměstnanců byla reforma udržena na neutrální rozpočtové úrovni díky reorganizaci pracovních míst a povinností v rámci orgánu;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konstatuje, že v roce 2024 Soudní dvůr rozhodl ve 12 věcech týkajících se zásady přednosti práva Unie, z toho v deseti případech šlo o předběžnou otázku a ve dvou případech o porušení práva; připomíná, že zásada přednosti práva Unie, která zajišťuje jednotný výklad a uplatňování unijního práva ve všech členských státech a zaručuje dodržování zásad právního státu jako základní hodnoty Unie, je stěžejní; důrazně potvrzuje, že přednost práva Unie je základním kamenem právního řádu Unie, a zdůrazňuje klíčovou úlohu Soudního dvora Evropské unie při prosazování zásad právního státu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konstatuje, že v roce 2024 Soudní dvůr rozhodl ve 12 věcech týkajících se zásady přednosti práva Unie, z toho v deseti případech šlo o předběžnou otázku a ve dvou případech o porušení práva; připomíná, že zásada přednosti práva Unie, která zajišťuje jednotný výklad a uplatňování unijního práva ve všech členských státech a zaručuje dodržování zásad právního státu jako základní hodnoty Unie, je stěžejní; důrazně potvrzuje, že přednost práva Unie je základním kamenem právního řádu Unie, a zdůrazňuje klíčovou úlohu Soudního dvora Evropské unie při prosazování zásad právního státu v celé Unii; </w:t>
            </w:r>
            <w:r>
              <w:rPr>
                <w:b/>
                <w:i/>
              </w:rPr>
              <w:t>v tomto ohledu konstatuje, že čl. 4 odst. 2 Smlouvy o EU stanoví, že „Unie ctí rovnost členských států před Smlouvami a jejich národní identitu, která spočívá v jejich základních politických a ústavních systémech, včetně místní a regionální samosprávy.</w:t>
            </w:r>
            <w:r>
              <w:t xml:space="preserve"> </w:t>
            </w:r>
            <w:r>
              <w:rPr>
                <w:b/>
                <w:i/>
              </w:rPr>
              <w:t>Respektuje základní funkce státu [...]“;</w:t>
            </w:r>
            <w:r>
              <w:t xml:space="preserve"> </w:t>
            </w:r>
            <w:r>
              <w:rPr>
                <w:b/>
                <w:i/>
              </w:rPr>
              <w:t>zdůrazňuje, že nezpochybnitelnou zásadou, jíž se řídí vztah mezi ústavami členských států a právem Unie, zůstává přednost ústav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konstatuje, že v roce 2024 Soudní dvůr rozhodl ve 12 věcech týkajících se zásady přednosti práva Unie, z toho v deseti případech šlo o předběžnou otázku a ve dvou případech o porušení práva; připomíná, že zásada přednosti práva Unie, která zajišťuje jednotný výklad a uplatňování unijního práva ve všech členských státech a zaručuje dodržování zásad právního státu jako základní hodnoty Unie, je stěžejní; důrazně potvrzuje, že přednost práva Unie je základním kamenem právního řádu Unie, a zdůrazňuje klíčovou úlohu Soudního dvora Evropské unie při prosazování zásad právního státu v celé Unii;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konstatuje, že v roce 2024 Soudní dvůr rozhodl ve 12 věcech týkajících se zásady přednosti práva Unie, z toho v deseti případech šlo o předběžnou otázku a ve dvou případech o porušení práva; připomíná, že zásada přednosti práva Unie, která zajišťuje jednotný výklad a uplatňování unijního práva ve všech členských státech a zaručuje dodržování zásad právního státu jako základní hodnoty Unie, je stěžejní; důrazně potvrzuje, že přednost práva Unie je základním kamenem právního řádu Unie, a zdůrazňuje klíčovou úlohu Soudního dvora Evropské unie při prosazování zásad právního státu v celé Unii</w:t>
            </w:r>
            <w:r>
              <w:rPr>
                <w:b/>
                <w:i/>
              </w:rPr>
              <w:t>, přičemž připomíná, že uplatňování zásady přednosti musí zůstat pevně zakotveno ve Smlouvách a uplatňováno s náležitým ohledem na národní ústavní identitu v souladu s čl. 4 odst. 2 SEU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souhlasí se SDEU, že Komise jako strážkyně smluv by měla sledovat, jak členské státy dodržují rozhodnutí SDEU, ale připomíná svou výzvu určenou Soudnímu dvoru, aby ustavil mechanismus pro identifikaci osvědčených a špatných postupů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souhlasí se SDEU, že Komise jako strážkyně smluv by měla sledovat, jak členské státy dodržují rozhodnutí SDEU</w:t>
            </w:r>
            <w:r>
              <w:rPr>
                <w:b/>
                <w:i/>
              </w:rPr>
              <w:t>, ale připomíná svou výzvu určenou Soudnímu dvoru, aby ustavil</w:t>
            </w:r>
            <w:r>
              <w:t xml:space="preserve"> mechanismus pro identifikaci osvědčených a špatných postupů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souhlasí se SDEU, že Komise jako strážkyně smluv by měla sledovat, jak členské státy dodržují rozhodnutí SDEU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znovu vyzývá Soudní dvůr, aby v přísných mezích své úlohy vytvořil</w:t>
            </w:r>
            <w:r>
              <w:t xml:space="preserve"> mechanismus pro identifikaci osvědčených a špatných postupů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konstatuje, že průměrná délka řízení ve věcech uzavřených Soudním dvorem činila v roce 2024 celkem 17,7 měsíce oproti 16,1 měsíce v roce 2023, přičemž příslušné prodloužení o přibližně šest týdnů bylo způsobeno složitostí a obsáhlostí některých spisů (například žalob podaných v roce 2020 proti tzv. balíčku mobility Unie a uzavřených v roce 2024); konstatuje, že průměrná doba trvání věcí uzavřených rozsudkem nebo usnesením Tribunálu se prodloužila z 18,2 měsíce v roce 2023 na 18,5 měsíce v roce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konstatuje, že průměrná délka řízení ve věcech uzavřených Soudním dvorem činila v roce 2024 celkem 17,7 měsíce oproti 16,1 měsíce v roce 2023, přičemž příslušné prodloužení o přibližně šest týdnů bylo způsobeno složitostí a obsáhlostí některých spisů (například žalob podaných v roce 2020 proti tzv. balíčku mobility Unie a uzavřených v roce 2024); konstatuje, že průměrná doba trvání věcí uzavřených rozsudkem nebo usnesením Tribunálu se prodloužila z 18,2 měsíce v roce 2023 na 18,5 měsíce v roce 2024; </w:t>
            </w:r>
            <w:r>
              <w:rPr>
                <w:b/>
                <w:i/>
              </w:rPr>
              <w:t>zdůrazňuje, že včasnost soudních řízení musí zůstat hlavním výkonnostním cílem, neboť nadměrná délka řízení přímo ovlivňuje právní jistotu občanů, vnitrostátních soudů a hospodářských subjektů;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vítá přístup založený na výkonnosti, který vyvinul SDEU a který mu umožňuje přijímat rozhodnutí na základě úrovně dosažení jeho cílů měřených prostřednictvím souboru ukazatelů pracovní zátěže a provozních ukazatelů (např. nákladová efektivita, míra dokončení projektů, spokojenost uživatelů a optimalizace zdrojů) přizpůsobených jednotlivým oddělením;</w:t>
            </w:r>
            <w:r>
              <w:t xml:space="preserve"> </w:t>
            </w:r>
            <w:r>
              <w:rPr>
                <w:b/>
                <w:i/>
              </w:rPr>
              <w:t>konstatuje, že klíčové ukazatele výkonnosti, které SDEU používá, se vztahují na širokou škálu zvláštních oblastí za účelem podpory pěti cílů v oblasti řízení, jež se týkají řádného fungování obou soudů, a sice digitalizace a nově vznikajících technologií, otevřenosti a transparentnosti, mnohojazyčnosti a řízení lidských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vítá přístup založený na výkonnosti, který vyvinul SDEU a který mu umožňuje přijímat rozhodnutí na základě úrovně dosažení jeho cílů měřených prostřednictvím souboru ukazatelů pracovní zátěže a provozních ukazatelů (např. nákladová efektivita, míra dokončení projektů, spokojenost uživatelů a optimalizace zdrojů) přizpůsobených jednotlivým oddělením; konstatuje, že klíčové ukazatele výkonnosti, které SDEU používá, se vztahují na širokou škálu zvláštních oblastí za účelem podpory pěti cílů v oblasti řízení, jež se týkají řádného fungování obou soudů, a sice digitalizace a nově vznikajících technologií, otevřenosti a transparentnosti, mnohojazyčnosti a řízení lidských zdrojů;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vítá přístup založený na výkonnosti, který vyvinul SDEU a který mu umožňuje přijímat rozhodnutí na základě úrovně dosažení jeho cílů měřených prostřednictvím souboru ukazatelů pracovní zátěže a provozních ukazatelů (např. nákladová efektivita, míra dokončení projektů, spokojenost uživatelů a optimalizace zdrojů) přizpůsobených jednotlivým oddělením; konstatuje, že klíčové ukazatele výkonnosti, které SDEU používá, se vztahují na širokou škálu zvláštních oblastí za účelem podpory pěti cílů v oblasti řízení, jež se týkají řádného fungování obou soudů, a sice digitalizace a nově vznikajících technologií, otevřenosti a transparentnosti, mnohojazyčnosti a řízení lidských zdrojů; </w:t>
            </w:r>
            <w:r>
              <w:rPr>
                <w:b/>
                <w:i/>
              </w:rPr>
              <w:t>zdůrazňuje, že je třeba, aby SDEU zajistil, aby tyto ukazatele byly transparentní, zaměřené na výsledky a pravidelně přezkoumávané s cílem podpořit účinné řízení a odpovědnost;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vítá jeho přístup revidovaný v roce 2024, pokud jde o návratnost investic do inovačních iniciativ, neboť zohledňuje hodnocení nákladů prostřednictvím parametrů, jako jsou úsilí vynaložené při provádění a personální úsilí, roční údržba, náklady na dodavatele a další typy nákladů, jakož i hodnocení přínosů prostřednictvím parametrů, jako jsou předpokládané zisky, strategické výhody a počet dotčených uživatelů;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vítá jeho přístup revidovaný v roce 2024, pokud jde o návratnost investic do inovačních iniciativ, neboť zohledňuje hodnocení nákladů prostřednictvím parametrů, jako jsou úsilí vynaložené při provádění a personální úsilí, roční údržba, náklady na dodavatele a další typy nákladů, jakož i hodnocení přínosů prostřednictvím parametrů, jako jsou předpokládané zisky, strategické výhody a počet dotčených uživatelů; </w:t>
            </w:r>
            <w:r>
              <w:rPr>
                <w:b/>
                <w:i/>
              </w:rPr>
              <w:t>konstatuje, že v roce 2024 SDEU rovněž provedl důkladnou revizi svého systému s cílem sledovat řízení projektů a finanční sledování projektů, aby mohl zajistit do roku 2025 úplné podávání zpráv a kontrolu nad svými poradenskými službami v oblasti digitalizace založenými na čase;</w:t>
            </w:r>
            <w:r>
              <w:t xml:space="preserve"> </w:t>
            </w:r>
            <w:r>
              <w:rPr>
                <w:b/>
                <w:i/>
              </w:rPr>
              <w:t>vyzývá SDEU, aby orgán příslušný k udělení absolutoria o dané záležitosti průběžně informoval;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konstatuje, že Soudní dvůr se skládá z 27 soudců a 11 generálních advokátů a Tribunál pak z 54 soudců; dále konstatuje, že v roce 2024 nastoupilo do funkce devět nových soudců Soudního dvora a dva noví soudci Tribunálu z důvodu částečné výměny; lituje, že zastoupení žen a mužů v Soudním dvoru a Tribunálu je stále velmi nevyvážené; oceňuje dopis předsedy Tribunálu adresovaný předsedovi konference zástupců vlád členských států v roce 2024, v němž jsou členské státy vyzvány k tomu, aby při navrhování kandidátů na výměnu soudců a generálních advokátů zohledňovaly potřebu genderové vyváženosti; opětovně vyzývá členské státy, aby při navrhování kandidátů na výměnu soudců zohledňovaly potřebu genderové vyváženosti;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konstatuje, že Soudní dvůr se skládá z 27 soudců a 11 generálních advokátů a Tribunál pak z 54 soudců; dále konstatuje, že v roce 2024 nastoupilo do funkce devět nových soudců Soudního dvora a dva noví soudci Tribunálu z důvodu částečné výměny; lituje, že zastoupení žen a mužů v Soudním dvoru a Tribunálu je stále velmi nevyvážené; oceňuje dopis předsedy Tribunálu adresovaný předsedovi konference zástupců vlád členských států v roce 2024, v němž jsou členské státy vyzvány k tomu, aby při navrhování kandidátů na výměnu soudců a generálních advokátů zohledňovaly potřebu genderové vyváženosti; opětovně vyzývá členské státy, aby při navrhování kandidátů na výměnu soudců zohledňovaly potřebu genderové vyváženosti </w:t>
            </w:r>
            <w:r>
              <w:rPr>
                <w:b/>
                <w:i/>
              </w:rPr>
              <w:t>a zároveň zajistily, aby nominace byly i nadále založeny na kritériích zásluh, kvalifikace a nezávislosti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konstatuje, že v roce 2024 tvořilo zaměstnance SDEU 60,70 % žen a 39,30 % mužů; konstatuje, že zastoupení žen bylo nejvyšší v třídách asistentů (69,14 %), ale bohužel nejnižší na pozicích vrcholného vedení (35,71 %); dále konstatuje nárůst zastoupení žen na středních manažerských pozicích, a to ze 43,33 % v roce 2023 na 51,61 % v roce 2024; na základě zprávy o řízení pověřené schvalující osoby pro rok 2024 s uspokojením bere na vědomí rostoucí trend zastoupení žen na vedoucích pozicích celkově, a to z 37,50 % v roce 2018 na 48,70 % v roce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konstatuje, že v roce 2024 tvořilo zaměstnance SDEU 60,70 % žen a 39,30 % mužů; konstatuje, že zastoupení žen bylo nejvyšší v třídách asistentů (69,14 %), ale bohužel nejnižší na pozicích vrcholného vedení (35,71 %); dále konstatuje nárůst zastoupení žen na středních manažerských pozicích, a to ze 43,33 % v roce 2023 na 51,61 % v roce 2024; na základě zprávy o řízení pověřené schvalující osoby pro rok 2024 s uspokojením bere na vědomí rostoucí trend zastoupení žen na vedoucích pozicích celkově, a to z 37,50 % v roce 2018 na 48,70 % v roce 2024; </w:t>
            </w:r>
            <w:r>
              <w:rPr>
                <w:b/>
                <w:i/>
              </w:rPr>
              <w:t>zdůrazňuje, že přetrvávající nedostatečné zastoupení žen ve vyšších vedoucích pozicích je i nadále znepokojivé, a vybízí soud, aby nadále posiloval cílená opatření zaměřená na podporu kariérního postupu žen a jejich postavení ve vedoucích pozicích, a to při plném dodržování zásad zásluh a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vítá vytvoření akčního plánu k Istanbulské úmluvě, na základě kterého by měla být vydána opatření a doporučení a organizovány informační a vzdělávací akce pro všechny zaměstnance s cílem předcházet případům obtěžování;</w:t>
            </w:r>
            <w:r>
              <w:t xml:space="preserve"> </w:t>
            </w:r>
            <w:r>
              <w:rPr>
                <w:b/>
                <w:i/>
              </w:rPr>
              <w:t>bere na vědomí další oznámená opatření, která zahrnují pokračování spolupráce s vnitrostátními organizacemi působícími v oblasti předcházení násilí páchanému na ženách, další iniciativy na zvyšování povědomí a školení, která se věnují zejména dopadu mikroagresí a genderových předsudků;</w:t>
            </w:r>
            <w:r>
              <w:t xml:space="preserve"> </w:t>
            </w:r>
            <w:r>
              <w:rPr>
                <w:b/>
                <w:i/>
              </w:rPr>
              <w:t>vyjadřuje v této souvislosti politování nad tím, že chybí povinné školení pro členy, jak je uvedeno v odpovědích SDEU v dotazníku k udělení absolutoria za rok 2024;</w:t>
            </w:r>
            <w:r>
              <w:t xml:space="preserve"> </w:t>
            </w:r>
            <w:r>
              <w:rPr>
                <w:b/>
                <w:i/>
              </w:rPr>
              <w:t>naléhavě proto vyzývá k začlenění všech osob, jak zaměstnanců, tak členů, do povinných školení v oblasti předcházení násilí páchanému na ženách;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rPr>
                <w:b/>
                <w:i/>
              </w:rPr>
              <w:t>s uznáním bere na vědomí rozmanité úsilí a opatření, které SDEU zavádí mezi svými zaměstnanci, včetně ve fázi náboru, ve prospěch rovnosti, inkluze, vzájemného respektu a rozmanitosti (R&amp;I);</w:t>
            </w:r>
            <w:r>
              <w:t xml:space="preserve"> </w:t>
            </w:r>
            <w:r>
              <w:rPr>
                <w:b/>
                <w:i/>
              </w:rPr>
              <w:t>bere na vědomí zejména to</w:t>
            </w:r>
            <w:r>
              <w:t xml:space="preserve">, že v roce 2024 </w:t>
            </w:r>
            <w:r>
              <w:rPr>
                <w:b/>
                <w:i/>
              </w:rPr>
              <w:t>bylo zahájeno nové školení o R&amp;I se zaměřením na prevenci mikroagresí a od roku 2025 dvě nová školení o stanovení zdravých hranic pro zlepšení výkonnosti a o prostředí bez obtěžování, která byla uspořádána na základě doporučení meziresortní pracovní skupiny SDEU k Istanbulské úmluvě;</w:t>
            </w:r>
            <w:r>
              <w:t xml:space="preserve"> </w:t>
            </w:r>
            <w:r>
              <w:rPr>
                <w:b/>
                <w:i/>
              </w:rPr>
              <w:t>s uznáním bere na vědomí</w:t>
            </w:r>
            <w:r>
              <w:t xml:space="preserve"> opatření </w:t>
            </w:r>
            <w:r>
              <w:rPr>
                <w:b/>
                <w:i/>
              </w:rPr>
              <w:t>SDEU týkající se individuální podpory (ohledně úkolů, pracovní doby a pracovních prostor) od roku 2022 pro</w:t>
            </w:r>
            <w:r>
              <w:t xml:space="preserve"> zaměstnance </w:t>
            </w:r>
            <w:r>
              <w:rPr>
                <w:b/>
                <w:i/>
              </w:rPr>
              <w:t>se zdravotním postižením, účast instituce na týdnu informovanosti o zdravotním postižení pořádaném v roce 2024 a vytvoření pilotního programu pro stážisty se zdravotním postižením od roku 2025</w:t>
            </w:r>
            <w:r>
              <w:t xml:space="preserve">; </w:t>
            </w:r>
            <w:r>
              <w:rPr>
                <w:b/>
                <w:i/>
              </w:rPr>
              <w:t>vyzývá SDEU, aby o výsledku tohoto posledně jmenovaného programu informoval orgán příslušný k udělení absolutoria;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rPr>
                <w:b/>
                <w:i/>
              </w:rPr>
              <w:t>konstatuje</w:t>
            </w:r>
            <w:r>
              <w:t xml:space="preserve">, že v roce 2024 </w:t>
            </w:r>
            <w:r>
              <w:rPr>
                <w:b/>
                <w:i/>
              </w:rPr>
              <w:t>SDEU provedl</w:t>
            </w:r>
            <w:r>
              <w:t xml:space="preserve"> opatření </w:t>
            </w:r>
            <w:r>
              <w:rPr>
                <w:b/>
                <w:i/>
              </w:rPr>
              <w:t>a realizoval školení pro své</w:t>
            </w:r>
            <w:r>
              <w:t xml:space="preserve"> zaměstnance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dále konstatuje, že tato opatření byla zaměřena na rozvoj interních zaměstnanců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vítá skutečnost</w:t>
            </w:r>
            <w:r>
              <w:t xml:space="preserve">, že mezi zaměstnanci SDEU jsou </w:t>
            </w:r>
            <w:r>
              <w:rPr>
                <w:b/>
                <w:i/>
              </w:rPr>
              <w:t>zastoupeny všechny</w:t>
            </w:r>
            <w:r>
              <w:t xml:space="preserve"> státní </w:t>
            </w:r>
            <w:r>
              <w:rPr>
                <w:b/>
                <w:i/>
              </w:rPr>
              <w:t>příslušnosti Unie;</w:t>
            </w:r>
            <w:r>
              <w:t xml:space="preserve"> </w:t>
            </w:r>
            <w:r>
              <w:rPr>
                <w:b/>
                <w:i/>
              </w:rPr>
              <w:t>konstatuje však, že některé státní příslušnosti jsou zastoupeny více než jiné, zatímco některé z nich jsou zastoupeny výrazně nadměrně;</w:t>
            </w:r>
            <w:r>
              <w:t xml:space="preserve"> </w:t>
            </w:r>
            <w:r>
              <w:rPr>
                <w:b/>
                <w:i/>
              </w:rPr>
              <w:t>podporuje SDEU ve zvýšeném úsilí o co nejširší inzerci oznámení o volných pracovních místech prostřednictvím interinstitucionálních internetových stránek, sociálních sítí a úřadu EPSO;</w:t>
            </w:r>
            <w:r>
              <w:t xml:space="preserve"> </w:t>
            </w:r>
            <w:r>
              <w:rPr>
                <w:b/>
                <w:i/>
              </w:rPr>
              <w:t>na základě zprávy o následných opatřeních bere na vědomí závazek SDEU analyzovat příslušné údaje pro provádění cílených opatření, která mají zlepšit geografické zastoupení mezi jeho zaměstnanci včetně stážistů;</w:t>
            </w:r>
            <w:r>
              <w:t xml:space="preserve"> </w:t>
            </w:r>
            <w:r>
              <w:rPr>
                <w:b/>
                <w:i/>
              </w:rPr>
              <w:t>vítá snahu SDEU zvýšit povědomí o programech stáží mezi vnitrostátními správními orgány a stálými zastoupeními nedostatečně zastoupených</w:t>
            </w:r>
            <w:r>
              <w:t xml:space="preserve"> členských států; </w:t>
            </w:r>
            <w:r>
              <w:rPr>
                <w:b/>
                <w:i/>
              </w:rPr>
              <w:t>s uspokojením konstatuje, že v případě stáží v rámci Evropské sítě pro justiční vzdělávání (EJTN) obdržel SDEU v roce 2024 přihlášky ze tří nových členských států, které se poprvé zapojily do jeho dlouhodobého vzdělávacího programu pro vnitrostátní odborníky v oblasti justice;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konstatuje</w:t>
            </w:r>
            <w:r>
              <w:t xml:space="preserve">, že mezi zaměstnanci SDEU jsou státní </w:t>
            </w:r>
            <w:r>
              <w:rPr>
                <w:b/>
                <w:i/>
              </w:rPr>
              <w:t>příslušníci všech</w:t>
            </w:r>
            <w:r>
              <w:t xml:space="preserve">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chválí SDEU za jeho opatření k řešení problémů s náborem zaměstnanců a propagaci Lucemburska mezi mladými absolventy jako místa pro práci; s uznáním bere na vědomí přínos SDEU k vytvoření a provedení příspěvku na bydlení vypláceného se zpětnou platností od 1. ledna 2025 zaměstnancům v nižších platových třídách, přípravu výběrových řízení EPSO zaměřených konkrétně na zaměstnance, kteří mají být zaměstnáni v Lucembursku, a také informační schůzky a letní školy; na základě zprávy o následných opatřeních bere na vědomí, že SDEU jménem interinstitucionální skupiny na vysoké úrovni realizoval pilotní projekt/průzkum s cílem zjistit, zda by bylo možné uzavřít smlouvu o službách v oblasti pronájmu dočasného bydlení (tj. na dobu maximálně jednoho roku) za tržní (nebo nižší) cenu, kterou by platili přímo zaměstnanci; dále konstatuje, že průzkum byl úspěšný, a proto pracovní skupina předložila zúčastněným institucím dohodu o poskytování služeb, která pověřuje SDEU vedením vyjednávání o nemovitostech se subjekty, které předložily vhodné projekty; vyzývá SDEU, aby průběžně informoval orgán příslušný k udělení absolutoria o následných opatřeních v této věci;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>chválí SDEU za jeho opatření k řešení problémů s náborem zaměstnanců a propagaci Lucemburska mezi mladými absolventy jako místa pro práci; s uznáním bere na vědomí přínos SDEU k vytvoření a provedení příspěvku na bydlení vypláceného se zpětnou platností od 1. ledna 2025 zaměstnancům v nižších platových třídách, přípravu výběrových řízení EPSO zaměřených konkrétně na zaměstnance, kteří mají být zaměstnáni v Lucembursku, a také informační schůzky a letní školy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vybízí k intenzivnější spolupráci s úřadem EPSO a dalšími orgány s cílem rozšířit seznam kvalifikovaných uchazečů a posílit konkurenční výběrová řízení ve specializovaných oblastech</w:t>
            </w:r>
            <w:r>
              <w:t>; na základě zprávy o následných opatřeních bere na vědomí, že SDEU jménem interinstitucionální skupiny na vysoké úrovni realizoval pilotní projekt/průzkum s cílem zjistit, zda by bylo možné uzavřít smlouvu o službách v oblasti pronájmu dočasného bydlení (tj. na dobu maximálně jednoho roku) za tržní (nebo nižší) cenu, kterou by platili přímo zaměstnanci; dále konstatuje, že průzkum byl úspěšný, a proto pracovní skupina předložila zúčastněným institucím dohodu o poskytování služeb, která pověřuje SDEU vedením vyjednávání o nemovitostech se subjekty, které předložily vhodné projekty; vyzývá SDEU, aby průběžně informoval orgán příslušný k udělení absolutoria o následných opatřeních v této věci;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konstatuje, že v roce 2024 bylo zdokumentováno </w:t>
            </w:r>
            <w:r>
              <w:rPr>
                <w:b/>
                <w:i/>
              </w:rPr>
              <w:t>19</w:t>
            </w:r>
            <w:r>
              <w:t xml:space="preserve"> případů vyhoření, z toho osm nových případů nahlášených v roce 2024 a devět případů nahlášených v roce 2023, přičemž dotyční zaměstnanci obdrželi odbornou podporu a poradenství; s uznáním konstatuje, že v roce 2024 zůstal SDEU lídrem v oblasti iniciativ, které podporují fyzickou a duševní pohodu zaměstnanců a řeší rizika vyhoření a psychosociální rizika, jako jsou konzultace se sociálním pracovníkem nebo psychologem, přednášky o mindfulness a digitální rovnováze, specializované semináře a osvětové aktivity o zdravotních otázkách, školení první pomoci a nábor dvou psychologů na částečný úvazek; uznává úspěch, pokud jde o využívání pružného uspořádání práce, včetně programu SDEU týkajícího se práce na dálku, který v konečném důsledku usiluje o lepší rovnováhu mezi pracovním a soukromým životem zaměstnanců;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27.</w:t>
            </w:r>
            <w:r>
              <w:tab/>
            </w:r>
            <w:r>
              <w:t xml:space="preserve">konstatuje, že v roce 2024 bylo zdokumentováno </w:t>
            </w:r>
            <w:r>
              <w:rPr>
                <w:b/>
                <w:i/>
              </w:rPr>
              <w:t>17</w:t>
            </w:r>
            <w:r>
              <w:t xml:space="preserve"> případů vyhoření, z toho osm nových případů nahlášených v roce 2024 a devět případů nahlášených v roce 2023, přičemž dotyční zaměstnanci obdrželi odbornou podporu a poradenství; s uznáním konstatuje, že v roce 2024 zůstal SDEU lídrem v oblasti iniciativ, které podporují fyzickou a duševní pohodu zaměstnanců a řeší rizika vyhoření a psychosociální rizika, jako jsou konzultace se sociálním pracovníkem nebo psychologem, přednášky o mindfulness a digitální rovnováze, specializované semináře a osvětové aktivity o zdravotních otázkách, školení první pomoci a nábor dvou psychologů na částečný úvazek; uznává úspěch, pokud jde o využívání pružného uspořádání práce, včetně programu SDEU týkajícího se práce na dálku, který v konečném důsledku usiluje o lepší rovnováhu mezi pracovním a soukromým životem zaměstnanců;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konstatuje, že v souladu s požadavky uvedenými v předchozích doporučeních k udělení absolutoria byl v březnu 2024 přijat nový kodex chování úředníků a ostatních zaměstnanců SDEU, který odráží jeho hodnoty a závazek dodržovat vysoké etické normy; konstatuje, že tento kodex chování obsahuje ustanovení o střetu zájmů, povinnosti loajality, povinnosti zachování důvěrnosti a mlčenlivosti, mimopracovních činnostech, pracovních činnostech po skončení služebního poměru a o publikacích a ustanovení proti obtěžování, přičemž se vztahuje i na vyslané národní odborníky a soudní čekatele, kteří se účastní aktivit v rámci Evropské sítě pro justiční vzdělávání; s uspokojením konstatuje, že školení o kodexu chování a právech a povinnostech zaměstnanců jsou pro nově přijaté zaměstnance povinná a pro všechny zaměstnance SDEU velmi doporučená, přičemž v roce 2024 se těchto školení zúčastnilo celkem 747 osob (tj. 32,80 % z celkového počtu úředníků a zaměstnanců SDEU); dále konstatuje, že podobné školení bylo v roce 2024 nabídnuto i novým členům SDEU; s uznáním bere na vědomí síť „důvěrných poradců“ SDEU, kteří pomáhají zaměstnancům v případě obtěžování, a také program pro řízení talentů nabízený nadějným administrátorům, který se mimo jiné zabývá etickým vedením;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konstatuje, že v souladu s požadavky uvedenými v předchozích doporučeních k udělení absolutoria byl v březnu 2024 přijat nový kodex chování úředníků a ostatních zaměstnanců SDEU, který odráží jeho hodnoty a závazek dodržovat vysoké etické normy; konstatuje, že tento kodex chování obsahuje ustanovení o střetu zájmů, povinnosti loajality, povinnosti zachování důvěrnosti a mlčenlivosti, mimopracovních činnostech, pracovních činnostech po skončení služebního poměru a o publikacích a ustanovení proti obtěžování, přičemž se vztahuje i na vyslané národní odborníky a soudní čekatele, kteří se účastní aktivit v rámci Evropské sítě pro justiční vzdělávání; </w:t>
            </w:r>
            <w:r>
              <w:rPr>
                <w:b/>
                <w:i/>
              </w:rPr>
              <w:t>konstatuje, že SDEU zavedl veškerá informační a vzdělávací opatření nezbytná k tomu, aby byl kodex chování prezentován a vysvětlen v co nejširším rozsahu a aby zaměstnanci plně porozuměli novým pravidlům a širšímu právnímu rámci, jehož jsou součástí;</w:t>
            </w:r>
            <w:r>
              <w:t xml:space="preserve"> s uspokojením konstatuje, že školení o kodexu chování a právech a povinnostech zaměstnanců jsou pro nově přijaté zaměstnance povinná a pro všechny zaměstnance SDEU velmi doporučená, přičemž v roce 2024 se těchto školení zúčastnilo celkem 747 osob (tj. 32,80 % z celkového počtu úředníků a zaměstnanců SDEU); dále konstatuje, že podobné školení bylo v roce 2024 nabídnuto i novým členům SDEU; s uznáním bere na vědomí síť „důvěrných poradců“ SDEU, kteří pomáhají zaměstnancům v případě obtěžování, a také program pro řízení talentů nabízený nadějným administrátorům, který se mimo jiné zabývá etickým vedením;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konstatuje, že v souladu s požadavky uvedenými v předchozích doporučeních k udělení absolutoria byl v březnu 2024 přijat nový kodex chování úředníků a ostatních zaměstnanců SDEU, který odráží jeho hodnoty a závazek dodržovat vysoké etické normy; konstatuje, že tento kodex chování obsahuje ustanovení o střetu zájmů, povinnosti loajality, povinnosti zachování důvěrnosti a mlčenlivosti, mimopracovních činnostech, pracovních činnostech po skončení služebního poměru a o publikacích a ustanovení proti obtěžování, přičemž se vztahuje i na vyslané národní odborníky a soudní čekatele, kteří se účastní aktivit v rámci Evropské sítě pro justiční vzdělávání; s uspokojením konstatuje, že školení o kodexu chování a právech a povinnostech zaměstnanců jsou pro nově přijaté zaměstnance povinná a pro všechny zaměstnance SDEU velmi doporučená, přičemž v roce 2024 se těchto školení zúčastnilo celkem 747 osob (tj. 32,80 % z celkového počtu úředníků a zaměstnanců SDEU); dále konstatuje, že podobné školení bylo v roce 2024 nabídnuto i novým členům SDEU; s uznáním bere na vědomí síť „důvěrných poradců“ SDEU, kteří pomáhají zaměstnancům v případě obtěžování, a také program pro řízení talentů nabízený nadějným administrátorům, který se mimo jiné zabývá etickým vedením;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konstatuje, že v souladu s požadavky uvedenými v předchozích doporučeních k udělení absolutoria byl v březnu 2024 přijat nový kodex chování úředníků a ostatních zaměstnanců SDEU, který odráží jeho hodnoty a závazek dodržovat vysoké etické normy; konstatuje, že tento kodex chování obsahuje ustanovení o střetu zájmů, povinnosti loajality, povinnosti zachování důvěrnosti a mlčenlivosti, mimopracovních činnostech, pracovních činnostech po skončení služebního poměru a o publikacích a ustanovení proti obtěžování, přičemž se vztahuje i na vyslané národní odborníky a soudní čekatele, kteří se účastní aktivit v rámci Evropské sítě pro justiční vzdělávání; s uspokojením konstatuje, že školení o kodexu chování a právech a povinnostech zaměstnanců jsou pro nově přijaté zaměstnance povinná a pro všechny zaměstnance SDEU velmi doporučená, přičemž v roce 2024 se těchto školení zúčastnilo celkem 747 osob (tj. 32,80 % z celkového počtu úředníků a zaměstnanců SDEU); dále konstatuje, že podobné školení bylo v roce 2024 nabídnuto i novým členům SDEU; s uznáním bere na vědomí síť „důvěrných poradců“ SDEU, kteří pomáhají zaměstnancům v případě obtěžování, a také program pro řízení talentů nabízený nadějným administrátorům, který se mimo jiné zabývá etickým vedením; </w:t>
            </w:r>
            <w:r>
              <w:rPr>
                <w:b/>
                <w:i/>
              </w:rPr>
              <w:t>vybízí Soudní dvůr, aby postupně posiloval poskytování školení o kodexu chování všem zaměstnancům bez výjimky s cílem zajistit společné chápání etických norem v celém orgánu;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konstatuje, že v souladu s požadavky uvedenými v předchozích doporučeních k udělení absolutoria byl v březnu 2024 přijat nový kodex chování úředníků a ostatních zaměstnanců SDEU, který odráží jeho hodnoty a závazek dodržovat vysoké etické normy; konstatuje, že tento kodex chování obsahuje ustanovení o střetu zájmů, povinnosti loajality, povinnosti zachování důvěrnosti a mlčenlivosti, mimopracovních činnostech, pracovních činnostech po skončení služebního poměru a o publikacích a ustanovení proti obtěžování, přičemž se vztahuje i na vyslané národní odborníky a soudní čekatele, kteří se účastní aktivit v rámci Evropské sítě pro justiční vzdělávání; s uspokojením konstatuje, že školení o kodexu chování a právech a povinnostech zaměstnanců jsou pro nově přijaté zaměstnance povinná a pro všechny zaměstnance SDEU velmi doporučená, přičemž v roce 2024 se těchto školení zúčastnilo celkem </w:t>
            </w:r>
            <w:r>
              <w:rPr>
                <w:b/>
                <w:i/>
              </w:rPr>
              <w:t>747 osob (tj. 32,80</w:t>
            </w:r>
            <w:r>
              <w:t xml:space="preserve"> % z celkového počtu úředníků a zaměstnanců SDEU); dále konstatuje, že podobné školení bylo v roce 2024 nabídnuto i novým členům SDEU; s uznáním bere na vědomí síť „důvěrných poradců“ SDEU, kteří pomáhají zaměstnancům v případě obtěžování, a také program pro řízení talentů nabízený nadějným administrátorům, který se mimo jiné zabývá etickým vedením;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konstatuje, že v souladu s požadavky uvedenými v předchozích doporučeních k udělení absolutoria byl v březnu 2024 přijat nový kodex chování úředníků a ostatních zaměstnanců SDEU, který odráží jeho hodnoty a závazek dodržovat vysoké etické normy; konstatuje, že tento kodex chování obsahuje ustanovení o střetu zájmů, povinnosti loajality, povinnosti zachování důvěrnosti a mlčenlivosti, mimopracovních činnostech, pracovních činnostech po skončení služebního poměru a o publikacích a ustanovení proti obtěžování, přičemž se vztahuje i na vyslané národní odborníky a soudní čekatele, kteří se účastní aktivit v rámci Evropské sítě pro justiční vzdělávání; s uspokojením konstatuje, že školení o kodexu chování a právech a povinnostech zaměstnanců jsou pro nově přijaté zaměstnance povinná a pro všechny zaměstnance SDEU velmi doporučená, přičemž v roce 2024 se těchto školení zúčastnilo celkem </w:t>
            </w:r>
            <w:r>
              <w:rPr>
                <w:b/>
                <w:i/>
              </w:rPr>
              <w:t>561 osob (tj. 24,75</w:t>
            </w:r>
            <w:r>
              <w:t xml:space="preserve"> % z celkového počtu úředníků a zaměstnanců SDEU); dále konstatuje, že podobné školení bylo v roce 2024 nabídnuto i novým členům SDEU; s uznáním bere na vědomí síť „důvěrných poradců“ SDEU, kteří pomáhají zaměstnancům v případě obtěžování, a také program pro řízení talentů nabízený nadějným administrátorům, který se mimo jiné zabývá etickým vedením;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vítá zapojení SDEU do zvyšování transparentnosti, přístupu ke spravedlnosti a otevřenosti veřejnosti, čímž přispívá k posilování důvěry veřejnosti v orgány Unie a zároveň vyvažuje další základní zájmy, jako je soudní klid, důvěrnost řízení a ochrana osobních údajů; konstatuje, že SDEU v roce 2024 konsolidoval službu streamování slyšení Soudního dvora a Tribunálu na internetových stránkách CURIA, čímž občanům usnadnil přístup k soudním činnostem SDEU; v této souvislosti vítá, že v důsledku reformy soudnictví přijaté v roce 2024 došlo ke zvýšení transparentnosti řízení o předběžné otázce tím, že bylo umožněno zveřejňovat písemná vyjádření na internetových stránkách SDEU v přiměřené lhůtě po uzavření věci;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vítá zapojení SDEU do zvyšování transparentnosti, přístupu ke spravedlnosti a otevřenosti veřejnosti, čímž přispívá k posilování důvěry veřejnosti v orgány Unie a zároveň vyvažuje další základní zájmy, jako je soudní klid, důvěrnost řízení a ochrana osobních údajů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větší transparentnost musí rovněž sloužit k posílení důvěry veřejnosti v judikaturu Soudního dvora;</w:t>
            </w:r>
            <w:r>
              <w:t xml:space="preserve"> </w:t>
            </w:r>
            <w:r>
              <w:rPr>
                <w:b/>
                <w:i/>
              </w:rPr>
              <w:t>vybízí Soudní dvůr, aby pokračoval v úsilí o zlepšení jasnosti, dostupnosti a předvídatelnosti své judikatury, zejména v případech s významným ústavním nebo společenským dopadem</w:t>
            </w:r>
            <w:r>
              <w:t>; konstatuje, že SDEU v roce 2024 konsolidoval službu streamování slyšení Soudního dvora a Tribunálu na internetových stránkách CURIA, čímž občanům usnadnil přístup k soudním činnostem SDEU; v této souvislosti vítá, že v důsledku reformy soudnictví přijaté v roce 2024 došlo ke zvýšení transparentnosti řízení o předběžné otázce tím, že bylo umožněno zveřejňovat písemná vyjádření na internetových stránkách SDEU v přiměřené lhůtě po uzavření věci;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základě zprávy o následných opatřeních s uspokojením konstatuje, že Soudní dvůr po úspěšném pilotním projektu, který byl zahájen v roce 2022, a aktualizaci svého jednacího řádu v roce 2024 rozšířil službu streamování o důležité věci projednávané senátem složeným z pěti soudců, jakož i o téměř živé streamování z jednání věnovaného přednesu řečí a živé přenosy z vyhlášení rozsudků a stanovisek generálních advokátů; dále konstatuje, že od 1. září 2024 zůstávají videozáznamy z jednání týkajících se vyhlášení rozsudků a stanovisek trvale dostupné na internetových stránkách SDEU a videozáznamy z přednesu řečí jsou přístupné </w:t>
            </w:r>
            <w:r>
              <w:rPr>
                <w:b/>
                <w:i/>
              </w:rPr>
              <w:t>měsíc</w:t>
            </w:r>
            <w:r>
              <w:t xml:space="preserve"> po jednání; s uznáním konstatuje, že Tribunál přijal podobná opatření, aby zajistil širší přístup veřejnosti ke svým jednáním;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základě zprávy o následných opatřeních s uspokojením konstatuje, že Soudní dvůr po úspěšném pilotním projektu, který byl zahájen v roce 2022, a aktualizaci svého jednacího řádu v roce 2024 rozšířil službu streamování o důležité věci projednávané senátem složeným z pěti soudců, jakož i o téměř živé streamování z jednání věnovaného přednesu řečí a živé přenosy z vyhlášení rozsudků a stanovisek generálních advokátů; dále konstatuje, že od 1. září 2024 zůstávají videozáznamy z jednání týkajících se vyhlášení rozsudků a stanovisek trvale dostupné na internetových stránkách SDEU a videozáznamy z přednesu řečí jsou přístupné </w:t>
            </w:r>
            <w:r>
              <w:rPr>
                <w:b/>
                <w:i/>
              </w:rPr>
              <w:t>po dobu jednoho měsíce</w:t>
            </w:r>
            <w:r>
              <w:t xml:space="preserve"> po jednání; s uznáním konstatuje, že Tribunál přijal podobná opatření, aby zajistil širší přístup veřejnosti ke svým jednáním;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>se zájmem bere na vědomí, že byl v roce 2024 spuštěn pilotní projekt, v jehož rámci budou mít všechna oddělení SDEU přístup k AI asistentům; zdůrazňuje, že je důležité zajistit dodržování etických zásad při používání nástrojů umělé inteligence, a zejména pokynů SDEU k umělé inteligenci přijatých v roce 2024, čímž se zajistí lidský dohled nad zásadou nezávislosti soudních řízení; v této souvislosti zdůrazňuje úlohu dohledu, kterou má správní rada pro umělou inteligenci SDEU; chválí SDEU za komplexní školicí program, který zavedl v roce 2024, počínaje „měsícem informovanosti o umělé inteligenci“, který zahrnoval školení, kulaté stoly moderované odborníky na umělou inteligenci, webové semináře a bootcampy, čímž učinil první a důležitý krok k vytvoření povědomí zaměstnanců o strategii a pokynech SDEU v oblasti umělé inteligence a umělé inteligenci obecně; bere na vědomí, že zaměstnanci rovněž absolvují kurzy zaměřené na řízení změn, transfer znalostí, odborné vedení a duševní bystrost, které jim pomohou přizpůsobit se novým technologiím; vyzývá SDEU, aby pokračoval v pořádání těchto programů školení a zvyšování povědomí;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43.</w:t>
            </w:r>
            <w:r>
              <w:tab/>
            </w:r>
            <w:r>
              <w:t>se zájmem bere na vědomí, že byl v roce 2024 spuštěn pilotní projekt, v jehož rámci budou mít všechna oddělení SDEU přístup k AI asistentům; zdůrazňuje, že je důležité zajistit dodržování etických zásad při používání nástrojů umělé inteligence, a zejména pokynů SDEU k umělé inteligenci přijatých v roce 2024, čímž se zajistí lidský dohled nad zásadou nezávislosti soudních řízení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používání nástrojů umělé inteligence v soudním prostředí nesmí nikdy nahradit lidské právní odůvodnění nebo soudní uvážení ani oslabit osobní odpovědnost soudců</w:t>
            </w:r>
            <w:r>
              <w:t>; v této souvislosti zdůrazňuje úlohu dohledu, kterou má správní rada pro umělou inteligenci SDEU; chválí SDEU za komplexní školicí program, který zavedl v roce 2024, počínaje „měsícem informovanosti o umělé inteligenci“, který zahrnoval školení, kulaté stoly moderované odborníky na umělou inteligenci, webové semináře a bootcampy, čímž učinil první a důležitý krok k vytvoření povědomí zaměstnanců o strategii a pokynech SDEU v oblasti umělé inteligence a umělé inteligenci obecně; bere na vědomí, že zaměstnanci rovněž absolvují kurzy zaměřené na řízení změn, transfer znalostí, odborné vedení a duševní bystrost, které jim pomohou přizpůsobit se novým technologiím; vyzývá SDEU, aby pokračoval v pořádání těchto programů školení a zvyšování povědomí;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>konstatuje, že v roce 2024 byly dále posíleny operační schopnosti v oblasti kybernetické bezpečnosti, aby bylo dosaženo souladu s nařízením (EU, Euratom) 2023/2841 a byl řešen rostoucí počet kybernetických útoků; konstatuje, že v roce 2024 nedošlo k žádnému významnému kybernetickému útoku; se znepokojením konstatuje, že měsíčně bylo zaznamenáno a analyzováno v průměru 142 bezpečnostních incidentů, z nichž některé vyžadovaly lidský zásah;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 xml:space="preserve">konstatuje, že v roce 2024 byly dále posíleny operační schopnosti v oblasti kybernetické bezpečnosti, aby bylo dosaženo souladu s nařízením (EU, Euratom) 2023/2841 a byl řešen rostoucí počet kybernetických útoků; konstatuje, že v roce 2024 nedošlo k žádnému významnému kybernetickému útoku; se znepokojením konstatuje, že měsíčně bylo zaznamenáno a analyzováno v průměru 142 bezpečnostních incidentů, z nichž některé vyžadovaly lidský zásah; </w:t>
            </w:r>
            <w:r>
              <w:rPr>
                <w:b/>
                <w:i/>
              </w:rPr>
              <w:t>zdůrazňuje, že tento trend zdůrazňuje potřebu trvalých a předvídatelných investic do schopností v oblasti kybernetické bezpečnosti, odborné přípravy zaměstnanců a interinstitucionální spolupráce v souladu s nařízením (EU, Euratom) 2023/2841;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Olivier Chastel, Vlad Vasile-Voiculescu, Michal Wiezik, Gerben-Jan Gerbrandy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>konstatuje, že v roce 2024 byly dále posíleny operační schopnosti v oblasti kybernetické bezpečnosti, aby bylo dosaženo souladu s nařízením (EU, Euratom) 2023/2841 a byl řešen rostoucí počet kybernetických útoků; konstatuje, že v roce 2024 nedošlo k žádnému významnému kybernetickému útoku; se znepokojením konstatuje, že měsíčně bylo zaznamenáno a analyzováno v průměru 142 bezpečnostních incidentů, z nichž některé vyžadovaly lidský zásah;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45.</w:t>
            </w:r>
            <w:r>
              <w:tab/>
            </w:r>
            <w:r>
              <w:t xml:space="preserve">konstatuje, že v roce 2024 byly dále posíleny operační schopnosti v oblasti kybernetické bezpečnosti, aby bylo dosaženo souladu s nařízením (EU, Euratom) 2023/2841 a byl řešen rostoucí počet kybernetických útoků; konstatuje, že v roce 2024 nedošlo k žádnému významnému kybernetickému útoku; se znepokojením konstatuje, že měsíčně bylo zaznamenáno a analyzováno v průměru 142 bezpečnostních incidentů, z nichž některé vyžadovaly lidský zásah; </w:t>
            </w:r>
            <w:r>
              <w:rPr>
                <w:b/>
                <w:i/>
              </w:rPr>
              <w:t>zdůrazňuje, že kybernetická bezpečnost je strategickou investicí, která má zásadní význam pro zajištění nezávislosti soudnictví, integrity údajů a kontinuity soudní činnosti;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>chválí SDEU za jeho pokračující úsilí a významný pokrok při snižování své environmentální stopy v roce 2024, jak dokládá jeho výkonnost oproti výchozímu stavu systému pro environmentální řízení podniků a audit (EMAS) z roku 2015, kdy bylo dosaženo snížení na přepočet na plné pracovní úvazky u mnoha druhů spotřeby/emisí (vytápění: –37,5 %; elektřina: –29,3 %; papír: –64,2 %, odpad z kanceláří a jídelen: –40,4 %; skleníkové plyny: –</w:t>
            </w:r>
            <w:r>
              <w:rPr>
                <w:b/>
                <w:i/>
              </w:rPr>
              <w:t>30,20</w:t>
            </w:r>
            <w:r>
              <w:t xml:space="preserve"> %); konstatuje celkové zlepšení ve srovnání se snížením vykázaným pro rok 2023; uznává, že tyto výsledky v kombinaci s tržními podmínkami vedly ke snížení výdajů na energii o 18 % v porovnání s prognózami; v této souvislosti vyzdvihuje důkladné začlenění udržitelnosti do rámce řízení rizik a odpovědnosti Soudního dvora, jak to vyžaduje jeho certifikace EMAS;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>chválí SDEU za jeho pokračující úsilí a významný pokrok při snižování své environmentální stopy v roce 2024, jak dokládá jeho výkonnost oproti výchozímu stavu systému pro environmentální řízení podniků a audit (EMAS) z roku 2015, kdy bylo dosaženo snížení na přepočet na plné pracovní úvazky u mnoha druhů spotřeby/emisí (vytápění: –37,5 %; elektřina: –29,3 %; papír: –64,2 %, odpad z kanceláří a jídelen: –40,4 %; skleníkové plyny: –</w:t>
            </w:r>
            <w:r>
              <w:rPr>
                <w:b/>
                <w:i/>
              </w:rPr>
              <w:t>26,7</w:t>
            </w:r>
            <w:r>
              <w:t xml:space="preserve"> %); konstatuje celkové zlepšení ve srovnání se snížením vykázaným pro rok 2023; uznává, že tyto výsledky v kombinaci s tržními podmínkami vedly ke snížení výdajů na energii o 18 % v porovnání s prognózami; v této souvislosti vyzdvihuje důkladné začlenění udržitelnosti do rámce řízení rizik a odpovědnosti Soudního dvora, jak to vyžaduje jeho certifikace EMAS;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Arno Bausemer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52.</w:t>
            </w:r>
            <w:r>
              <w:tab/>
            </w:r>
            <w:r>
              <w:rPr>
                <w:b/>
                <w:i/>
              </w:rPr>
              <w:t>chválí SDEU za jeho důsledný přístup k zadávání udržitelných veřejných zakázek, a to prostřednictvím kategorizace výzev k podávání nabídek („mírně zelené“, „středně zelené“, „vysoce zelené“) na základě dopadu jejich environmentálních doložek, systematického využívání nástrojů, jako je povinné sebehodnocení „ekologické výkonnosti“, a konzultací interinstitucionální asistenční služby SPP;</w:t>
            </w:r>
            <w:r>
              <w:t xml:space="preserve"> </w:t>
            </w:r>
            <w:r>
              <w:rPr>
                <w:b/>
                <w:i/>
              </w:rPr>
              <w:t>uvádí, že v roce 2024 bylo jedenáct velkých veřejných zakázek nad 60 000 EUR „zelenými nákupy“, z nichž osm obsahovalo významné environmentální doložky; vítá zejména úspěšné provádění nové smlouvy o poskytování stravovacích služeb, která vyžaduje udržitelné postupy v oblasti potravin a je držitelem certifikátu ISO 14001, a dosažení cíle omezit „mírně zelené“ nabídky na úroveň výrazně nižší než 50 %;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52.</w:t>
            </w:r>
            <w:r>
              <w:tab/>
            </w:r>
            <w:r>
              <w:t xml:space="preserve">chválí SDEU za jeho důsledný přístup k zadávání udržitelných veřejných zakázek, a to prostřednictvím kategorizace výzev k podávání nabídek („mírně zelené“, „středně zelené“, „vysoce zelené“) na základě dopadu jejich environmentálních doložek, systematického využívání nástrojů, jako je povinné sebehodnocení „ekologické výkonnosti“, a konzultací interinstitucionální asistenční služby SPP; uvádí, že v roce 2024 bylo </w:t>
            </w:r>
            <w:r>
              <w:rPr>
                <w:b/>
                <w:i/>
              </w:rPr>
              <w:t>jedenáct</w:t>
            </w:r>
            <w:r>
              <w:t xml:space="preserve"> velkých veřejných zakázek nad 60 000 EUR „zelenými nákupy“, z nichž </w:t>
            </w:r>
            <w:r>
              <w:rPr>
                <w:b/>
                <w:i/>
              </w:rPr>
              <w:t>osm</w:t>
            </w:r>
            <w:r>
              <w:t xml:space="preserve"> obsahovalo významné environmentální doložky; vítá zejména úspěšné provádění nové smlouvy o poskytování stravovacích služeb, která vyžaduje udržitelné postupy v oblasti potravin a je držitelem certifikátu ISO 14001, a dosažení cíle omezit „mírně zelené“ nabídky na úroveň výrazně nižší než 50 %;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52.</w:t>
            </w:r>
            <w:r>
              <w:tab/>
            </w:r>
            <w:r>
              <w:t xml:space="preserve">chválí SDEU za jeho důsledný přístup k zadávání udržitelných veřejných zakázek, a to prostřednictvím kategorizace výzev k podávání nabídek („mírně zelené“, „středně zelené“, „vysoce zelené“) na základě dopadu jejich environmentálních doložek, systematického využívání nástrojů, jako je povinné sebehodnocení „ekologické výkonnosti“, a konzultací interinstitucionální asistenční služby SPP; uvádí, že v roce 2024 bylo </w:t>
            </w:r>
            <w:r>
              <w:rPr>
                <w:b/>
                <w:i/>
              </w:rPr>
              <w:t>osm</w:t>
            </w:r>
            <w:r>
              <w:t xml:space="preserve"> velkých veřejných zakázek nad 60 000 EUR „zelenými nákupy“, z nichž </w:t>
            </w:r>
            <w:r>
              <w:rPr>
                <w:b/>
                <w:i/>
              </w:rPr>
              <w:t>šest</w:t>
            </w:r>
            <w:r>
              <w:t xml:space="preserve"> obsahovalo významné environmentální doložky; vítá zejména úspěšné provádění nové smlouvy o poskytování stravovacích služeb, která vyžaduje udržitelné postupy v oblasti potravin a je držitelem certifikátu ISO 14001, a dosažení cíle omezit „mírně zelené“ nabídky na úroveň výrazně nižší než 50 %;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Julien Sanchez,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52a.</w:t>
            </w:r>
            <w:r>
              <w:tab/>
            </w:r>
            <w:r>
              <w:rPr>
                <w:b/>
                <w:i/>
              </w:rPr>
              <w:t>zdůrazňuje, že iniciativy v oblasti životního prostředí v orgánech Unie musí zůstat nákladově efektivní a technologicky neutrální;</w:t>
            </w:r>
            <w:r>
              <w:t xml:space="preserve"> </w:t>
            </w:r>
            <w:r>
              <w:rPr>
                <w:b/>
                <w:i/>
              </w:rPr>
              <w:t>vyzývá Soudní dvůr, aby poskytl transparentní analýzu nákladů a přínosů svých zelených investic a postupů zadávání veřejných zakázek a aby zajistil, že environmentální hlediska nebudou převažovat nad účinností nebo rozpočtovou kázní;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Pasquale Tridico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60.</w:t>
            </w:r>
            <w:r>
              <w:tab/>
            </w:r>
            <w:r>
              <w:t xml:space="preserve">konstatuje, že SDEU v roce 2024 zintenzívnil své úsilí ohledně komunikace s občany Unie, neboť zvýšil svůj dosah na sociálních sítích; konstatuje, že na konci roku 2024 se počet odběratelů účtu SDEU na síti LinkedIn zvýšil o 26 % a počet sledujících na dvou účtech SDEU na síti X (dříve Twitter) o 2,5 %, zatímco počet zhlédnutí jeho kanálu na YouTube se zvýšil o </w:t>
            </w:r>
            <w:r>
              <w:rPr>
                <w:b/>
                <w:i/>
              </w:rPr>
              <w:t>236</w:t>
            </w:r>
            <w:r>
              <w:t xml:space="preserve"> % a počet jeho odběratelů na YouTube vzrostl o více než </w:t>
            </w:r>
            <w:r>
              <w:rPr>
                <w:b/>
                <w:i/>
              </w:rPr>
              <w:t>400</w:t>
            </w:r>
            <w:r>
              <w:t xml:space="preserve"> % ve srovnání s předchozím rokem; konstatuje, že k prudkému nárůstu počtu zhlédnutí a předplatitelů došlo částečně díky propagační kampani, kterou uspořádal SDEU;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60.</w:t>
            </w:r>
            <w:r>
              <w:tab/>
            </w:r>
            <w:r>
              <w:t xml:space="preserve">konstatuje, že SDEU v roce 2024 zintenzívnil své úsilí ohledně komunikace s občany Unie, neboť zvýšil svůj dosah na sociálních sítích; konstatuje, že na konci roku 2024 se počet odběratelů účtu SDEU na síti LinkedIn zvýšil o 26 % a počet sledujících na dvou účtech SDEU na síti X (dříve Twitter) o 2,5 %, zatímco počet zhlédnutí jeho kanálu na YouTube se zvýšil o </w:t>
            </w:r>
            <w:r>
              <w:rPr>
                <w:b/>
                <w:i/>
              </w:rPr>
              <w:t>137</w:t>
            </w:r>
            <w:r>
              <w:t xml:space="preserve"> % a počet jeho odběratelů na YouTube vzrostl o více než </w:t>
            </w:r>
            <w:r>
              <w:rPr>
                <w:b/>
                <w:i/>
              </w:rPr>
              <w:t>329</w:t>
            </w:r>
            <w:r>
              <w:t xml:space="preserve"> % ve srovnání s předchozím rokem; konstatuje, že k prudkému nárůstu počtu zhlédnutí a předplatitelů došlo částečně díky propagační kampani, kterou uspořádal SDEU;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60a.</w:t>
            </w:r>
            <w:r>
              <w:tab/>
            </w:r>
            <w:r>
              <w:rPr>
                <w:b/>
                <w:i/>
              </w:rPr>
              <w:t>vybízí Soudní dvůr, aby dále rozvíjel komunikační nástroje zaměřené na občany, zejména poskytováním jasných, dostupných a právně přesných vysvětlení přelomových rozsudků s významnými důsledky pro vnitrostátní právní řády, a to při plném respektování nezávislosti soudnictví a procesní důvěrnosti;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30</w:t>
    </w:r>
    <w:r>
      <w:fldChar w:fldCharType="end"/>
    </w:r>
    <w:r>
      <w:tab/>
    </w:r>
    <w:r>
      <w:rPr>
        <w:rStyle w:val="HideTWBExt"/>
      </w:rPr>
      <w:t>&lt;PathFdR&gt;</w:t>
    </w:r>
    <w:r>
      <w:t>AM\1336272CS.docx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AM\1336272CS.docx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AM\1336272CS.docx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784.145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30</Pages>
  <Words>8784</Words>
  <Characters>52012</Characters>
  <Application>Microsoft Office Word</Application>
  <DocSecurity>0</DocSecurity>
  <Lines>1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1336272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374859</vt:lpwstr>
  </property>
  <property fmtid="{D5CDD505-2E9C-101B-9397-08002B2CF9AE}" pid="7" name="dmxml.render.traceId">
    <vt:lpwstr>698c6048461389aee81db9cbdb2bad60</vt:lpwstr>
  </property>
  <property fmtid="{D5CDD505-2E9C-101B-9397-08002B2CF9AE}" pid="8" name="FooterPath">
    <vt:lpwstr>AM\1336272CS.docx</vt:lpwstr>
  </property>
  <property fmtid="{D5CDD505-2E9C-101B-9397-08002B2CF9AE}" pid="9" name="PE Number">
    <vt:lpwstr>784.145</vt:lpwstr>
  </property>
  <property fmtid="{D5CDD505-2E9C-101B-9397-08002B2CF9AE}" pid="10" name="UID">
    <vt:lpwstr>eu.europa.europarl-DIN1-2026-0000016485_01.00-cs-01.00_text-xml</vt:lpwstr>
  </property>
</Properties>
</file>