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Επιτροπή Ελέγχου του Προϋπολογισμού</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Απαλλαγή 2024: γενικός προϋπολογισμός της ΕΕ – Δικαστήριο της Ευρωπαϊκής Ένωσης</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λαμβάνοντας υπόψη ότι το ΔΕΕ συμβάλλει στη διατήρηση των αξιών της Ένωσης και, μέσω της νομολογίας του, εργάζεται για την οικοδόμηση της Ευρώπης·</w:t>
            </w:r>
          </w:p>
        </w:tc>
        <w:tc>
          <w:tcPr>
            <w:tcW w:w="4876" w:type="dxa"/>
            <w:tcBorders>
              <w:top w:val="nil"/>
              <w:left w:val="nil"/>
              <w:bottom w:val="nil"/>
              <w:right w:val="nil"/>
            </w:tcBorders>
          </w:tcPr>
          <w:p>
            <w:pPr>
              <w:pStyle w:val="Normal6a"/>
            </w:pPr>
            <w:r>
              <w:t>Γ.</w:t>
            </w:r>
            <w:r>
              <w:tab/>
            </w:r>
            <w:r>
              <w:t>λαμβάνοντας υπόψη ότι το ΔΕΕ συμβάλλει στη διατήρηση των αξιών της Ένωσης και, μέσω της νομολογίας του, εργάζεται για την οικοδόμηση της Ευρώπης</w:t>
            </w:r>
            <w:r>
              <w:rPr>
                <w:b/>
                <w:i/>
              </w:rPr>
              <w:t>, παραμένοντας παράλληλα υπόλογο στους πολίτες μέσω της ασφάλειας δικαίου, της συνοχής της νομολογίας και του σεβασμού των ορίων της δικαστικής ερμηνείας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σημειώνει ότι ο προϋπολογισμός του ΔΕΕ εντάσσεται στον τομέα 7 του ΠΔΠ, («Ευρωπαϊκή δημόσια διοίκηση»), ο οποίος ανήλθε σε 13,3 δισ. EUR το 2023 (που αντιστοιχεί στο 6,9 % του συνολικού προϋπολογισμού της Ένωσης)· σημειώνει ότι ο προϋπολογισμός του ΔΕΕ, ύψους περίπου 0,5 δισεκατομμυρίου EUR, συνιστά περίπου το 3,76 % των συνολικών διοικητικών δαπανών της Ένωσης, ποσοστό μειωμένο σε σχέση με το 3,9 % το 2023·</w:t>
            </w:r>
          </w:p>
        </w:tc>
        <w:tc>
          <w:tcPr>
            <w:tcW w:w="4876" w:type="dxa"/>
            <w:tcBorders>
              <w:top w:val="nil"/>
              <w:left w:val="nil"/>
              <w:bottom w:val="nil"/>
              <w:right w:val="nil"/>
            </w:tcBorders>
          </w:tcPr>
          <w:p>
            <w:pPr>
              <w:pStyle w:val="Normal6a"/>
            </w:pPr>
            <w:r>
              <w:t>1.</w:t>
            </w:r>
            <w:r>
              <w:tab/>
            </w:r>
            <w:r>
              <w:t xml:space="preserve">σημειώνει ότι ο προϋπολογισμός του ΔΕΕ εντάσσεται στον τομέα 7 του ΠΔΠ, («Ευρωπαϊκή δημόσια διοίκηση»), ο οποίος ανήλθε σε 13,3 δισ. EUR το 2023 (που αντιστοιχεί στο 6,9 % του συνολικού προϋπολογισμού της Ένωσης)·σημειώνει ότι ο προϋπολογισμός του ΔΕΕ, ύψους περίπου 0,5 δισεκατομμυρίου EUR, συνιστά περίπου το 3,76 % των συνολικών διοικητικών δαπανών της Ένωσης, ποσοστό μειωμένο σε σχέση με το 3,9 % το 2023· </w:t>
            </w:r>
            <w:r>
              <w:rPr>
                <w:b/>
                <w:i/>
              </w:rPr>
              <w:t>επισημαίνει ότι, σε περιπτώσεις που σχετίζονται με τη διερεύνηση του προϋπολογισμού της Ένωσης, όλες οι αρμόδιες αρχές πρέπει να σέβονται πλήρως τις αρχές της ορθής διαδικασίας και των θεμελιωδών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σημειώνει ότι οι δαπάνες προσωπικού αντιπροσωπεύουν σχεδόν το 80 % του προϋπολογισμού του ΔΕΕ και ότι οι μισθολογικές επικαιροποιήσεις υπερέβησαν τις αρχικές προβλέψεις το 2024·</w:t>
            </w:r>
            <w:r>
              <w:t xml:space="preserve"> </w:t>
            </w:r>
            <w:r>
              <w:rPr>
                <w:b/>
                <w:i/>
              </w:rPr>
              <w:t>τονίζει ότι, ενώ οι αυξήσεις αυτές απορροφήθηκαν χωρίς πρόσθετες δημοσιονομικές ενισχύσεις, ο επαναλαμβανόμενος χαρακτήρας τους εγείρει ερωτήματα όσον αφορά τη μεσοπρόθεσμη δημοσιονομική βιωσιμότητα στο πλαίσιο των περιορισμών του τρέχοντος ΠΔΠ·</w:t>
            </w:r>
            <w:r>
              <w:t xml:space="preserve"> </w:t>
            </w:r>
            <w:r>
              <w:rPr>
                <w:b/>
                <w:i/>
              </w:rPr>
              <w:t>ζητεί ενισχυμένο πολυετή προγραμματισμό του εργατικού δυναμικού και των δαπανών, χωρίς να υπονομεύεται η ανεξαρτησία της δικαιοσύνης·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συμφωνεί ότι η ικανότητα του ΔΕΕ να ανταποκρίνεται σε έναν συνεχώς αυξανόμενο φόρτο εργασίας δέχεται πιέσεις, αφενός, λόγω των κατευθυντήριων γραμμών της Επιτροπής για την κατάρτιση του προϋπολογισμού, οι οποίες περιορίζουν την αύξηση για όλες τις μη μισθολογικές δαπάνες στο 2 % κατ’ ανώτατο και αποθαρρύνουν τα αιτήματα για νέες θέσεις, και, αφετέρου, λόγω του ότι η EPSO δεν παρέχει στα θεσμικά όργανα της Ένωσης μια εύλογου μεγέθους δεξαμενή επιτυχόντων υποψηφίων από διαγωνισμούς από την οποία να μπορούν να κάνουν προσλήψεις· σημειώνει, επιπλέον, ότι οι πληθωριστικές επιπτώσεις του επιθετικού πολέμου της Ρωσίας κατά της Ουκρανίας συνέχισαν να δημιουργούν δημοσιονομική πίεση για το ΔΕΕ, π.χ. μέσω της αύξησης του κόστους των αποστολών ή της αύξησης των τιμών των συμβατικών αγαθών και υπηρεσιών· συγχαίρει το ΔΕΕ για τα μέτρα που έλαβε για τον μετριασμό των επιπτώσεων αυτών, μειώνοντας τον αριθμό των αποστολών, περιορίζοντας τις ενεργειακές δαπάνες και, κυρίως, εφαρμόζοντας ιεράρχηση των έργων κατά την κατάρτιση των δημοσιονομικών προβλέψεων· αναγνωρίζει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c>
          <w:tcPr>
            <w:tcW w:w="4876" w:type="dxa"/>
            <w:tcBorders>
              <w:top w:val="nil"/>
              <w:left w:val="nil"/>
              <w:bottom w:val="nil"/>
              <w:right w:val="nil"/>
            </w:tcBorders>
          </w:tcPr>
          <w:p>
            <w:pPr>
              <w:pStyle w:val="Normal6a"/>
            </w:pPr>
            <w:r>
              <w:t>6.</w:t>
            </w:r>
            <w:r>
              <w:tab/>
            </w:r>
            <w:r>
              <w:t xml:space="preserve">συμφωνεί ότι η ικανότητα του ΔΕΕ να ανταποκρίνεται σε έναν συνεχώς αυξανόμενο φόρτο εργασίας δέχεται πιέσεις, αφενός, λόγω των κατευθυντήριων γραμμών της Επιτροπής για την κατάρτιση του προϋπολογισμού, οι οποίες περιορίζουν την αύξηση για όλες τις μη μισθολογικές δαπάνες στο 2 % κατ’ ανώτατο και αποθαρρύνουν τα αιτήματα για νέες θέσεις, και, αφετέρου, λόγω του ότι η EPSO δεν παρέχει στα θεσμικά όργανα της Ένωσης μια εύλογου μεγέθους δεξαμενή επιτυχόντων υποψηφίων από διαγωνισμούς από την οποία να μπορούν να κάνουν προσλήψεις· σημειώνει, επιπλέον, ότι οι πληθωριστικές επιπτώσεις του </w:t>
            </w:r>
            <w:r>
              <w:rPr>
                <w:b/>
                <w:i/>
              </w:rPr>
              <w:t>παράνομου</w:t>
            </w:r>
            <w:r>
              <w:t xml:space="preserve"> επιθετικού πολέμου της Ρωσίας κατά της Ουκρανίας συνέχισαν να δημιουργούν δημοσιονομική πίεση για το ΔΕΕ, π.χ. μέσω της αύξησης του κόστους των αποστολών ή της αύξησης των τιμών των συμβατικών αγαθών και υπηρεσιών· συγχαίρει το ΔΕΕ για τα μέτρα που έλαβε για τον μετριασμό των επιπτώσεων αυτών, μειώνοντας τον αριθμό των αποστολών, περιορίζοντας τις ενεργειακές δαπάνες και, κυρίως, εφαρμόζοντας ιεράρχηση των έργων κατά την κατάρτιση των δημοσιονομικών προβλέψεων· αναγνωρίζει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 </w:t>
            </w:r>
            <w:r>
              <w:rPr>
                <w:b/>
                <w:i/>
              </w:rPr>
              <w:t>καλεί το ΔΕΕ να συνεχίσει να ενισχύει την οικονομική αποδοτικότητα και τον προορατικό δημοσιονομικό σχεδιασμό για τη διατήρηση της ποιότητας του δικαστικού συστήματος εντός των διαθέσιμων πόρων·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με ικανοποίηση ότι ο προϋπολογισμός αποστολών του για τα μέλη και το προσωπικό του ΔΕΕ μειώθηκε για δεύτερο συνεχόμενο έτος, από 638 000 EUR το 2023 σε </w:t>
            </w:r>
            <w:r>
              <w:rPr>
                <w:b/>
                <w:i/>
              </w:rPr>
              <w:t>616 000</w:t>
            </w:r>
            <w:r>
              <w:t xml:space="preserve"> EUR το 2024, ποσό που συνιστά μείωση κατά περίπου </w:t>
            </w:r>
            <w:r>
              <w:rPr>
                <w:b/>
                <w:i/>
              </w:rPr>
              <w:t>3,3</w:t>
            </w:r>
            <w:r>
              <w:t xml:space="preserve"> %·</w:t>
            </w:r>
          </w:p>
        </w:tc>
        <w:tc>
          <w:tcPr>
            <w:tcW w:w="4876" w:type="dxa"/>
            <w:tcBorders>
              <w:top w:val="nil"/>
              <w:left w:val="nil"/>
              <w:bottom w:val="nil"/>
              <w:right w:val="nil"/>
            </w:tcBorders>
          </w:tcPr>
          <w:p>
            <w:pPr>
              <w:pStyle w:val="Normal6a"/>
            </w:pPr>
            <w:r>
              <w:t>8.</w:t>
            </w:r>
            <w:r>
              <w:tab/>
            </w:r>
            <w:r>
              <w:t xml:space="preserve">σημειώνει με ικανοποίηση ότι ο προϋπολογισμός αποστολών του για τα μέλη και το προσωπικό του ΔΕΕ μειώθηκε για δεύτερο συνεχόμενο έτος, από 638 000 EUR το 2023 σε </w:t>
            </w:r>
            <w:r>
              <w:rPr>
                <w:b/>
                <w:i/>
              </w:rPr>
              <w:t>616 000</w:t>
            </w:r>
            <w:r>
              <w:t xml:space="preserve"> EUR το 2024, ποσό που συνιστά μείωση κατά περίπου </w:t>
            </w:r>
            <w:r>
              <w:rPr>
                <w:b/>
                <w:i/>
              </w:rPr>
              <w:t>3,44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20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w:t>
            </w:r>
          </w:p>
        </w:tc>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w:t>
            </w:r>
            <w:r>
              <w:rPr>
                <w:b/>
                <w:i/>
              </w:rPr>
              <w:t>αναγνωρίζει ότι η ψηφιοποίηση του χειρισμού δικαστικών υποθέσεων συμβάλλει στη βελτίωση της αποτελεσματικότητας και της ποιότητας των δικαστικών αποτελεσμάτων·</w:t>
            </w:r>
            <w:r>
              <w:t xml:space="preserve"> σημειώνει με ικανοποίηση ότι, κατά τους πρώτους τρεις μήνες μετά την έναρξη ισχύος της μεταρρύθμισης, 20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 </w:t>
            </w:r>
            <w:r>
              <w:rPr>
                <w:b/>
                <w:i/>
              </w:rPr>
              <w:t>ενθαρρύνει το ΔΕΕ να παρακολουθεί περαιτέρω και να υποβάλλει εκθέσεις σχετικά με τον αντίκτυπο των ψηφιακών εργαλείων στους χρόνους επεξεργασίας και στην ισορροπία του φόρτου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20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w:t>
            </w:r>
          </w:p>
        </w:tc>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20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 </w:t>
            </w:r>
            <w:r>
              <w:rPr>
                <w:b/>
                <w:i/>
              </w:rPr>
              <w:t>καλεί το Δικαστήριο να υποβάλει, για την επόμενη διαδικασία απαλλαγής, ολοκληρωμένη εκ των υστέρων αξιολόγηση της μεταρρύθμισης, συμπεριλαμβανομένου του αντικτύπου της στη διάρκεια των διαδικασιών και στην κατανομή του φόρτου εργασίας μεταξύ των δύο δικαστηρίων·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20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w:t>
            </w:r>
          </w:p>
        </w:tc>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20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 </w:t>
            </w:r>
            <w:r>
              <w:rPr>
                <w:b/>
                <w:i/>
              </w:rPr>
              <w:t>καλεί το ΔΕΕ να υποβάλει έκθεση, στο πλαίσιο των μελλοντικών διαδικασιών απαλλαγής, σχετικά με τον συγκεκριμένο αντίκτυπο της δικαστικής μεταρρύθμισης στην αποτελεσματικότητα, τη διάρκεια των διαδικασιών και την κατανομή του φόρτου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w:t>
            </w:r>
            <w:r>
              <w:rPr>
                <w:b/>
                <w:i/>
              </w:rPr>
              <w:t>20</w:t>
            </w:r>
            <w:r>
              <w:t xml:space="preserve">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xml:space="preserve">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w:t>
            </w:r>
          </w:p>
        </w:tc>
        <w:tc>
          <w:tcPr>
            <w:tcW w:w="4876" w:type="dxa"/>
            <w:tcBorders>
              <w:top w:val="nil"/>
              <w:left w:val="nil"/>
              <w:bottom w:val="nil"/>
              <w:right w:val="nil"/>
            </w:tcBorders>
          </w:tcPr>
          <w:p>
            <w:pPr>
              <w:pStyle w:val="Normal6a"/>
            </w:pPr>
            <w:r>
              <w:t>9.</w:t>
            </w:r>
            <w:r>
              <w:tab/>
            </w:r>
            <w:r>
              <w:t xml:space="preserve">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τη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e-Curia, την ανάπτυξη νέου λογισμικού («υπηρεσία μίας στάσης») για την ταχεία ανάλυση και διεκπεραίωση των υποθέσεων και την εναρμόνιση των πρακτικών των γραμματειών των δύο δικαστηρίων το 2024· σημειώνει με ικανοποίηση ότι, κατά τους πρώτους τρεις μήνες μετά την έναρξη ισχύος της μεταρρύθμισης, </w:t>
            </w:r>
            <w:r>
              <w:rPr>
                <w:b/>
                <w:i/>
              </w:rPr>
              <w:t>19</w:t>
            </w:r>
            <w:r>
              <w:t xml:space="preserve"> προδικαστικές αποφάσεις 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w:t>
            </w:r>
            <w:r>
              <w:rPr>
                <w:b/>
                <w:i/>
              </w:rPr>
              <w:t>805 000</w:t>
            </w:r>
            <w:r>
              <w:t>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σημειώνει ότι, το 2024, το Δικαστήριο αποφάνθηκε επί 12 υποθέσεων που αφορούσαν την αρχή της υπεροχής του δικαίου της Ένωσης, εκ των οποίων 10 υποθέσεις προδικαστικών αποφάσεων και δύο υποθέσεις παραβίασης· επαναλαμβάνει ότι η αρχή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 δικαίου ως βασική αξία της Ένωσης, είναι θεμελιώδης· επαναβεβαιώνει σθεναρά ότι η υπεροχή του δικαίου της Ένωσης αποτελεί τον ακρογωνιαίο λίθο της έννομης τάξης της Ένωσης και υπογραμμίζει τον καίριο ρόλο του ΔΕΕ στην προάσπιση του κράτους δικαίου σε ολόκληρη την Ένωση·</w:t>
            </w:r>
          </w:p>
        </w:tc>
        <w:tc>
          <w:tcPr>
            <w:tcW w:w="4876" w:type="dxa"/>
            <w:tcBorders>
              <w:top w:val="nil"/>
              <w:left w:val="nil"/>
              <w:bottom w:val="nil"/>
              <w:right w:val="nil"/>
            </w:tcBorders>
          </w:tcPr>
          <w:p>
            <w:pPr>
              <w:pStyle w:val="Normal6a"/>
            </w:pPr>
            <w:r>
              <w:t>10.</w:t>
            </w:r>
            <w:r>
              <w:tab/>
            </w:r>
            <w:r>
              <w:t xml:space="preserve">σημειώνει ότι, το 2024, το Δικαστήριο αποφάνθηκε επί 12 υποθέσεων που αφορούσαν την αρχή της υπεροχής του δικαίου της Ένωσης, εκ των οποίων 10 υποθέσεις προδικαστικών αποφάσεων και δύο υποθέσεις παραβίασης· επαναλαμβάνει ότι η αρχή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 δικαίου ως βασική αξία της Ένωσης, είναι θεμελιώδης· επαναβεβαιώνει σθεναρά ότι η υπεροχή του δικαίου της Ένωσης αποτελεί τον ακρογωνιαίο λίθο της έννομης τάξης της Ένωσης και υπογραμμίζει τον καίριο ρόλο του ΔΕΕ στην προάσπιση του κράτους δικαίου σε ολόκληρη την Ένωση· </w:t>
            </w:r>
            <w:r>
              <w:rPr>
                <w:b/>
                <w:i/>
              </w:rPr>
              <w:t>σημειώνει, εν προκειμένω, ότι το άρθρο 4 παράγραφος 2 της Συνθήκης για την Ευρωπαϊκή Ένωση ορίζει ότι «Η Ένωση σέβεται την ισότητα των κρατών μελών ενώπιον των Συνθηκών καθώς και την εθνική τους ταυτότητα που είναι συμφυής με τη θεμελιώδη πολιτική και συνταγματική τους δομή, στην οποία συμπεριλαμβάνεται η περιφερειακή και τοπική αυτοδιοίκηση.</w:t>
            </w:r>
            <w:r>
              <w:t xml:space="preserve"> </w:t>
            </w:r>
            <w:r>
              <w:rPr>
                <w:b/>
                <w:i/>
              </w:rPr>
              <w:t>Σέβεται τις ουσιώδεις λειτουργίες του κράτους [...]»·</w:t>
            </w:r>
            <w:r>
              <w:t xml:space="preserve"> </w:t>
            </w:r>
            <w:r>
              <w:rPr>
                <w:b/>
                <w:i/>
              </w:rPr>
              <w:t>τονίζει ότι η υπεροχή των εθνικών συνταγμάτων παραμένει η απόλυτη αρχή που διέπει τη σχέση μεταξύ των συνταγμάτων των κρατών μελών και του δικαίου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σημειώνει ότι, το 2024, το Δικαστήριο αποφάνθηκε επί 12 υποθέσεων που αφορούσαν την αρχή της υπεροχής του δικαίου της Ένωσης, εκ των οποίων 10 υποθέσεις προδικαστικών αποφάσεων και δύο υποθέσεις παραβίασης· επαναλαμβάνει ότι η αρχή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 δικαίου ως βασική αξία της Ένωσης, είναι θεμελιώδης· επαναβεβαιώνει σθεναρά ότι η υπεροχή του δικαίου της Ένωσης αποτελεί τον ακρογωνιαίο λίθο της έννομης τάξης της Ένωσης και υπογραμμίζει τον καίριο ρόλο του ΔΕΕ στην προάσπιση του κράτους δικαίου σε ολόκληρη την Ένωση·</w:t>
            </w:r>
          </w:p>
        </w:tc>
        <w:tc>
          <w:tcPr>
            <w:tcW w:w="4876" w:type="dxa"/>
            <w:tcBorders>
              <w:top w:val="nil"/>
              <w:left w:val="nil"/>
              <w:bottom w:val="nil"/>
              <w:right w:val="nil"/>
            </w:tcBorders>
          </w:tcPr>
          <w:p>
            <w:pPr>
              <w:pStyle w:val="Normal6a"/>
            </w:pPr>
            <w:r>
              <w:t>10.</w:t>
            </w:r>
            <w:r>
              <w:tab/>
            </w:r>
            <w:r>
              <w:t>σημειώνει ότι, το 2024, το Δικαστήριο αποφάνθηκε επί 12 υποθέσεων που αφορούσαν την αρχή της υπεροχής του δικαίου της Ένωσης, εκ των οποίων 10 υποθέσεις προδικαστικών αποφάσεων και δύο υποθέσεις παραβίασης· επαναλαμβάνει ότι η αρχή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 δικαίου ως βασική αξία της Ένωσης, είναι θεμελιώδης· επαναβεβαιώνει σθεναρά ότι η υπεροχή του δικαίου της Ένωσης αποτελεί τον ακρογωνιαίο λίθο της έννομης τάξης της Ένωσης και υπογραμμίζει τον καίριο ρόλο του ΔΕΕ στην προάσπιση του κράτους δικαίου σε ολόκληρη την Ένωση</w:t>
            </w:r>
            <w:r>
              <w:rPr>
                <w:b/>
                <w:i/>
              </w:rPr>
              <w:t>, υπενθυμίζοντας παράλληλα ότι η εφαρμογή της αρχής της υπεροχής πρέπει να παραμείνει σταθερά θεμελιωμένη στις Συνθήκες και να ασκείται με τον δέοντα σεβασμό των εθνικών συνταγματικών ταυτοτήτων, σύμφωνα με το άρθρο 4 παράγραφος 2 ΣΕΕ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συμφωνεί με το ΔΕΕ ότι η Επιτροπή, ως θεματοφύλακας των Συνθηκών, θα πρέπει να παρακολουθεί τη συμμόρφωση των κρατών μελών με τις αποφάσεις του ΔΕΕ, αλλά επαναλαμβάνει την έκκλησή του προς το Ελεγκτικό Συνέδριο να θεσπίσει μηχανισμό για τον εντοπισμό των βέλτιστων και των κακών πρακτικών μεταξύ των κρατών μελών·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συμφωνεί με το ΔΕΕ ότι η Επιτροπή, ως θεματοφύλακας των Συνθηκών, θα πρέπει να παρακολουθεί τη συμμόρφωση των κρατών μελών με τις αποφάσεις του ΔΕΕ</w:t>
            </w:r>
            <w:r>
              <w:rPr>
                <w:b/>
                <w:i/>
              </w:rPr>
              <w:t>, αλλά</w:t>
            </w:r>
            <w:r>
              <w:t xml:space="preserve"> επαναλαμβάνει την έκκλησή του προς το Ελεγκτικό Συνέδριο να θεσπίσει μηχανισμό για τον εντοπισμό των βέλτιστων και των κακών πρακτικών μεταξύ των κρατών μελών·</w:t>
            </w:r>
          </w:p>
        </w:tc>
        <w:tc>
          <w:tcPr>
            <w:tcW w:w="4876" w:type="dxa"/>
            <w:tcBorders>
              <w:top w:val="nil"/>
              <w:left w:val="nil"/>
              <w:bottom w:val="nil"/>
              <w:right w:val="nil"/>
            </w:tcBorders>
          </w:tcPr>
          <w:p>
            <w:pPr>
              <w:pStyle w:val="Normal6a"/>
            </w:pPr>
            <w:r>
              <w:t>12.</w:t>
            </w:r>
            <w:r>
              <w:tab/>
            </w:r>
            <w:r>
              <w:t>συμφωνεί με το ΔΕΕ ότι η Επιτροπή, ως θεματοφύλακας των Συνθηκών, θα πρέπει να παρακολουθεί τη συμμόρφωση των κρατών μελών με τις αποφάσεις του ΔΕΕ</w:t>
            </w:r>
            <w:r>
              <w:rPr>
                <w:b/>
                <w:i/>
              </w:rPr>
              <w:t>·</w:t>
            </w:r>
            <w:r>
              <w:t xml:space="preserve"> επαναλαμβάνει την έκκλησή του προς το Ελεγκτικό Συνέδριο</w:t>
            </w:r>
            <w:r>
              <w:rPr>
                <w:b/>
                <w:i/>
              </w:rPr>
              <w:t>, αυστηρά εντός των ορίων του ρόλου του,</w:t>
            </w:r>
            <w:r>
              <w:t xml:space="preserve"> να θεσπίσει μηχανισμό για τον εντοπισμό των βέλτιστων και των κακών πρακτικών μεταξύ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σημειώνει ότι η μέση διάρκεια των διαδικασιών για τις υποθέσεις που περατώθηκαν από το Δικαστήριο ήταν 17,7 μήνες το 2024 σε σύγκριση με 16,1 μήνες το 2023, ενώ η αντίστοιχη αύξηση κατά περίπου έξι εβδομάδες οφειλόταν στην πολυπλοκότητα και τον όγκο ορισμένων φακέλων (όπως οι προσφυγές που ασκήθηκαν το 2020 κατά της λεγόμενης «δέσμης μέτρων για την κινητικότητα» της Ένωσης και περατώθηκαν το 2024)· σημειώνει ότι η μέση διάρκεια των υποθέσεων που περατώθηκαν με απόφαση ή διάταξη του Γενικού Δικαστηρίου αυξήθηκε από 18,2 μήνες το 2023 σε 18,5 μήνες το 2024·</w:t>
            </w:r>
          </w:p>
        </w:tc>
        <w:tc>
          <w:tcPr>
            <w:tcW w:w="4876" w:type="dxa"/>
            <w:tcBorders>
              <w:top w:val="nil"/>
              <w:left w:val="nil"/>
              <w:bottom w:val="nil"/>
              <w:right w:val="nil"/>
            </w:tcBorders>
          </w:tcPr>
          <w:p>
            <w:pPr>
              <w:pStyle w:val="Normal6a"/>
            </w:pPr>
            <w:r>
              <w:t>14.</w:t>
            </w:r>
            <w:r>
              <w:tab/>
            </w:r>
            <w:r>
              <w:t xml:space="preserve">σημειώνει ότι η μέση διάρκεια των διαδικασιών για τις υποθέσεις που περατώθηκαν από το Δικαστήριο ήταν 17,7 μήνες το 2024 σε σύγκριση με 16,1 μήνες το 2023, ενώ η αντίστοιχη αύξηση κατά περίπου έξι εβδομάδες οφειλόταν στην πολυπλοκότητα και τον όγκο ορισμένων φακέλων (όπως οι προσφυγές που ασκήθηκαν το 2020 κατά της λεγόμενης «δέσμης μέτρων για την κινητικότητα» της Ένωσης και περατώθηκαν το 2024)· σημειώνει ότι η μέση διάρκεια των υποθέσεων που περατώθηκαν με απόφαση ή διάταξη του Γενικού Δικαστηρίου αυξήθηκε από 18,2 μήνες το 2023 σε 18,5 μήνες το 2024· </w:t>
            </w:r>
            <w:r>
              <w:rPr>
                <w:b/>
                <w:i/>
              </w:rPr>
              <w:t>τονίζει ότι ο έγκαιρος χαρακτήρας των δικαστικών διαδικασιών πρέπει να παραμείνει βασικός στόχος επιδόσεων, καθώς η υπερβολική διάρκεια επηρεάζει άμεσα την ασφάλεια δικαίου για τους πολίτες, τα εθνικά δικαστήρια και τους οικονομικούς φορείς·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εκφράζει την ικανοποίησή του για την προσέγγιση βάσει επιδόσεων που ανέπτυξε το ΔΕΕ, η οποία επιτρέπει στο ΔΕΕ να λαμβάνει αποφάσεις με βάση το επίπεδο επίτευξης των στόχων του, το οποίο μετράται μέσω ενός συνόλου δεικτών φόρτου εργασίας και λειτουργίας (π.χ. οικονομική αποδοτικότητα, ποσοστά ολοκλήρωσης έργων, ικανοποίηση των χρηστών και βελτιστοποίηση των πόρων) ειδικά προσαρμοσμένων για κάθε τμήμα·</w:t>
            </w:r>
            <w:r>
              <w:t xml:space="preserve"> </w:t>
            </w:r>
            <w:r>
              <w:rPr>
                <w:b/>
                <w:i/>
              </w:rPr>
              <w:t>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των δύο δικαστηρίων, την ψηφιοποίηση και τις αναδυόμενες τεχνολογίες, τον ανοικτό χαρακτήρα και τη διαφάνεια, την πολυγλωσσία και τη διαχείριση των ανθρώπινων πόρων·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εκφράζει την ικανοποίησή του για την προσέγγιση βάσει επιδόσεων που ανέπτυξε το ΔΕΕ, η οποία επιτρέπει στο ΔΕΕ να λαμβάνει αποφάσεις με βάση το επίπεδο επίτευξης των στόχων του, το οποίο μετράται μέσω ενός συνόλου δεικτών φόρτου εργασίας και λειτουργίας (π.χ. οικονομική αποδοτικότητα, ποσοστά ολοκλήρωσης έργων, ικανοποίηση των χρηστών και βελτιστοποίηση των πόρων) ειδικά προσαρμοσμένων για κάθε τμήμα· 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των δύο δικαστηρίων, την ψηφιοποίηση και τις αναδυόμενες τεχνολογίες, τον ανοικτό χαρακτήρα και τη διαφάνεια, την πολυγλωσσία και τη διαχείριση των ανθρώπινων πόρων·</w:t>
            </w:r>
          </w:p>
        </w:tc>
        <w:tc>
          <w:tcPr>
            <w:tcW w:w="4876" w:type="dxa"/>
            <w:tcBorders>
              <w:top w:val="nil"/>
              <w:left w:val="nil"/>
              <w:bottom w:val="nil"/>
              <w:right w:val="nil"/>
            </w:tcBorders>
          </w:tcPr>
          <w:p>
            <w:pPr>
              <w:pStyle w:val="Normal6a"/>
            </w:pPr>
            <w:r>
              <w:t>16.</w:t>
            </w:r>
            <w:r>
              <w:tab/>
            </w:r>
            <w:r>
              <w:t xml:space="preserve">εκφράζει την ικανοποίησή του για την προσέγγιση βάσει επιδόσεων που ανέπτυξε το ΔΕΕ, η οποία επιτρέπει στο ΔΕΕ να λαμβάνει αποφάσεις με βάση το επίπεδο επίτευξης των στόχων του, το οποίο μετράται μέσω ενός συνόλου δεικτών φόρτου εργασίας και λειτουργίας (π.χ. οικονομική αποδοτικότητα, ποσοστά ολοκλήρωσης έργων, ικανοποίηση των χρηστών και βελτιστοποίηση των πόρων) ειδικά προσαρμοσμένων για κάθε τμήμα· 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των δύο δικαστηρίων, την ψηφιοποίηση και τις αναδυόμενες τεχνολογίες, τον ανοικτό χαρακτήρα και τη διαφάνεια, την πολυγλωσσία και τη διαχείριση των ανθρώπινων πόρων· </w:t>
            </w:r>
            <w:r>
              <w:rPr>
                <w:b/>
                <w:i/>
              </w:rPr>
              <w:t>τονίζει την ανάγκη να διασφαλίσει το ΔΕΕ ότι οι δείκτες αυτοί είναι διαφανείς, προσανατολισμένοι στα αποτελέσματα και επανεξετάζονται τακτικά για τη στήριξη της αποτελεσματικής διαχείρισης και λογοδοσίας·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την ικανοποίησή του για την προσέγγισή του που αναθεωρήθηκε το 2024 όσον αφορά την απόδοση των επενδύσεων σε πρωτοβουλίες καινοτομίας, λαμβάνοντας υπόψη την αξιολόγηση του κόστους μέσω παραμέτρων όπως η υλοποίηση και οι προσπάθειες του προσωπικού, η ετήσια συντήρηση, το κόστος των αναδόχων και άλλα είδη κόστους, καθώς και την αξιολόγηση των οφελών μέσω παραμέτρων όπως τα προβλεπόμενα κέρδη, τα στρατηγικά πλεονεκτήματα και ο αριθμός των χρηστών που επηρεάζονται·</w:t>
            </w:r>
          </w:p>
        </w:tc>
        <w:tc>
          <w:tcPr>
            <w:tcW w:w="4876" w:type="dxa"/>
            <w:tcBorders>
              <w:top w:val="nil"/>
              <w:left w:val="nil"/>
              <w:bottom w:val="nil"/>
              <w:right w:val="nil"/>
            </w:tcBorders>
          </w:tcPr>
          <w:p>
            <w:pPr>
              <w:pStyle w:val="Normal6a"/>
            </w:pPr>
            <w:r>
              <w:t>17.</w:t>
            </w:r>
            <w:r>
              <w:tab/>
            </w:r>
            <w:r>
              <w:t xml:space="preserve">εκφράζει την ικανοποίησή του για την προσέγγισή του που αναθεωρήθηκε το 2024 όσον αφορά την απόδοση των επενδύσεων σε πρωτοβουλίες καινοτομίας, λαμβάνοντας υπόψη την αξιολόγηση του κόστους μέσω παραμέτρων όπως η υλοποίηση και οι προσπάθειες του προσωπικού, η ετήσια συντήρηση, το κόστος των αναδόχων και άλλα είδη κόστους, καθώς και την αξιολόγηση των οφελών μέσω παραμέτρων όπως τα προβλεπόμενα κέρδη, τα στρατηγικά πλεονεκτήματα και ο αριθμός των χρηστών που επηρεάζονται· </w:t>
            </w:r>
            <w:r>
              <w:rPr>
                <w:b/>
                <w:i/>
              </w:rPr>
              <w:t>σημειώνει ότι το 2024 το ΔΕΕ προέβη επίσης σε διεξοδική αναθεώρηση του συστήματός του για την παρακολούθηση της διαχείρισης έργων και τη δημοσιονομική παρακολούθηση των έργων, με σκοπό να διασφαλιστεί η πλήρης υποβολή εκθέσεων και ο έλεγχος των χρονικά προσδιορισμένων συμβουλευτικών υπηρεσιών ψηφιοποίησης έως το 2025·</w:t>
            </w:r>
            <w:r>
              <w:t xml:space="preserve"> </w:t>
            </w:r>
            <w:r>
              <w:rPr>
                <w:b/>
                <w:i/>
              </w:rPr>
              <w:t>καλεί το ΔΕΕ να τηρεί ενήμερη την αρμόδια για την απαλλαγή αρχή σχετικά με αυτό το θέμα·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ότι το Δικαστήριο αποτελείται από 27 δικαστές και 11 γενικούς εισαγγελείς και ότι το Γενικό Δικαστήριο απαρτίζεται από 54 δικαστές· σημειώνει περαιτέρω ότι εννέα νέοι δικαστές στο Δικαστήριο και δύο νέοι δικαστές στο Γενικό Δικαστήριο ανέλαβαν καθήκοντα λόγω μερικής ανανέωσης το 2024· εκφράζει τη λύπη του για το γεγονός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επαναλαμβάνει την έκκλησή του στα κράτη μέλη να λαμβάνουν υπόψη την ανάγκη για ισόρροπη εκπροσώπηση των φύλων κατά τον ορισμό υποψηφίων για την αντικατάσταση δικαστών·</w:t>
            </w:r>
          </w:p>
        </w:tc>
        <w:tc>
          <w:tcPr>
            <w:tcW w:w="4876" w:type="dxa"/>
            <w:tcBorders>
              <w:top w:val="nil"/>
              <w:left w:val="nil"/>
              <w:bottom w:val="nil"/>
              <w:right w:val="nil"/>
            </w:tcBorders>
          </w:tcPr>
          <w:p>
            <w:pPr>
              <w:pStyle w:val="Normal6a"/>
            </w:pPr>
            <w:r>
              <w:t>20.</w:t>
            </w:r>
            <w:r>
              <w:tab/>
            </w:r>
            <w:r>
              <w:t>σημειώνει ότι το Δικαστήριο αποτελείται από 27 δικαστές και 11 γενικούς εισαγγελείς και ότι το Γενικό Δικαστήριο απαρτίζεται από 54 δικαστές· σημειώνει περαιτέρω ότι εννέα νέοι δικαστές στο Δικαστήριο και δύο νέοι δικαστές στο Γενικό Δικαστήριο ανέλαβαν καθήκοντα λόγω μερικής ανανέωσης το 2024· εκφράζει τη λύπη του για το γεγονός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και γενικών εισαγγελέων· επαναλαμβάνει την έκκλησή του στα κράτη μέλη να λαμβάνουν υπόψη την ανάγκη για ισόρροπη εκπροσώπηση των φύλων κατά τον ορισμό υποψηφίων για την αντικατάσταση δικαστών</w:t>
            </w:r>
            <w:r>
              <w:rPr>
                <w:b/>
                <w:i/>
              </w:rPr>
              <w:t>, διασφαλίζοντας παράλληλα ότι οι ορισμοί εξακολουθούν να βασίζονται σε κριτήρια αξίας, προσόντων και ανεξαρτησίας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ότι, το 2024, το προσωπικό του ΔΕΕ αποτελούνταν κατά 60,70 % από γυναίκες και κατά 39,30 % από άνδρες· σημειώνει ότι η εκπροσώπηση των γυναικών ήταν η υψηλότερη στους βαθμούς των βοηθών (69,14 %), ενώ δυστυχώς ήταν η χαμηλότερη στις ανώτερες διοικητικές θέσεις (35,71 %)· σημειώνει την περαιτέρω αύξηση της κατανομής των γυναικών σε θέσεις μεσαίων διοικητικών στελεχών από 43,33 % το 2023 σε 51,61 % το 2024· σημειώνει με ικανοποίηση, με βάση την έκθεση διαχείρισης του κύριου διατάκτη για το 2024, μια ανοδική τάση στην εκπροσώπηση των γυναικών σε διοικητικές θέσεις συνολικά, από 37,50 % το 2018 σε 48,70 % το 2024·</w:t>
            </w:r>
          </w:p>
        </w:tc>
        <w:tc>
          <w:tcPr>
            <w:tcW w:w="4876" w:type="dxa"/>
            <w:tcBorders>
              <w:top w:val="nil"/>
              <w:left w:val="nil"/>
              <w:bottom w:val="nil"/>
              <w:right w:val="nil"/>
            </w:tcBorders>
          </w:tcPr>
          <w:p>
            <w:pPr>
              <w:pStyle w:val="Normal6a"/>
            </w:pPr>
            <w:r>
              <w:t>21.</w:t>
            </w:r>
            <w:r>
              <w:tab/>
            </w:r>
            <w:r>
              <w:t xml:space="preserve">σημειώνει ότι, το 2024, το προσωπικό του ΔΕΕ αποτελούνταν κατά 60,70 % από γυναίκες και κατά 39,30 % από άνδρες· σημειώνει ότι η εκπροσώπηση των γυναικών ήταν η υψηλότερη στους βαθμούς των βοηθών (69,14 %), ενώ δυστυχώς ήταν η χαμηλότερη στις ανώτερες διοικητικές θέσεις (35,71 %)· σημειώνει την περαιτέρω αύξηση της κατανομής των γυναικών σε θέσεις μεσαίων διοικητικών στελεχών από 43,33 % το 2023 σε 51,61 % το 2024· σημειώνει με ικανοποίηση, με βάση την έκθεση διαχείρισης του κύριου διατάκτη για το 2024, μια ανοδική τάση στην εκπροσώπηση των γυναικών σε διοικητικές θέσεις συνολικά, από 37,50 % το 2018 σε 48,70 % το 2024· </w:t>
            </w:r>
            <w:r>
              <w:rPr>
                <w:b/>
                <w:i/>
              </w:rPr>
              <w:t>τονίζει ότι η συνεχιζόμενη υποεκπροσώπηση των γυναικών σε ανώτερες διευθυντικές θέσεις εξακολουθεί να αποτελεί πηγή ανησυχίας και ενθαρρύνει το ΔΕΕ να συνεχίσει να ενισχύει στοχευμένα μέτρα που αποσκοπούν στη στήριξη της επαγγελματικής ανέλιξης και των πορειών ηγεσίας των γυναικών, με πλήρη σεβασμό των αρχών της αξιοκρατίας και της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α.</w:t>
            </w:r>
            <w:r>
              <w:tab/>
            </w:r>
            <w:r>
              <w:rPr>
                <w:b/>
                <w:i/>
              </w:rPr>
              <w:t>εκφράζει την ικανοποίησή του για τη δημιουργία σχεδίου δράσης σχετικά με τη Σύμβαση της Κωνσταντινούπολης, το οποίο ευθυγραμμίζει τις δράσεις, διατυπώνει συστάσεις και οργανώνει ενημερωτικές και εκπαιδευτικές δράσεις για όλο το προσωπικό, προκειμένου να αποτρέπονται περιπτώσεις παρενόχλησης·</w:t>
            </w:r>
            <w:r>
              <w:t xml:space="preserve"> </w:t>
            </w:r>
            <w:r>
              <w:rPr>
                <w:b/>
                <w:i/>
              </w:rPr>
              <w:t>σημειώνει τις περαιτέρω δράσεις που ανακοινώθηκαν, οι οποίες περιλαμβάνουν τη συνέχιση της συνεργασίας με εθνικές οργανώσεις που δραστηριοποιούνται στον τομέα της πρόληψης της βίας κατά των γυναικών, πρόσθετες πρωτοβουλίες ευαισθητοποίησης και σεμινάρια κατάρτισης που τονίζουν, ιδίως, τον αντίκτυπο των μικροεπιθέσεων και των προκαταλήψεων λόγω φύλου·</w:t>
            </w:r>
            <w:r>
              <w:t xml:space="preserve"> </w:t>
            </w:r>
            <w:r>
              <w:rPr>
                <w:b/>
                <w:i/>
              </w:rPr>
              <w:t>εκφράζει, στο πλαίσιο αυτό, τη λύπη του για την έλλειψη υποχρεωτικής κατάρτισης για τους βουλευτές, όπως αναφέρεται στις απαντήσεις του ΔΕΕ στο ερωτηματολόγιο για την απαλλαγή για το 2024·</w:t>
            </w:r>
            <w:r>
              <w:t xml:space="preserve"> </w:t>
            </w:r>
            <w:r>
              <w:rPr>
                <w:b/>
                <w:i/>
              </w:rPr>
              <w:t>ζητεί, επομένως, να συμμετέχουν όλα τα άτομα, τόσο το προσωπικό όσο και οι βουλευτές, σε υποχρεωτικά σεμινάρια κατάρτισης στον τομέα της πρόληψης της βίας κατά των γυναικών·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σημειώνει </w:t>
            </w:r>
            <w:r>
              <w:rPr>
                <w:b/>
                <w:i/>
              </w:rPr>
              <w:t>με ικανοποίηση τις ποικίλες προσπάθειες και</w:t>
            </w:r>
            <w:r>
              <w:t xml:space="preserve"> δράσεις </w:t>
            </w:r>
            <w:r>
              <w:rPr>
                <w:b/>
                <w:i/>
              </w:rPr>
              <w:t>που πραγματοποιεί το ΔΕΕ</w:t>
            </w:r>
            <w:r>
              <w:t xml:space="preserve"> για το προσωπικό του</w:t>
            </w:r>
            <w:r>
              <w:rPr>
                <w:b/>
                <w:i/>
              </w:rPr>
              <w:t>, μεταξύ άλλων στο στάδιο των προσλήψεων, υπέρ της ισότητας, της ένταξης, του αμοιβαίου σεβασμού και της πολυμορφίας (Π&amp;Ε)</w:t>
            </w:r>
            <w:r>
              <w:t xml:space="preserve">· σημειώνει </w:t>
            </w:r>
            <w:r>
              <w:rPr>
                <w:b/>
                <w:i/>
              </w:rPr>
              <w:t>ειδικότερα την έναρξη, το 2024, νέου προγράμματος κατάρτισης σχετικά με την Π&amp;Ε με έμφαση στην πρόληψη των μικροεπιθέσεων και, από το 2025, δύο νέων προγραμμάτων κατάρτισης σχετικά με τον καθορισμό υγιών ορίων για τη βελτίωση των επιδόσεων και σχετικά με το περιβάλλον χωρίς παρενοχλήσεις, τα οποία διοργανώθηκαν σύμφωνα με τις συστάσεις της διατμηματικής ομάδας εργασίας του ΔΕΕ για τη Σύμβαση της Κωνσταντινούπολης·</w:t>
            </w:r>
            <w:r>
              <w:t xml:space="preserve"> </w:t>
            </w:r>
            <w:r>
              <w:rPr>
                <w:b/>
                <w:i/>
              </w:rPr>
              <w:t>σημειώνει με ικανοποίηση τα εξατομικευμένα</w:t>
            </w:r>
            <w:r>
              <w:t xml:space="preserve"> μέτρα </w:t>
            </w:r>
            <w:r>
              <w:rPr>
                <w:b/>
                <w:i/>
              </w:rPr>
              <w:t>στήριξης του ΔΕΕ (σχετικά με τα καθήκοντα, τις ώρες εργασίας και τους χώρους εργασίας), από το 2022, για το προσωπικό με αναπηρία, τη συμμετοχή του θεσμικού οργάνου στην εβδομάδα ευαισθητοποίησης σχετικά με την αναπηρία που διοργανώθηκε το 2024, και</w:t>
            </w:r>
            <w:r>
              <w:t xml:space="preserve"> την ανάπτυξη</w:t>
            </w:r>
            <w:r>
              <w:rPr>
                <w:b/>
                <w:i/>
              </w:rPr>
              <w:t>, από το 2025, πιλοτικού προγράμματος για ασκούμενους με αναπηρία·</w:t>
            </w:r>
            <w:r>
              <w:t xml:space="preserve"> </w:t>
            </w:r>
            <w:r>
              <w:rPr>
                <w:b/>
                <w:i/>
              </w:rPr>
              <w:t>καλεί το ΔΕΕ να ενημερώσει την αρμόδια για την απαλλαγή αρχή σχετικά με το αποτέλεσμα αυτού του τελευταίου προγράμματος</w:t>
            </w:r>
            <w:r>
              <w:t>·</w:t>
            </w:r>
          </w:p>
        </w:tc>
        <w:tc>
          <w:tcPr>
            <w:tcW w:w="4876" w:type="dxa"/>
            <w:tcBorders>
              <w:top w:val="nil"/>
              <w:left w:val="nil"/>
              <w:bottom w:val="nil"/>
              <w:right w:val="nil"/>
            </w:tcBorders>
          </w:tcPr>
          <w:p>
            <w:pPr>
              <w:pStyle w:val="Normal6a"/>
            </w:pPr>
            <w:r>
              <w:t>22.</w:t>
            </w:r>
            <w:r>
              <w:tab/>
            </w:r>
            <w:r>
              <w:t xml:space="preserve">σημειώνει </w:t>
            </w:r>
            <w:r>
              <w:rPr>
                <w:b/>
                <w:i/>
              </w:rPr>
              <w:t>ότι το ΔΕΕ υλοποίησε</w:t>
            </w:r>
            <w:r>
              <w:t xml:space="preserve"> δράσεις </w:t>
            </w:r>
            <w:r>
              <w:rPr>
                <w:b/>
                <w:i/>
              </w:rPr>
              <w:t>και προγράμματα κατάρτισης</w:t>
            </w:r>
            <w:r>
              <w:t xml:space="preserve"> για το προσωπικό του </w:t>
            </w:r>
            <w:r>
              <w:rPr>
                <w:b/>
                <w:i/>
              </w:rPr>
              <w:t>το 2024</w:t>
            </w:r>
            <w:r>
              <w:t>· σημειώνει</w:t>
            </w:r>
            <w:r>
              <w:rPr>
                <w:b/>
                <w:i/>
              </w:rPr>
              <w:t>, επιπλέον, ότι τα</w:t>
            </w:r>
            <w:r>
              <w:t xml:space="preserve"> μέτρα </w:t>
            </w:r>
            <w:r>
              <w:rPr>
                <w:b/>
                <w:i/>
              </w:rPr>
              <w:t>αυτά προορίζονται για</w:t>
            </w:r>
            <w:r>
              <w:t xml:space="preserve"> την ανάπτυξη </w:t>
            </w:r>
            <w:r>
              <w:rPr>
                <w:b/>
                <w:i/>
              </w:rPr>
              <w:t>του εσωτερικού προσωπικού</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εκφράζει την ικανοποίησή του για το γεγονός ότι όλες οι εθνικότητες της Ένωσης εκπροσωπούνται στο</w:t>
            </w:r>
            <w:r>
              <w:t xml:space="preserve"> προσωπικό του ΔΕΕ</w:t>
            </w:r>
            <w:r>
              <w:rPr>
                <w:b/>
                <w:i/>
              </w:rPr>
              <w:t>·</w:t>
            </w:r>
            <w:r>
              <w:t xml:space="preserve"> </w:t>
            </w:r>
            <w:r>
              <w:rPr>
                <w:b/>
                <w:i/>
              </w:rPr>
              <w:t>σημειώνει, ωστόσο, ότι ορισμένες εθνικότητες εκπροσωπούνται περισσότερο από άλλες, ενώ ορισμένες από αυτές υπερεκπροσωπούνται σε μεγάλο βαθμό·</w:t>
            </w:r>
            <w:r>
              <w:t xml:space="preserve"> </w:t>
            </w:r>
            <w:r>
              <w:rPr>
                <w:b/>
                <w:i/>
              </w:rPr>
              <w:t>υποστηρίζει το ΔΕΕ στην εντατικοποίηση των προσπαθειών του για την όσο το δυνατόν ευρύτερη δημοσίευση των προκηρύξεων κενών θέσεων μέσω διοργανικών ιστοτόπων, μέσων κοινωνικής δικτύωσης και της EPSO·</w:t>
            </w:r>
            <w:r>
              <w:t xml:space="preserve"> </w:t>
            </w:r>
            <w:r>
              <w:rPr>
                <w:b/>
                <w:i/>
              </w:rPr>
              <w:t>σημειώνει, με βάση την έκθεση παρακολούθησης, τη δέσμευση του ΔΕΕ να αναλύσει τα σχετικά δεδομένα για την υλοποίηση στοχευμένων δράσεων που αποσκοπούν στη βελτίωση της γεωγραφικής εκπροσώπησης του προσωπικού του, συμπεριλαμβανομένων των ασκουμένων·</w:t>
            </w:r>
            <w:r>
              <w:t xml:space="preserve"> </w:t>
            </w:r>
            <w:r>
              <w:rPr>
                <w:b/>
                <w:i/>
              </w:rPr>
              <w:t>εκφράζει την ικανοποίησή του για τις προσπάθειες του ΔΕΕ να αυξήσει την ενημέρωση για τα προγράμματα πρακτικής άσκησης μεταξύ των εθνικών διοικήσεων και των μόνιμων αντιπροσωπειών των υποεκπροσωπούμενων κρατών μελών·</w:t>
            </w:r>
            <w:r>
              <w:t xml:space="preserve"> </w:t>
            </w:r>
            <w:r>
              <w:rPr>
                <w:b/>
                <w:i/>
              </w:rPr>
              <w:t>σημειώνει με ικανοποίηση ότι, όσον αφορά την πρακτική άσκηση στο πλαίσιο του Ευρωπαϊκού Δικτύου Κατάρτισης Δικαστικών (ΕΔΚΔ), το ΔΕΕ έλαβε το 2024 αιτήσεις από τρία νέα</w:t>
            </w:r>
            <w:r>
              <w:t xml:space="preserve"> κράτη μέλη </w:t>
            </w:r>
            <w:r>
              <w:rPr>
                <w:b/>
                <w:i/>
              </w:rPr>
              <w:t>που συμμετείχαν για πρώτη φορά στο μακροπρόθεσμο πρόγραμμα κατάρτισης για τους επαγγελματίες του τομέα της δικαιοσύνης σε εθνικό επίπεδο</w:t>
            </w:r>
            <w:r>
              <w:t>·</w:t>
            </w:r>
          </w:p>
        </w:tc>
        <w:tc>
          <w:tcPr>
            <w:tcW w:w="4876" w:type="dxa"/>
            <w:tcBorders>
              <w:top w:val="nil"/>
              <w:left w:val="nil"/>
              <w:bottom w:val="nil"/>
              <w:right w:val="nil"/>
            </w:tcBorders>
          </w:tcPr>
          <w:p>
            <w:pPr>
              <w:pStyle w:val="Normal6a"/>
            </w:pPr>
            <w:r>
              <w:t>23.</w:t>
            </w:r>
            <w:r>
              <w:tab/>
            </w:r>
            <w:r>
              <w:rPr>
                <w:b/>
                <w:i/>
              </w:rPr>
              <w:t>σημειώνει ότι το</w:t>
            </w:r>
            <w:r>
              <w:t xml:space="preserve"> προσωπικό του ΔΕΕ </w:t>
            </w:r>
            <w:r>
              <w:rPr>
                <w:b/>
                <w:i/>
              </w:rPr>
              <w:t>περιλαμβάνει μέλη από όλα τα</w:t>
            </w:r>
            <w:r>
              <w:t xml:space="preserve"> κράτη μέλη·</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συγχαίρει το ΔΕΕ για τις δράσεις του με σκοπό την αντιμετώπιση των προκλήσεων όσον αφορά τις προσλήψεις προσωπικού και την προώθηση του Λουξεμβούργου μεταξύ των νέων αποφοίτων ως τόπου εργασίας· σημειώνει με ικανοποίηση τη συμβολή του ΔΕΕ στη θέσπιση και την εφαρμογή επιδόματος στέγασης που καταβάλλεται με αναδρομική ισχύ από την 1η Ιανουαρίου 2025 στο προσωπικό χαμηλότερων βαθμών, στην προετοιμασία διαγωνισμών της EPSO που απευθύνονται ειδικά στο προσωπικό που πρόκειται να απασχοληθεί στο Λουξεμβούργο, καθώς και σε ενημερωτικές συνεδρίες και θερινά σχολεία· σημειώνει, με βάση την έκθεση παρακολούθησης, ότι το ΔΕΕ υλοποίησε πιλοτικά, για λογαριασμό της διοργανικής ομάδας υψηλού επιπέδου, ένα έργο/μια έρευνα για να διαπιστώσει εάν θα ήταν εφικτή η σύναψη συμβάσεων για υπηρεσίες μίσθωσης προσωρινής στέγασης (δηλαδή για μέγιστη περίοδο ενός έτους), σε αγοραία τιμή (ή χαμηλότερη) που θα καταβαλλόταν απευθείας από τα μέλη του προσωπικού· σημειώνει περαιτέρω ότι η έρευνα ήταν επιτυχής και, κατά συνέπεια, η ομάδα εργασίας υπέβαλε συμφωνία επιπέδου υπηρεσιών στα συμμετέχοντα θεσμικά όργανα για να αναθέσει στο ΔΕΕ να διεξαγάγει διαδικασία διαπραγμάτευσης ακινήτων με οντότητες που έχουν υποβάλει κατάλληλα έργα· καλεί το ΔΕΕ να τηρεί ενήμερη την αρμόδια για την απαλλαγή αρχή σχετικά με τη συνέχεια που θα δοθεί στο θέμα αυτό·</w:t>
            </w:r>
          </w:p>
        </w:tc>
        <w:tc>
          <w:tcPr>
            <w:tcW w:w="4876" w:type="dxa"/>
            <w:tcBorders>
              <w:top w:val="nil"/>
              <w:left w:val="nil"/>
              <w:bottom w:val="nil"/>
              <w:right w:val="nil"/>
            </w:tcBorders>
          </w:tcPr>
          <w:p>
            <w:pPr>
              <w:pStyle w:val="Normal6a"/>
            </w:pPr>
            <w:r>
              <w:t>25.</w:t>
            </w:r>
            <w:r>
              <w:tab/>
            </w:r>
            <w:r>
              <w:t>συγχαίρει το ΔΕΕ για τις δράσεις του με σκοπό την αντιμετώπιση των προκλήσεων όσον αφορά τις προσλήψεις προσωπικού και την προώθηση του Λουξεμβούργου μεταξύ των νέων αποφοίτων ως τόπου εργασίας· σημειώνει με ικανοποίηση τη συμβολή του ΔΕΕ στη θέσπιση και την εφαρμογή επιδόματος στέγασης που καταβάλλεται με αναδρομική ισχύ από την 1η Ιανουαρίου 2025 στο προσωπικό χαμηλότερων βαθμών, στην προετοιμασία διαγωνισμών της EPSO που απευθύνονται ειδικά στο προσωπικό που πρόκειται να απασχοληθεί στο Λουξεμβούργο, καθώς και σε ενημερωτικές συνεδρίες και θερινά σχολεία</w:t>
            </w:r>
            <w:r>
              <w:rPr>
                <w:b/>
                <w:i/>
              </w:rPr>
              <w:t>·</w:t>
            </w:r>
            <w:r>
              <w:t xml:space="preserve"> </w:t>
            </w:r>
            <w:r>
              <w:rPr>
                <w:b/>
                <w:i/>
              </w:rPr>
              <w:t>ενθαρρύνει την εντατικοποίηση της συνεργασίας με την EPSO και άλλα θεσμικά όργανα για τη διεύρυνση της δεξαμενής υποψηφίων με τα κατάλληλα προσόντα και την ενίσχυση των ανταγωνιστικών διαδικασιών επιλογής σε εξειδικευμένους τομείς</w:t>
            </w:r>
            <w:r>
              <w:t>· σημειώνει, με βάση την έκθεση παρακολούθησης, ότι το ΔΕΕ υλοποίησε πιλοτικά, για λογαριασμό της διοργανικής ομάδας υψηλού επιπέδου, ένα έργο/μια έρευνα για να διαπιστώσει εάν θα ήταν εφικτή η σύναψη συμβάσεων για υπηρεσίες μίσθωσης προσωρινής στέγασης (δηλαδή για μέγιστη περίοδο ενός έτους), σε αγοραία τιμή (ή χαμηλότερη) που θα καταβαλλόταν απευθείας από τα μέλη του προσωπικού· σημειώνει περαιτέρω ότι η έρευνα ήταν επιτυχής και, κατά συνέπεια, η ομάδα εργασίας υπέβαλε συμφωνία επιπέδου υπηρεσιών στα συμμετέχοντα θεσμικά όργανα για να αναθέσει στο ΔΕΕ να διεξαγάγει διαδικασία διαπραγμάτευσης ακινήτων με οντότητες που έχουν υποβάλει κατάλληλα έργα· καλεί το ΔΕΕ να τηρεί ενήμερη την αρμόδια για την απαλλαγή αρχή σχετικά με τη συνέχεια που θα δοθεί στο θέμα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σημειώνει ότι το 2024 καταγράφηκαν </w:t>
            </w:r>
            <w:r>
              <w:rPr>
                <w:b/>
                <w:i/>
              </w:rPr>
              <w:t>19</w:t>
            </w:r>
            <w:r>
              <w:t xml:space="preserve"> περιπτώσεις επαγγελματικής εξουθένωσης, από τις οποίες οκτώ νέες περιπτώσεις αναφέρθηκαν το 2024 και εννέα περιπτώσεις αναφέρθηκαν το 2023, ενώ τα εν λόγω μέλη του προσωπικού έλαβαν επαγγελματική υποστήριξη και καθοδήγηση· σημειώνει με ικανοποίηση ότι, το 2024, το ΔΕΕ παρέμεινε πρωτοπόρος σε πρωτοβουλίες που προάγουν τη σωματική και ψυχική ευεξία του προσωπικού και αντιμετωπίζουν την επαγγελματική εξουθένωση και τους ψυχοκοινωνικούς κινδύνους, όπως συνεδρίες με κοινωνικό λειτουργό ή ψυχολόγο, διαλέξεις σχετικά με την ενσυνειδητότητα και την ψηφιακή ισορροπία, εξειδικευμένα εργαστήρια και δραστηριότητες ευαισθητοποίησης σε θέματα υγείας, σεμινάρια κατάρτισης στις πρώτες βοήθειες και πρόσληψη δύο ψυχολόγων μερικής απασχόλησης· αναγνωρίζει την επιτυχία όσον αφορά τη χρήση ευέλικτων ρυθμίσεων εργασίας, συμπεριλαμβανομένου του συστήματος τηλεργασίας του ΔΕΕ, με απώτερη επιδίωξη την καλύτερη ισορροπία μεταξύ επαγγελματικής και προσωπικής ζωής του προσωπικού·</w:t>
            </w:r>
          </w:p>
        </w:tc>
        <w:tc>
          <w:tcPr>
            <w:tcW w:w="4876" w:type="dxa"/>
            <w:tcBorders>
              <w:top w:val="nil"/>
              <w:left w:val="nil"/>
              <w:bottom w:val="nil"/>
              <w:right w:val="nil"/>
            </w:tcBorders>
          </w:tcPr>
          <w:p>
            <w:pPr>
              <w:pStyle w:val="Normal6a"/>
            </w:pPr>
            <w:r>
              <w:t>27.</w:t>
            </w:r>
            <w:r>
              <w:tab/>
            </w:r>
            <w:r>
              <w:t xml:space="preserve">σημειώνει ότι το 2024 καταγράφηκαν </w:t>
            </w:r>
            <w:r>
              <w:rPr>
                <w:b/>
                <w:i/>
              </w:rPr>
              <w:t>17</w:t>
            </w:r>
            <w:r>
              <w:t xml:space="preserve"> περιπτώσεις επαγγελματικής εξουθένωσης, από τις οποίες οκτώ νέες περιπτώσεις αναφέρθηκαν το 2024 και εννέα περιπτώσεις αναφέρθηκαν το 2023, ενώ τα εν λόγω μέλη του προσωπικού έλαβαν επαγγελματική υποστήριξη και καθοδήγηση· σημειώνει με ικανοποίηση ότι, το 2024, το ΔΕΕ παρέμεινε πρωτοπόρος σε πρωτοβουλίες που προάγουν τη σωματική και ψυχική ευεξία του προσωπικού και αντιμετωπίζουν την επαγγελματική εξουθένωση και τους ψυχοκοινωνικούς κινδύνους, όπως συνεδρίες με κοινωνικό λειτουργό ή ψυχολόγο, διαλέξεις σχετικά με την ενσυνειδητότητα και την ψηφιακή ισορροπία, εξειδικευμένα εργαστήρια και δραστηριότητες ευαισθητοποίησης σε θέματα υγείας, σεμινάρια κατάρτισης στις πρώτες βοήθειες και πρόσληψη δύο ψυχολόγων μερικής απασχόλησης· αναγνωρίζει την επιτυχία όσον αφορά τη χρήση ευέλικτων ρυθμίσεων εργασίας, συμπεριλαμβανομένου του συστήματος τηλεργασίας του ΔΕΕ, με απώτερη επιδίωξη την καλύτερη ισορροπία μεταξύ επαγγελματικής και προσωπικής ζωής του προσωπικού·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του ΔΕΕ και την προσήλωσή του σε υψηλά δεοντολογικά πρότυπα·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με ικανοποίηση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747 άτομα (δηλαδή το 32,80 %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w:t>
            </w:r>
          </w:p>
        </w:tc>
        <w:tc>
          <w:tcPr>
            <w:tcW w:w="4876" w:type="dxa"/>
            <w:tcBorders>
              <w:top w:val="nil"/>
              <w:left w:val="nil"/>
              <w:bottom w:val="nil"/>
              <w:right w:val="nil"/>
            </w:tcBorders>
          </w:tcPr>
          <w:p>
            <w:pPr>
              <w:pStyle w:val="Normal6a"/>
            </w:pPr>
            <w:r>
              <w:t>29.</w:t>
            </w:r>
            <w:r>
              <w:tab/>
            </w:r>
            <w:r>
              <w:t xml:space="preserve">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του ΔΕΕ και την προσήλωσή του σε υψηλά δεοντολογικά πρότυπα·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w:t>
            </w:r>
            <w:r>
              <w:rPr>
                <w:b/>
                <w:i/>
              </w:rPr>
              <w:t>ότι το ΔΕΕ έχει θέσει σε εφαρμογή όλες τις δράσεις ενημέρωσης και κατάρτισης που απαιτούνται προκειμένου να παρουσιάσει και να εξηγήσει τον κώδικα δεοντολογίας όσο το δυνατόν ευρύτερα, καθώς και προκειμένου το προσωπικό να κατανοήσει πλήρως τους νέους κανόνες και το ευρύτερο νομικό πλαίσιο στο οποίο εντάσσονται·</w:t>
            </w:r>
            <w:r>
              <w:t xml:space="preserve"> </w:t>
            </w:r>
            <w:r>
              <w:rPr>
                <w:b/>
                <w:i/>
              </w:rPr>
              <w:t>σημειώνει</w:t>
            </w:r>
            <w:r>
              <w:t xml:space="preserve"> με ικανοποίηση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747 άτομα (δηλαδή το 32,80 %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του ΔΕΕ και την προσήλωσή του σε υψηλά δεοντολογικά πρότυπα·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με ικανοποίηση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747 άτομα (δηλαδή το 32,80 %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w:t>
            </w:r>
          </w:p>
        </w:tc>
        <w:tc>
          <w:tcPr>
            <w:tcW w:w="4876" w:type="dxa"/>
            <w:tcBorders>
              <w:top w:val="nil"/>
              <w:left w:val="nil"/>
              <w:bottom w:val="nil"/>
              <w:right w:val="nil"/>
            </w:tcBorders>
          </w:tcPr>
          <w:p>
            <w:pPr>
              <w:pStyle w:val="Normal6a"/>
            </w:pPr>
            <w:r>
              <w:t>29.</w:t>
            </w:r>
            <w:r>
              <w:tab/>
            </w:r>
            <w:r>
              <w:t xml:space="preserve">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του ΔΕΕ και την προσήλωσή του σε υψηλά δεοντολογικά πρότυπα·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με ικανοποίηση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747 άτομα (δηλαδή το 32,80 %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 </w:t>
            </w:r>
            <w:r>
              <w:rPr>
                <w:b/>
                <w:i/>
              </w:rPr>
              <w:t>ενθαρρύνει το Δικαστήριο να ενισχύσει σταδιακά την παροχή κατάρτισης σχετικά με τον κώδικα δεοντολογίας σε όλα ανεξαιρέτως τα μέλη του προσωπικού, ώστε να διασφαλιστεί η κοινή κατανόηση των δεοντολογικών προτύπων σε ολόκληρο το θεσμικό όργανο·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του ΔΕΕ και την προσήλωσή του σε υψηλά δεοντολογικά πρότυπα·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με ικανοποίηση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w:t>
            </w:r>
            <w:r>
              <w:rPr>
                <w:b/>
                <w:i/>
              </w:rPr>
              <w:t>747</w:t>
            </w:r>
            <w:r>
              <w:t xml:space="preserve"> άτομα (δηλαδή το </w:t>
            </w:r>
            <w:r>
              <w:rPr>
                <w:b/>
                <w:i/>
              </w:rPr>
              <w:t>32,80</w:t>
            </w:r>
            <w:r>
              <w:t xml:space="preserve">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w:t>
            </w:r>
          </w:p>
        </w:tc>
        <w:tc>
          <w:tcPr>
            <w:tcW w:w="4876" w:type="dxa"/>
            <w:tcBorders>
              <w:top w:val="nil"/>
              <w:left w:val="nil"/>
              <w:bottom w:val="nil"/>
              <w:right w:val="nil"/>
            </w:tcBorders>
          </w:tcPr>
          <w:p>
            <w:pPr>
              <w:pStyle w:val="Normal6a"/>
            </w:pPr>
            <w:r>
              <w:t>29.</w:t>
            </w:r>
            <w:r>
              <w:tab/>
            </w:r>
            <w:r>
              <w:t xml:space="preserve">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του ΔΕΕ και την προσήλωσή του σε υψηλά δεοντολογικά πρότυπα·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Ευρωπαϊκού Δικτύου Κατάρτισης Δικαστικών· σημειώνει με ικανοποίηση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w:t>
            </w:r>
            <w:r>
              <w:rPr>
                <w:b/>
                <w:i/>
              </w:rPr>
              <w:t>561</w:t>
            </w:r>
            <w:r>
              <w:t xml:space="preserve"> άτομα (δηλαδή το </w:t>
            </w:r>
            <w:r>
              <w:rPr>
                <w:b/>
                <w:i/>
              </w:rPr>
              <w:t>24,75</w:t>
            </w:r>
            <w:r>
              <w:t xml:space="preserve">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εκφράζει την ικανοποίησή του για τη δέσμευση του ΔΕΕ να ενισχύσει τη διαφάνεια, την πρόσβαση στη δικαιοσύνη και την ανοικτή πρόσβαση του κοινού, συμβάλλοντας έτσι στην ενίσχυση της εμπιστοσύνης του κοινού στα θεσμικά όργανα της Ένωσης, εξισορροπώντας παράλληλα άλλες θεμελιώδεις ανησυχίες, όπως η ομαλή διεξαγωγή και η εμπιστευτικότητα των δικαστικών διαδικασιών, καθώς και η προστασία των δεδομένων προσωπικού χαρακτήρα· σημειώνει ότι, το 2024, το ΔΕΕ ενοποίησε την υπηρεσία συνεχούς ροής για τις ακροάσεις του Δικαστηρίου και του Γενικού Δικαστηρίου στον ιστότοπο Curia, διευκολύνοντας έτσι την πρόσβαση των πολιτών στις δικαστικές δραστηριότητες του ΔΕΕ· επικροτεί, στο πλαίσιο αυτό, ως αποτέλεσμα της δικαστικής μεταρρύθμισης που εγκρίθηκε το 2024, την αυξημένη διαφάνεια της διαδικασίας έκδοσης προδικαστικής απόφασης, επιτρέποντας τη δημοσίευση γραπτών παρατηρήσεων στον ιστότοπο του ΔΕΕ εντός εύλογου χρονικού διαστήματος μετά την περάτωση της υπόθεσης·</w:t>
            </w:r>
          </w:p>
        </w:tc>
        <w:tc>
          <w:tcPr>
            <w:tcW w:w="4876" w:type="dxa"/>
            <w:tcBorders>
              <w:top w:val="nil"/>
              <w:left w:val="nil"/>
              <w:bottom w:val="nil"/>
              <w:right w:val="nil"/>
            </w:tcBorders>
          </w:tcPr>
          <w:p>
            <w:pPr>
              <w:pStyle w:val="Normal6a"/>
            </w:pPr>
            <w:r>
              <w:t>37.</w:t>
            </w:r>
            <w:r>
              <w:tab/>
            </w:r>
            <w:r>
              <w:t>εκφράζει την ικανοποίησή του για τη δέσμευση του ΔΕΕ να ενισχύσει τη διαφάνεια, την πρόσβαση στη δικαιοσύνη και την ανοικτή πρόσβαση του κοινού, συμβάλλοντας έτσι στην ενίσχυση της εμπιστοσύνης του κοινού στα θεσμικά όργανα της Ένωσης, εξισορροπώντας παράλληλα άλλες θεμελιώδεις ανησυχίες, όπως η ομαλή διεξαγωγή και η εμπιστευτικότητα των δικαστικών διαδικασιών, καθώς και η προστασία των δεδομένων προσωπικού χαρακτήρα</w:t>
            </w:r>
            <w:r>
              <w:rPr>
                <w:b/>
                <w:i/>
              </w:rPr>
              <w:t>·</w:t>
            </w:r>
            <w:r>
              <w:t xml:space="preserve"> </w:t>
            </w:r>
            <w:r>
              <w:rPr>
                <w:b/>
                <w:i/>
              </w:rPr>
              <w:t>τονίζει ότι η αυξημένη διαφάνεια πρέπει επίσης να συμβάλει στην ενίσχυση της εμπιστοσύνης του κοινού στη νομολογία του Δικαστηρίου·</w:t>
            </w:r>
            <w:r>
              <w:t xml:space="preserve"> </w:t>
            </w:r>
            <w:r>
              <w:rPr>
                <w:b/>
                <w:i/>
              </w:rPr>
              <w:t>ενθαρρύνει το Δικαστήριο να συνεχίσει τις προσπάθειες για τη βελτίωση της σαφήνειας, της προσβασιμότητας και της προβλεψιμότητας της νομολογίας του, ιδίως σε υποθέσεις με σημαντικό συνταγματικό ή κοινωνικό αντίκτυπο</w:t>
            </w:r>
            <w:r>
              <w:t>· σημειώνει ότι, το 2024, το ΔΕΕ ενοποίησε την υπηρεσία συνεχούς ροής για τις ακροάσεις του Δικαστηρίου και του Γενικού Δικαστηρίου στον ιστότοπο Curia, διευκολύνοντας έτσι την πρόσβαση των πολιτών στις δικαστικές δραστηριότητες του ΔΕΕ· επικροτεί, στο πλαίσιο αυτό, ως αποτέλεσμα της δικαστικής μεταρρύθμισης που εγκρίθηκε το 2024, την αυξημένη διαφάνεια της διαδικασίας έκδοσης προδικαστικής απόφασης, επιτρέποντας τη δημοσίευση γραπτών παρατηρήσεων στον ιστότοπο του ΔΕΕ εντός εύλογου χρονικού διαστήματος μετά την περάτωση της υπόθεσης·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σημειώνει με ικανοποίηση, με βάση την έκθεση παρακολούθησης, ότι, μετά από ένα επιτυχημένο πιλοτικό έργο που δρομολογήθηκε το 2022 και την επικαιροποίηση του εσωτερικού κανονισμού του το 2024, το Δικαστήριο επέκτεινε την υπηρεσία μετάδοσης συνεχούς ροής ώστε να συμπεριλάβει σημαντικές υποθέσεις που εκδικάζονται από πενταμελές τμήμα, καθώς και τη σχεδόν ζωντανή μετάδοση συνεχούς ροής των αγορεύσεων και τις ζωντανές μεταδόσεις της έκδοσης αποφάσεων και των προτάσεων των γενικών εισαγγελέων· σημειώνει περαιτέρω ότι, από την 1η Σεπτεμβρίου 2024, οι βιντεοσκοπήσεις των ακροάσεων για την έκδοση αποφάσεων και προτάσεων παραμένουν μόνιμα διαθέσιμες στον ιστότοπο του ΔΕΕ και οι βιντεοσκοπήσεις των προφορικών ισχυρισμών είναι προσβάσιμες έναν μήνα μετά την ακρόαση· σημειώνει με ικανοποίηση ότι το Γενικό Δικαστήριο έχει λάβει παρόμοια μέτρα για να διασφαλίσει διευρυμένη πρόσβαση του κοινού στις διαδικασίες του·</w:t>
            </w:r>
          </w:p>
        </w:tc>
        <w:tc>
          <w:tcPr>
            <w:tcW w:w="4876" w:type="dxa"/>
            <w:tcBorders>
              <w:top w:val="nil"/>
              <w:left w:val="nil"/>
              <w:bottom w:val="nil"/>
              <w:right w:val="nil"/>
            </w:tcBorders>
          </w:tcPr>
          <w:p>
            <w:pPr>
              <w:pStyle w:val="Normal6a"/>
            </w:pPr>
            <w:r>
              <w:t>38.</w:t>
            </w:r>
            <w:r>
              <w:tab/>
            </w:r>
            <w:r>
              <w:t xml:space="preserve">σημειώνει με ικανοποίηση, με βάση την έκθεση παρακολούθησης, ότι, μετά από ένα επιτυχημένο πιλοτικό έργο που δρομολογήθηκε το 2022 και την επικαιροποίηση του εσωτερικού κανονισμού του το 2024, το Δικαστήριο επέκτεινε την υπηρεσία μετάδοσης συνεχούς ροής ώστε να συμπεριλάβει σημαντικές υποθέσεις που εκδικάζονται από πενταμελές τμήμα, καθώς και τη σχεδόν ζωντανή μετάδοση συνεχούς ροής των αγορεύσεων και τις ζωντανές μεταδόσεις της έκδοσης αποφάσεων και των προτάσεων των γενικών εισαγγελέων· σημειώνει περαιτέρω ότι, από την 1η Σεπτεμβρίου 2024, οι βιντεοσκοπήσεις των ακροάσεων για την έκδοση αποφάσεων και προτάσεων παραμένουν μόνιμα διαθέσιμες στον ιστότοπο του ΔΕΕ και οι βιντεοσκοπήσεις των προφορικών ισχυρισμών είναι προσβάσιμες </w:t>
            </w:r>
            <w:r>
              <w:rPr>
                <w:b/>
                <w:i/>
              </w:rPr>
              <w:t>επί</w:t>
            </w:r>
            <w:r>
              <w:t xml:space="preserve"> έναν μήνα μετά την ακρόαση· σημειώνει με ικανοποίηση ότι το Γενικό Δικαστήριο έχει λάβει παρόμοια μέτρα για να διασφαλίσει διευρυμένη πρόσβαση του κοινού στις διαδικασίες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σημειώνει με ενδιαφέρον τη δρομολόγηση, το 2024, πιλοτικού έργου που παρέχει σε όλα τα τμήματα του ΔΕΕ πρόσβαση σε βοηθούς ΤΝ· υπογραμμίζει ότι είναι σημαντικό να διασφαλιστεί η τήρηση των δεοντολογικών αρχών κατά τη χρήση εργαλείων ΤΝ και ιδίως των κατευθυντήριων γραμμών του ΔΕΕ για την ΤΝ που εκδόθηκαν το 2024, ώστε να εξασφαλιστεί η ανθρώπινη εποπτεία όσον αφορά την αρχή της ανεξαρτησίας των νομικών διαδικασιών· επισημαίνει, στο πλαίσιο αυτό, τον εποπτικό ρόλο του διοικητικού συμβουλίου ΤΝ του ΔΕΕ· συγχαίρει το ΔΕΕ για το ολοκληρωμένο πρόγραμμα κατάρτισης που έθεσε σε εφαρμογή το 2024, αρχής γενομένης από τον «μήνα ενημέρωσης για την ΤΝ» που περιλάμβανε σεμινάρια κατάρτισης, συζητήσεις στρογγυλής τραπέζης καθοδηγούμενες από εμπειρογνώμονες στον τομέα της ΤΝ, διαδικτυακά σεμινάρια και εντατικά προγράμματα πρακτικής κατάρτισης, κάνοντας έτσι ένα πρώτο και σημαντικό βήμα προς την ενημέρωση των μελών του προσωπικού σχετικά με τη στρατηγική και τις κατευθυντήριες γραμμές του ΔΕΕ για την ΤΝ, αλλά και την ΤΝ γενικότερα· σημειώνει ότι τα μέλη του προσωπικού παρακολουθούν επίσης μαθήματα σχετικά με τη διαχείριση των αλλαγών, τη μεταφορά γνώσεων, την καθοδήγηση και τη νοητική ευελιξία, ώστε να υποστηριχθεί η προσαρμογή στις αναδυόμενες τεχνολογίες· καλεί το ΔΕΕ να συνεχίσει να διοργανώνει τέτοια προγράμματα κατάρτισης και ενημέρωσης·</w:t>
            </w:r>
          </w:p>
        </w:tc>
        <w:tc>
          <w:tcPr>
            <w:tcW w:w="4876" w:type="dxa"/>
            <w:tcBorders>
              <w:top w:val="nil"/>
              <w:left w:val="nil"/>
              <w:bottom w:val="nil"/>
              <w:right w:val="nil"/>
            </w:tcBorders>
          </w:tcPr>
          <w:p>
            <w:pPr>
              <w:pStyle w:val="Normal6a"/>
            </w:pPr>
            <w:r>
              <w:t>43.</w:t>
            </w:r>
            <w:r>
              <w:tab/>
            </w:r>
            <w:r>
              <w:t>σημειώνει με ενδιαφέρον τη δρομολόγηση, το 2024, πιλοτικού έργου που παρέχει σε όλα τα τμήματα του ΔΕΕ πρόσβαση σε βοηθούς ΤΝ· υπογραμμίζει ότι είναι σημαντικό να διασφαλιστεί η τήρηση των δεοντολογικών αρχών κατά τη χρήση εργαλείων ΤΝ και ιδίως των κατευθυντήριων γραμμών του ΔΕΕ για την ΤΝ που εκδόθηκαν το 2024, ώστε να εξασφαλιστεί η ανθρώπινη εποπτεία όσον αφορά την αρχή της ανεξαρτησίας των νομικών διαδικασιών</w:t>
            </w:r>
            <w:r>
              <w:rPr>
                <w:b/>
                <w:i/>
              </w:rPr>
              <w:t>·</w:t>
            </w:r>
            <w:r>
              <w:t xml:space="preserve"> </w:t>
            </w:r>
            <w:r>
              <w:rPr>
                <w:b/>
                <w:i/>
              </w:rPr>
              <w:t>υπογραμμίζει ότι η χρήση εργαλείων ΤΝ σε δικαστικό περιβάλλον δεν πρέπει ποτέ να αντικαθιστά τον ανθρώπινο νομικό συλλογισμό ή τη δικαστική διακριτική ευχέρεια, ούτε να υπονομεύει την προσωπική ευθύνη των δικαστών</w:t>
            </w:r>
            <w:r>
              <w:t>· επισημαίνει, στο πλαίσιο αυτό, τον εποπτικό ρόλο του διοικητικού συμβουλίου ΤΝ του ΔΕΕ· συγχαίρει το ΔΕΕ για το ολοκληρωμένο πρόγραμμα κατάρτισης που έθεσε σε εφαρμογή το 2024, αρχής γενομένης από τον «μήνα ενημέρωσης για την ΤΝ» που περιλάμβανε σεμινάρια κατάρτισης, συζητήσεις στρογγυλής τραπέζης καθοδηγούμενες από εμπειρογνώμονες στον τομέα της ΤΝ, διαδικτυακά σεμινάρια και εντατικά προγράμματα πρακτικής κατάρτισης, κάνοντας έτσι ένα πρώτο και σημαντικό βήμα προς την ενημέρωση των μελών του προσωπικού σχετικά με τη στρατηγική και τις κατευθυντήριες γραμμές του ΔΕΕ για την ΤΝ, αλλά και την ΤΝ γενικότερα· σημειώνει ότι τα μέλη του προσωπικού παρακολουθούν επίσης μαθήματα σχετικά με τη διαχείριση των αλλαγών, τη μεταφορά γνώσεων, την καθοδήγηση και τη νοητική ευελιξία, ώστε να υποστηριχθεί η προσαρμογή στις αναδυόμενες τεχνολογίες· καλεί το ΔΕΕ να συνεχίσει να διοργανώνει τέτοια προγράμματα κατάρτισης και ενημέρωσης·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σημειώνει ότι οι επιχειρησιακές ικανότητες κυβερνοασφάλειας ενισχύθηκαν περαιτέρω το 2024, ώστε να επιτευχθεί συμμόρφωση με τον κανονισμό (ΕΕ, Ευρατόμ) 2023/2841 και να αντιμετωπιστεί ο αυξανόμενος αριθμός κυβερνοεπιθέσεων· παρατηρεί ότι το 2024 δεν σημειώθηκαν μεγάλες κυβερνοεπιθέσεις· σημειώνει με ανησυχία ότι καταγράφηκαν και αναλύθηκαν κατά μέσο όρο 142 συμβάντα ασφάλειας ανά μήνα, ορισμένα από τα οποία απαιτούσαν ανθρώπινη παρέμβαση·</w:t>
            </w:r>
          </w:p>
        </w:tc>
        <w:tc>
          <w:tcPr>
            <w:tcW w:w="4876" w:type="dxa"/>
            <w:tcBorders>
              <w:top w:val="nil"/>
              <w:left w:val="nil"/>
              <w:bottom w:val="nil"/>
              <w:right w:val="nil"/>
            </w:tcBorders>
          </w:tcPr>
          <w:p>
            <w:pPr>
              <w:pStyle w:val="Normal6a"/>
            </w:pPr>
            <w:r>
              <w:t>45.</w:t>
            </w:r>
            <w:r>
              <w:tab/>
            </w:r>
            <w:r>
              <w:t xml:space="preserve">σημειώνει ότι οι επιχειρησιακές ικανότητες κυβερνοασφάλειας ενισχύθηκαν περαιτέρω το 2024, ώστε να επιτευχθεί συμμόρφωση με τον κανονισμό (ΕΕ, Ευρατόμ) 2023/2841 και να αντιμετωπιστεί ο αυξανόμενος αριθμός κυβερνοεπιθέσεων· παρατηρεί ότι το 2024 δεν σημειώθηκαν μεγάλες κυβερνοεπιθέσεις· σημειώνει με ανησυχία ότι καταγράφηκαν και αναλύθηκαν κατά μέσο όρο 142 συμβάντα ασφάλειας ανά μήνα, ορισμένα από τα οποία απαιτούσαν ανθρώπινη παρέμβαση· </w:t>
            </w:r>
            <w:r>
              <w:rPr>
                <w:b/>
                <w:i/>
              </w:rPr>
              <w:t>υπογραμμίζει ότι η τάση αυτή αναδεικνύει την ανάγκη για συνεχείς και προβλέψιμες επενδύσεις σε ικανότητες κυβερνοασφάλειας, κατάρτιση του προσωπικού και διοργανική συνεργασία, σύμφωνα με τον κανονισμό (ΕΕ, Ευρατόμ)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σημειώνει ότι οι επιχειρησιακές ικανότητες κυβερνοασφάλειας ενισχύθηκαν περαιτέρω το 2024, ώστε να επιτευχθεί συμμόρφωση με τον κανονισμό (ΕΕ, Ευρατόμ) 2023/2841 και να αντιμετωπιστεί ο αυξανόμενος αριθμός κυβερνοεπιθέσεων· παρατηρεί ότι το 2024 δεν σημειώθηκαν μεγάλες κυβερνοεπιθέσεις· σημειώνει με ανησυχία ότι καταγράφηκαν και αναλύθηκαν κατά μέσο όρο 142 συμβάντα ασφάλειας ανά μήνα, ορισμένα από τα οποία απαιτούσαν ανθρώπινη παρέμβαση·</w:t>
            </w:r>
          </w:p>
        </w:tc>
        <w:tc>
          <w:tcPr>
            <w:tcW w:w="4876" w:type="dxa"/>
            <w:tcBorders>
              <w:top w:val="nil"/>
              <w:left w:val="nil"/>
              <w:bottom w:val="nil"/>
              <w:right w:val="nil"/>
            </w:tcBorders>
          </w:tcPr>
          <w:p>
            <w:pPr>
              <w:pStyle w:val="Normal6a"/>
            </w:pPr>
            <w:r>
              <w:t>45.</w:t>
            </w:r>
            <w:r>
              <w:tab/>
            </w:r>
            <w:r>
              <w:t xml:space="preserve">σημειώνει ότι οι επιχειρησιακές ικανότητες κυβερνοασφάλειας ενισχύθηκαν περαιτέρω το 2024, ώστε να επιτευχθεί συμμόρφωση με τον κανονισμό (ΕΕ, Ευρατόμ) 2023/2841 και να αντιμετωπιστεί ο αυξανόμενος αριθμός κυβερνοεπιθέσεων· παρατηρεί ότι το 2024 δεν σημειώθηκαν μεγάλες κυβερνοεπιθέσεις· σημειώνει με ανησυχία ότι καταγράφηκαν και αναλύθηκαν κατά μέσο όρο 142 συμβάντα ασφάλειας ανά μήνα, ορισμένα από τα οποία απαιτούσαν ανθρώπινη παρέμβαση· </w:t>
            </w:r>
            <w:r>
              <w:rPr>
                <w:b/>
                <w:i/>
              </w:rPr>
              <w:t>τονίζει ότι η κυβερνοασφάλεια αποτελεί στρατηγική επένδυση, απαραίτητη για τη διασφάλιση της ανεξαρτησίας της δικαιοσύνης, της ακεραιότητας των δεδομένων και της συνέχειας της δικαστικής δραστηριότητας·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συγχαίρει το ΔΕΕ για τις συνεχείς προσπάθειές του και τη σημαντική πρόοδο που σημείωσε όσον αφορά τη μείωση του περιβαλλοντικού αποτυπώματός του το 2024, όπως καταδεικνύεται από τις επιδόσεις του σε σχέση με τη βάση αναφοράς του συστήματος οικολογικής διαχείρισης και οικολογικού ελέγχου (EMAS) του 2015 με μειώσεις ανά ισοδύναμο πλήρους απασχόλησης (ΙΠΑ) που επιτεύχθηκαν σε πολλούς τύπους κατανάλωσης/εκπομπών (θέρμανση: - 37,5 %· ηλεκτρική ενέργεια: -29,3 %· χαρτί: -64,2 %, απόβλητα γραφείων και κυλικείων: -40,4 %· εκπομπές αερίων του θερμοκηπίου: -</w:t>
            </w:r>
            <w:r>
              <w:rPr>
                <w:b/>
                <w:i/>
              </w:rPr>
              <w:t>30,20</w:t>
            </w:r>
            <w:r>
              <w:t xml:space="preserve"> %)· σημειώνει μια συνολική βελτίωση σε σύγκριση με τις μειώσεις που αναφέρθηκαν για το 2023· αναγνωρίζει ότι τα αποτελέσματα αυτά, σε συνδυασμό με τις συνθήκες της αγοράς, οδήγησαν σε μείωση των ενεργειακών δαπανών κατά 18 % σε σύγκριση με τις προβλέψεις· επικροτεί, στο πλαίσιο αυτό, την ισχυρή ενσωμάτωση της βιωσιμότητας στο πλαίσιο διαχείρισης κινδύνων και λογοδοσίας του Ελεγκτικού Συνεδρίου, όπως απαιτείται από την πιστοποίηση EMAS του·</w:t>
            </w:r>
          </w:p>
        </w:tc>
        <w:tc>
          <w:tcPr>
            <w:tcW w:w="4876" w:type="dxa"/>
            <w:tcBorders>
              <w:top w:val="nil"/>
              <w:left w:val="nil"/>
              <w:bottom w:val="nil"/>
              <w:right w:val="nil"/>
            </w:tcBorders>
          </w:tcPr>
          <w:p>
            <w:pPr>
              <w:pStyle w:val="Normal6a"/>
            </w:pPr>
            <w:r>
              <w:t>50.</w:t>
            </w:r>
            <w:r>
              <w:tab/>
            </w:r>
            <w:r>
              <w:t>συγχαίρει το ΔΕΕ για τις συνεχείς προσπάθειές του και τη σημαντική πρόοδο που σημείωσε όσον αφορά τη μείωση του περιβαλλοντικού αποτυπώματός του το 2024, όπως καταδεικνύεται από τις επιδόσεις του σε σχέση με τη βάση αναφοράς του συστήματος οικολογικής διαχείρισης και οικολογικού ελέγχου (EMAS) του 2015 με μειώσεις ανά ισοδύναμο πλήρους απασχόλησης (ΙΠΑ) που επιτεύχθηκαν σε πολλούς τύπους κατανάλωσης/εκπομπών (θέρμανση: - 37,5 %· ηλεκτρική ενέργεια:-29,3 %· χαρτί:-64,2 %, απόβλητα γραφείων και κυλικείων:-40,4 %· εκπομπές αερίων του θερμοκηπίου:-</w:t>
            </w:r>
            <w:r>
              <w:rPr>
                <w:b/>
                <w:i/>
              </w:rPr>
              <w:t>26,7</w:t>
            </w:r>
            <w:r>
              <w:t xml:space="preserve"> %)· σημειώνει μια συνολική βελτίωση σε σύγκριση με τις μειώσεις που αναφέρθηκαν για το 2023· αναγνωρίζει ότι τα αποτελέσματα αυτά, σε συνδυασμό με τις συνθήκες της αγοράς, οδήγησαν σε μείωση των ενεργειακών δαπανών κατά 18 % σε σύγκριση με τις προβλέψεις· επικροτεί, στο πλαίσιο αυτό, την ισχυρή ενσωμάτωση της βιωσιμότητας στο πλαίσιο διαχείρισης κινδύνων και λογοδοσίας του Ελεγκτικού Συνεδρίου, όπως απαιτείται από την πιστοποίηση EMAS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συγχαίρει το ΔΕΕ για την αυστηρή προσέγγισή του όσον αφορά τις βιώσιμες προμήθειες, μέσω της κατηγοριοποίησης των προσκλήσεων υποβολής προσφορών με βάση τον αντίκτυπο («ελαφρώς πράσινες», «μέτρια πράσινες», «εξαιρετικά πράσινες») των περιβαλλοντικών ρητρών τους, της συστηματικής χρήσης εργαλείων όπως η υποχρεωτική αυτοαξιολόγηση «πράσινων επιδόσεων» και της διαβούλευσης με το διοργανικό γραφείο υποστήριξης SPP·</w:t>
            </w:r>
            <w:r>
              <w:t xml:space="preserve"> </w:t>
            </w:r>
            <w:r>
              <w:rPr>
                <w:b/>
                <w:i/>
              </w:rPr>
              <w:t>σημειώνει ότι το 2024 έντεκα σημαντικοί διαγωνισμοί άνω των 60 000 EUR ήταν «πράσινες αγορές», οκτώ από τις οποίες περιλάμβαναν σημαντικές περιβαλλοντικές ρήτρες· εκφράζει ιδίως την ικανοποίησή του για την επιτυχή εφαρμογή της νέας σύμβασης υπηρεσιών τροφοδοσίας, η οποία απαιτεί βιώσιμες πρακτικές τροφίμων και διαθέτει πιστοποίηση ISO 14001, καθώς και για την επίτευξη του στόχου να περιοριστούν οι «ελαφρώς πράσινες» προσφορές πολύ χαμηλότερα από τον στόχο του 50 %·</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συγχαίρει το ΔΕΕ για την αυστηρή προσέγγισή του όσον αφορά τις βιώσιμες προμήθειες, μέσω της κατηγοριοποίησης των προσκλήσεων υποβολής προσφορών με βάση τον αντίκτυπο («ελαφρώς πράσινες», «μέτρια πράσινες», «εξαιρετικά πράσινες») των περιβαλλοντικών ρητρών τους, της συστηματικής χρήσης εργαλείων όπως η υποχρεωτική αυτοαξιολόγηση «πράσινων επιδόσεων» και της διαβούλευσης με το διοργανικό γραφείο υποστήριξης SPP· σημειώνει ότι το 2024 </w:t>
            </w:r>
            <w:r>
              <w:rPr>
                <w:b/>
                <w:i/>
              </w:rPr>
              <w:t>έντεκα</w:t>
            </w:r>
            <w:r>
              <w:t xml:space="preserve"> σημαντικοί διαγωνισμοί άνω των 60 000 EUR ήταν «πράσινες αγορές», </w:t>
            </w:r>
            <w:r>
              <w:rPr>
                <w:b/>
                <w:i/>
              </w:rPr>
              <w:t>οκτώ</w:t>
            </w:r>
            <w:r>
              <w:t xml:space="preserve"> από τις οποίες περιλάμβαναν σημαντικές περιβαλλοντικές ρήτρες· εκφράζει ιδίως την ικανοποίησή του για την επιτυχή εφαρμογή της νέας σύμβασης υπηρεσιών τροφοδοσίας, η οποία απαιτεί βιώσιμες πρακτικές τροφίμων και διαθέτει πιστοποίηση ISO 14001, καθώς και για την επίτευξη του στόχου να περιοριστούν οι «ελαφρώς πράσινες» προσφορές πολύ χαμηλότερα από τον στόχο του 50 %·</w:t>
            </w:r>
          </w:p>
        </w:tc>
        <w:tc>
          <w:tcPr>
            <w:tcW w:w="4876" w:type="dxa"/>
            <w:tcBorders>
              <w:top w:val="nil"/>
              <w:left w:val="nil"/>
              <w:bottom w:val="nil"/>
              <w:right w:val="nil"/>
            </w:tcBorders>
          </w:tcPr>
          <w:p>
            <w:pPr>
              <w:pStyle w:val="Normal6a"/>
            </w:pPr>
            <w:r>
              <w:t>52.</w:t>
            </w:r>
            <w:r>
              <w:tab/>
            </w:r>
            <w:r>
              <w:t xml:space="preserve">συγχαίρει το ΔΕΕ για την αυστηρή προσέγγισή του όσον αφορά τις βιώσιμες προμήθειες, μέσω της κατηγοριοποίησης των προσκλήσεων υποβολής προσφορών με βάση τον αντίκτυπο («ελαφρώς πράσινες», «μέτρια πράσινες», «εξαιρετικά πράσινες») των περιβαλλοντικών ρητρών τους, της συστηματικής χρήσης εργαλείων όπως η υποχρεωτική αυτοαξιολόγηση «πράσινων επιδόσεων» και της διαβούλευσης με το διοργανικό γραφείο υποστήριξης SPP· σημειώνει ότι το 2024 </w:t>
            </w:r>
            <w:r>
              <w:rPr>
                <w:b/>
                <w:i/>
              </w:rPr>
              <w:t>οκτώ</w:t>
            </w:r>
            <w:r>
              <w:t xml:space="preserve"> σημαντικοί διαγωνισμοί άνω των 60 000 EUR ήταν «πράσινες αγορές», </w:t>
            </w:r>
            <w:r>
              <w:rPr>
                <w:b/>
                <w:i/>
              </w:rPr>
              <w:t>έξι</w:t>
            </w:r>
            <w:r>
              <w:t xml:space="preserve"> από τις οποίες περιλάμβαναν σημαντικές περιβαλλοντικές ρήτρες· εκφράζει ιδίως την ικανοποίησή του για την επιτυχή εφαρμογή της νέας σύμβασης υπηρεσιών τροφοδοσίας, η οποία απαιτεί βιώσιμες πρακτικές τροφίμων και διαθέτει πιστοποίηση ISO 14001, καθώς και για την επίτευξη του στόχου να περιοριστούν οι «ελαφρώς πράσινες» προσφορές πολύ χαμηλότερα από τον στόχο του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α.</w:t>
            </w:r>
            <w:r>
              <w:tab/>
            </w:r>
            <w:r>
              <w:rPr>
                <w:b/>
                <w:i/>
              </w:rPr>
              <w:t>τονίζει ότι οι περιβαλλοντικές πρωτοβουλίες εντός των θεσμικών οργάνων της Ένωσης πρέπει να παραμείνουν οικονομικά αποδοτικές και τεχνολογικά ουδέτερες·</w:t>
            </w:r>
            <w:r>
              <w:t xml:space="preserve"> </w:t>
            </w:r>
            <w:r>
              <w:rPr>
                <w:b/>
                <w:i/>
              </w:rPr>
              <w:t>καλεί το Δικαστήριο να παράσχει διαφανή ανάλυση κόστους-οφέλους των πράσινων επενδύσεων και των πρακτικών του στον τομέα των δημόσιων συμβάσεων και να διασφαλίσει ότι οι περιβαλλοντικές παράμετροι δεν υπερισχύουν της αποδοτικότητας ή της δημοσιονομικής πειθαρχίας.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σημειώνει ότι, το 2024, το ΔΕΕ ενίσχυσε τις προσπάθειές του για συνεργασία με τους πολίτες της Ένωσης, ενισχύοντας την απήχησή του στα μέσα κοινωνικής δικτύωσης· σημειώνει ότι, στο τέλος του 2024, ο αριθμός των συνδρομητών στον λογαριασμό LinkedIn του ΔΕΕ αυξήθηκε κατά 26 % και ο αριθμός των ακολούθων στους δύο λογαριασμούς του ΔΕΕ στο X (πρώην Twitter) κατά 2,5 %, ενώ οι προβολές στο κανάλι του στο YouTube αυξήθηκαν κατά </w:t>
            </w:r>
            <w:r>
              <w:rPr>
                <w:b/>
                <w:i/>
              </w:rPr>
              <w:t>236</w:t>
            </w:r>
            <w:r>
              <w:t xml:space="preserve"> % και ο αριθμός των συνδρομητών του στο YouTube αυξήθηκε κατά </w:t>
            </w:r>
            <w:r>
              <w:rPr>
                <w:b/>
                <w:i/>
              </w:rPr>
              <w:t>περισσότερο από 400</w:t>
            </w:r>
            <w:r>
              <w:t xml:space="preserve"> % σε σύγκριση με το προηγούμενο έτος· σημειώνει ότι η παραβολική αύξηση των προβολών και των συνδρομητών οφειλόταν εν μέρει σε εκστρατεία προώθησης που οργάνωσε το ΔΕΕ·</w:t>
            </w:r>
          </w:p>
        </w:tc>
        <w:tc>
          <w:tcPr>
            <w:tcW w:w="4876" w:type="dxa"/>
            <w:tcBorders>
              <w:top w:val="nil"/>
              <w:left w:val="nil"/>
              <w:bottom w:val="nil"/>
              <w:right w:val="nil"/>
            </w:tcBorders>
          </w:tcPr>
          <w:p>
            <w:pPr>
              <w:pStyle w:val="Normal6a"/>
            </w:pPr>
            <w:r>
              <w:t>60.</w:t>
            </w:r>
            <w:r>
              <w:tab/>
            </w:r>
            <w:r>
              <w:t xml:space="preserve">σημειώνει ότι, το 2024, το ΔΕΕ ενίσχυσε τις προσπάθειές του για συνεργασία με τους πολίτες της Ένωσης, ενισχύοντας την απήχησή του στα μέσα κοινωνικής δικτύωσης· σημειώνει ότι, στο τέλος του 2024, ο αριθμός των συνδρομητών στον λογαριασμό LinkedIn του ΔΕΕ αυξήθηκε κατά 26 % και ο αριθμός των ακολούθων στους δύο λογαριασμούς του ΔΕΕ στο X (πρώην Twitter) κατά 2,5 %, ενώ οι προβολές στο κανάλι του στο YouTube αυξήθηκαν κατά </w:t>
            </w:r>
            <w:r>
              <w:rPr>
                <w:b/>
                <w:i/>
              </w:rPr>
              <w:t>137</w:t>
            </w:r>
            <w:r>
              <w:t xml:space="preserve"> % και ο αριθμός των συνδρομητών του στο YouTube αυξήθηκε κατά </w:t>
            </w:r>
            <w:r>
              <w:rPr>
                <w:b/>
                <w:i/>
              </w:rPr>
              <w:t>329</w:t>
            </w:r>
            <w:r>
              <w:t xml:space="preserve"> % σε σύγκριση με το προηγούμενο έτος· σημειώνει ότι η παραβολική αύξηση των προβολών και των συνδρομητών οφειλόταν εν μέρει σε εκστρατεία προώθησης που οργάνωσε το ΔΕΕ·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α.</w:t>
            </w:r>
            <w:r>
              <w:tab/>
            </w:r>
            <w:r>
              <w:rPr>
                <w:b/>
                <w:i/>
              </w:rPr>
              <w:t>ενθαρρύνει το Δικαστήριο να αναπτύξει περαιτέρω εργαλεία επικοινωνίας προσανατολισμένα στους πολίτες, ιδίως παρέχοντας σαφείς, προσβάσιμες και νομικά ακριβείς εξηγήσεις των αποφάσεων-ορόσημων με σημαντικές επιπτώσεις στις εθνικές έννομες τάξεις, με πλήρη σεβασμό της ανεξαρτησίας της δικαιοσύνης και του δικονομικού απορρήτου·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35</w:t>
    </w:r>
    <w:r>
      <w:fldChar w:fldCharType="end"/>
    </w:r>
    <w:r>
      <w:tab/>
    </w:r>
    <w:r>
      <w:rPr>
        <w:rStyle w:val="HideTWBExt"/>
      </w:rPr>
      <w:t>&lt;PathFdR&gt;</w:t>
    </w:r>
    <w:r>
      <w:t>AM\1336272EL.docx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AM\1336272EL.docx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35</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AM\1336272EL.docx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35</Pages>
  <Words>10240</Words>
  <Characters>61011</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373416</vt:lpwstr>
  </property>
  <property fmtid="{D5CDD505-2E9C-101B-9397-08002B2CF9AE}" pid="7" name="dmxml.render.traceId">
    <vt:lpwstr>698c2ffc7a1b0b221c7915b3dc0603a8</vt:lpwstr>
  </property>
  <property fmtid="{D5CDD505-2E9C-101B-9397-08002B2CF9AE}" pid="8" name="FooterPath">
    <vt:lpwstr>AM\1336272EL.docx</vt:lpwstr>
  </property>
  <property fmtid="{D5CDD505-2E9C-101B-9397-08002B2CF9AE}" pid="9" name="PE Number">
    <vt:lpwstr>784.145</vt:lpwstr>
  </property>
  <property fmtid="{D5CDD505-2E9C-101B-9397-08002B2CF9AE}" pid="10" name="UID">
    <vt:lpwstr>eu.europa.europarl-DIN1-2026-0000016485_01.00-el-03.00_text-xml</vt:lpwstr>
  </property>
</Properties>
</file>