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94AEF" w:rsidRPr="003E0A0F" w14:paraId="46FEAC44" w14:textId="77777777" w:rsidTr="002D2F66">
        <w:trPr>
          <w:trHeight w:hRule="exact" w:val="1417"/>
          <w:jc w:val="center"/>
        </w:trPr>
        <w:tc>
          <w:tcPr>
            <w:tcW w:w="6804" w:type="dxa"/>
            <w:tcBorders>
              <w:top w:val="nil"/>
              <w:left w:val="nil"/>
              <w:bottom w:val="nil"/>
              <w:right w:val="nil"/>
            </w:tcBorders>
            <w:vAlign w:val="center"/>
          </w:tcPr>
          <w:p w14:paraId="6B77DC3C" w14:textId="77777777" w:rsidR="00D94AEF" w:rsidRPr="003E0A0F" w:rsidRDefault="00D94AEF" w:rsidP="002D2F66">
            <w:pPr>
              <w:pStyle w:val="EPName"/>
            </w:pPr>
            <w:r w:rsidRPr="003E0A0F">
              <w:t>Parlamento europeo</w:t>
            </w:r>
          </w:p>
          <w:p w14:paraId="7048D1CB" w14:textId="77777777" w:rsidR="00D94AEF" w:rsidRPr="003E0A0F" w:rsidRDefault="00D94AEF" w:rsidP="002D2F66">
            <w:pPr>
              <w:pStyle w:val="EPTerm"/>
            </w:pPr>
            <w:r w:rsidRPr="003E0A0F">
              <w:t>2024-2029</w:t>
            </w:r>
          </w:p>
        </w:tc>
        <w:tc>
          <w:tcPr>
            <w:tcW w:w="2268" w:type="dxa"/>
            <w:tcBorders>
              <w:top w:val="nil"/>
              <w:left w:val="nil"/>
              <w:bottom w:val="nil"/>
              <w:right w:val="nil"/>
            </w:tcBorders>
          </w:tcPr>
          <w:p w14:paraId="34A55D72" w14:textId="77777777" w:rsidR="00D94AEF" w:rsidRPr="003E0A0F" w:rsidRDefault="00D94AEF" w:rsidP="002D2F66">
            <w:pPr>
              <w:pStyle w:val="EPLogo"/>
            </w:pPr>
            <w:r w:rsidRPr="003E0A0F">
              <w:rPr>
                <w:noProof/>
              </w:rPr>
              <w:drawing>
                <wp:inline distT="0" distB="0" distL="0" distR="0" wp14:anchorId="7298D854" wp14:editId="6CB000C7">
                  <wp:extent cx="1165860" cy="640080"/>
                  <wp:effectExtent l="0" t="0" r="0" b="7620"/>
                  <wp:docPr id="1896125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33237BFA" w14:textId="77777777" w:rsidR="00D94AEF" w:rsidRPr="003E0A0F" w:rsidRDefault="00D94AEF" w:rsidP="00D94AEF">
      <w:pPr>
        <w:pStyle w:val="LineTop"/>
      </w:pPr>
      <w:r w:rsidRPr="003E0A0F">
        <w:t xml:space="preserve"> </w:t>
      </w:r>
    </w:p>
    <w:p w14:paraId="73580666" w14:textId="77777777" w:rsidR="00D94AEF" w:rsidRPr="003E0A0F" w:rsidRDefault="00D94AEF" w:rsidP="00D94AEF">
      <w:pPr>
        <w:pStyle w:val="EPBody"/>
      </w:pPr>
      <w:r w:rsidRPr="002D0F6F">
        <w:rPr>
          <w:rStyle w:val="HideTWBExt"/>
          <w:rFonts w:eastAsia="Times New Roman"/>
          <w:i w:val="0"/>
        </w:rPr>
        <w:t>&lt;Commission&gt;</w:t>
      </w:r>
      <w:r w:rsidRPr="002D0F6F">
        <w:rPr>
          <w:rStyle w:val="HideTWBInt"/>
          <w:i w:val="0"/>
        </w:rPr>
        <w:t>{CONT}</w:t>
      </w:r>
      <w:r w:rsidRPr="003E0A0F">
        <w:t>Commissione per il controllo dei bilanci</w:t>
      </w:r>
      <w:r w:rsidRPr="002D0F6F">
        <w:rPr>
          <w:rStyle w:val="HideTWBExt"/>
          <w:rFonts w:eastAsia="Times New Roman"/>
          <w:i w:val="0"/>
        </w:rPr>
        <w:t>&lt;/Commission&gt;</w:t>
      </w:r>
    </w:p>
    <w:p w14:paraId="12FA7C6E" w14:textId="77777777" w:rsidR="00D94AEF" w:rsidRPr="003E0A0F" w:rsidRDefault="00D94AEF" w:rsidP="00D94AEF">
      <w:pPr>
        <w:pStyle w:val="LineBottom"/>
      </w:pPr>
      <w:r w:rsidRPr="003E0A0F">
        <w:t xml:space="preserve"> </w:t>
      </w:r>
    </w:p>
    <w:p w14:paraId="2E8447BA" w14:textId="77777777" w:rsidR="00D94AEF" w:rsidRPr="003E0A0F" w:rsidRDefault="00D94AEF" w:rsidP="00D94AEF">
      <w:pPr>
        <w:pStyle w:val="CoverReference"/>
      </w:pPr>
      <w:r w:rsidRPr="002D0F6F">
        <w:rPr>
          <w:rStyle w:val="HideTWBExt"/>
          <w:rFonts w:eastAsia="Times New Roman"/>
          <w:b w:val="0"/>
        </w:rPr>
        <w:t>&lt;RefProc&gt;</w:t>
      </w:r>
      <w:r w:rsidRPr="003E0A0F">
        <w:t>2025/2148</w:t>
      </w:r>
      <w:r w:rsidRPr="002D0F6F">
        <w:rPr>
          <w:rStyle w:val="HideTWBExt"/>
          <w:rFonts w:eastAsia="Times New Roman"/>
          <w:b w:val="0"/>
        </w:rPr>
        <w:t>&lt;/RefProc&gt;&lt;RefTypeProc&gt;</w:t>
      </w:r>
      <w:r w:rsidRPr="003E0A0F">
        <w:t>(DEC)</w:t>
      </w:r>
      <w:r w:rsidRPr="002D0F6F">
        <w:rPr>
          <w:rStyle w:val="HideTWBExt"/>
          <w:rFonts w:eastAsia="Times New Roman"/>
          <w:b w:val="0"/>
        </w:rPr>
        <w:t>&lt;/RefTypeProc&gt;</w:t>
      </w:r>
    </w:p>
    <w:p w14:paraId="23C07427" w14:textId="77777777" w:rsidR="00D94AEF" w:rsidRPr="003E0A0F" w:rsidRDefault="00D94AEF" w:rsidP="00D94AEF">
      <w:pPr>
        <w:pStyle w:val="CoverDate"/>
      </w:pPr>
      <w:r w:rsidRPr="002D0F6F">
        <w:rPr>
          <w:rStyle w:val="HideTWBExt"/>
        </w:rPr>
        <w:t>&lt;Date&gt;</w:t>
      </w:r>
      <w:r w:rsidRPr="002D0F6F">
        <w:rPr>
          <w:rStyle w:val="HideTWBInt"/>
        </w:rPr>
        <w:t>{28/01/2026}</w:t>
      </w:r>
      <w:r w:rsidRPr="003E0A0F">
        <w:t>28.1.2026</w:t>
      </w:r>
      <w:r w:rsidRPr="002D0F6F">
        <w:rPr>
          <w:rStyle w:val="HideTWBExt"/>
        </w:rPr>
        <w:t>&lt;/Date&gt;</w:t>
      </w:r>
    </w:p>
    <w:p w14:paraId="2934BDE2" w14:textId="77777777" w:rsidR="00D94AEF" w:rsidRPr="003E0A0F" w:rsidRDefault="00D94AEF" w:rsidP="00D94AEF">
      <w:pPr>
        <w:pStyle w:val="CoverDocType"/>
      </w:pPr>
      <w:r w:rsidRPr="002D0F6F">
        <w:rPr>
          <w:rStyle w:val="HideTWBExt"/>
          <w:b w:val="0"/>
        </w:rPr>
        <w:t>&lt;TypeAM&gt;</w:t>
      </w:r>
      <w:r w:rsidRPr="003E0A0F">
        <w:t>EMENDAMENTI</w:t>
      </w:r>
      <w:r w:rsidRPr="002D0F6F">
        <w:rPr>
          <w:rStyle w:val="HideTWBExt"/>
          <w:b w:val="0"/>
        </w:rPr>
        <w:t>&lt;/TypeAM&gt;</w:t>
      </w:r>
    </w:p>
    <w:p w14:paraId="6765460A" w14:textId="77777777" w:rsidR="00D94AEF" w:rsidRPr="003E0A0F" w:rsidRDefault="00D94AEF" w:rsidP="00D94AEF">
      <w:pPr>
        <w:pStyle w:val="CoverDocType24a"/>
      </w:pPr>
      <w:r w:rsidRPr="002D0F6F">
        <w:rPr>
          <w:rStyle w:val="HideTWBExt"/>
          <w:rFonts w:eastAsia="Times New Roman"/>
          <w:b w:val="0"/>
        </w:rPr>
        <w:t>&lt;RangeAM&gt;</w:t>
      </w:r>
      <w:r w:rsidRPr="003E0A0F">
        <w:t>1 - 38</w:t>
      </w:r>
      <w:r w:rsidRPr="002D0F6F">
        <w:rPr>
          <w:rStyle w:val="HideTWBExt"/>
          <w:rFonts w:eastAsia="Times New Roman"/>
          <w:b w:val="0"/>
        </w:rPr>
        <w:t>&lt;/RangeAM&gt;</w:t>
      </w:r>
    </w:p>
    <w:p w14:paraId="333CDDA7" w14:textId="77777777" w:rsidR="00D94AEF" w:rsidRPr="003E0A0F" w:rsidRDefault="00D94AEF" w:rsidP="00D94AEF">
      <w:pPr>
        <w:pStyle w:val="CoverBold"/>
      </w:pPr>
      <w:r w:rsidRPr="002D0F6F">
        <w:rPr>
          <w:rStyle w:val="HideTWBExt"/>
          <w:b w:val="0"/>
        </w:rPr>
        <w:t>&lt;TitreType&gt;</w:t>
      </w:r>
      <w:r w:rsidRPr="003E0A0F">
        <w:t>Progetto di relazione</w:t>
      </w:r>
      <w:r w:rsidRPr="002D0F6F">
        <w:rPr>
          <w:rStyle w:val="HideTWBExt"/>
          <w:b w:val="0"/>
        </w:rPr>
        <w:t>&lt;/TitreType&gt;</w:t>
      </w:r>
    </w:p>
    <w:p w14:paraId="41101859" w14:textId="77777777" w:rsidR="00D94AEF" w:rsidRPr="003E0A0F" w:rsidRDefault="00D94AEF" w:rsidP="00D94AEF">
      <w:pPr>
        <w:pStyle w:val="CoverBold"/>
      </w:pPr>
      <w:r w:rsidRPr="002D0F6F">
        <w:rPr>
          <w:rStyle w:val="HideTWBExt"/>
          <w:b w:val="0"/>
        </w:rPr>
        <w:t>&lt;Rapporteur&gt;</w:t>
      </w:r>
      <w:r w:rsidRPr="003E0A0F">
        <w:t>Pasquale Tridico</w:t>
      </w:r>
      <w:r w:rsidRPr="002D0F6F">
        <w:rPr>
          <w:rStyle w:val="HideTWBExt"/>
          <w:b w:val="0"/>
        </w:rPr>
        <w:t>&lt;/Rapporteur&gt;</w:t>
      </w:r>
    </w:p>
    <w:p w14:paraId="2182EF84" w14:textId="77777777" w:rsidR="00D94AEF" w:rsidRPr="003E0A0F" w:rsidRDefault="00D94AEF" w:rsidP="00D94AEF">
      <w:pPr>
        <w:pStyle w:val="CoverNormal24a"/>
      </w:pPr>
      <w:r w:rsidRPr="002D0F6F">
        <w:rPr>
          <w:rStyle w:val="HideTWBExt"/>
        </w:rPr>
        <w:t>&lt;DocRefPE&gt;</w:t>
      </w:r>
      <w:r w:rsidRPr="003E0A0F">
        <w:t>(PE778.060v01-00)</w:t>
      </w:r>
      <w:r w:rsidRPr="002D0F6F">
        <w:rPr>
          <w:rStyle w:val="HideTWBExt"/>
        </w:rPr>
        <w:t>&lt;/DocRefPE&gt;</w:t>
      </w:r>
    </w:p>
    <w:p w14:paraId="372B64FC" w14:textId="77777777" w:rsidR="00D94AEF" w:rsidRPr="003E0A0F" w:rsidRDefault="00D94AEF" w:rsidP="00D94AEF">
      <w:pPr>
        <w:pStyle w:val="CoverNormal"/>
      </w:pPr>
      <w:r w:rsidRPr="002D0F6F">
        <w:rPr>
          <w:rStyle w:val="HideTWBExt"/>
        </w:rPr>
        <w:t>&lt;Titre&gt;</w:t>
      </w:r>
      <w:r w:rsidRPr="003E0A0F">
        <w:t>Discarico 2024: bilancio generale dell'UE - Corte di giustizia dell'Unione europea</w:t>
      </w:r>
      <w:r w:rsidRPr="002D0F6F">
        <w:rPr>
          <w:rStyle w:val="HideTWBExt"/>
        </w:rPr>
        <w:t>&lt;/Titre&gt;</w:t>
      </w:r>
    </w:p>
    <w:p w14:paraId="16CDDCB5" w14:textId="77777777" w:rsidR="00D94AEF" w:rsidRPr="003E0A0F" w:rsidRDefault="00D94AEF" w:rsidP="00D94AEF">
      <w:pPr>
        <w:pStyle w:val="CoverNormal24a"/>
      </w:pPr>
      <w:r w:rsidRPr="002D0F6F">
        <w:rPr>
          <w:rStyle w:val="HideTWBExt"/>
        </w:rPr>
        <w:t>&lt;DocRef&gt;</w:t>
      </w:r>
      <w:r w:rsidRPr="003E0A0F">
        <w:t>(2025/2148(DEC))</w:t>
      </w:r>
      <w:r w:rsidRPr="002D0F6F">
        <w:rPr>
          <w:rStyle w:val="HideTWBExt"/>
        </w:rPr>
        <w:t>&lt;/DocRef&gt;</w:t>
      </w:r>
    </w:p>
    <w:p w14:paraId="2BE6D016" w14:textId="77777777" w:rsidR="00D1318E" w:rsidRPr="003E0A0F" w:rsidRDefault="00C34256">
      <w:r w:rsidRPr="003E0A0F">
        <w:br w:type="page"/>
      </w:r>
      <w:r w:rsidRPr="003E0A0F">
        <w:lastRenderedPageBreak/>
        <w:t>AM_Com_NonLegReport</w:t>
      </w:r>
    </w:p>
    <w:p w14:paraId="27964D8F" w14:textId="24844FA0" w:rsidR="00CC2DDD" w:rsidRPr="003E0A0F" w:rsidRDefault="00C34256" w:rsidP="00CC2DDD">
      <w:pPr>
        <w:pStyle w:val="AmNumberTabs"/>
      </w:pPr>
      <w:r w:rsidRPr="003E0A0F">
        <w:br w:type="page"/>
      </w:r>
      <w:r w:rsidR="00CC2DDD" w:rsidRPr="002D0F6F">
        <w:rPr>
          <w:rStyle w:val="HideTWBExt"/>
          <w:b w:val="0"/>
        </w:rPr>
        <w:lastRenderedPageBreak/>
        <w:t>&lt;RepeatBlock-Amend&gt;&lt;Amend&gt;</w:t>
      </w:r>
      <w:r w:rsidR="00CC2DDD" w:rsidRPr="003E0A0F">
        <w:t>Emendamento</w:t>
      </w:r>
      <w:r w:rsidR="00CC2DDD" w:rsidRPr="003E0A0F">
        <w:tab/>
      </w:r>
      <w:r w:rsidR="00CC2DDD" w:rsidRPr="003E0A0F">
        <w:tab/>
      </w:r>
      <w:r w:rsidR="00CC2DDD" w:rsidRPr="002D0F6F">
        <w:rPr>
          <w:rStyle w:val="HideTWBExt"/>
          <w:b w:val="0"/>
        </w:rPr>
        <w:t>&lt;NumAm&gt;</w:t>
      </w:r>
      <w:r w:rsidR="00CC2DDD" w:rsidRPr="003E0A0F">
        <w:t>1</w:t>
      </w:r>
      <w:r w:rsidR="00CC2DDD" w:rsidRPr="002D0F6F">
        <w:rPr>
          <w:rStyle w:val="HideTWBExt"/>
          <w:b w:val="0"/>
        </w:rPr>
        <w:t>&lt;/NumAm&gt;</w:t>
      </w:r>
    </w:p>
    <w:p w14:paraId="4C2A388C" w14:textId="77777777" w:rsidR="00CC2DDD" w:rsidRPr="003E0A0F" w:rsidRDefault="00CC2DDD" w:rsidP="00CC2DDD">
      <w:pPr>
        <w:pStyle w:val="NormalBold"/>
      </w:pPr>
      <w:r w:rsidRPr="002D0F6F">
        <w:rPr>
          <w:rStyle w:val="HideTWBExt"/>
          <w:b w:val="0"/>
        </w:rPr>
        <w:t>&lt;RepeatBlock-By&gt;&lt;Members&gt;</w:t>
      </w:r>
      <w:r w:rsidRPr="003E0A0F">
        <w:t>Şerban Dimitrie Sturdza</w:t>
      </w:r>
      <w:r w:rsidRPr="002D0F6F">
        <w:rPr>
          <w:rStyle w:val="HideTWBExt"/>
          <w:b w:val="0"/>
        </w:rPr>
        <w:t>&lt;/Members&gt;</w:t>
      </w:r>
    </w:p>
    <w:p w14:paraId="0AC82549" w14:textId="77777777" w:rsidR="00CC2DDD" w:rsidRPr="003E0A0F" w:rsidRDefault="00CC2DDD" w:rsidP="00CC2DDD">
      <w:pPr>
        <w:pStyle w:val="NormalBold"/>
      </w:pPr>
      <w:r w:rsidRPr="002D0F6F">
        <w:rPr>
          <w:rStyle w:val="HideTWBExt"/>
          <w:b w:val="0"/>
        </w:rPr>
        <w:t>&lt;/RepeatBlock-By&gt;</w:t>
      </w:r>
    </w:p>
    <w:p w14:paraId="3B4B0D81"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4951D93E" w14:textId="77777777" w:rsidR="00CC2DDD" w:rsidRPr="003E0A0F" w:rsidRDefault="00CC2DDD" w:rsidP="00CC2DDD">
      <w:pPr>
        <w:pStyle w:val="NormalBold"/>
      </w:pPr>
      <w:r w:rsidRPr="002D0F6F">
        <w:rPr>
          <w:rStyle w:val="HideTWBExt"/>
          <w:b w:val="0"/>
        </w:rPr>
        <w:t>&lt;Article&gt;</w:t>
      </w:r>
      <w:r w:rsidRPr="003E0A0F">
        <w:t>Considerando C</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1F69884E" w14:textId="77777777" w:rsidTr="002D2F66">
        <w:trPr>
          <w:trHeight w:hRule="exact" w:val="240"/>
          <w:jc w:val="center"/>
        </w:trPr>
        <w:tc>
          <w:tcPr>
            <w:tcW w:w="9752" w:type="dxa"/>
            <w:gridSpan w:val="2"/>
            <w:tcBorders>
              <w:top w:val="nil"/>
              <w:left w:val="nil"/>
              <w:bottom w:val="nil"/>
              <w:right w:val="nil"/>
            </w:tcBorders>
          </w:tcPr>
          <w:p w14:paraId="6407EF05" w14:textId="77777777" w:rsidR="00CC2DDD" w:rsidRPr="003E0A0F" w:rsidRDefault="00CC2DDD" w:rsidP="002D2F66"/>
        </w:tc>
      </w:tr>
      <w:tr w:rsidR="00CC2DDD" w:rsidRPr="003E0A0F" w14:paraId="7F9735B3" w14:textId="77777777" w:rsidTr="002D2F66">
        <w:trPr>
          <w:trHeight w:val="240"/>
          <w:jc w:val="center"/>
        </w:trPr>
        <w:tc>
          <w:tcPr>
            <w:tcW w:w="4876" w:type="dxa"/>
            <w:tcBorders>
              <w:top w:val="nil"/>
              <w:left w:val="nil"/>
              <w:bottom w:val="nil"/>
              <w:right w:val="nil"/>
            </w:tcBorders>
          </w:tcPr>
          <w:p w14:paraId="2E9EEAFC"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21A98670" w14:textId="77777777" w:rsidR="00CC2DDD" w:rsidRPr="003E0A0F" w:rsidRDefault="00CC2DDD" w:rsidP="002D2F66">
            <w:pPr>
              <w:pStyle w:val="AmColumnHeading"/>
            </w:pPr>
            <w:r w:rsidRPr="003E0A0F">
              <w:t>Emendamento</w:t>
            </w:r>
          </w:p>
        </w:tc>
      </w:tr>
      <w:tr w:rsidR="00CC2DDD" w:rsidRPr="003E0A0F" w14:paraId="21981DA6" w14:textId="77777777" w:rsidTr="002D2F66">
        <w:trPr>
          <w:jc w:val="center"/>
        </w:trPr>
        <w:tc>
          <w:tcPr>
            <w:tcW w:w="4876" w:type="dxa"/>
            <w:tcBorders>
              <w:top w:val="nil"/>
              <w:left w:val="nil"/>
              <w:bottom w:val="nil"/>
              <w:right w:val="nil"/>
            </w:tcBorders>
          </w:tcPr>
          <w:p w14:paraId="66F40B03" w14:textId="77777777" w:rsidR="00CC2DDD" w:rsidRPr="003E0A0F" w:rsidRDefault="00CC2DDD" w:rsidP="002D2F66">
            <w:pPr>
              <w:pStyle w:val="Normal6a"/>
            </w:pPr>
            <w:r w:rsidRPr="003E0A0F">
              <w:t>C.</w:t>
            </w:r>
            <w:r w:rsidRPr="003E0A0F">
              <w:tab/>
              <w:t>considerando che la CGUE contribuisce a preservare i valori dell'Unione e, attraverso la sua giurisprudenza, si adopera per la costruzione europea;</w:t>
            </w:r>
          </w:p>
        </w:tc>
        <w:tc>
          <w:tcPr>
            <w:tcW w:w="4876" w:type="dxa"/>
            <w:tcBorders>
              <w:top w:val="nil"/>
              <w:left w:val="nil"/>
              <w:bottom w:val="nil"/>
              <w:right w:val="nil"/>
            </w:tcBorders>
          </w:tcPr>
          <w:p w14:paraId="3B575D03" w14:textId="77777777" w:rsidR="00CC2DDD" w:rsidRPr="003E0A0F" w:rsidRDefault="00CC2DDD" w:rsidP="002D2F66">
            <w:pPr>
              <w:pStyle w:val="Normal6a"/>
            </w:pPr>
            <w:r w:rsidRPr="003E0A0F">
              <w:t>C.</w:t>
            </w:r>
            <w:r w:rsidRPr="003E0A0F">
              <w:tab/>
              <w:t>considerando che la CGUE contribuisce a preservare i valori dell'Unione e, attraverso la sua giurisprudenza, si adopera per la costruzione europea</w:t>
            </w:r>
            <w:r w:rsidRPr="003E0A0F">
              <w:rPr>
                <w:b/>
                <w:i/>
              </w:rPr>
              <w:t>, pur rimanendo responsabile nei confronti dei cittadini attraverso la certezza del diritto, la coerenza della giurisprudenza e il rispetto dei limiti dell'interpretazione giudiziaria</w:t>
            </w:r>
            <w:r w:rsidRPr="003E0A0F">
              <w:t>;</w:t>
            </w:r>
          </w:p>
        </w:tc>
      </w:tr>
    </w:tbl>
    <w:p w14:paraId="63B62FCF" w14:textId="77777777" w:rsidR="00CC2DDD" w:rsidRPr="003E0A0F" w:rsidRDefault="00CC2DDD" w:rsidP="00CC2DDD">
      <w:pPr>
        <w:pStyle w:val="AmOrLang"/>
      </w:pPr>
      <w:r w:rsidRPr="003E0A0F">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5F55157A" w14:textId="77777777" w:rsidR="00CC2DDD" w:rsidRPr="003E0A0F" w:rsidRDefault="00CC2DDD" w:rsidP="00CC2DDD">
      <w:r w:rsidRPr="002D0F6F">
        <w:rPr>
          <w:rStyle w:val="HideTWBExt"/>
        </w:rPr>
        <w:t>&lt;/Amend&gt;</w:t>
      </w:r>
    </w:p>
    <w:p w14:paraId="3E275FA5"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2</w:t>
      </w:r>
      <w:r w:rsidRPr="002D0F6F">
        <w:rPr>
          <w:rStyle w:val="HideTWBExt"/>
          <w:b w:val="0"/>
        </w:rPr>
        <w:t>&lt;/NumAm&gt;</w:t>
      </w:r>
    </w:p>
    <w:p w14:paraId="078D0D6B" w14:textId="77777777" w:rsidR="00CC2DDD" w:rsidRPr="003E0A0F" w:rsidRDefault="00CC2DDD" w:rsidP="00CC2DDD">
      <w:pPr>
        <w:pStyle w:val="NormalBold"/>
      </w:pPr>
      <w:r w:rsidRPr="002D0F6F">
        <w:rPr>
          <w:rStyle w:val="HideTWBExt"/>
          <w:b w:val="0"/>
        </w:rPr>
        <w:t>&lt;RepeatBlock-By&gt;&lt;Members&gt;</w:t>
      </w:r>
      <w:r w:rsidRPr="003E0A0F">
        <w:t>Cristian Terheş</w:t>
      </w:r>
      <w:r w:rsidRPr="002D0F6F">
        <w:rPr>
          <w:rStyle w:val="HideTWBExt"/>
          <w:b w:val="0"/>
        </w:rPr>
        <w:t>&lt;/Members&gt;</w:t>
      </w:r>
    </w:p>
    <w:p w14:paraId="4948787E" w14:textId="77777777" w:rsidR="00CC2DDD" w:rsidRPr="003E0A0F" w:rsidRDefault="00CC2DDD" w:rsidP="00CC2DDD">
      <w:pPr>
        <w:pStyle w:val="NormalBold"/>
      </w:pPr>
      <w:r w:rsidRPr="002D0F6F">
        <w:rPr>
          <w:rStyle w:val="HideTWBExt"/>
          <w:b w:val="0"/>
        </w:rPr>
        <w:t>&lt;/RepeatBlock-By&gt;</w:t>
      </w:r>
    </w:p>
    <w:p w14:paraId="7C436392"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404FC429" w14:textId="77777777" w:rsidR="00CC2DDD" w:rsidRPr="003E0A0F" w:rsidRDefault="00CC2DDD" w:rsidP="00CC2DDD">
      <w:pPr>
        <w:pStyle w:val="NormalBold"/>
      </w:pPr>
      <w:r w:rsidRPr="002D0F6F">
        <w:rPr>
          <w:rStyle w:val="HideTWBExt"/>
          <w:b w:val="0"/>
        </w:rPr>
        <w:t>&lt;Article&gt;</w:t>
      </w:r>
      <w:r w:rsidRPr="003E0A0F">
        <w:t>Paragrafo 1</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61B920BA" w14:textId="77777777" w:rsidTr="002D2F66">
        <w:trPr>
          <w:trHeight w:hRule="exact" w:val="240"/>
          <w:jc w:val="center"/>
        </w:trPr>
        <w:tc>
          <w:tcPr>
            <w:tcW w:w="9752" w:type="dxa"/>
            <w:gridSpan w:val="2"/>
            <w:tcBorders>
              <w:top w:val="nil"/>
              <w:left w:val="nil"/>
              <w:bottom w:val="nil"/>
              <w:right w:val="nil"/>
            </w:tcBorders>
          </w:tcPr>
          <w:p w14:paraId="4F2536EE" w14:textId="77777777" w:rsidR="00CC2DDD" w:rsidRPr="003E0A0F" w:rsidRDefault="00CC2DDD" w:rsidP="002D2F66"/>
        </w:tc>
      </w:tr>
      <w:tr w:rsidR="00CC2DDD" w:rsidRPr="003E0A0F" w14:paraId="7DCB7AD8" w14:textId="77777777" w:rsidTr="002D2F66">
        <w:trPr>
          <w:trHeight w:val="240"/>
          <w:jc w:val="center"/>
        </w:trPr>
        <w:tc>
          <w:tcPr>
            <w:tcW w:w="4876" w:type="dxa"/>
            <w:tcBorders>
              <w:top w:val="nil"/>
              <w:left w:val="nil"/>
              <w:bottom w:val="nil"/>
              <w:right w:val="nil"/>
            </w:tcBorders>
          </w:tcPr>
          <w:p w14:paraId="1629585D"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4B2FA4A0" w14:textId="77777777" w:rsidR="00CC2DDD" w:rsidRPr="003E0A0F" w:rsidRDefault="00CC2DDD" w:rsidP="002D2F66">
            <w:pPr>
              <w:pStyle w:val="AmColumnHeading"/>
            </w:pPr>
            <w:r w:rsidRPr="003E0A0F">
              <w:t>Emendamento</w:t>
            </w:r>
          </w:p>
        </w:tc>
      </w:tr>
      <w:tr w:rsidR="00CC2DDD" w:rsidRPr="003E0A0F" w14:paraId="3818EE44" w14:textId="77777777" w:rsidTr="002D2F66">
        <w:trPr>
          <w:jc w:val="center"/>
        </w:trPr>
        <w:tc>
          <w:tcPr>
            <w:tcW w:w="4876" w:type="dxa"/>
            <w:tcBorders>
              <w:top w:val="nil"/>
              <w:left w:val="nil"/>
              <w:bottom w:val="nil"/>
              <w:right w:val="nil"/>
            </w:tcBorders>
          </w:tcPr>
          <w:p w14:paraId="02349FD1" w14:textId="77777777" w:rsidR="00CC2DDD" w:rsidRPr="003E0A0F" w:rsidRDefault="00CC2DDD" w:rsidP="002D2F66">
            <w:pPr>
              <w:pStyle w:val="Normal6a"/>
            </w:pPr>
            <w:r w:rsidRPr="003E0A0F">
              <w:t>1.</w:t>
            </w:r>
            <w:r w:rsidRPr="003E0A0F">
              <w:tab/>
              <w:t>rileva che il bilancio della CGUE rientra nella rubrica 7 del QFP, "Pubblica amministrazione europea", che nel 2023 ammontava a 13,3 miliardi di EUR (pari al 6,9 % del bilancio totale dell'Unione); rileva altresì che il bilancio della CGUE, pari a circa 0,5 miliardi di EUR, rappresenta circa il 3,76 % delle spese amministrative totali dell'Unione, il che costituisce una diminuzione rispetto al 3,9 % del 2023;</w:t>
            </w:r>
          </w:p>
        </w:tc>
        <w:tc>
          <w:tcPr>
            <w:tcW w:w="4876" w:type="dxa"/>
            <w:tcBorders>
              <w:top w:val="nil"/>
              <w:left w:val="nil"/>
              <w:bottom w:val="nil"/>
              <w:right w:val="nil"/>
            </w:tcBorders>
          </w:tcPr>
          <w:p w14:paraId="37E3C568" w14:textId="77777777" w:rsidR="00CC2DDD" w:rsidRPr="003E0A0F" w:rsidRDefault="00CC2DDD" w:rsidP="002D2F66">
            <w:pPr>
              <w:pStyle w:val="Normal6a"/>
            </w:pPr>
            <w:r w:rsidRPr="003E0A0F">
              <w:t>1.</w:t>
            </w:r>
            <w:r w:rsidRPr="003E0A0F">
              <w:tab/>
              <w:t xml:space="preserve">rileva che il bilancio della CGUE rientra nella rubrica 7 del QFP, "Pubblica amministrazione europea", che nel 2023 ammontava a 13,3 miliardi di EUR (pari al 6,9 % del bilancio totale dell'Unione); rileva altresì che il bilancio della CGUE, pari a circa 0,5 miliardi di EUR, rappresenta circa il 3,76 % delle spese amministrative totali dell'Unione, il che costituisce una diminuzione rispetto al 3,9 % del 2023; </w:t>
            </w:r>
            <w:r w:rsidRPr="003E0A0F">
              <w:rPr>
                <w:b/>
                <w:i/>
              </w:rPr>
              <w:t>evidenzia che, nei casi relativi alle indagini sul bilancio dell'Unione, i principi del giusto processo e dei diritti fondamentali devono essere pienamente rispettati da tutte le autorità competenti; </w:t>
            </w:r>
          </w:p>
        </w:tc>
      </w:tr>
    </w:tbl>
    <w:p w14:paraId="2F797C1F" w14:textId="77777777" w:rsidR="00CC2DDD" w:rsidRPr="003E0A0F" w:rsidRDefault="00CC2DDD" w:rsidP="00CC2DDD">
      <w:pPr>
        <w:pStyle w:val="AmOrLang"/>
      </w:pPr>
      <w:r w:rsidRPr="003E0A0F">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629B8DCC" w14:textId="77777777" w:rsidR="00CC2DDD" w:rsidRPr="003E0A0F" w:rsidRDefault="00CC2DDD" w:rsidP="00CC2DDD">
      <w:r w:rsidRPr="002D0F6F">
        <w:rPr>
          <w:rStyle w:val="HideTWBExt"/>
        </w:rPr>
        <w:lastRenderedPageBreak/>
        <w:t>&lt;/Amend&gt;</w:t>
      </w:r>
    </w:p>
    <w:p w14:paraId="193810FD"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3</w:t>
      </w:r>
      <w:r w:rsidRPr="002D0F6F">
        <w:rPr>
          <w:rStyle w:val="HideTWBExt"/>
          <w:b w:val="0"/>
        </w:rPr>
        <w:t>&lt;/NumAm&gt;</w:t>
      </w:r>
    </w:p>
    <w:p w14:paraId="16F080DF" w14:textId="77777777" w:rsidR="00CC2DDD" w:rsidRPr="003E0A0F" w:rsidRDefault="00CC2DDD" w:rsidP="00CC2DDD">
      <w:pPr>
        <w:pStyle w:val="NormalBold"/>
      </w:pPr>
      <w:r w:rsidRPr="002D0F6F">
        <w:rPr>
          <w:rStyle w:val="HideTWBExt"/>
          <w:b w:val="0"/>
        </w:rPr>
        <w:t>&lt;RepeatBlock-By&gt;&lt;Members&gt;</w:t>
      </w:r>
      <w:r w:rsidRPr="003E0A0F">
        <w:t>José Cepeda</w:t>
      </w:r>
      <w:r w:rsidRPr="002D0F6F">
        <w:rPr>
          <w:rStyle w:val="HideTWBExt"/>
          <w:b w:val="0"/>
        </w:rPr>
        <w:t>&lt;/Members&gt;</w:t>
      </w:r>
    </w:p>
    <w:p w14:paraId="238C9F04" w14:textId="77777777" w:rsidR="00CC2DDD" w:rsidRPr="003E0A0F" w:rsidRDefault="00CC2DDD" w:rsidP="00CC2DDD">
      <w:pPr>
        <w:pStyle w:val="NormalBold"/>
      </w:pPr>
      <w:r w:rsidRPr="002D0F6F">
        <w:rPr>
          <w:rStyle w:val="HideTWBExt"/>
          <w:b w:val="0"/>
        </w:rPr>
        <w:t>&lt;/RepeatBlock-By&gt;</w:t>
      </w:r>
    </w:p>
    <w:p w14:paraId="64BD122D"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446F2B41" w14:textId="77777777" w:rsidR="00CC2DDD" w:rsidRPr="003E0A0F" w:rsidRDefault="00CC2DDD" w:rsidP="00CC2DDD">
      <w:pPr>
        <w:pStyle w:val="NormalBold"/>
      </w:pPr>
      <w:r w:rsidRPr="002D0F6F">
        <w:rPr>
          <w:rStyle w:val="HideTWBExt"/>
          <w:b w:val="0"/>
        </w:rPr>
        <w:t>&lt;Article&gt;</w:t>
      </w:r>
      <w:r w:rsidRPr="003E0A0F">
        <w:t>Paragrafo 4 bis (nuovo)</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2E6BE155" w14:textId="77777777" w:rsidTr="002D2F66">
        <w:trPr>
          <w:trHeight w:hRule="exact" w:val="240"/>
          <w:jc w:val="center"/>
        </w:trPr>
        <w:tc>
          <w:tcPr>
            <w:tcW w:w="9752" w:type="dxa"/>
            <w:gridSpan w:val="2"/>
            <w:tcBorders>
              <w:top w:val="nil"/>
              <w:left w:val="nil"/>
              <w:bottom w:val="nil"/>
              <w:right w:val="nil"/>
            </w:tcBorders>
          </w:tcPr>
          <w:p w14:paraId="77DB2D75" w14:textId="77777777" w:rsidR="00CC2DDD" w:rsidRPr="003E0A0F" w:rsidRDefault="00CC2DDD" w:rsidP="002D2F66"/>
        </w:tc>
      </w:tr>
      <w:tr w:rsidR="00CC2DDD" w:rsidRPr="003E0A0F" w14:paraId="56DC4F0D" w14:textId="77777777" w:rsidTr="002D2F66">
        <w:trPr>
          <w:trHeight w:val="240"/>
          <w:jc w:val="center"/>
        </w:trPr>
        <w:tc>
          <w:tcPr>
            <w:tcW w:w="4876" w:type="dxa"/>
            <w:tcBorders>
              <w:top w:val="nil"/>
              <w:left w:val="nil"/>
              <w:bottom w:val="nil"/>
              <w:right w:val="nil"/>
            </w:tcBorders>
          </w:tcPr>
          <w:p w14:paraId="7BB04F38"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35DC1347" w14:textId="77777777" w:rsidR="00CC2DDD" w:rsidRPr="003E0A0F" w:rsidRDefault="00CC2DDD" w:rsidP="002D2F66">
            <w:pPr>
              <w:pStyle w:val="AmColumnHeading"/>
            </w:pPr>
            <w:r w:rsidRPr="003E0A0F">
              <w:t>Emendamento</w:t>
            </w:r>
          </w:p>
        </w:tc>
      </w:tr>
      <w:tr w:rsidR="00CC2DDD" w:rsidRPr="003E0A0F" w14:paraId="0AC5885F" w14:textId="77777777" w:rsidTr="002D2F66">
        <w:trPr>
          <w:jc w:val="center"/>
        </w:trPr>
        <w:tc>
          <w:tcPr>
            <w:tcW w:w="4876" w:type="dxa"/>
            <w:tcBorders>
              <w:top w:val="nil"/>
              <w:left w:val="nil"/>
              <w:bottom w:val="nil"/>
              <w:right w:val="nil"/>
            </w:tcBorders>
          </w:tcPr>
          <w:p w14:paraId="5CD191C5" w14:textId="77777777" w:rsidR="00CC2DDD" w:rsidRPr="003E0A0F" w:rsidRDefault="00CC2DDD" w:rsidP="002D2F66">
            <w:pPr>
              <w:pStyle w:val="Normal6a"/>
            </w:pPr>
          </w:p>
        </w:tc>
        <w:tc>
          <w:tcPr>
            <w:tcW w:w="4876" w:type="dxa"/>
            <w:tcBorders>
              <w:top w:val="nil"/>
              <w:left w:val="nil"/>
              <w:bottom w:val="nil"/>
              <w:right w:val="nil"/>
            </w:tcBorders>
          </w:tcPr>
          <w:p w14:paraId="6ED2098E" w14:textId="77777777" w:rsidR="00CC2DDD" w:rsidRPr="003E0A0F" w:rsidRDefault="00CC2DDD" w:rsidP="002D2F66">
            <w:pPr>
              <w:pStyle w:val="Normal6a"/>
            </w:pPr>
            <w:r w:rsidRPr="003E0A0F">
              <w:rPr>
                <w:b/>
                <w:i/>
              </w:rPr>
              <w:t>4 bis.</w:t>
            </w:r>
            <w:r w:rsidRPr="003E0A0F">
              <w:tab/>
            </w:r>
            <w:r w:rsidRPr="003E0A0F">
              <w:rPr>
                <w:b/>
                <w:i/>
              </w:rPr>
              <w:t>osserva che le spese per il personale rappresentano quasi l'80 % del bilancio della CGUE e che nel 2024 gli adeguamenti delle retribuzioni hanno superato le previsioni iniziali; sottolinea che, sebbene tali aumenti siano stati assorbiti senza ulteriori rafforzamenti di bilancio, la loro natura ricorrente solleva interrogativi per quanto riguarda la sostenibilità di bilancio a medio termine nell'ambito degli attuali vincoli del QFP; chiede una migliore pianificazione pluriennale della forza lavoro e della spesa, senza compromettere l'indipendenza della magistratura;</w:t>
            </w:r>
          </w:p>
        </w:tc>
      </w:tr>
    </w:tbl>
    <w:p w14:paraId="570D5AAF" w14:textId="77777777" w:rsidR="00CC2DDD" w:rsidRPr="003E0A0F" w:rsidRDefault="00CC2DDD" w:rsidP="00CC2DDD">
      <w:pPr>
        <w:pStyle w:val="AmOrLang"/>
      </w:pPr>
      <w:r w:rsidRPr="003E0A0F">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365CD1ED" w14:textId="77777777" w:rsidR="00CC2DDD" w:rsidRPr="003E0A0F" w:rsidRDefault="00CC2DDD" w:rsidP="00CC2DDD">
      <w:r w:rsidRPr="002D0F6F">
        <w:rPr>
          <w:rStyle w:val="HideTWBExt"/>
        </w:rPr>
        <w:t>&lt;/Amend&gt;</w:t>
      </w:r>
    </w:p>
    <w:p w14:paraId="3E2E3C68"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4</w:t>
      </w:r>
      <w:r w:rsidRPr="002D0F6F">
        <w:rPr>
          <w:rStyle w:val="HideTWBExt"/>
          <w:b w:val="0"/>
        </w:rPr>
        <w:t>&lt;/NumAm&gt;</w:t>
      </w:r>
    </w:p>
    <w:p w14:paraId="0ED02C30" w14:textId="77777777" w:rsidR="00CC2DDD" w:rsidRPr="003E0A0F" w:rsidRDefault="00CC2DDD" w:rsidP="00CC2DDD">
      <w:pPr>
        <w:pStyle w:val="NormalBold"/>
      </w:pPr>
      <w:r w:rsidRPr="002D0F6F">
        <w:rPr>
          <w:rStyle w:val="HideTWBExt"/>
          <w:b w:val="0"/>
        </w:rPr>
        <w:t>&lt;RepeatBlock-By&gt;&lt;Members&gt;</w:t>
      </w:r>
      <w:r w:rsidRPr="003E0A0F">
        <w:t>Caterina Chinnici</w:t>
      </w:r>
      <w:r w:rsidRPr="002D0F6F">
        <w:rPr>
          <w:rStyle w:val="HideTWBExt"/>
          <w:b w:val="0"/>
        </w:rPr>
        <w:t>&lt;/Members&gt;</w:t>
      </w:r>
    </w:p>
    <w:p w14:paraId="633BEF13" w14:textId="77777777" w:rsidR="00CC2DDD" w:rsidRPr="003E0A0F" w:rsidRDefault="00CC2DDD" w:rsidP="00CC2DDD">
      <w:pPr>
        <w:pStyle w:val="NormalBold"/>
      </w:pPr>
      <w:r w:rsidRPr="002D0F6F">
        <w:rPr>
          <w:rStyle w:val="HideTWBExt"/>
          <w:b w:val="0"/>
        </w:rPr>
        <w:t>&lt;/RepeatBlock-By&gt;</w:t>
      </w:r>
    </w:p>
    <w:p w14:paraId="0D4F8A3E"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3F7713F0" w14:textId="77777777" w:rsidR="00CC2DDD" w:rsidRPr="003E0A0F" w:rsidRDefault="00CC2DDD" w:rsidP="00CC2DDD">
      <w:pPr>
        <w:pStyle w:val="NormalBold"/>
      </w:pPr>
      <w:r w:rsidRPr="002D0F6F">
        <w:rPr>
          <w:rStyle w:val="HideTWBExt"/>
          <w:b w:val="0"/>
        </w:rPr>
        <w:t>&lt;Article&gt;</w:t>
      </w:r>
      <w:r w:rsidRPr="003E0A0F">
        <w:t>Paragrafo 6</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22B4147B" w14:textId="77777777" w:rsidTr="002D2F66">
        <w:trPr>
          <w:trHeight w:hRule="exact" w:val="240"/>
          <w:jc w:val="center"/>
        </w:trPr>
        <w:tc>
          <w:tcPr>
            <w:tcW w:w="9752" w:type="dxa"/>
            <w:gridSpan w:val="2"/>
            <w:tcBorders>
              <w:top w:val="nil"/>
              <w:left w:val="nil"/>
              <w:bottom w:val="nil"/>
              <w:right w:val="nil"/>
            </w:tcBorders>
          </w:tcPr>
          <w:p w14:paraId="5644A67E" w14:textId="77777777" w:rsidR="00CC2DDD" w:rsidRPr="003E0A0F" w:rsidRDefault="00CC2DDD" w:rsidP="002D2F66"/>
        </w:tc>
      </w:tr>
      <w:tr w:rsidR="00CC2DDD" w:rsidRPr="003E0A0F" w14:paraId="51D48137" w14:textId="77777777" w:rsidTr="002D2F66">
        <w:trPr>
          <w:trHeight w:val="240"/>
          <w:jc w:val="center"/>
        </w:trPr>
        <w:tc>
          <w:tcPr>
            <w:tcW w:w="4876" w:type="dxa"/>
            <w:tcBorders>
              <w:top w:val="nil"/>
              <w:left w:val="nil"/>
              <w:bottom w:val="nil"/>
              <w:right w:val="nil"/>
            </w:tcBorders>
          </w:tcPr>
          <w:p w14:paraId="71826AF4"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334DFC4A" w14:textId="77777777" w:rsidR="00CC2DDD" w:rsidRPr="003E0A0F" w:rsidRDefault="00CC2DDD" w:rsidP="002D2F66">
            <w:pPr>
              <w:pStyle w:val="AmColumnHeading"/>
            </w:pPr>
            <w:r w:rsidRPr="003E0A0F">
              <w:t>Emendamento</w:t>
            </w:r>
          </w:p>
        </w:tc>
      </w:tr>
      <w:tr w:rsidR="00CC2DDD" w:rsidRPr="003E0A0F" w14:paraId="2F21FF61" w14:textId="77777777" w:rsidTr="002D2F66">
        <w:trPr>
          <w:jc w:val="center"/>
        </w:trPr>
        <w:tc>
          <w:tcPr>
            <w:tcW w:w="4876" w:type="dxa"/>
            <w:tcBorders>
              <w:top w:val="nil"/>
              <w:left w:val="nil"/>
              <w:bottom w:val="nil"/>
              <w:right w:val="nil"/>
            </w:tcBorders>
          </w:tcPr>
          <w:p w14:paraId="606E0F1E" w14:textId="77777777" w:rsidR="00CC2DDD" w:rsidRPr="003E0A0F" w:rsidRDefault="00CC2DDD" w:rsidP="002D2F66">
            <w:pPr>
              <w:pStyle w:val="Normal6a"/>
            </w:pPr>
            <w:r w:rsidRPr="003E0A0F">
              <w:t>6.</w:t>
            </w:r>
            <w:r w:rsidRPr="003E0A0F">
              <w:tab/>
              <w:t xml:space="preserve">concorda sul fatto che la capacità della CGUE di far fronte a un carico di lavoro in continua crescita è stata messa a dura prova, da un lato, dagli orientamenti della Commissione per la preparazione del bilancio che limitano l'aumento per tutte le spese non connesse alle retribuzioni a un massimo del 2 % e scoraggiano le richieste di nuovi posti e, dall'altro, dall'incapacità dell'EPSO di fornire alle istituzioni dell'Unione un bacino di dimensioni </w:t>
            </w:r>
            <w:r w:rsidRPr="003E0A0F">
              <w:lastRenderedPageBreak/>
              <w:t>ragionevoli di vincitori di concorsi a fini di assunzione; osserva inoltre che gli effetti inflazionistici della guerra di aggressione della Russia nei confronti dell'Ucraina hanno continuato a esercitare pressioni di bilancio per la CGUE attraverso, ad esempio, l'aumento dei costi delle missioni o l'aumento dei prezzi dei beni e dei servizi oggetto di contratti; elogia la CGUE per le misure che ha adottato per attenuare tali effetti riducendo il numero di missioni, limitando la spesa energetica e, soprattutto, applicando un ordine di priorità ai progetti nella preparazione delle previsioni di bilancio; riconosce la necessità che tutte le istituzioni dell'Unione migliorino la loro gestione di bilancio tenendo conto anche della volatilità dei prezzi, in particolare nel settore dell'energia, al momento di concludere contratti con i fornitori di servizi;</w:t>
            </w:r>
          </w:p>
        </w:tc>
        <w:tc>
          <w:tcPr>
            <w:tcW w:w="4876" w:type="dxa"/>
            <w:tcBorders>
              <w:top w:val="nil"/>
              <w:left w:val="nil"/>
              <w:bottom w:val="nil"/>
              <w:right w:val="nil"/>
            </w:tcBorders>
          </w:tcPr>
          <w:p w14:paraId="7946E090" w14:textId="77777777" w:rsidR="00CC2DDD" w:rsidRPr="003E0A0F" w:rsidRDefault="00CC2DDD" w:rsidP="002D2F66">
            <w:pPr>
              <w:pStyle w:val="Normal6a"/>
            </w:pPr>
            <w:r w:rsidRPr="003E0A0F">
              <w:lastRenderedPageBreak/>
              <w:t>6.</w:t>
            </w:r>
            <w:r w:rsidRPr="003E0A0F">
              <w:tab/>
              <w:t xml:space="preserve">concorda sul fatto che la capacità della CGUE di far fronte a un carico di lavoro in continua crescita è stata messa a dura prova, da un lato, dagli orientamenti della Commissione per la preparazione del bilancio che limitano l'aumento per tutte le spese non connesse alle retribuzioni a un massimo del 2 % e scoraggiano le richieste di nuovi posti e, dall'altro, dall'incapacità dell'EPSO di fornire alle istituzioni dell'Unione un bacino di dimensioni </w:t>
            </w:r>
            <w:r w:rsidRPr="003E0A0F">
              <w:lastRenderedPageBreak/>
              <w:t xml:space="preserve">ragionevoli di vincitori di concorsi a fini di assunzione; osserva inoltre che gli effetti inflazionistici della guerra di aggressione </w:t>
            </w:r>
            <w:r w:rsidRPr="003E0A0F">
              <w:rPr>
                <w:b/>
                <w:i/>
              </w:rPr>
              <w:t>illegale</w:t>
            </w:r>
            <w:r w:rsidRPr="003E0A0F">
              <w:t xml:space="preserve"> della Russia nei confronti dell'Ucraina hanno continuato a esercitare pressioni di bilancio per la CGUE attraverso, ad esempio, l'aumento dei costi delle missioni o l'aumento dei prezzi dei beni e dei servizi oggetto di contratti; elogia la CGUE per le misure che ha adottato per attenuare tali effetti riducendo il numero di missioni, limitando la spesa energetica e, soprattutto, applicando un ordine di priorità ai progetti nella preparazione delle previsioni di bilancio; riconosce la necessità che tutte le istituzioni dell'Unione migliorino la loro gestione di bilancio tenendo conto anche della volatilità dei prezzi, in particolare nel settore dell'energia, al momento di concludere contratti con i fornitori di servizi; </w:t>
            </w:r>
            <w:r w:rsidRPr="003E0A0F">
              <w:rPr>
                <w:b/>
                <w:i/>
              </w:rPr>
              <w:t>invita la CGUE a continuare a migliorare l'efficienza in termini di costi e la pianificazione proattiva del bilancio al fine di preservare la qualità giudiziaria nell'ambito delle risorse disponibili;</w:t>
            </w:r>
          </w:p>
        </w:tc>
      </w:tr>
    </w:tbl>
    <w:p w14:paraId="464F0ADF" w14:textId="77777777" w:rsidR="00CC2DDD" w:rsidRPr="003E0A0F" w:rsidRDefault="00CC2DDD" w:rsidP="00CC2DDD">
      <w:pPr>
        <w:pStyle w:val="AmOrLang"/>
      </w:pPr>
      <w:r w:rsidRPr="003E0A0F">
        <w:lastRenderedPageBreak/>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6160F6A9" w14:textId="77777777" w:rsidR="00CC2DDD" w:rsidRPr="003E0A0F" w:rsidRDefault="00CC2DDD" w:rsidP="00CC2DDD">
      <w:r w:rsidRPr="002D0F6F">
        <w:rPr>
          <w:rStyle w:val="HideTWBExt"/>
        </w:rPr>
        <w:t>&lt;/Amend&gt;</w:t>
      </w:r>
    </w:p>
    <w:p w14:paraId="431FC290"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5</w:t>
      </w:r>
      <w:r w:rsidRPr="002D0F6F">
        <w:rPr>
          <w:rStyle w:val="HideTWBExt"/>
          <w:b w:val="0"/>
        </w:rPr>
        <w:t>&lt;/NumAm&gt;</w:t>
      </w:r>
    </w:p>
    <w:p w14:paraId="3477DF63" w14:textId="77777777" w:rsidR="00CC2DDD" w:rsidRPr="003E0A0F" w:rsidRDefault="00CC2DDD" w:rsidP="00CC2DDD">
      <w:pPr>
        <w:pStyle w:val="NormalBold"/>
      </w:pPr>
      <w:r w:rsidRPr="002D0F6F">
        <w:rPr>
          <w:rStyle w:val="HideTWBExt"/>
          <w:b w:val="0"/>
        </w:rPr>
        <w:t>&lt;RepeatBlock-By&gt;&lt;Members&gt;</w:t>
      </w:r>
      <w:r w:rsidRPr="003E0A0F">
        <w:t>Pasquale Tridico</w:t>
      </w:r>
      <w:r w:rsidRPr="002D0F6F">
        <w:rPr>
          <w:rStyle w:val="HideTWBExt"/>
          <w:b w:val="0"/>
        </w:rPr>
        <w:t>&lt;/Members&gt;</w:t>
      </w:r>
    </w:p>
    <w:p w14:paraId="75C1A0F8" w14:textId="77777777" w:rsidR="00CC2DDD" w:rsidRPr="003E0A0F" w:rsidRDefault="00CC2DDD" w:rsidP="00CC2DDD">
      <w:pPr>
        <w:pStyle w:val="NormalBold"/>
      </w:pPr>
      <w:r w:rsidRPr="002D0F6F">
        <w:rPr>
          <w:rStyle w:val="HideTWBExt"/>
          <w:b w:val="0"/>
        </w:rPr>
        <w:t>&lt;/RepeatBlock-By&gt;</w:t>
      </w:r>
    </w:p>
    <w:p w14:paraId="2049394A"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342794A4" w14:textId="77777777" w:rsidR="00CC2DDD" w:rsidRPr="003E0A0F" w:rsidRDefault="00CC2DDD" w:rsidP="00CC2DDD">
      <w:pPr>
        <w:pStyle w:val="NormalBold"/>
      </w:pPr>
      <w:r w:rsidRPr="002D0F6F">
        <w:rPr>
          <w:rStyle w:val="HideTWBExt"/>
          <w:b w:val="0"/>
        </w:rPr>
        <w:t>&lt;Article&gt;</w:t>
      </w:r>
      <w:r w:rsidRPr="003E0A0F">
        <w:t>Paragrafo 8</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199FF10F" w14:textId="77777777" w:rsidTr="002D2F66">
        <w:trPr>
          <w:trHeight w:hRule="exact" w:val="240"/>
          <w:jc w:val="center"/>
        </w:trPr>
        <w:tc>
          <w:tcPr>
            <w:tcW w:w="9752" w:type="dxa"/>
            <w:gridSpan w:val="2"/>
            <w:tcBorders>
              <w:top w:val="nil"/>
              <w:left w:val="nil"/>
              <w:bottom w:val="nil"/>
              <w:right w:val="nil"/>
            </w:tcBorders>
          </w:tcPr>
          <w:p w14:paraId="6D7E195D" w14:textId="77777777" w:rsidR="00CC2DDD" w:rsidRPr="003E0A0F" w:rsidRDefault="00CC2DDD" w:rsidP="002D2F66"/>
        </w:tc>
      </w:tr>
      <w:tr w:rsidR="00CC2DDD" w:rsidRPr="003E0A0F" w14:paraId="53B5107F" w14:textId="77777777" w:rsidTr="002D2F66">
        <w:trPr>
          <w:trHeight w:val="240"/>
          <w:jc w:val="center"/>
        </w:trPr>
        <w:tc>
          <w:tcPr>
            <w:tcW w:w="4876" w:type="dxa"/>
            <w:tcBorders>
              <w:top w:val="nil"/>
              <w:left w:val="nil"/>
              <w:bottom w:val="nil"/>
              <w:right w:val="nil"/>
            </w:tcBorders>
          </w:tcPr>
          <w:p w14:paraId="27EF920F"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2CC31979" w14:textId="77777777" w:rsidR="00CC2DDD" w:rsidRPr="003E0A0F" w:rsidRDefault="00CC2DDD" w:rsidP="002D2F66">
            <w:pPr>
              <w:pStyle w:val="AmColumnHeading"/>
            </w:pPr>
            <w:r w:rsidRPr="003E0A0F">
              <w:t>Emendamento</w:t>
            </w:r>
          </w:p>
        </w:tc>
      </w:tr>
      <w:tr w:rsidR="00CC2DDD" w:rsidRPr="003E0A0F" w14:paraId="48C8AEC6" w14:textId="77777777" w:rsidTr="002D2F66">
        <w:trPr>
          <w:jc w:val="center"/>
        </w:trPr>
        <w:tc>
          <w:tcPr>
            <w:tcW w:w="4876" w:type="dxa"/>
            <w:tcBorders>
              <w:top w:val="nil"/>
              <w:left w:val="nil"/>
              <w:bottom w:val="nil"/>
              <w:right w:val="nil"/>
            </w:tcBorders>
          </w:tcPr>
          <w:p w14:paraId="6446B44C" w14:textId="77777777" w:rsidR="00CC2DDD" w:rsidRPr="003E0A0F" w:rsidRDefault="00CC2DDD" w:rsidP="002D2F66">
            <w:pPr>
              <w:pStyle w:val="Normal6a"/>
            </w:pPr>
            <w:r w:rsidRPr="003E0A0F">
              <w:t>8.</w:t>
            </w:r>
            <w:r w:rsidRPr="003E0A0F">
              <w:tab/>
              <w:t xml:space="preserve">osserva con soddisfazione che il bilancio delle missioni per i membri e il personale della CGUE è diminuito per il secondo anno consecutivo, passando da 638 000 EUR nel 2023 a 616 000 EUR nel 2024, il che rappresenta una diminuzione di circa il </w:t>
            </w:r>
            <w:r w:rsidRPr="003E0A0F">
              <w:rPr>
                <w:b/>
                <w:i/>
              </w:rPr>
              <w:t>3,3</w:t>
            </w:r>
            <w:r w:rsidRPr="003E0A0F">
              <w:t> %;</w:t>
            </w:r>
          </w:p>
        </w:tc>
        <w:tc>
          <w:tcPr>
            <w:tcW w:w="4876" w:type="dxa"/>
            <w:tcBorders>
              <w:top w:val="nil"/>
              <w:left w:val="nil"/>
              <w:bottom w:val="nil"/>
              <w:right w:val="nil"/>
            </w:tcBorders>
          </w:tcPr>
          <w:p w14:paraId="077FB17D" w14:textId="77777777" w:rsidR="00CC2DDD" w:rsidRPr="003E0A0F" w:rsidRDefault="00CC2DDD" w:rsidP="002D2F66">
            <w:pPr>
              <w:pStyle w:val="Normal6a"/>
            </w:pPr>
            <w:r w:rsidRPr="003E0A0F">
              <w:t>8.</w:t>
            </w:r>
            <w:r w:rsidRPr="003E0A0F">
              <w:tab/>
              <w:t xml:space="preserve">osserva con soddisfazione che il bilancio delle missioni per i membri e il personale della CGUE è diminuito per il secondo anno consecutivo, passando da 638 000 EUR nel 2023 a 616 000 EUR nel 2024, il che rappresenta una diminuzione di circa il </w:t>
            </w:r>
            <w:r w:rsidRPr="003E0A0F">
              <w:rPr>
                <w:b/>
                <w:i/>
              </w:rPr>
              <w:t>3,44</w:t>
            </w:r>
            <w:r w:rsidRPr="003E0A0F">
              <w:t> %;</w:t>
            </w:r>
          </w:p>
        </w:tc>
      </w:tr>
    </w:tbl>
    <w:p w14:paraId="55E5BBC5" w14:textId="77777777" w:rsidR="00CC2DDD" w:rsidRPr="003E0A0F" w:rsidRDefault="00CC2DDD" w:rsidP="00CC2DDD">
      <w:pPr>
        <w:pStyle w:val="AmOrLang"/>
      </w:pPr>
      <w:r w:rsidRPr="003E0A0F">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6961463C" w14:textId="77777777" w:rsidR="00CC2DDD" w:rsidRPr="003E0A0F" w:rsidRDefault="00CC2DDD" w:rsidP="00CC2DDD">
      <w:r w:rsidRPr="002D0F6F">
        <w:rPr>
          <w:rStyle w:val="HideTWBExt"/>
        </w:rPr>
        <w:lastRenderedPageBreak/>
        <w:t>&lt;/Amend&gt;</w:t>
      </w:r>
    </w:p>
    <w:p w14:paraId="16ABB0CB"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6</w:t>
      </w:r>
      <w:r w:rsidRPr="002D0F6F">
        <w:rPr>
          <w:rStyle w:val="HideTWBExt"/>
          <w:b w:val="0"/>
        </w:rPr>
        <w:t>&lt;/NumAm&gt;</w:t>
      </w:r>
    </w:p>
    <w:p w14:paraId="53AA2374" w14:textId="77777777" w:rsidR="00CC2DDD" w:rsidRPr="003E0A0F" w:rsidRDefault="00CC2DDD" w:rsidP="00CC2DDD">
      <w:pPr>
        <w:pStyle w:val="NormalBold"/>
      </w:pPr>
      <w:r w:rsidRPr="002D0F6F">
        <w:rPr>
          <w:rStyle w:val="HideTWBExt"/>
          <w:b w:val="0"/>
        </w:rPr>
        <w:t>&lt;RepeatBlock-By&gt;&lt;Members&gt;</w:t>
      </w:r>
      <w:r w:rsidRPr="003E0A0F">
        <w:t>Caterina Chinnici</w:t>
      </w:r>
      <w:r w:rsidRPr="002D0F6F">
        <w:rPr>
          <w:rStyle w:val="HideTWBExt"/>
          <w:b w:val="0"/>
        </w:rPr>
        <w:t>&lt;/Members&gt;</w:t>
      </w:r>
    </w:p>
    <w:p w14:paraId="411EEC76" w14:textId="77777777" w:rsidR="00CC2DDD" w:rsidRPr="003E0A0F" w:rsidRDefault="00CC2DDD" w:rsidP="00CC2DDD">
      <w:pPr>
        <w:pStyle w:val="NormalBold"/>
      </w:pPr>
      <w:r w:rsidRPr="002D0F6F">
        <w:rPr>
          <w:rStyle w:val="HideTWBExt"/>
          <w:b w:val="0"/>
        </w:rPr>
        <w:t>&lt;/RepeatBlock-By&gt;</w:t>
      </w:r>
    </w:p>
    <w:p w14:paraId="5A62441B"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06DBA677" w14:textId="77777777" w:rsidR="00CC2DDD" w:rsidRPr="003E0A0F" w:rsidRDefault="00CC2DDD" w:rsidP="00CC2DDD">
      <w:pPr>
        <w:pStyle w:val="NormalBold"/>
      </w:pPr>
      <w:r w:rsidRPr="002D0F6F">
        <w:rPr>
          <w:rStyle w:val="HideTWBExt"/>
          <w:b w:val="0"/>
        </w:rPr>
        <w:t>&lt;Article&gt;</w:t>
      </w:r>
      <w:r w:rsidRPr="003E0A0F">
        <w:t>Paragrafo 9</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62927983" w14:textId="77777777" w:rsidTr="002D2F66">
        <w:trPr>
          <w:trHeight w:hRule="exact" w:val="240"/>
          <w:jc w:val="center"/>
        </w:trPr>
        <w:tc>
          <w:tcPr>
            <w:tcW w:w="9752" w:type="dxa"/>
            <w:gridSpan w:val="2"/>
            <w:tcBorders>
              <w:top w:val="nil"/>
              <w:left w:val="nil"/>
              <w:bottom w:val="nil"/>
              <w:right w:val="nil"/>
            </w:tcBorders>
          </w:tcPr>
          <w:p w14:paraId="338DD0DD" w14:textId="77777777" w:rsidR="00CC2DDD" w:rsidRPr="003E0A0F" w:rsidRDefault="00CC2DDD" w:rsidP="002D2F66"/>
        </w:tc>
      </w:tr>
      <w:tr w:rsidR="00CC2DDD" w:rsidRPr="003E0A0F" w14:paraId="6CA1CCAF" w14:textId="77777777" w:rsidTr="002D2F66">
        <w:trPr>
          <w:trHeight w:val="240"/>
          <w:jc w:val="center"/>
        </w:trPr>
        <w:tc>
          <w:tcPr>
            <w:tcW w:w="4876" w:type="dxa"/>
            <w:tcBorders>
              <w:top w:val="nil"/>
              <w:left w:val="nil"/>
              <w:bottom w:val="nil"/>
              <w:right w:val="nil"/>
            </w:tcBorders>
          </w:tcPr>
          <w:p w14:paraId="284C7E84"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199E6552" w14:textId="77777777" w:rsidR="00CC2DDD" w:rsidRPr="003E0A0F" w:rsidRDefault="00CC2DDD" w:rsidP="002D2F66">
            <w:pPr>
              <w:pStyle w:val="AmColumnHeading"/>
            </w:pPr>
            <w:r w:rsidRPr="003E0A0F">
              <w:t>Emendamento</w:t>
            </w:r>
          </w:p>
        </w:tc>
      </w:tr>
      <w:tr w:rsidR="00CC2DDD" w:rsidRPr="003E0A0F" w14:paraId="528DF540" w14:textId="77777777" w:rsidTr="002D2F66">
        <w:trPr>
          <w:jc w:val="center"/>
        </w:trPr>
        <w:tc>
          <w:tcPr>
            <w:tcW w:w="4876" w:type="dxa"/>
            <w:tcBorders>
              <w:top w:val="nil"/>
              <w:left w:val="nil"/>
              <w:bottom w:val="nil"/>
              <w:right w:val="nil"/>
            </w:tcBorders>
          </w:tcPr>
          <w:p w14:paraId="163643DF" w14:textId="77777777" w:rsidR="00CC2DDD" w:rsidRPr="003E0A0F" w:rsidRDefault="00CC2DDD" w:rsidP="002D2F66">
            <w:pPr>
              <w:pStyle w:val="Normal6a"/>
            </w:pPr>
            <w:r w:rsidRPr="003E0A0F">
              <w:t>9.</w:t>
            </w:r>
            <w:r w:rsidRPr="003E0A0F">
              <w:tab/>
              <w:t xml:space="preserve">prende atto con soddisfazione, dalle risposte della CGUE al questionario per il discarico 2024, degli sforzi compiuti dalla CGUE per completare la riforma giudiziaria per il trasferimento parziale della competenza pregiudiziale dalla Corte di giustizia al Tribunale e consentire l'attuazione del nuovo quadro normativo a decorrere dal 1º ottobre 2024; prende atto, in tale contesto, della riorganizzazione della struttura del Tribunale, della modifica del regolamento interno della CGUE, dell'adozione di una nuova serie di norme pratiche del Tribunale per l'attuazione del regolamento interno, dell'adozione di una nuova decisione sul deposito e la notifica degli atti processuali tramite e-Curia, dello sviluppo di un nuovo software ("sportello unico") per l'analisi e il trattamento rapidi delle cause e dell'armonizzazione delle pratiche dei registri dei due organi giurisdizionali nel 2024; constata con soddisfazione che, nei primi tre mesi successivi all'entrata in vigore della riforma, sono già state trasferite al Tribunale 20 pronunce pregiudiziali, segnando così i primi risultati verso una distribuzione più equilibrata del carico di lavoro tra i due organi giurisdizionali; osserva che gli unici costi aggiuntivi associati all'attuazione della riforma giudiziaria sono stati quelli relativi alle tecnologie dell'informazione, per lo sviluppo dello sportello unico, pari a circa 805 000 EUR, mentre per quanto riguarda il personale la riforma è stata mantenuta neutra in termini di bilancio attraverso la riassegnazione di posti e funzioni </w:t>
            </w:r>
            <w:r w:rsidRPr="003E0A0F">
              <w:lastRenderedPageBreak/>
              <w:t>all'interno dell'istituzione;</w:t>
            </w:r>
          </w:p>
        </w:tc>
        <w:tc>
          <w:tcPr>
            <w:tcW w:w="4876" w:type="dxa"/>
            <w:tcBorders>
              <w:top w:val="nil"/>
              <w:left w:val="nil"/>
              <w:bottom w:val="nil"/>
              <w:right w:val="nil"/>
            </w:tcBorders>
          </w:tcPr>
          <w:p w14:paraId="3AD683E0" w14:textId="77777777" w:rsidR="00CC2DDD" w:rsidRPr="003E0A0F" w:rsidRDefault="00CC2DDD" w:rsidP="002D2F66">
            <w:pPr>
              <w:pStyle w:val="Normal6a"/>
            </w:pPr>
            <w:r w:rsidRPr="003E0A0F">
              <w:lastRenderedPageBreak/>
              <w:t>9.</w:t>
            </w:r>
            <w:r w:rsidRPr="003E0A0F">
              <w:tab/>
              <w:t xml:space="preserve">prende atto con soddisfazione, dalle risposte della CGUE al questionario per il discarico 2024, degli sforzi compiuti dalla CGUE per completare la riforma giudiziaria per il trasferimento parziale della competenza pregiudiziale dalla Corte di giustizia al Tribunale e consentire l'attuazione del nuovo quadro normativo a decorrere dal 1º ottobre 2024; prende atto, in tale contesto, della riorganizzazione della struttura del Tribunale, della modifica del regolamento interno della CGUE, dell'adozione di una nuova serie di norme pratiche del Tribunale per l'attuazione del regolamento interno, dell'adozione di una nuova decisione sul deposito e la notifica degli atti processuali tramite e-Curia, dello sviluppo di un nuovo software ("sportello unico") per l'analisi e il trattamento rapidi delle cause e dell'armonizzazione delle pratiche dei registri dei due organi giurisdizionali nel 2024; </w:t>
            </w:r>
            <w:r w:rsidRPr="003E0A0F">
              <w:rPr>
                <w:b/>
                <w:i/>
              </w:rPr>
              <w:t>riconosce che la digitalizzazione della gestione delle cause giudiziarie contribuisce a una maggiore efficienza e qualità dei risultati giudiziari;</w:t>
            </w:r>
            <w:r w:rsidRPr="003E0A0F">
              <w:t xml:space="preserve"> constata con soddisfazione che, nei primi tre mesi successivi all'entrata in vigore della riforma, sono già state trasferite al Tribunale 20 pronunce pregiudiziali, segnando così i primi risultati verso una distribuzione più equilibrata del carico di lavoro tra i due organi giurisdizionali; osserva che gli unici costi aggiuntivi associati all'attuazione della riforma giudiziaria sono stati quelli relativi alle tecnologie dell'informazione, per lo sviluppo dello sportello unico, pari a circa 805 000 EUR, mentre per quanto riguarda </w:t>
            </w:r>
            <w:r w:rsidRPr="003E0A0F">
              <w:lastRenderedPageBreak/>
              <w:t xml:space="preserve">il personale la riforma è stata mantenuta neutra in termini di bilancio attraverso la riassegnazione di posti e funzioni all'interno dell'istituzione; </w:t>
            </w:r>
            <w:r w:rsidRPr="003E0A0F">
              <w:rPr>
                <w:b/>
                <w:i/>
              </w:rPr>
              <w:t>incoraggia la CGUE a monitorare ulteriormente l'impatto degli strumenti digitali sui tempi di trattamento e sull'equilibrio del carico di lavoro e a riferire in merito;</w:t>
            </w:r>
          </w:p>
        </w:tc>
      </w:tr>
    </w:tbl>
    <w:p w14:paraId="2B068007" w14:textId="77777777" w:rsidR="00CC2DDD" w:rsidRPr="003E0A0F" w:rsidRDefault="00CC2DDD" w:rsidP="00CC2DDD">
      <w:pPr>
        <w:pStyle w:val="AmOrLang"/>
      </w:pPr>
      <w:r w:rsidRPr="003E0A0F">
        <w:lastRenderedPageBreak/>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336A55F9" w14:textId="77777777" w:rsidR="00CC2DDD" w:rsidRPr="003E0A0F" w:rsidRDefault="00CC2DDD" w:rsidP="00CC2DDD">
      <w:r w:rsidRPr="002D0F6F">
        <w:rPr>
          <w:rStyle w:val="HideTWBExt"/>
        </w:rPr>
        <w:t>&lt;/Amend&gt;</w:t>
      </w:r>
    </w:p>
    <w:p w14:paraId="0F9DE649"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7</w:t>
      </w:r>
      <w:r w:rsidRPr="002D0F6F">
        <w:rPr>
          <w:rStyle w:val="HideTWBExt"/>
          <w:b w:val="0"/>
        </w:rPr>
        <w:t>&lt;/NumAm&gt;</w:t>
      </w:r>
    </w:p>
    <w:p w14:paraId="37984AF2" w14:textId="77777777" w:rsidR="00CC2DDD" w:rsidRPr="003E0A0F" w:rsidRDefault="00CC2DDD" w:rsidP="00CC2DDD">
      <w:pPr>
        <w:pStyle w:val="NormalBold"/>
      </w:pPr>
      <w:r w:rsidRPr="002D0F6F">
        <w:rPr>
          <w:rStyle w:val="HideTWBExt"/>
          <w:b w:val="0"/>
        </w:rPr>
        <w:t>&lt;RepeatBlock-By&gt;&lt;Members&gt;</w:t>
      </w:r>
      <w:r w:rsidRPr="003E0A0F">
        <w:t>Gilles Boyer, Olivier Chastel, Vlad Vasile-Voiculescu, Michal Wiezik, Gerben-Jan Gerbrandy</w:t>
      </w:r>
      <w:r w:rsidRPr="002D0F6F">
        <w:rPr>
          <w:rStyle w:val="HideTWBExt"/>
          <w:b w:val="0"/>
        </w:rPr>
        <w:t>&lt;/Members&gt;</w:t>
      </w:r>
    </w:p>
    <w:p w14:paraId="68800A3E" w14:textId="77777777" w:rsidR="00CC2DDD" w:rsidRPr="003E0A0F" w:rsidRDefault="00CC2DDD" w:rsidP="00CC2DDD">
      <w:pPr>
        <w:pStyle w:val="NormalBold"/>
      </w:pPr>
      <w:r w:rsidRPr="002D0F6F">
        <w:rPr>
          <w:rStyle w:val="HideTWBExt"/>
          <w:b w:val="0"/>
        </w:rPr>
        <w:t>&lt;/RepeatBlock-By&gt;</w:t>
      </w:r>
    </w:p>
    <w:p w14:paraId="1315CEAF"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46A6C11A" w14:textId="77777777" w:rsidR="00CC2DDD" w:rsidRPr="003E0A0F" w:rsidRDefault="00CC2DDD" w:rsidP="00CC2DDD">
      <w:pPr>
        <w:pStyle w:val="NormalBold"/>
      </w:pPr>
      <w:r w:rsidRPr="002D0F6F">
        <w:rPr>
          <w:rStyle w:val="HideTWBExt"/>
          <w:b w:val="0"/>
        </w:rPr>
        <w:t>&lt;Article&gt;</w:t>
      </w:r>
      <w:r w:rsidRPr="003E0A0F">
        <w:t>Paragrafo 9</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015089EE" w14:textId="77777777" w:rsidTr="002D2F66">
        <w:trPr>
          <w:trHeight w:hRule="exact" w:val="240"/>
          <w:jc w:val="center"/>
        </w:trPr>
        <w:tc>
          <w:tcPr>
            <w:tcW w:w="9752" w:type="dxa"/>
            <w:gridSpan w:val="2"/>
            <w:tcBorders>
              <w:top w:val="nil"/>
              <w:left w:val="nil"/>
              <w:bottom w:val="nil"/>
              <w:right w:val="nil"/>
            </w:tcBorders>
          </w:tcPr>
          <w:p w14:paraId="064ADEC3" w14:textId="77777777" w:rsidR="00CC2DDD" w:rsidRPr="003E0A0F" w:rsidRDefault="00CC2DDD" w:rsidP="002D2F66"/>
        </w:tc>
      </w:tr>
      <w:tr w:rsidR="00CC2DDD" w:rsidRPr="003E0A0F" w14:paraId="426F53F9" w14:textId="77777777" w:rsidTr="002D2F66">
        <w:trPr>
          <w:trHeight w:val="240"/>
          <w:jc w:val="center"/>
        </w:trPr>
        <w:tc>
          <w:tcPr>
            <w:tcW w:w="4876" w:type="dxa"/>
            <w:tcBorders>
              <w:top w:val="nil"/>
              <w:left w:val="nil"/>
              <w:bottom w:val="nil"/>
              <w:right w:val="nil"/>
            </w:tcBorders>
          </w:tcPr>
          <w:p w14:paraId="09C80D96"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5ABDE7B8" w14:textId="77777777" w:rsidR="00CC2DDD" w:rsidRPr="003E0A0F" w:rsidRDefault="00CC2DDD" w:rsidP="002D2F66">
            <w:pPr>
              <w:pStyle w:val="AmColumnHeading"/>
            </w:pPr>
            <w:r w:rsidRPr="003E0A0F">
              <w:t>Emendamento</w:t>
            </w:r>
          </w:p>
        </w:tc>
      </w:tr>
      <w:tr w:rsidR="00CC2DDD" w:rsidRPr="003E0A0F" w14:paraId="7DB2F308" w14:textId="77777777" w:rsidTr="002D2F66">
        <w:trPr>
          <w:jc w:val="center"/>
        </w:trPr>
        <w:tc>
          <w:tcPr>
            <w:tcW w:w="4876" w:type="dxa"/>
            <w:tcBorders>
              <w:top w:val="nil"/>
              <w:left w:val="nil"/>
              <w:bottom w:val="nil"/>
              <w:right w:val="nil"/>
            </w:tcBorders>
          </w:tcPr>
          <w:p w14:paraId="43F55C9C" w14:textId="77777777" w:rsidR="00CC2DDD" w:rsidRPr="003E0A0F" w:rsidRDefault="00CC2DDD" w:rsidP="002D2F66">
            <w:pPr>
              <w:pStyle w:val="Normal6a"/>
            </w:pPr>
            <w:r w:rsidRPr="003E0A0F">
              <w:t>9.</w:t>
            </w:r>
            <w:r w:rsidRPr="003E0A0F">
              <w:tab/>
              <w:t xml:space="preserve">prende atto con soddisfazione, dalle risposte della CGUE al questionario per il discarico 2024, degli sforzi compiuti dalla CGUE per completare la riforma giudiziaria per il trasferimento parziale della competenza pregiudiziale dalla Corte di giustizia al Tribunale e consentire l'attuazione del nuovo quadro normativo a decorrere dal 1º ottobre 2024; prende atto, in tale contesto, della riorganizzazione della struttura del Tribunale, della modifica del regolamento interno della CGUE, dell'adozione di una nuova serie di norme pratiche del Tribunale per l'attuazione del regolamento interno, dell'adozione di una nuova decisione sul deposito e la notifica degli atti processuali tramite e-Curia, dello sviluppo di un nuovo software ("sportello unico") per l'analisi e il trattamento rapidi delle cause e dell'armonizzazione delle pratiche dei registri dei due organi giurisdizionali nel 2024; constata con soddisfazione che, nei primi tre mesi successivi all'entrata in vigore della riforma, sono già state trasferite al Tribunale 20 pronunce pregiudiziali, </w:t>
            </w:r>
            <w:r w:rsidRPr="003E0A0F">
              <w:lastRenderedPageBreak/>
              <w:t>segnando così i primi risultati verso una distribuzione più equilibrata del carico di lavoro tra i due organi giurisdizionali; osserva che gli unici costi aggiuntivi associati all'attuazione della riforma giudiziaria sono stati quelli relativi alle tecnologie dell'informazione, per lo sviluppo dello sportello unico, pari a circa 805 000 EUR, mentre per quanto riguarda il personale la riforma è stata mantenuta neutra in termini di bilancio attraverso la riassegnazione di posti e funzioni all'interno dell'istituzione;</w:t>
            </w:r>
          </w:p>
        </w:tc>
        <w:tc>
          <w:tcPr>
            <w:tcW w:w="4876" w:type="dxa"/>
            <w:tcBorders>
              <w:top w:val="nil"/>
              <w:left w:val="nil"/>
              <w:bottom w:val="nil"/>
              <w:right w:val="nil"/>
            </w:tcBorders>
          </w:tcPr>
          <w:p w14:paraId="36EEAEC1" w14:textId="77777777" w:rsidR="00CC2DDD" w:rsidRPr="003E0A0F" w:rsidRDefault="00CC2DDD" w:rsidP="002D2F66">
            <w:pPr>
              <w:pStyle w:val="Normal6a"/>
            </w:pPr>
            <w:r w:rsidRPr="003E0A0F">
              <w:lastRenderedPageBreak/>
              <w:t>9.</w:t>
            </w:r>
            <w:r w:rsidRPr="003E0A0F">
              <w:tab/>
              <w:t xml:space="preserve">prende atto con soddisfazione, dalle risposte della CGUE al questionario per il discarico 2024, degli sforzi compiuti dalla CGUE per completare la riforma giudiziaria per il trasferimento parziale della competenza pregiudiziale dalla Corte di giustizia al Tribunale e consentire l'attuazione del nuovo quadro normativo a decorrere dal 1º ottobre 2024; prende atto, in tale contesto, della riorganizzazione della struttura del Tribunale, della modifica del regolamento interno della CGUE, dell'adozione di una nuova serie di norme pratiche del Tribunale per l'attuazione del regolamento interno, dell'adozione di una nuova decisione sul deposito e la notifica degli atti processuali tramite e-Curia, dello sviluppo di un nuovo software ("sportello unico") per l'analisi e il trattamento rapidi delle cause e dell'armonizzazione delle pratiche dei registri dei due organi giurisdizionali nel 2024; constata con soddisfazione che, nei primi tre mesi successivi all'entrata in vigore della riforma, sono già state trasferite al Tribunale 20 pronunce pregiudiziali, </w:t>
            </w:r>
            <w:r w:rsidRPr="003E0A0F">
              <w:lastRenderedPageBreak/>
              <w:t xml:space="preserve">segnando così i primi risultati verso una distribuzione più equilibrata del carico di lavoro tra i due organi giurisdizionali; osserva che gli unici costi aggiuntivi associati all'attuazione della riforma giudiziaria sono stati quelli relativi alle tecnologie dell'informazione, per lo sviluppo dello sportello unico, pari a circa 805 000 EUR, mentre per quanto riguarda il personale la riforma è stata mantenuta neutra in termini di bilancio attraverso la riassegnazione di posti e funzioni all'interno dell'istituzione; </w:t>
            </w:r>
            <w:r w:rsidRPr="003E0A0F">
              <w:rPr>
                <w:b/>
                <w:i/>
              </w:rPr>
              <w:t>invita la Corte di giustizia a presentare, per la prossima procedura di discarico, una valutazione ex post completa della riforma, compreso il suo impatto sulla durata dei procedimenti e sulla ripartizione del carico di lavoro tra i due organi giurisdizionali;</w:t>
            </w:r>
          </w:p>
        </w:tc>
      </w:tr>
    </w:tbl>
    <w:p w14:paraId="552280B4" w14:textId="77777777" w:rsidR="00CC2DDD" w:rsidRPr="003E0A0F" w:rsidRDefault="00CC2DDD" w:rsidP="00CC2DDD">
      <w:pPr>
        <w:pStyle w:val="AmOrLang"/>
      </w:pPr>
      <w:r w:rsidRPr="003E0A0F">
        <w:lastRenderedPageBreak/>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27B04A8A" w14:textId="77777777" w:rsidR="00CC2DDD" w:rsidRPr="003E0A0F" w:rsidRDefault="00CC2DDD" w:rsidP="00CC2DDD">
      <w:r w:rsidRPr="002D0F6F">
        <w:rPr>
          <w:rStyle w:val="HideTWBExt"/>
        </w:rPr>
        <w:t>&lt;/Amend&gt;</w:t>
      </w:r>
    </w:p>
    <w:p w14:paraId="00399D39"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8</w:t>
      </w:r>
      <w:r w:rsidRPr="002D0F6F">
        <w:rPr>
          <w:rStyle w:val="HideTWBExt"/>
          <w:b w:val="0"/>
        </w:rPr>
        <w:t>&lt;/NumAm&gt;</w:t>
      </w:r>
    </w:p>
    <w:p w14:paraId="3D5147DC" w14:textId="77777777" w:rsidR="00CC2DDD" w:rsidRPr="003E0A0F" w:rsidRDefault="00CC2DDD" w:rsidP="00CC2DDD">
      <w:pPr>
        <w:pStyle w:val="NormalBold"/>
      </w:pPr>
      <w:r w:rsidRPr="002D0F6F">
        <w:rPr>
          <w:rStyle w:val="HideTWBExt"/>
          <w:b w:val="0"/>
        </w:rPr>
        <w:t>&lt;RepeatBlock-By&gt;&lt;Members&gt;</w:t>
      </w:r>
      <w:r w:rsidRPr="003E0A0F">
        <w:t>José Cepeda</w:t>
      </w:r>
      <w:r w:rsidRPr="002D0F6F">
        <w:rPr>
          <w:rStyle w:val="HideTWBExt"/>
          <w:b w:val="0"/>
        </w:rPr>
        <w:t>&lt;/Members&gt;</w:t>
      </w:r>
    </w:p>
    <w:p w14:paraId="723E8695" w14:textId="77777777" w:rsidR="00CC2DDD" w:rsidRPr="003E0A0F" w:rsidRDefault="00CC2DDD" w:rsidP="00CC2DDD">
      <w:pPr>
        <w:pStyle w:val="NormalBold"/>
      </w:pPr>
      <w:r w:rsidRPr="002D0F6F">
        <w:rPr>
          <w:rStyle w:val="HideTWBExt"/>
          <w:b w:val="0"/>
        </w:rPr>
        <w:t>&lt;/RepeatBlock-By&gt;</w:t>
      </w:r>
    </w:p>
    <w:p w14:paraId="63BDEB2D"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07F410AB" w14:textId="77777777" w:rsidR="00CC2DDD" w:rsidRPr="003E0A0F" w:rsidRDefault="00CC2DDD" w:rsidP="00CC2DDD">
      <w:pPr>
        <w:pStyle w:val="NormalBold"/>
      </w:pPr>
      <w:r w:rsidRPr="002D0F6F">
        <w:rPr>
          <w:rStyle w:val="HideTWBExt"/>
          <w:b w:val="0"/>
        </w:rPr>
        <w:t>&lt;Article&gt;</w:t>
      </w:r>
      <w:r w:rsidRPr="003E0A0F">
        <w:t>Paragrafo 9</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0434B464" w14:textId="77777777" w:rsidTr="002D2F66">
        <w:trPr>
          <w:trHeight w:hRule="exact" w:val="240"/>
          <w:jc w:val="center"/>
        </w:trPr>
        <w:tc>
          <w:tcPr>
            <w:tcW w:w="9752" w:type="dxa"/>
            <w:gridSpan w:val="2"/>
            <w:tcBorders>
              <w:top w:val="nil"/>
              <w:left w:val="nil"/>
              <w:bottom w:val="nil"/>
              <w:right w:val="nil"/>
            </w:tcBorders>
          </w:tcPr>
          <w:p w14:paraId="39301224" w14:textId="77777777" w:rsidR="00CC2DDD" w:rsidRPr="003E0A0F" w:rsidRDefault="00CC2DDD" w:rsidP="002D2F66"/>
        </w:tc>
      </w:tr>
      <w:tr w:rsidR="00CC2DDD" w:rsidRPr="003E0A0F" w14:paraId="3E2FE8B5" w14:textId="77777777" w:rsidTr="002D2F66">
        <w:trPr>
          <w:trHeight w:val="240"/>
          <w:jc w:val="center"/>
        </w:trPr>
        <w:tc>
          <w:tcPr>
            <w:tcW w:w="4876" w:type="dxa"/>
            <w:tcBorders>
              <w:top w:val="nil"/>
              <w:left w:val="nil"/>
              <w:bottom w:val="nil"/>
              <w:right w:val="nil"/>
            </w:tcBorders>
          </w:tcPr>
          <w:p w14:paraId="74F9147A"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12937659" w14:textId="77777777" w:rsidR="00CC2DDD" w:rsidRPr="003E0A0F" w:rsidRDefault="00CC2DDD" w:rsidP="002D2F66">
            <w:pPr>
              <w:pStyle w:val="AmColumnHeading"/>
            </w:pPr>
            <w:r w:rsidRPr="003E0A0F">
              <w:t>Emendamento</w:t>
            </w:r>
          </w:p>
        </w:tc>
      </w:tr>
      <w:tr w:rsidR="00CC2DDD" w:rsidRPr="003E0A0F" w14:paraId="65673D13" w14:textId="77777777" w:rsidTr="002D2F66">
        <w:trPr>
          <w:jc w:val="center"/>
        </w:trPr>
        <w:tc>
          <w:tcPr>
            <w:tcW w:w="4876" w:type="dxa"/>
            <w:tcBorders>
              <w:top w:val="nil"/>
              <w:left w:val="nil"/>
              <w:bottom w:val="nil"/>
              <w:right w:val="nil"/>
            </w:tcBorders>
          </w:tcPr>
          <w:p w14:paraId="4EFF4052" w14:textId="77777777" w:rsidR="00CC2DDD" w:rsidRPr="003E0A0F" w:rsidRDefault="00CC2DDD" w:rsidP="002D2F66">
            <w:pPr>
              <w:pStyle w:val="Normal6a"/>
            </w:pPr>
            <w:r w:rsidRPr="003E0A0F">
              <w:t>9.</w:t>
            </w:r>
            <w:r w:rsidRPr="003E0A0F">
              <w:tab/>
              <w:t xml:space="preserve">prende atto con soddisfazione, dalle risposte della CGUE al questionario per il discarico 2024, degli sforzi compiuti dalla CGUE per completare la riforma giudiziaria per il trasferimento parziale della competenza pregiudiziale dalla Corte di giustizia al Tribunale e consentire l'attuazione del nuovo quadro normativo a decorrere dal 1º ottobre 2024; prende atto, in tale contesto, della riorganizzazione della struttura del Tribunale, della modifica del regolamento interno della CGUE, dell'adozione di una nuova serie di norme pratiche del Tribunale per l'attuazione del regolamento interno, dell'adozione di una </w:t>
            </w:r>
            <w:r w:rsidRPr="003E0A0F">
              <w:lastRenderedPageBreak/>
              <w:t>nuova decisione sul deposito e la notifica degli atti processuali tramite e-Curia, dello sviluppo di un nuovo software ("sportello unico") per l'analisi e il trattamento rapidi delle cause e dell'armonizzazione delle pratiche dei registri dei due organi giurisdizionali nel 2024; constata con soddisfazione che, nei primi tre mesi successivi all'entrata in vigore della riforma, sono già state trasferite al Tribunale 20 pronunce pregiudiziali, segnando così i primi risultati verso una distribuzione più equilibrata del carico di lavoro tra i due organi giurisdizionali; osserva che gli unici costi aggiuntivi associati all'attuazione della riforma giudiziaria sono stati quelli relativi alle tecnologie dell'informazione, per lo sviluppo dello sportello unico, pari a circa 805 000 EUR, mentre per quanto riguarda il personale la riforma è stata mantenuta neutra in termini di bilancio attraverso la riassegnazione di posti e funzioni all'interno dell'istituzione;</w:t>
            </w:r>
          </w:p>
        </w:tc>
        <w:tc>
          <w:tcPr>
            <w:tcW w:w="4876" w:type="dxa"/>
            <w:tcBorders>
              <w:top w:val="nil"/>
              <w:left w:val="nil"/>
              <w:bottom w:val="nil"/>
              <w:right w:val="nil"/>
            </w:tcBorders>
          </w:tcPr>
          <w:p w14:paraId="31535817" w14:textId="77777777" w:rsidR="00CC2DDD" w:rsidRPr="003E0A0F" w:rsidRDefault="00CC2DDD" w:rsidP="002D2F66">
            <w:pPr>
              <w:pStyle w:val="Normal6a"/>
            </w:pPr>
            <w:r w:rsidRPr="003E0A0F">
              <w:lastRenderedPageBreak/>
              <w:t>9.</w:t>
            </w:r>
            <w:r w:rsidRPr="003E0A0F">
              <w:tab/>
              <w:t xml:space="preserve">prende atto con soddisfazione, dalle risposte della CGUE al questionario per il discarico 2024, degli sforzi compiuti dalla CGUE per completare la riforma giudiziaria per il trasferimento parziale della competenza pregiudiziale dalla Corte di giustizia al Tribunale e consentire l'attuazione del nuovo quadro normativo a decorrere dal 1º ottobre 2024; prende atto, in tale contesto, della riorganizzazione della struttura del Tribunale, della modifica del regolamento interno della CGUE, dell'adozione di una nuova serie di norme pratiche del Tribunale per l'attuazione del regolamento interno, dell'adozione di una </w:t>
            </w:r>
            <w:r w:rsidRPr="003E0A0F">
              <w:lastRenderedPageBreak/>
              <w:t xml:space="preserve">nuova decisione sul deposito e la notifica degli atti processuali tramite e-Curia, dello sviluppo di un nuovo software ("sportello unico") per l'analisi e il trattamento rapidi delle cause e dell'armonizzazione delle pratiche dei registri dei due organi giurisdizionali nel 2024; constata con soddisfazione che, nei primi tre mesi successivi all'entrata in vigore della riforma, sono già state trasferite al Tribunale 20 pronunce pregiudiziali, segnando così i primi risultati verso una distribuzione più equilibrata del carico di lavoro tra i due organi giurisdizionali; osserva che gli unici costi aggiuntivi associati all'attuazione della riforma giudiziaria sono stati quelli relativi alle tecnologie dell'informazione, per lo sviluppo dello sportello unico, pari a circa 805 000 EUR, mentre per quanto riguarda il personale la riforma è stata mantenuta neutra in termini di bilancio attraverso la riassegnazione di posti e funzioni all'interno dell'istituzione; </w:t>
            </w:r>
            <w:r w:rsidRPr="003E0A0F">
              <w:rPr>
                <w:b/>
                <w:i/>
              </w:rPr>
              <w:t>invita la CGUE a riferire, nel contesto delle future procedure di discarico, in merito all'impatto concreto della riforma giudiziaria sull'efficienza, sulla durata dei procedimenti e sulla distribuzione del carico di lavoro;</w:t>
            </w:r>
          </w:p>
        </w:tc>
      </w:tr>
    </w:tbl>
    <w:p w14:paraId="449EF01F" w14:textId="77777777" w:rsidR="00CC2DDD" w:rsidRPr="003E0A0F" w:rsidRDefault="00CC2DDD" w:rsidP="00CC2DDD">
      <w:pPr>
        <w:pStyle w:val="AmOrLang"/>
      </w:pPr>
      <w:r w:rsidRPr="003E0A0F">
        <w:lastRenderedPageBreak/>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206EB685" w14:textId="77777777" w:rsidR="00CC2DDD" w:rsidRPr="003E0A0F" w:rsidRDefault="00CC2DDD" w:rsidP="00CC2DDD">
      <w:r w:rsidRPr="002D0F6F">
        <w:rPr>
          <w:rStyle w:val="HideTWBExt"/>
        </w:rPr>
        <w:t>&lt;/Amend&gt;</w:t>
      </w:r>
    </w:p>
    <w:p w14:paraId="278B7F90"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9</w:t>
      </w:r>
      <w:r w:rsidRPr="002D0F6F">
        <w:rPr>
          <w:rStyle w:val="HideTWBExt"/>
          <w:b w:val="0"/>
        </w:rPr>
        <w:t>&lt;/NumAm&gt;</w:t>
      </w:r>
    </w:p>
    <w:p w14:paraId="2DA976B4" w14:textId="77777777" w:rsidR="00CC2DDD" w:rsidRPr="003E0A0F" w:rsidRDefault="00CC2DDD" w:rsidP="00CC2DDD">
      <w:pPr>
        <w:pStyle w:val="NormalBold"/>
      </w:pPr>
      <w:r w:rsidRPr="002D0F6F">
        <w:rPr>
          <w:rStyle w:val="HideTWBExt"/>
          <w:b w:val="0"/>
        </w:rPr>
        <w:t>&lt;RepeatBlock-By&gt;&lt;Members&gt;</w:t>
      </w:r>
      <w:r w:rsidRPr="003E0A0F">
        <w:t>Pasquale Tridico</w:t>
      </w:r>
      <w:r w:rsidRPr="002D0F6F">
        <w:rPr>
          <w:rStyle w:val="HideTWBExt"/>
          <w:b w:val="0"/>
        </w:rPr>
        <w:t>&lt;/Members&gt;</w:t>
      </w:r>
    </w:p>
    <w:p w14:paraId="593BA47E" w14:textId="77777777" w:rsidR="00CC2DDD" w:rsidRPr="003E0A0F" w:rsidRDefault="00CC2DDD" w:rsidP="00CC2DDD">
      <w:pPr>
        <w:pStyle w:val="NormalBold"/>
      </w:pPr>
      <w:r w:rsidRPr="002D0F6F">
        <w:rPr>
          <w:rStyle w:val="HideTWBExt"/>
          <w:b w:val="0"/>
        </w:rPr>
        <w:t>&lt;/RepeatBlock-By&gt;</w:t>
      </w:r>
    </w:p>
    <w:p w14:paraId="60224C17"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1ECDF1CA" w14:textId="77777777" w:rsidR="00CC2DDD" w:rsidRPr="003E0A0F" w:rsidRDefault="00CC2DDD" w:rsidP="00CC2DDD">
      <w:pPr>
        <w:pStyle w:val="NormalBold"/>
      </w:pPr>
      <w:r w:rsidRPr="002D0F6F">
        <w:rPr>
          <w:rStyle w:val="HideTWBExt"/>
          <w:b w:val="0"/>
        </w:rPr>
        <w:t>&lt;Article&gt;</w:t>
      </w:r>
      <w:r w:rsidRPr="003E0A0F">
        <w:t>Paragrafo 9</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646FB822" w14:textId="77777777" w:rsidTr="002D2F66">
        <w:trPr>
          <w:trHeight w:hRule="exact" w:val="240"/>
          <w:jc w:val="center"/>
        </w:trPr>
        <w:tc>
          <w:tcPr>
            <w:tcW w:w="9752" w:type="dxa"/>
            <w:gridSpan w:val="2"/>
            <w:tcBorders>
              <w:top w:val="nil"/>
              <w:left w:val="nil"/>
              <w:bottom w:val="nil"/>
              <w:right w:val="nil"/>
            </w:tcBorders>
          </w:tcPr>
          <w:p w14:paraId="5DC18748" w14:textId="77777777" w:rsidR="00CC2DDD" w:rsidRPr="003E0A0F" w:rsidRDefault="00CC2DDD" w:rsidP="002D2F66"/>
        </w:tc>
      </w:tr>
      <w:tr w:rsidR="00CC2DDD" w:rsidRPr="003E0A0F" w14:paraId="4F9E1751" w14:textId="77777777" w:rsidTr="002D2F66">
        <w:trPr>
          <w:trHeight w:val="240"/>
          <w:jc w:val="center"/>
        </w:trPr>
        <w:tc>
          <w:tcPr>
            <w:tcW w:w="4876" w:type="dxa"/>
            <w:tcBorders>
              <w:top w:val="nil"/>
              <w:left w:val="nil"/>
              <w:bottom w:val="nil"/>
              <w:right w:val="nil"/>
            </w:tcBorders>
          </w:tcPr>
          <w:p w14:paraId="2CF7EE88"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3E86ACC0" w14:textId="77777777" w:rsidR="00CC2DDD" w:rsidRPr="003E0A0F" w:rsidRDefault="00CC2DDD" w:rsidP="002D2F66">
            <w:pPr>
              <w:pStyle w:val="AmColumnHeading"/>
            </w:pPr>
            <w:r w:rsidRPr="003E0A0F">
              <w:t>Emendamento</w:t>
            </w:r>
          </w:p>
        </w:tc>
      </w:tr>
      <w:tr w:rsidR="00CC2DDD" w:rsidRPr="003E0A0F" w14:paraId="7F48E1FD" w14:textId="77777777" w:rsidTr="002D2F66">
        <w:trPr>
          <w:jc w:val="center"/>
        </w:trPr>
        <w:tc>
          <w:tcPr>
            <w:tcW w:w="4876" w:type="dxa"/>
            <w:tcBorders>
              <w:top w:val="nil"/>
              <w:left w:val="nil"/>
              <w:bottom w:val="nil"/>
              <w:right w:val="nil"/>
            </w:tcBorders>
          </w:tcPr>
          <w:p w14:paraId="7EF168E5" w14:textId="77777777" w:rsidR="00CC2DDD" w:rsidRPr="003E0A0F" w:rsidRDefault="00CC2DDD" w:rsidP="002D2F66">
            <w:pPr>
              <w:pStyle w:val="Normal6a"/>
            </w:pPr>
            <w:r w:rsidRPr="003E0A0F">
              <w:t>9.</w:t>
            </w:r>
            <w:r w:rsidRPr="003E0A0F">
              <w:tab/>
              <w:t xml:space="preserve">prende atto con soddisfazione, dalle risposte della CGUE al questionario per il discarico 2024, degli sforzi compiuti dalla CGUE per completare la riforma giudiziaria per il trasferimento parziale </w:t>
            </w:r>
            <w:r w:rsidRPr="003E0A0F">
              <w:lastRenderedPageBreak/>
              <w:t xml:space="preserve">della competenza pregiudiziale dalla Corte di giustizia al Tribunale e consentire l'attuazione del nuovo quadro normativo a decorrere dal 1º ottobre 2024; prende atto, in tale contesto, della riorganizzazione della struttura del Tribunale, della modifica del regolamento interno della CGUE, dell'adozione di una nuova serie di norme pratiche del Tribunale per l'attuazione del regolamento interno, dell'adozione di una nuova decisione sul deposito e la notifica degli atti processuali tramite e-Curia, dello sviluppo di un nuovo software ("sportello unico") per l'analisi e il trattamento rapidi delle cause e dell'armonizzazione delle pratiche dei registri dei due organi giurisdizionali nel 2024; constata con soddisfazione che, nei primi tre mesi successivi all'entrata in vigore della riforma, sono già state trasferite al Tribunale </w:t>
            </w:r>
            <w:r w:rsidRPr="003E0A0F">
              <w:rPr>
                <w:b/>
                <w:i/>
              </w:rPr>
              <w:t>20</w:t>
            </w:r>
            <w:r w:rsidRPr="003E0A0F">
              <w:t xml:space="preserve"> pronunce pregiudiziali, segnando così i primi risultati verso una distribuzione più equilibrata del carico di lavoro tra i due organi giurisdizionali; osserva che gli unici costi aggiuntivi associati all'attuazione della riforma giudiziaria sono stati quelli relativi alle tecnologie dell'informazione, per lo sviluppo dello sportello unico, pari a circa 805 000 EUR, mentre per quanto riguarda il personale la riforma è stata mantenuta neutra in termini di bilancio attraverso la riassegnazione di posti e funzioni all'interno dell'istituzione;</w:t>
            </w:r>
          </w:p>
        </w:tc>
        <w:tc>
          <w:tcPr>
            <w:tcW w:w="4876" w:type="dxa"/>
            <w:tcBorders>
              <w:top w:val="nil"/>
              <w:left w:val="nil"/>
              <w:bottom w:val="nil"/>
              <w:right w:val="nil"/>
            </w:tcBorders>
          </w:tcPr>
          <w:p w14:paraId="0E521DAB" w14:textId="77777777" w:rsidR="00CC2DDD" w:rsidRPr="003E0A0F" w:rsidRDefault="00CC2DDD" w:rsidP="002D2F66">
            <w:pPr>
              <w:pStyle w:val="Normal6a"/>
            </w:pPr>
            <w:r w:rsidRPr="003E0A0F">
              <w:lastRenderedPageBreak/>
              <w:t>9.</w:t>
            </w:r>
            <w:r w:rsidRPr="003E0A0F">
              <w:tab/>
              <w:t xml:space="preserve">prende atto con soddisfazione, dalle risposte della CGUE al questionario per il discarico 2024, degli sforzi compiuti dalla CGUE per completare la riforma giudiziaria per il trasferimento parziale </w:t>
            </w:r>
            <w:r w:rsidRPr="003E0A0F">
              <w:lastRenderedPageBreak/>
              <w:t xml:space="preserve">della competenza pregiudiziale dalla Corte di giustizia al Tribunale e consentire l'attuazione del nuovo quadro normativo a decorrere dal 1º ottobre 2024; prende atto, in tale contesto, della riorganizzazione della struttura del Tribunale, della modifica del regolamento interno della CGUE, dell'adozione di una nuova serie di norme pratiche del Tribunale per l'attuazione del regolamento interno, dell'adozione di una nuova decisione sul deposito e la notifica degli atti processuali tramite e-Curia, dello sviluppo di un nuovo software ("sportello unico") per l'analisi e il trattamento rapidi delle cause e dell'armonizzazione delle pratiche dei registri dei due organi giurisdizionali nel 2024; constata con soddisfazione che, nei primi tre mesi successivi all'entrata in vigore della riforma, sono già state trasferite al Tribunale </w:t>
            </w:r>
            <w:r w:rsidRPr="003E0A0F">
              <w:rPr>
                <w:b/>
                <w:i/>
              </w:rPr>
              <w:t>19</w:t>
            </w:r>
            <w:r w:rsidRPr="003E0A0F">
              <w:t xml:space="preserve"> pronunce pregiudiziali, segnando così i primi risultati verso una distribuzione più equilibrata del carico di lavoro tra i due organi giurisdizionali; osserva che gli unici costi aggiuntivi associati all'attuazione della riforma giudiziaria sono stati quelli relativi alle tecnologie dell'informazione, per lo sviluppo dello sportello unico, pari a circa 805 000 EUR, mentre per quanto riguarda il personale la riforma è stata mantenuta neutra in termini di bilancio attraverso la riassegnazione di posti e funzioni all'interno dell'istituzione;</w:t>
            </w:r>
          </w:p>
        </w:tc>
      </w:tr>
    </w:tbl>
    <w:p w14:paraId="2A12A1F2" w14:textId="77777777" w:rsidR="00CC2DDD" w:rsidRPr="003E0A0F" w:rsidRDefault="00CC2DDD" w:rsidP="00CC2DDD">
      <w:pPr>
        <w:pStyle w:val="AmOrLang"/>
      </w:pPr>
      <w:r w:rsidRPr="003E0A0F">
        <w:lastRenderedPageBreak/>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27DB7E48" w14:textId="77777777" w:rsidR="00CC2DDD" w:rsidRPr="003E0A0F" w:rsidRDefault="00CC2DDD" w:rsidP="00CC2DDD">
      <w:r w:rsidRPr="002D0F6F">
        <w:rPr>
          <w:rStyle w:val="HideTWBExt"/>
        </w:rPr>
        <w:t>&lt;/Amend&gt;</w:t>
      </w:r>
    </w:p>
    <w:p w14:paraId="1943D4D1"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10</w:t>
      </w:r>
      <w:r w:rsidRPr="002D0F6F">
        <w:rPr>
          <w:rStyle w:val="HideTWBExt"/>
          <w:b w:val="0"/>
        </w:rPr>
        <w:t>&lt;/NumAm&gt;</w:t>
      </w:r>
    </w:p>
    <w:p w14:paraId="5A481012" w14:textId="77777777" w:rsidR="00CC2DDD" w:rsidRPr="003E0A0F" w:rsidRDefault="00CC2DDD" w:rsidP="00CC2DDD">
      <w:pPr>
        <w:pStyle w:val="NormalBold"/>
      </w:pPr>
      <w:r w:rsidRPr="002D0F6F">
        <w:rPr>
          <w:rStyle w:val="HideTWBExt"/>
          <w:b w:val="0"/>
        </w:rPr>
        <w:t>&lt;RepeatBlock-By&gt;&lt;Members&gt;</w:t>
      </w:r>
      <w:r w:rsidRPr="003E0A0F">
        <w:t>Cristian Terheş</w:t>
      </w:r>
      <w:r w:rsidRPr="002D0F6F">
        <w:rPr>
          <w:rStyle w:val="HideTWBExt"/>
          <w:b w:val="0"/>
        </w:rPr>
        <w:t>&lt;/Members&gt;</w:t>
      </w:r>
    </w:p>
    <w:p w14:paraId="199D5A95" w14:textId="77777777" w:rsidR="00CC2DDD" w:rsidRPr="003E0A0F" w:rsidRDefault="00CC2DDD" w:rsidP="00CC2DDD">
      <w:pPr>
        <w:pStyle w:val="NormalBold"/>
      </w:pPr>
      <w:r w:rsidRPr="002D0F6F">
        <w:rPr>
          <w:rStyle w:val="HideTWBExt"/>
          <w:b w:val="0"/>
        </w:rPr>
        <w:t>&lt;/RepeatBlock-By&gt;</w:t>
      </w:r>
    </w:p>
    <w:p w14:paraId="44A8CA04"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1A5AC4A9" w14:textId="77777777" w:rsidR="00CC2DDD" w:rsidRPr="003E0A0F" w:rsidRDefault="00CC2DDD" w:rsidP="00CC2DDD">
      <w:pPr>
        <w:pStyle w:val="NormalBold"/>
      </w:pPr>
      <w:r w:rsidRPr="002D0F6F">
        <w:rPr>
          <w:rStyle w:val="HideTWBExt"/>
          <w:b w:val="0"/>
        </w:rPr>
        <w:t>&lt;Article&gt;</w:t>
      </w:r>
      <w:r w:rsidRPr="003E0A0F">
        <w:t>Paragrafo 10</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0F839009" w14:textId="77777777" w:rsidTr="002D2F66">
        <w:trPr>
          <w:trHeight w:hRule="exact" w:val="240"/>
          <w:jc w:val="center"/>
        </w:trPr>
        <w:tc>
          <w:tcPr>
            <w:tcW w:w="9752" w:type="dxa"/>
            <w:gridSpan w:val="2"/>
            <w:tcBorders>
              <w:top w:val="nil"/>
              <w:left w:val="nil"/>
              <w:bottom w:val="nil"/>
              <w:right w:val="nil"/>
            </w:tcBorders>
          </w:tcPr>
          <w:p w14:paraId="27374CA1" w14:textId="77777777" w:rsidR="00CC2DDD" w:rsidRPr="003E0A0F" w:rsidRDefault="00CC2DDD" w:rsidP="002D2F66"/>
        </w:tc>
      </w:tr>
      <w:tr w:rsidR="00CC2DDD" w:rsidRPr="003E0A0F" w14:paraId="33627A36" w14:textId="77777777" w:rsidTr="002D2F66">
        <w:trPr>
          <w:trHeight w:val="240"/>
          <w:jc w:val="center"/>
        </w:trPr>
        <w:tc>
          <w:tcPr>
            <w:tcW w:w="4876" w:type="dxa"/>
            <w:tcBorders>
              <w:top w:val="nil"/>
              <w:left w:val="nil"/>
              <w:bottom w:val="nil"/>
              <w:right w:val="nil"/>
            </w:tcBorders>
          </w:tcPr>
          <w:p w14:paraId="4539710D"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47B2DA03" w14:textId="77777777" w:rsidR="00CC2DDD" w:rsidRPr="003E0A0F" w:rsidRDefault="00CC2DDD" w:rsidP="002D2F66">
            <w:pPr>
              <w:pStyle w:val="AmColumnHeading"/>
            </w:pPr>
            <w:r w:rsidRPr="003E0A0F">
              <w:t>Emendamento</w:t>
            </w:r>
          </w:p>
        </w:tc>
      </w:tr>
      <w:tr w:rsidR="00CC2DDD" w:rsidRPr="003E0A0F" w14:paraId="40A5E979" w14:textId="77777777" w:rsidTr="002D2F66">
        <w:trPr>
          <w:jc w:val="center"/>
        </w:trPr>
        <w:tc>
          <w:tcPr>
            <w:tcW w:w="4876" w:type="dxa"/>
            <w:tcBorders>
              <w:top w:val="nil"/>
              <w:left w:val="nil"/>
              <w:bottom w:val="nil"/>
              <w:right w:val="nil"/>
            </w:tcBorders>
          </w:tcPr>
          <w:p w14:paraId="63F72A47" w14:textId="77777777" w:rsidR="00CC2DDD" w:rsidRPr="003E0A0F" w:rsidRDefault="00CC2DDD" w:rsidP="002D2F66">
            <w:pPr>
              <w:pStyle w:val="Normal6a"/>
            </w:pPr>
            <w:r w:rsidRPr="003E0A0F">
              <w:t>10.</w:t>
            </w:r>
            <w:r w:rsidRPr="003E0A0F">
              <w:tab/>
              <w:t xml:space="preserve">osserva che, nel 2024, la Corte di </w:t>
            </w:r>
            <w:r w:rsidRPr="003E0A0F">
              <w:lastRenderedPageBreak/>
              <w:t>giustizia si è pronunciata in 12 cause riguardanti il principio del primato del diritto dell'Unione, di cui 10 questioni pregiudiziali e due cause di infrazione; ribadisce che il principio del primato del diritto dell'Unione, che garantisce l'interpretazione e l'applicazione uniformi del diritto dell'Unione in tutti gli Stati membri e tutela lo Stato di diritto in quanto valore basilare dell'UE, è fondamentale; ribadisce con forza che il primato del diritto dell'Unione è la pietra angolare dell'ordinamento giuridico dell'UE e sottolinea il ruolo centrale della CGUE nel difendere lo Stato di diritto in tutta l'Unione;</w:t>
            </w:r>
          </w:p>
        </w:tc>
        <w:tc>
          <w:tcPr>
            <w:tcW w:w="4876" w:type="dxa"/>
            <w:tcBorders>
              <w:top w:val="nil"/>
              <w:left w:val="nil"/>
              <w:bottom w:val="nil"/>
              <w:right w:val="nil"/>
            </w:tcBorders>
          </w:tcPr>
          <w:p w14:paraId="1C1DDCA2" w14:textId="77777777" w:rsidR="00CC2DDD" w:rsidRPr="003E0A0F" w:rsidRDefault="00CC2DDD" w:rsidP="002D2F66">
            <w:pPr>
              <w:pStyle w:val="Normal6a"/>
            </w:pPr>
            <w:r w:rsidRPr="003E0A0F">
              <w:lastRenderedPageBreak/>
              <w:t>10.</w:t>
            </w:r>
            <w:r w:rsidRPr="003E0A0F">
              <w:tab/>
              <w:t xml:space="preserve">osserva che, nel 2024, la Corte di </w:t>
            </w:r>
            <w:r w:rsidRPr="003E0A0F">
              <w:lastRenderedPageBreak/>
              <w:t xml:space="preserve">giustizia si è pronunciata in 12 cause riguardanti il principio del primato del diritto dell'Unione, di cui 10 questioni pregiudiziali e due cause di infrazione; ribadisce che il principio del primato del diritto dell'Unione, che garantisce l'interpretazione e l'applicazione uniformi del diritto dell'Unione in tutti gli Stati membri e tutela lo Stato di diritto in quanto valore basilare dell'UE, è fondamentale; ribadisce con forza che il primato del diritto dell'Unione è la pietra angolare dell'ordinamento giuridico dell'UE e sottolinea il ruolo centrale della CGUE nel difendere lo Stato di diritto in tutta l'Unione; </w:t>
            </w:r>
            <w:r w:rsidRPr="003E0A0F">
              <w:rPr>
                <w:b/>
                <w:i/>
              </w:rPr>
              <w:t>osserva, a tale riguardo, che l'articolo 4, paragrafo 2, del trattato sull'Unione europea stabilisce che "l'Unione rispetta l'uguaglianza degli Stati membri davanti ai trattati e la loro identità nazionale insita nella loro struttura fondamentale, politica e costituzionale, compreso il sistema delle autonomie locali e regionali. Rispetta le funzioni essenziali dello Stato [...]"; sottolinea che la supremazia delle costituzioni nazionali rimane il principio assoluto che disciplina il rapporto tra le costituzioni degli Stati membri e il diritto dell'Unione; </w:t>
            </w:r>
          </w:p>
        </w:tc>
      </w:tr>
    </w:tbl>
    <w:p w14:paraId="37FAB0C2" w14:textId="77777777" w:rsidR="00CC2DDD" w:rsidRPr="003E0A0F" w:rsidRDefault="00CC2DDD" w:rsidP="00CC2DDD">
      <w:pPr>
        <w:pStyle w:val="AmOrLang"/>
      </w:pPr>
      <w:r w:rsidRPr="003E0A0F">
        <w:lastRenderedPageBreak/>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275BC83D" w14:textId="77777777" w:rsidR="00CC2DDD" w:rsidRPr="003E0A0F" w:rsidRDefault="00CC2DDD" w:rsidP="00CC2DDD">
      <w:r w:rsidRPr="002D0F6F">
        <w:rPr>
          <w:rStyle w:val="HideTWBExt"/>
        </w:rPr>
        <w:t>&lt;/Amend&gt;</w:t>
      </w:r>
    </w:p>
    <w:p w14:paraId="1198F16D"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11</w:t>
      </w:r>
      <w:r w:rsidRPr="002D0F6F">
        <w:rPr>
          <w:rStyle w:val="HideTWBExt"/>
          <w:b w:val="0"/>
        </w:rPr>
        <w:t>&lt;/NumAm&gt;</w:t>
      </w:r>
    </w:p>
    <w:p w14:paraId="33728C55" w14:textId="77777777" w:rsidR="00CC2DDD" w:rsidRPr="003E0A0F" w:rsidRDefault="00CC2DDD" w:rsidP="00CC2DDD">
      <w:pPr>
        <w:pStyle w:val="NormalBold"/>
      </w:pPr>
      <w:r w:rsidRPr="002D0F6F">
        <w:rPr>
          <w:rStyle w:val="HideTWBExt"/>
          <w:b w:val="0"/>
        </w:rPr>
        <w:t>&lt;RepeatBlock-By&gt;&lt;Members&gt;</w:t>
      </w:r>
      <w:r w:rsidRPr="003E0A0F">
        <w:t>Şerban Dimitrie Sturdza</w:t>
      </w:r>
      <w:r w:rsidRPr="002D0F6F">
        <w:rPr>
          <w:rStyle w:val="HideTWBExt"/>
          <w:b w:val="0"/>
        </w:rPr>
        <w:t>&lt;/Members&gt;</w:t>
      </w:r>
    </w:p>
    <w:p w14:paraId="4C7E7963" w14:textId="77777777" w:rsidR="00CC2DDD" w:rsidRPr="003E0A0F" w:rsidRDefault="00CC2DDD" w:rsidP="00CC2DDD">
      <w:pPr>
        <w:pStyle w:val="NormalBold"/>
      </w:pPr>
      <w:r w:rsidRPr="002D0F6F">
        <w:rPr>
          <w:rStyle w:val="HideTWBExt"/>
          <w:b w:val="0"/>
        </w:rPr>
        <w:t>&lt;/RepeatBlock-By&gt;</w:t>
      </w:r>
    </w:p>
    <w:p w14:paraId="2B03A302"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4591479D" w14:textId="77777777" w:rsidR="00CC2DDD" w:rsidRPr="003E0A0F" w:rsidRDefault="00CC2DDD" w:rsidP="00CC2DDD">
      <w:pPr>
        <w:pStyle w:val="NormalBold"/>
      </w:pPr>
      <w:r w:rsidRPr="002D0F6F">
        <w:rPr>
          <w:rStyle w:val="HideTWBExt"/>
          <w:b w:val="0"/>
        </w:rPr>
        <w:t>&lt;Article&gt;</w:t>
      </w:r>
      <w:r w:rsidRPr="003E0A0F">
        <w:t>Paragrafo 10</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34A2DEC2" w14:textId="77777777" w:rsidTr="002D2F66">
        <w:trPr>
          <w:trHeight w:hRule="exact" w:val="240"/>
          <w:jc w:val="center"/>
        </w:trPr>
        <w:tc>
          <w:tcPr>
            <w:tcW w:w="9752" w:type="dxa"/>
            <w:gridSpan w:val="2"/>
            <w:tcBorders>
              <w:top w:val="nil"/>
              <w:left w:val="nil"/>
              <w:bottom w:val="nil"/>
              <w:right w:val="nil"/>
            </w:tcBorders>
          </w:tcPr>
          <w:p w14:paraId="71751B3D" w14:textId="77777777" w:rsidR="00CC2DDD" w:rsidRPr="003E0A0F" w:rsidRDefault="00CC2DDD" w:rsidP="002D2F66"/>
        </w:tc>
      </w:tr>
      <w:tr w:rsidR="00CC2DDD" w:rsidRPr="003E0A0F" w14:paraId="12297CA9" w14:textId="77777777" w:rsidTr="002D2F66">
        <w:trPr>
          <w:trHeight w:val="240"/>
          <w:jc w:val="center"/>
        </w:trPr>
        <w:tc>
          <w:tcPr>
            <w:tcW w:w="4876" w:type="dxa"/>
            <w:tcBorders>
              <w:top w:val="nil"/>
              <w:left w:val="nil"/>
              <w:bottom w:val="nil"/>
              <w:right w:val="nil"/>
            </w:tcBorders>
          </w:tcPr>
          <w:p w14:paraId="67488C05"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653089F6" w14:textId="77777777" w:rsidR="00CC2DDD" w:rsidRPr="003E0A0F" w:rsidRDefault="00CC2DDD" w:rsidP="002D2F66">
            <w:pPr>
              <w:pStyle w:val="AmColumnHeading"/>
            </w:pPr>
            <w:r w:rsidRPr="003E0A0F">
              <w:t>Emendamento</w:t>
            </w:r>
          </w:p>
        </w:tc>
      </w:tr>
      <w:tr w:rsidR="00CC2DDD" w:rsidRPr="003E0A0F" w14:paraId="097EF1DB" w14:textId="77777777" w:rsidTr="002D2F66">
        <w:trPr>
          <w:jc w:val="center"/>
        </w:trPr>
        <w:tc>
          <w:tcPr>
            <w:tcW w:w="4876" w:type="dxa"/>
            <w:tcBorders>
              <w:top w:val="nil"/>
              <w:left w:val="nil"/>
              <w:bottom w:val="nil"/>
              <w:right w:val="nil"/>
            </w:tcBorders>
          </w:tcPr>
          <w:p w14:paraId="5CA00E26" w14:textId="77777777" w:rsidR="00CC2DDD" w:rsidRPr="003E0A0F" w:rsidRDefault="00CC2DDD" w:rsidP="002D2F66">
            <w:pPr>
              <w:pStyle w:val="Normal6a"/>
            </w:pPr>
            <w:r w:rsidRPr="003E0A0F">
              <w:t>10.</w:t>
            </w:r>
            <w:r w:rsidRPr="003E0A0F">
              <w:tab/>
              <w:t xml:space="preserve">osserva che, nel 2024, la Corte di giustizia si è pronunciata in 12 cause riguardanti il principio del primato del diritto dell'Unione, di cui 10 questioni pregiudiziali e due cause di infrazione; </w:t>
            </w:r>
            <w:r w:rsidRPr="003E0A0F">
              <w:lastRenderedPageBreak/>
              <w:t>ribadisce che il principio del primato del diritto dell'Unione, che garantisce l'interpretazione e l'applicazione uniformi del diritto dell'Unione in tutti gli Stati membri e tutela lo Stato di diritto in quanto valore basilare dell'UE, è fondamentale; ribadisce con forza che il primato del diritto dell'Unione è la pietra angolare dell'ordinamento giuridico dell'UE e sottolinea il ruolo centrale della CGUE nel difendere lo Stato di diritto in tutta l'Unione;</w:t>
            </w:r>
          </w:p>
        </w:tc>
        <w:tc>
          <w:tcPr>
            <w:tcW w:w="4876" w:type="dxa"/>
            <w:tcBorders>
              <w:top w:val="nil"/>
              <w:left w:val="nil"/>
              <w:bottom w:val="nil"/>
              <w:right w:val="nil"/>
            </w:tcBorders>
          </w:tcPr>
          <w:p w14:paraId="034BAED6" w14:textId="77777777" w:rsidR="00CC2DDD" w:rsidRPr="003E0A0F" w:rsidRDefault="00CC2DDD" w:rsidP="002D2F66">
            <w:pPr>
              <w:pStyle w:val="Normal6a"/>
            </w:pPr>
            <w:r w:rsidRPr="003E0A0F">
              <w:lastRenderedPageBreak/>
              <w:t>10.</w:t>
            </w:r>
            <w:r w:rsidRPr="003E0A0F">
              <w:tab/>
              <w:t xml:space="preserve">osserva che, nel 2024, la Corte di giustizia si è pronunciata in 12 cause riguardanti il principio del primato del diritto dell'Unione, di cui 10 questioni pregiudiziali e due cause di infrazione; </w:t>
            </w:r>
            <w:r w:rsidRPr="003E0A0F">
              <w:lastRenderedPageBreak/>
              <w:t>ribadisce che il principio del primato del diritto dell'Unione, che garantisce l'interpretazione e l'applicazione uniformi del diritto dell'Unione in tutti gli Stati membri e tutela lo Stato di diritto in quanto valore basilare dell'UE, è fondamentale; ribadisce con forza che il primato del diritto dell'Unione è la pietra angolare dell'ordinamento giuridico dell'UE e sottolinea il ruolo centrale della CGUE nel difendere lo Stato di diritto in tutta l'Unione</w:t>
            </w:r>
            <w:r w:rsidRPr="003E0A0F">
              <w:rPr>
                <w:b/>
                <w:i/>
              </w:rPr>
              <w:t>, ricordando nel contempo che l'applicazione del principio del primato deve rimanere saldamente radicata nei trattati ed esercitata nel debito rispetto delle identità costituzionali nazionali, conformemente all'articolo 4, paragrafo 2, TUE</w:t>
            </w:r>
            <w:r w:rsidRPr="003E0A0F">
              <w:t>;</w:t>
            </w:r>
          </w:p>
        </w:tc>
      </w:tr>
    </w:tbl>
    <w:p w14:paraId="6611152F" w14:textId="77777777" w:rsidR="00CC2DDD" w:rsidRPr="003E0A0F" w:rsidRDefault="00CC2DDD" w:rsidP="00CC2DDD">
      <w:pPr>
        <w:pStyle w:val="AmOrLang"/>
      </w:pPr>
      <w:r w:rsidRPr="003E0A0F">
        <w:lastRenderedPageBreak/>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38668681" w14:textId="77777777" w:rsidR="00CC2DDD" w:rsidRPr="003E0A0F" w:rsidRDefault="00CC2DDD" w:rsidP="00CC2DDD">
      <w:r w:rsidRPr="002D0F6F">
        <w:rPr>
          <w:rStyle w:val="HideTWBExt"/>
        </w:rPr>
        <w:t>&lt;/Amend&gt;</w:t>
      </w:r>
    </w:p>
    <w:p w14:paraId="4494308C"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12</w:t>
      </w:r>
      <w:r w:rsidRPr="002D0F6F">
        <w:rPr>
          <w:rStyle w:val="HideTWBExt"/>
          <w:b w:val="0"/>
        </w:rPr>
        <w:t>&lt;/NumAm&gt;</w:t>
      </w:r>
    </w:p>
    <w:p w14:paraId="04173FC2" w14:textId="77777777" w:rsidR="00CC2DDD" w:rsidRPr="003E0A0F" w:rsidRDefault="00CC2DDD" w:rsidP="00CC2DDD">
      <w:pPr>
        <w:pStyle w:val="NormalBold"/>
      </w:pPr>
      <w:r w:rsidRPr="002D0F6F">
        <w:rPr>
          <w:rStyle w:val="HideTWBExt"/>
          <w:b w:val="0"/>
        </w:rPr>
        <w:t>&lt;RepeatBlock-By&gt;&lt;Members&gt;</w:t>
      </w:r>
      <w:r w:rsidRPr="003E0A0F">
        <w:t>Arno Bausemer</w:t>
      </w:r>
      <w:r w:rsidRPr="002D0F6F">
        <w:rPr>
          <w:rStyle w:val="HideTWBExt"/>
          <w:b w:val="0"/>
        </w:rPr>
        <w:t>&lt;/Members&gt;</w:t>
      </w:r>
    </w:p>
    <w:p w14:paraId="0AF5A13D" w14:textId="77777777" w:rsidR="00CC2DDD" w:rsidRPr="003E0A0F" w:rsidRDefault="00CC2DDD" w:rsidP="00CC2DDD">
      <w:pPr>
        <w:pStyle w:val="NormalBold"/>
      </w:pPr>
      <w:r w:rsidRPr="002D0F6F">
        <w:rPr>
          <w:rStyle w:val="HideTWBExt"/>
          <w:b w:val="0"/>
        </w:rPr>
        <w:t>&lt;/RepeatBlock-By&gt;</w:t>
      </w:r>
    </w:p>
    <w:p w14:paraId="0C3757A3"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4229BDB7" w14:textId="77777777" w:rsidR="00CC2DDD" w:rsidRPr="003E0A0F" w:rsidRDefault="00CC2DDD" w:rsidP="00CC2DDD">
      <w:pPr>
        <w:pStyle w:val="NormalBold"/>
      </w:pPr>
      <w:r w:rsidRPr="002D0F6F">
        <w:rPr>
          <w:rStyle w:val="HideTWBExt"/>
          <w:b w:val="0"/>
        </w:rPr>
        <w:t>&lt;Article&gt;</w:t>
      </w:r>
      <w:r w:rsidRPr="003E0A0F">
        <w:t>Paragrafo 12</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37A6C2E5" w14:textId="77777777" w:rsidTr="002D2F66">
        <w:trPr>
          <w:trHeight w:hRule="exact" w:val="240"/>
          <w:jc w:val="center"/>
        </w:trPr>
        <w:tc>
          <w:tcPr>
            <w:tcW w:w="9752" w:type="dxa"/>
            <w:gridSpan w:val="2"/>
            <w:tcBorders>
              <w:top w:val="nil"/>
              <w:left w:val="nil"/>
              <w:bottom w:val="nil"/>
              <w:right w:val="nil"/>
            </w:tcBorders>
          </w:tcPr>
          <w:p w14:paraId="565FE37B" w14:textId="77777777" w:rsidR="00CC2DDD" w:rsidRPr="003E0A0F" w:rsidRDefault="00CC2DDD" w:rsidP="002D2F66"/>
        </w:tc>
      </w:tr>
      <w:tr w:rsidR="00CC2DDD" w:rsidRPr="003E0A0F" w14:paraId="69EBC257" w14:textId="77777777" w:rsidTr="002D2F66">
        <w:trPr>
          <w:trHeight w:val="240"/>
          <w:jc w:val="center"/>
        </w:trPr>
        <w:tc>
          <w:tcPr>
            <w:tcW w:w="4876" w:type="dxa"/>
            <w:tcBorders>
              <w:top w:val="nil"/>
              <w:left w:val="nil"/>
              <w:bottom w:val="nil"/>
              <w:right w:val="nil"/>
            </w:tcBorders>
          </w:tcPr>
          <w:p w14:paraId="138FA389"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0881782B" w14:textId="77777777" w:rsidR="00CC2DDD" w:rsidRPr="003E0A0F" w:rsidRDefault="00CC2DDD" w:rsidP="002D2F66">
            <w:pPr>
              <w:pStyle w:val="AmColumnHeading"/>
            </w:pPr>
            <w:r w:rsidRPr="003E0A0F">
              <w:t>Emendamento</w:t>
            </w:r>
          </w:p>
        </w:tc>
      </w:tr>
      <w:tr w:rsidR="00CC2DDD" w:rsidRPr="003E0A0F" w14:paraId="01FC6349" w14:textId="77777777" w:rsidTr="002D2F66">
        <w:trPr>
          <w:jc w:val="center"/>
        </w:trPr>
        <w:tc>
          <w:tcPr>
            <w:tcW w:w="4876" w:type="dxa"/>
            <w:tcBorders>
              <w:top w:val="nil"/>
              <w:left w:val="nil"/>
              <w:bottom w:val="nil"/>
              <w:right w:val="nil"/>
            </w:tcBorders>
          </w:tcPr>
          <w:p w14:paraId="148B70B4" w14:textId="77777777" w:rsidR="00CC2DDD" w:rsidRPr="003E0A0F" w:rsidRDefault="00CC2DDD" w:rsidP="002D2F66">
            <w:pPr>
              <w:pStyle w:val="Normal6a"/>
            </w:pPr>
            <w:r w:rsidRPr="003E0A0F">
              <w:rPr>
                <w:b/>
                <w:i/>
              </w:rPr>
              <w:t>12.</w:t>
            </w:r>
            <w:r w:rsidRPr="003E0A0F">
              <w:tab/>
            </w:r>
            <w:r w:rsidRPr="003E0A0F">
              <w:rPr>
                <w:b/>
                <w:i/>
              </w:rPr>
              <w:t>concorda con la CGUE sul fatto che la Commissione, in quanto custode dei trattati, dovrebbe monitorare il rispetto delle sentenze della CGUE da parte degli Stati membri, ma ribadisce il suo invito alla CGUE a istituire un meccanismo per individuare le buone e le cattive pratiche tra gli Stati membri;</w:t>
            </w:r>
          </w:p>
        </w:tc>
        <w:tc>
          <w:tcPr>
            <w:tcW w:w="4876" w:type="dxa"/>
            <w:tcBorders>
              <w:top w:val="nil"/>
              <w:left w:val="nil"/>
              <w:bottom w:val="nil"/>
              <w:right w:val="nil"/>
            </w:tcBorders>
          </w:tcPr>
          <w:p w14:paraId="446F6ED9" w14:textId="77777777" w:rsidR="00CC2DDD" w:rsidRPr="003E0A0F" w:rsidRDefault="00CC2DDD" w:rsidP="002D2F66">
            <w:pPr>
              <w:pStyle w:val="Normal6a"/>
            </w:pPr>
            <w:r w:rsidRPr="003E0A0F">
              <w:rPr>
                <w:b/>
                <w:i/>
              </w:rPr>
              <w:t>soppresso</w:t>
            </w:r>
          </w:p>
        </w:tc>
      </w:tr>
    </w:tbl>
    <w:p w14:paraId="4A79A2F0" w14:textId="77777777" w:rsidR="00CC2DDD" w:rsidRPr="003E0A0F" w:rsidRDefault="00CC2DDD" w:rsidP="00CC2DDD">
      <w:pPr>
        <w:pStyle w:val="AmOrLang"/>
      </w:pPr>
      <w:r w:rsidRPr="003E0A0F">
        <w:t xml:space="preserve">Or. </w:t>
      </w:r>
      <w:r w:rsidRPr="002D0F6F">
        <w:rPr>
          <w:rStyle w:val="HideTWBExt"/>
        </w:rPr>
        <w:t>&lt;Original&gt;</w:t>
      </w:r>
      <w:r w:rsidRPr="002D0F6F">
        <w:rPr>
          <w:rStyle w:val="HideTWBInt"/>
        </w:rPr>
        <w:t>{DE}</w:t>
      </w:r>
      <w:r w:rsidRPr="003E0A0F">
        <w:t>de</w:t>
      </w:r>
      <w:r w:rsidRPr="002D0F6F">
        <w:rPr>
          <w:rStyle w:val="HideTWBExt"/>
        </w:rPr>
        <w:t>&lt;/Original&gt;</w:t>
      </w:r>
    </w:p>
    <w:p w14:paraId="376CAC9A" w14:textId="77777777" w:rsidR="00CC2DDD" w:rsidRPr="003E0A0F" w:rsidRDefault="00CC2DDD" w:rsidP="00CC2DDD">
      <w:r w:rsidRPr="002D0F6F">
        <w:rPr>
          <w:rStyle w:val="HideTWBExt"/>
        </w:rPr>
        <w:t>&lt;/Amend&gt;</w:t>
      </w:r>
    </w:p>
    <w:p w14:paraId="3D33494D"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13</w:t>
      </w:r>
      <w:r w:rsidRPr="002D0F6F">
        <w:rPr>
          <w:rStyle w:val="HideTWBExt"/>
          <w:b w:val="0"/>
        </w:rPr>
        <w:t>&lt;/NumAm&gt;</w:t>
      </w:r>
    </w:p>
    <w:p w14:paraId="738FE31D" w14:textId="77777777" w:rsidR="00CC2DDD" w:rsidRPr="003E0A0F" w:rsidRDefault="00CC2DDD" w:rsidP="00CC2DDD">
      <w:pPr>
        <w:pStyle w:val="NormalBold"/>
      </w:pPr>
      <w:r w:rsidRPr="002D0F6F">
        <w:rPr>
          <w:rStyle w:val="HideTWBExt"/>
          <w:b w:val="0"/>
        </w:rPr>
        <w:t>&lt;RepeatBlock-By&gt;&lt;Members&gt;</w:t>
      </w:r>
      <w:r w:rsidRPr="003E0A0F">
        <w:t>Gilles Boyer, Olivier Chastel, Vlad Vasile-Voiculescu, Michal Wiezik, Gerben-Jan Gerbrandy</w:t>
      </w:r>
      <w:r w:rsidRPr="002D0F6F">
        <w:rPr>
          <w:rStyle w:val="HideTWBExt"/>
          <w:b w:val="0"/>
        </w:rPr>
        <w:t>&lt;/Members&gt;</w:t>
      </w:r>
    </w:p>
    <w:p w14:paraId="7208CF0F" w14:textId="77777777" w:rsidR="00CC2DDD" w:rsidRPr="003E0A0F" w:rsidRDefault="00CC2DDD" w:rsidP="00CC2DDD">
      <w:pPr>
        <w:pStyle w:val="NormalBold"/>
      </w:pPr>
      <w:r w:rsidRPr="002D0F6F">
        <w:rPr>
          <w:rStyle w:val="HideTWBExt"/>
          <w:b w:val="0"/>
        </w:rPr>
        <w:t>&lt;/RepeatBlock-By&gt;</w:t>
      </w:r>
    </w:p>
    <w:p w14:paraId="56FC78A5"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2EAD3812" w14:textId="77777777" w:rsidR="00CC2DDD" w:rsidRPr="003E0A0F" w:rsidRDefault="00CC2DDD" w:rsidP="00CC2DDD">
      <w:pPr>
        <w:pStyle w:val="NormalBold"/>
      </w:pPr>
      <w:r w:rsidRPr="002D0F6F">
        <w:rPr>
          <w:rStyle w:val="HideTWBExt"/>
          <w:b w:val="0"/>
        </w:rPr>
        <w:lastRenderedPageBreak/>
        <w:t>&lt;Article&gt;</w:t>
      </w:r>
      <w:r w:rsidRPr="003E0A0F">
        <w:t>Paragrafo 12</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0C726AFA" w14:textId="77777777" w:rsidTr="002D2F66">
        <w:trPr>
          <w:trHeight w:hRule="exact" w:val="240"/>
          <w:jc w:val="center"/>
        </w:trPr>
        <w:tc>
          <w:tcPr>
            <w:tcW w:w="9752" w:type="dxa"/>
            <w:gridSpan w:val="2"/>
            <w:tcBorders>
              <w:top w:val="nil"/>
              <w:left w:val="nil"/>
              <w:bottom w:val="nil"/>
              <w:right w:val="nil"/>
            </w:tcBorders>
          </w:tcPr>
          <w:p w14:paraId="464CD41E" w14:textId="77777777" w:rsidR="00CC2DDD" w:rsidRPr="003E0A0F" w:rsidRDefault="00CC2DDD" w:rsidP="002D2F66"/>
        </w:tc>
      </w:tr>
      <w:tr w:rsidR="00CC2DDD" w:rsidRPr="003E0A0F" w14:paraId="2B4739D2" w14:textId="77777777" w:rsidTr="002D2F66">
        <w:trPr>
          <w:trHeight w:val="240"/>
          <w:jc w:val="center"/>
        </w:trPr>
        <w:tc>
          <w:tcPr>
            <w:tcW w:w="4876" w:type="dxa"/>
            <w:tcBorders>
              <w:top w:val="nil"/>
              <w:left w:val="nil"/>
              <w:bottom w:val="nil"/>
              <w:right w:val="nil"/>
            </w:tcBorders>
          </w:tcPr>
          <w:p w14:paraId="1C7EB7C3"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445C7D7F" w14:textId="77777777" w:rsidR="00CC2DDD" w:rsidRPr="003E0A0F" w:rsidRDefault="00CC2DDD" w:rsidP="002D2F66">
            <w:pPr>
              <w:pStyle w:val="AmColumnHeading"/>
            </w:pPr>
            <w:r w:rsidRPr="003E0A0F">
              <w:t>Emendamento</w:t>
            </w:r>
          </w:p>
        </w:tc>
      </w:tr>
      <w:tr w:rsidR="00CC2DDD" w:rsidRPr="003E0A0F" w14:paraId="71EF440C" w14:textId="77777777" w:rsidTr="002D2F66">
        <w:trPr>
          <w:jc w:val="center"/>
        </w:trPr>
        <w:tc>
          <w:tcPr>
            <w:tcW w:w="4876" w:type="dxa"/>
            <w:tcBorders>
              <w:top w:val="nil"/>
              <w:left w:val="nil"/>
              <w:bottom w:val="nil"/>
              <w:right w:val="nil"/>
            </w:tcBorders>
          </w:tcPr>
          <w:p w14:paraId="6681E81B" w14:textId="77777777" w:rsidR="00CC2DDD" w:rsidRPr="003E0A0F" w:rsidRDefault="00CC2DDD" w:rsidP="002D2F66">
            <w:pPr>
              <w:pStyle w:val="Normal6a"/>
            </w:pPr>
            <w:r w:rsidRPr="003E0A0F">
              <w:t>12.</w:t>
            </w:r>
            <w:r w:rsidRPr="003E0A0F">
              <w:tab/>
              <w:t>concorda con la CGUE sul fatto che la Commissione, in quanto custode dei trattati, dovrebbe monitorare il rispetto delle sentenze della CGUE da parte degli Stati membri</w:t>
            </w:r>
            <w:r w:rsidRPr="003E0A0F">
              <w:rPr>
                <w:b/>
                <w:i/>
              </w:rPr>
              <w:t>, ma</w:t>
            </w:r>
            <w:r w:rsidRPr="003E0A0F">
              <w:t xml:space="preserve"> ribadisce il suo invito alla CGUE a istituire un meccanismo per individuare le buone e le cattive pratiche tra gli Stati membri;</w:t>
            </w:r>
          </w:p>
        </w:tc>
        <w:tc>
          <w:tcPr>
            <w:tcW w:w="4876" w:type="dxa"/>
            <w:tcBorders>
              <w:top w:val="nil"/>
              <w:left w:val="nil"/>
              <w:bottom w:val="nil"/>
              <w:right w:val="nil"/>
            </w:tcBorders>
          </w:tcPr>
          <w:p w14:paraId="20B24434" w14:textId="77777777" w:rsidR="00CC2DDD" w:rsidRPr="003E0A0F" w:rsidRDefault="00CC2DDD" w:rsidP="002D2F66">
            <w:pPr>
              <w:pStyle w:val="Normal6a"/>
            </w:pPr>
            <w:r w:rsidRPr="003E0A0F">
              <w:t>12.</w:t>
            </w:r>
            <w:r w:rsidRPr="003E0A0F">
              <w:tab/>
              <w:t>concorda con la CGUE sul fatto che la Commissione, in quanto custode dei trattati, dovrebbe monitorare il rispetto delle sentenze della CGUE da parte degli Stati membri</w:t>
            </w:r>
            <w:r w:rsidRPr="003E0A0F">
              <w:rPr>
                <w:b/>
                <w:i/>
              </w:rPr>
              <w:t xml:space="preserve">; </w:t>
            </w:r>
            <w:r w:rsidRPr="003E0A0F">
              <w:t>ribadisce il suo invito alla CGUE a istituire un meccanismo per individuare le buone e le cattive pratiche tra gli Stati membri</w:t>
            </w:r>
            <w:r w:rsidRPr="003E0A0F">
              <w:rPr>
                <w:b/>
                <w:i/>
              </w:rPr>
              <w:t>, attenendosi rigorosamente ai limiti del suo ruolo</w:t>
            </w:r>
            <w:r w:rsidRPr="003E0A0F">
              <w:t>;</w:t>
            </w:r>
          </w:p>
        </w:tc>
      </w:tr>
    </w:tbl>
    <w:p w14:paraId="0312734E" w14:textId="77777777" w:rsidR="00CC2DDD" w:rsidRPr="003E0A0F" w:rsidRDefault="00CC2DDD" w:rsidP="00CC2DDD">
      <w:pPr>
        <w:pStyle w:val="AmOrLang"/>
      </w:pPr>
      <w:r w:rsidRPr="003E0A0F">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75DE1D06" w14:textId="77777777" w:rsidR="00CC2DDD" w:rsidRPr="003E0A0F" w:rsidRDefault="00CC2DDD" w:rsidP="00CC2DDD">
      <w:r w:rsidRPr="002D0F6F">
        <w:rPr>
          <w:rStyle w:val="HideTWBExt"/>
        </w:rPr>
        <w:t>&lt;/Amend&gt;</w:t>
      </w:r>
    </w:p>
    <w:p w14:paraId="506A79EF"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14</w:t>
      </w:r>
      <w:r w:rsidRPr="002D0F6F">
        <w:rPr>
          <w:rStyle w:val="HideTWBExt"/>
          <w:b w:val="0"/>
        </w:rPr>
        <w:t>&lt;/NumAm&gt;</w:t>
      </w:r>
    </w:p>
    <w:p w14:paraId="1FD4A835" w14:textId="77777777" w:rsidR="00CC2DDD" w:rsidRPr="003E0A0F" w:rsidRDefault="00CC2DDD" w:rsidP="00CC2DDD">
      <w:pPr>
        <w:pStyle w:val="NormalBold"/>
      </w:pPr>
      <w:r w:rsidRPr="002D0F6F">
        <w:rPr>
          <w:rStyle w:val="HideTWBExt"/>
          <w:b w:val="0"/>
        </w:rPr>
        <w:t>&lt;RepeatBlock-By&gt;&lt;Members&gt;</w:t>
      </w:r>
      <w:r w:rsidRPr="003E0A0F">
        <w:t>Gilles Boyer, Olivier Chastel, Vlad Vasile-Voiculescu, Michal Wiezik, Gerben-Jan Gerbrandy</w:t>
      </w:r>
      <w:r w:rsidRPr="002D0F6F">
        <w:rPr>
          <w:rStyle w:val="HideTWBExt"/>
          <w:b w:val="0"/>
        </w:rPr>
        <w:t>&lt;/Members&gt;</w:t>
      </w:r>
    </w:p>
    <w:p w14:paraId="3C45BFB0" w14:textId="77777777" w:rsidR="00CC2DDD" w:rsidRPr="003E0A0F" w:rsidRDefault="00CC2DDD" w:rsidP="00CC2DDD">
      <w:pPr>
        <w:pStyle w:val="NormalBold"/>
      </w:pPr>
      <w:r w:rsidRPr="002D0F6F">
        <w:rPr>
          <w:rStyle w:val="HideTWBExt"/>
          <w:b w:val="0"/>
        </w:rPr>
        <w:t>&lt;/RepeatBlock-By&gt;</w:t>
      </w:r>
    </w:p>
    <w:p w14:paraId="5AD792E2"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1B2AE10A" w14:textId="77777777" w:rsidR="00CC2DDD" w:rsidRPr="003E0A0F" w:rsidRDefault="00CC2DDD" w:rsidP="00CC2DDD">
      <w:pPr>
        <w:pStyle w:val="NormalBold"/>
      </w:pPr>
      <w:r w:rsidRPr="002D0F6F">
        <w:rPr>
          <w:rStyle w:val="HideTWBExt"/>
          <w:b w:val="0"/>
        </w:rPr>
        <w:t>&lt;Article&gt;</w:t>
      </w:r>
      <w:r w:rsidRPr="003E0A0F">
        <w:t>Paragrafo 14</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678A68B8" w14:textId="77777777" w:rsidTr="002D2F66">
        <w:trPr>
          <w:trHeight w:hRule="exact" w:val="240"/>
          <w:jc w:val="center"/>
        </w:trPr>
        <w:tc>
          <w:tcPr>
            <w:tcW w:w="9752" w:type="dxa"/>
            <w:gridSpan w:val="2"/>
            <w:tcBorders>
              <w:top w:val="nil"/>
              <w:left w:val="nil"/>
              <w:bottom w:val="nil"/>
              <w:right w:val="nil"/>
            </w:tcBorders>
          </w:tcPr>
          <w:p w14:paraId="5707F68D" w14:textId="77777777" w:rsidR="00CC2DDD" w:rsidRPr="003E0A0F" w:rsidRDefault="00CC2DDD" w:rsidP="002D2F66"/>
        </w:tc>
      </w:tr>
      <w:tr w:rsidR="00CC2DDD" w:rsidRPr="003E0A0F" w14:paraId="4AF2F34A" w14:textId="77777777" w:rsidTr="002D2F66">
        <w:trPr>
          <w:trHeight w:val="240"/>
          <w:jc w:val="center"/>
        </w:trPr>
        <w:tc>
          <w:tcPr>
            <w:tcW w:w="4876" w:type="dxa"/>
            <w:tcBorders>
              <w:top w:val="nil"/>
              <w:left w:val="nil"/>
              <w:bottom w:val="nil"/>
              <w:right w:val="nil"/>
            </w:tcBorders>
          </w:tcPr>
          <w:p w14:paraId="43E05175"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0FA1BD97" w14:textId="77777777" w:rsidR="00CC2DDD" w:rsidRPr="003E0A0F" w:rsidRDefault="00CC2DDD" w:rsidP="002D2F66">
            <w:pPr>
              <w:pStyle w:val="AmColumnHeading"/>
            </w:pPr>
            <w:r w:rsidRPr="003E0A0F">
              <w:t>Emendamento</w:t>
            </w:r>
          </w:p>
        </w:tc>
      </w:tr>
      <w:tr w:rsidR="00CC2DDD" w:rsidRPr="003E0A0F" w14:paraId="31F39B17" w14:textId="77777777" w:rsidTr="002D2F66">
        <w:trPr>
          <w:jc w:val="center"/>
        </w:trPr>
        <w:tc>
          <w:tcPr>
            <w:tcW w:w="4876" w:type="dxa"/>
            <w:tcBorders>
              <w:top w:val="nil"/>
              <w:left w:val="nil"/>
              <w:bottom w:val="nil"/>
              <w:right w:val="nil"/>
            </w:tcBorders>
          </w:tcPr>
          <w:p w14:paraId="656C48E1" w14:textId="77777777" w:rsidR="00CC2DDD" w:rsidRPr="003E0A0F" w:rsidRDefault="00CC2DDD" w:rsidP="002D2F66">
            <w:pPr>
              <w:pStyle w:val="Normal6a"/>
            </w:pPr>
            <w:r w:rsidRPr="003E0A0F">
              <w:t>14.</w:t>
            </w:r>
            <w:r w:rsidRPr="003E0A0F">
              <w:tab/>
              <w:t>osserva che la durata media dei procedimenti per le cause chiuse dalla Corte di giustizia è stata di 17,7 mesi nel 2024 rispetto ai 16,1 mesi del 2023, mentre il rispettivo aumento di circa sei settimane è dovuto alla complessità e alla voluminosità di alcuni fascicoli (come i ricorsi proposti nel 2020 contro il cosiddetto "pacchetto mobilità" dell'Unione e chiusi nel 2024); osserva che la durata media delle cause chiuse con sentenza o ordinanza del Tribunale è aumentata da 18,2 mesi nel 2023 a 18,5 mesi nel 2024;</w:t>
            </w:r>
          </w:p>
        </w:tc>
        <w:tc>
          <w:tcPr>
            <w:tcW w:w="4876" w:type="dxa"/>
            <w:tcBorders>
              <w:top w:val="nil"/>
              <w:left w:val="nil"/>
              <w:bottom w:val="nil"/>
              <w:right w:val="nil"/>
            </w:tcBorders>
          </w:tcPr>
          <w:p w14:paraId="0634C844" w14:textId="77777777" w:rsidR="00CC2DDD" w:rsidRPr="003E0A0F" w:rsidRDefault="00CC2DDD" w:rsidP="002D2F66">
            <w:pPr>
              <w:pStyle w:val="Normal6a"/>
            </w:pPr>
            <w:r w:rsidRPr="003E0A0F">
              <w:t>14.</w:t>
            </w:r>
            <w:r w:rsidRPr="003E0A0F">
              <w:tab/>
              <w:t xml:space="preserve">osserva che la durata media dei procedimenti per le cause chiuse dalla Corte di giustizia è stata di 17,7 mesi nel 2024 rispetto ai 16,1 mesi del 2023, mentre il rispettivo aumento di circa sei settimane è dovuto alla complessità e alla voluminosità di alcuni fascicoli (come i ricorsi proposti nel 2020 contro il cosiddetto "pacchetto mobilità" dell'Unione e chiusi nel 2024); osserva che la durata media delle cause chiuse con sentenza o ordinanza del Tribunale è aumentata da 18,2 mesi nel 2023 a 18,5 mesi nel 2024; </w:t>
            </w:r>
            <w:r w:rsidRPr="003E0A0F">
              <w:rPr>
                <w:b/>
                <w:i/>
              </w:rPr>
              <w:t>sottolinea che la tempestività dei procedimenti giudiziari deve rimanere un obiettivo fondamentale in termini di prestazioni, in quanto la lunghezza eccessiva incide direttamente sulla certezza del diritto per i cittadini, i tribunali nazionali e gli operatori economici;</w:t>
            </w:r>
          </w:p>
        </w:tc>
      </w:tr>
    </w:tbl>
    <w:p w14:paraId="699198A5" w14:textId="77777777" w:rsidR="00CC2DDD" w:rsidRPr="003E0A0F" w:rsidRDefault="00CC2DDD" w:rsidP="00CC2DDD">
      <w:pPr>
        <w:pStyle w:val="AmOrLang"/>
      </w:pPr>
      <w:r w:rsidRPr="003E0A0F">
        <w:lastRenderedPageBreak/>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1199E33C" w14:textId="77777777" w:rsidR="00CC2DDD" w:rsidRPr="003E0A0F" w:rsidRDefault="00CC2DDD" w:rsidP="00CC2DDD">
      <w:r w:rsidRPr="002D0F6F">
        <w:rPr>
          <w:rStyle w:val="HideTWBExt"/>
        </w:rPr>
        <w:t>&lt;/Amend&gt;</w:t>
      </w:r>
    </w:p>
    <w:p w14:paraId="17B53598"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15</w:t>
      </w:r>
      <w:r w:rsidRPr="002D0F6F">
        <w:rPr>
          <w:rStyle w:val="HideTWBExt"/>
          <w:b w:val="0"/>
        </w:rPr>
        <w:t>&lt;/NumAm&gt;</w:t>
      </w:r>
    </w:p>
    <w:p w14:paraId="1DD5D240" w14:textId="77777777" w:rsidR="00CC2DDD" w:rsidRPr="003E0A0F" w:rsidRDefault="00CC2DDD" w:rsidP="00CC2DDD">
      <w:pPr>
        <w:pStyle w:val="NormalBold"/>
      </w:pPr>
      <w:r w:rsidRPr="002D0F6F">
        <w:rPr>
          <w:rStyle w:val="HideTWBExt"/>
          <w:b w:val="0"/>
        </w:rPr>
        <w:t>&lt;RepeatBlock-By&gt;&lt;Members&gt;</w:t>
      </w:r>
      <w:r w:rsidRPr="003E0A0F">
        <w:t>Arno Bausemer</w:t>
      </w:r>
      <w:r w:rsidRPr="002D0F6F">
        <w:rPr>
          <w:rStyle w:val="HideTWBExt"/>
          <w:b w:val="0"/>
        </w:rPr>
        <w:t>&lt;/Members&gt;</w:t>
      </w:r>
    </w:p>
    <w:p w14:paraId="2EEFA669" w14:textId="77777777" w:rsidR="00CC2DDD" w:rsidRPr="003E0A0F" w:rsidRDefault="00CC2DDD" w:rsidP="00CC2DDD">
      <w:pPr>
        <w:pStyle w:val="NormalBold"/>
      </w:pPr>
      <w:r w:rsidRPr="002D0F6F">
        <w:rPr>
          <w:rStyle w:val="HideTWBExt"/>
          <w:b w:val="0"/>
        </w:rPr>
        <w:t>&lt;/RepeatBlock-By&gt;</w:t>
      </w:r>
    </w:p>
    <w:p w14:paraId="3ACFD6B9"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526D431C" w14:textId="77777777" w:rsidR="00CC2DDD" w:rsidRPr="003E0A0F" w:rsidRDefault="00CC2DDD" w:rsidP="00CC2DDD">
      <w:pPr>
        <w:pStyle w:val="NormalBold"/>
      </w:pPr>
      <w:r w:rsidRPr="002D0F6F">
        <w:rPr>
          <w:rStyle w:val="HideTWBExt"/>
          <w:b w:val="0"/>
        </w:rPr>
        <w:t>&lt;Article&gt;</w:t>
      </w:r>
      <w:r w:rsidRPr="003E0A0F">
        <w:t>Paragrafo 16</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574A1BA2" w14:textId="77777777" w:rsidTr="002D2F66">
        <w:trPr>
          <w:trHeight w:hRule="exact" w:val="240"/>
          <w:jc w:val="center"/>
        </w:trPr>
        <w:tc>
          <w:tcPr>
            <w:tcW w:w="9752" w:type="dxa"/>
            <w:gridSpan w:val="2"/>
            <w:tcBorders>
              <w:top w:val="nil"/>
              <w:left w:val="nil"/>
              <w:bottom w:val="nil"/>
              <w:right w:val="nil"/>
            </w:tcBorders>
          </w:tcPr>
          <w:p w14:paraId="44B46316" w14:textId="77777777" w:rsidR="00CC2DDD" w:rsidRPr="003E0A0F" w:rsidRDefault="00CC2DDD" w:rsidP="002D2F66"/>
        </w:tc>
      </w:tr>
      <w:tr w:rsidR="00CC2DDD" w:rsidRPr="003E0A0F" w14:paraId="7BF03083" w14:textId="77777777" w:rsidTr="002D2F66">
        <w:trPr>
          <w:trHeight w:val="240"/>
          <w:jc w:val="center"/>
        </w:trPr>
        <w:tc>
          <w:tcPr>
            <w:tcW w:w="4876" w:type="dxa"/>
            <w:tcBorders>
              <w:top w:val="nil"/>
              <w:left w:val="nil"/>
              <w:bottom w:val="nil"/>
              <w:right w:val="nil"/>
            </w:tcBorders>
          </w:tcPr>
          <w:p w14:paraId="5112EB1F"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5DD2D2DC" w14:textId="77777777" w:rsidR="00CC2DDD" w:rsidRPr="003E0A0F" w:rsidRDefault="00CC2DDD" w:rsidP="002D2F66">
            <w:pPr>
              <w:pStyle w:val="AmColumnHeading"/>
            </w:pPr>
            <w:r w:rsidRPr="003E0A0F">
              <w:t>Emendamento</w:t>
            </w:r>
          </w:p>
        </w:tc>
      </w:tr>
      <w:tr w:rsidR="00CC2DDD" w:rsidRPr="003E0A0F" w14:paraId="6EDCC671" w14:textId="77777777" w:rsidTr="002D2F66">
        <w:trPr>
          <w:jc w:val="center"/>
        </w:trPr>
        <w:tc>
          <w:tcPr>
            <w:tcW w:w="4876" w:type="dxa"/>
            <w:tcBorders>
              <w:top w:val="nil"/>
              <w:left w:val="nil"/>
              <w:bottom w:val="nil"/>
              <w:right w:val="nil"/>
            </w:tcBorders>
          </w:tcPr>
          <w:p w14:paraId="488215B0" w14:textId="77777777" w:rsidR="00CC2DDD" w:rsidRPr="003E0A0F" w:rsidRDefault="00CC2DDD" w:rsidP="002D2F66">
            <w:pPr>
              <w:pStyle w:val="Normal6a"/>
            </w:pPr>
            <w:r w:rsidRPr="003E0A0F">
              <w:rPr>
                <w:b/>
                <w:i/>
              </w:rPr>
              <w:t>16.</w:t>
            </w:r>
            <w:r w:rsidRPr="003E0A0F">
              <w:tab/>
            </w:r>
            <w:r w:rsidRPr="003E0A0F">
              <w:rPr>
                <w:b/>
                <w:i/>
              </w:rPr>
              <w:t>accoglie con favore l'approccio fondato sui risultati sviluppato dalla CGUE, che le consente di prendere decisioni in base al livello di raggiungimento dei suoi obiettivi, misurato attraverso una serie di indicatori operativi e di carico di lavoro (ad esempio efficienza in termini di costi, tassi di completamento dei progetti, soddisfazione degli utenti e ottimizzazione delle risorse) adattati per ciascun dipartimento; osserva che gli indicatori chiave di performance utilizzati dalla CGUE coprono un'ampia gamma di ambiti specifici a sostegno dei cinque obiettivi di gestione relativi al corretto funzionamento dei due organi giurisdizionali, alla digitalizzazione e alle tecnologie emergenti, all'apertura e alla trasparenza, al multilinguismo e alla gestione delle risorse umane;</w:t>
            </w:r>
          </w:p>
        </w:tc>
        <w:tc>
          <w:tcPr>
            <w:tcW w:w="4876" w:type="dxa"/>
            <w:tcBorders>
              <w:top w:val="nil"/>
              <w:left w:val="nil"/>
              <w:bottom w:val="nil"/>
              <w:right w:val="nil"/>
            </w:tcBorders>
          </w:tcPr>
          <w:p w14:paraId="4186E3C5" w14:textId="77777777" w:rsidR="00CC2DDD" w:rsidRPr="003E0A0F" w:rsidRDefault="00CC2DDD" w:rsidP="002D2F66">
            <w:pPr>
              <w:pStyle w:val="Normal6a"/>
            </w:pPr>
            <w:r w:rsidRPr="003E0A0F">
              <w:rPr>
                <w:b/>
                <w:i/>
              </w:rPr>
              <w:t>soppresso</w:t>
            </w:r>
          </w:p>
        </w:tc>
      </w:tr>
    </w:tbl>
    <w:p w14:paraId="26B5E100" w14:textId="77777777" w:rsidR="00CC2DDD" w:rsidRPr="003E0A0F" w:rsidRDefault="00CC2DDD" w:rsidP="00CC2DDD">
      <w:pPr>
        <w:pStyle w:val="AmOrLang"/>
      </w:pPr>
      <w:r w:rsidRPr="003E0A0F">
        <w:t xml:space="preserve">Or. </w:t>
      </w:r>
      <w:r w:rsidRPr="002D0F6F">
        <w:rPr>
          <w:rStyle w:val="HideTWBExt"/>
        </w:rPr>
        <w:t>&lt;Original&gt;</w:t>
      </w:r>
      <w:r w:rsidRPr="002D0F6F">
        <w:rPr>
          <w:rStyle w:val="HideTWBInt"/>
        </w:rPr>
        <w:t>{DE}</w:t>
      </w:r>
      <w:r w:rsidRPr="003E0A0F">
        <w:t>de</w:t>
      </w:r>
      <w:r w:rsidRPr="002D0F6F">
        <w:rPr>
          <w:rStyle w:val="HideTWBExt"/>
        </w:rPr>
        <w:t>&lt;/Original&gt;</w:t>
      </w:r>
    </w:p>
    <w:p w14:paraId="2A8591E5" w14:textId="77777777" w:rsidR="00CC2DDD" w:rsidRPr="003E0A0F" w:rsidRDefault="00CC2DDD" w:rsidP="00CC2DDD">
      <w:r w:rsidRPr="002D0F6F">
        <w:rPr>
          <w:rStyle w:val="HideTWBExt"/>
        </w:rPr>
        <w:t>&lt;/Amend&gt;</w:t>
      </w:r>
    </w:p>
    <w:p w14:paraId="223CCE47"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16</w:t>
      </w:r>
      <w:r w:rsidRPr="002D0F6F">
        <w:rPr>
          <w:rStyle w:val="HideTWBExt"/>
          <w:b w:val="0"/>
        </w:rPr>
        <w:t>&lt;/NumAm&gt;</w:t>
      </w:r>
    </w:p>
    <w:p w14:paraId="11C2482C" w14:textId="77777777" w:rsidR="00CC2DDD" w:rsidRPr="003E0A0F" w:rsidRDefault="00CC2DDD" w:rsidP="00CC2DDD">
      <w:pPr>
        <w:pStyle w:val="NormalBold"/>
      </w:pPr>
      <w:r w:rsidRPr="002D0F6F">
        <w:rPr>
          <w:rStyle w:val="HideTWBExt"/>
          <w:b w:val="0"/>
        </w:rPr>
        <w:t>&lt;RepeatBlock-By&gt;&lt;Members&gt;</w:t>
      </w:r>
      <w:r w:rsidRPr="003E0A0F">
        <w:t>Caterina Chinnici</w:t>
      </w:r>
      <w:r w:rsidRPr="002D0F6F">
        <w:rPr>
          <w:rStyle w:val="HideTWBExt"/>
          <w:b w:val="0"/>
        </w:rPr>
        <w:t>&lt;/Members&gt;</w:t>
      </w:r>
    </w:p>
    <w:p w14:paraId="6557734F" w14:textId="77777777" w:rsidR="00CC2DDD" w:rsidRPr="003E0A0F" w:rsidRDefault="00CC2DDD" w:rsidP="00CC2DDD">
      <w:pPr>
        <w:pStyle w:val="NormalBold"/>
      </w:pPr>
      <w:r w:rsidRPr="002D0F6F">
        <w:rPr>
          <w:rStyle w:val="HideTWBExt"/>
          <w:b w:val="0"/>
        </w:rPr>
        <w:t>&lt;/RepeatBlock-By&gt;</w:t>
      </w:r>
    </w:p>
    <w:p w14:paraId="66EF87CC"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0E397EBF" w14:textId="77777777" w:rsidR="00CC2DDD" w:rsidRPr="003E0A0F" w:rsidRDefault="00CC2DDD" w:rsidP="00CC2DDD">
      <w:pPr>
        <w:pStyle w:val="NormalBold"/>
      </w:pPr>
      <w:r w:rsidRPr="002D0F6F">
        <w:rPr>
          <w:rStyle w:val="HideTWBExt"/>
          <w:b w:val="0"/>
        </w:rPr>
        <w:t>&lt;Article&gt;</w:t>
      </w:r>
      <w:r w:rsidRPr="003E0A0F">
        <w:t>Paragrafo 16</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38AC5D4C" w14:textId="77777777" w:rsidTr="002D2F66">
        <w:trPr>
          <w:trHeight w:hRule="exact" w:val="240"/>
          <w:jc w:val="center"/>
        </w:trPr>
        <w:tc>
          <w:tcPr>
            <w:tcW w:w="9752" w:type="dxa"/>
            <w:gridSpan w:val="2"/>
            <w:tcBorders>
              <w:top w:val="nil"/>
              <w:left w:val="nil"/>
              <w:bottom w:val="nil"/>
              <w:right w:val="nil"/>
            </w:tcBorders>
          </w:tcPr>
          <w:p w14:paraId="4EC00C80" w14:textId="77777777" w:rsidR="00CC2DDD" w:rsidRPr="003E0A0F" w:rsidRDefault="00CC2DDD" w:rsidP="002D2F66"/>
        </w:tc>
      </w:tr>
      <w:tr w:rsidR="00CC2DDD" w:rsidRPr="003E0A0F" w14:paraId="319EB63E" w14:textId="77777777" w:rsidTr="002D2F66">
        <w:trPr>
          <w:trHeight w:val="240"/>
          <w:jc w:val="center"/>
        </w:trPr>
        <w:tc>
          <w:tcPr>
            <w:tcW w:w="4876" w:type="dxa"/>
            <w:tcBorders>
              <w:top w:val="nil"/>
              <w:left w:val="nil"/>
              <w:bottom w:val="nil"/>
              <w:right w:val="nil"/>
            </w:tcBorders>
          </w:tcPr>
          <w:p w14:paraId="4783FB6F"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2D51AE76" w14:textId="77777777" w:rsidR="00CC2DDD" w:rsidRPr="003E0A0F" w:rsidRDefault="00CC2DDD" w:rsidP="002D2F66">
            <w:pPr>
              <w:pStyle w:val="AmColumnHeading"/>
            </w:pPr>
            <w:r w:rsidRPr="003E0A0F">
              <w:t>Emendamento</w:t>
            </w:r>
          </w:p>
        </w:tc>
      </w:tr>
      <w:tr w:rsidR="00CC2DDD" w:rsidRPr="003E0A0F" w14:paraId="09C3F63A" w14:textId="77777777" w:rsidTr="002D2F66">
        <w:trPr>
          <w:jc w:val="center"/>
        </w:trPr>
        <w:tc>
          <w:tcPr>
            <w:tcW w:w="4876" w:type="dxa"/>
            <w:tcBorders>
              <w:top w:val="nil"/>
              <w:left w:val="nil"/>
              <w:bottom w:val="nil"/>
              <w:right w:val="nil"/>
            </w:tcBorders>
          </w:tcPr>
          <w:p w14:paraId="30C2260A" w14:textId="77777777" w:rsidR="00CC2DDD" w:rsidRPr="003E0A0F" w:rsidRDefault="00CC2DDD" w:rsidP="002D2F66">
            <w:pPr>
              <w:pStyle w:val="Normal6a"/>
            </w:pPr>
            <w:r w:rsidRPr="003E0A0F">
              <w:t>16.</w:t>
            </w:r>
            <w:r w:rsidRPr="003E0A0F">
              <w:tab/>
              <w:t xml:space="preserve">accoglie con favore l'approccio fondato sui risultati sviluppato dalla CGUE, che le consente di prendere decisioni in base al livello di </w:t>
            </w:r>
            <w:r w:rsidRPr="003E0A0F">
              <w:lastRenderedPageBreak/>
              <w:t>raggiungimento dei suoi obiettivi, misurato attraverso una serie di indicatori operativi e di carico di lavoro (ad esempio efficienza in termini di costi, tassi di completamento dei progetti, soddisfazione degli utenti e ottimizzazione delle risorse) adattati per ciascun dipartimento; osserva che gli indicatori chiave di performance utilizzati dalla CGUE coprono un'ampia gamma di ambiti specifici a sostegno dei cinque obiettivi di gestione relativi al corretto funzionamento dei due organi giurisdizionali, alla digitalizzazione e alle tecnologie emergenti, all'apertura e alla trasparenza, al multilinguismo e alla gestione delle risorse umane;</w:t>
            </w:r>
          </w:p>
        </w:tc>
        <w:tc>
          <w:tcPr>
            <w:tcW w:w="4876" w:type="dxa"/>
            <w:tcBorders>
              <w:top w:val="nil"/>
              <w:left w:val="nil"/>
              <w:bottom w:val="nil"/>
              <w:right w:val="nil"/>
            </w:tcBorders>
          </w:tcPr>
          <w:p w14:paraId="233A2C58" w14:textId="77777777" w:rsidR="00CC2DDD" w:rsidRPr="003E0A0F" w:rsidRDefault="00CC2DDD" w:rsidP="002D2F66">
            <w:pPr>
              <w:pStyle w:val="Normal6a"/>
            </w:pPr>
            <w:r w:rsidRPr="003E0A0F">
              <w:lastRenderedPageBreak/>
              <w:t>16.</w:t>
            </w:r>
            <w:r w:rsidRPr="003E0A0F">
              <w:tab/>
              <w:t xml:space="preserve">accoglie con favore l'approccio fondato sui risultati sviluppato dalla CGUE, che le consente di prendere decisioni in base al livello di </w:t>
            </w:r>
            <w:r w:rsidRPr="003E0A0F">
              <w:lastRenderedPageBreak/>
              <w:t xml:space="preserve">raggiungimento dei suoi obiettivi, misurato attraverso una serie di indicatori operativi e di carico di lavoro (ad esempio efficienza in termini di costi, tassi di completamento dei progetti, soddisfazione degli utenti e ottimizzazione delle risorse) adattati per ciascun dipartimento; osserva che gli indicatori chiave di performance utilizzati dalla CGUE coprono un'ampia gamma di ambiti specifici a sostegno dei cinque obiettivi di gestione relativi al corretto funzionamento dei due organi giurisdizionali, alla digitalizzazione e alle tecnologie emergenti, all'apertura e alla trasparenza, al multilinguismo e alla gestione delle risorse umane; </w:t>
            </w:r>
            <w:r w:rsidRPr="003E0A0F">
              <w:rPr>
                <w:b/>
                <w:i/>
              </w:rPr>
              <w:t xml:space="preserve">sottolinea la necessità che la CGUE </w:t>
            </w:r>
            <w:proofErr w:type="spellStart"/>
            <w:r w:rsidRPr="003E0A0F">
              <w:rPr>
                <w:b/>
                <w:i/>
              </w:rPr>
              <w:t>garantisca</w:t>
            </w:r>
            <w:proofErr w:type="spellEnd"/>
            <w:r w:rsidRPr="003E0A0F">
              <w:rPr>
                <w:b/>
                <w:i/>
              </w:rPr>
              <w:t xml:space="preserve"> che tali indicatori siano trasparenti e orientati ai risultati e che vengano riesaminati periodicamente per sostenere una gestione e una responsabilità efficaci;</w:t>
            </w:r>
          </w:p>
        </w:tc>
      </w:tr>
    </w:tbl>
    <w:p w14:paraId="3DC9C2C5" w14:textId="77777777" w:rsidR="00CC2DDD" w:rsidRPr="003E0A0F" w:rsidRDefault="00CC2DDD" w:rsidP="00CC2DDD">
      <w:pPr>
        <w:pStyle w:val="AmOrLang"/>
      </w:pPr>
      <w:r w:rsidRPr="003E0A0F">
        <w:lastRenderedPageBreak/>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0041E626" w14:textId="77777777" w:rsidR="00CC2DDD" w:rsidRPr="003E0A0F" w:rsidRDefault="00CC2DDD" w:rsidP="00CC2DDD">
      <w:r w:rsidRPr="002D0F6F">
        <w:rPr>
          <w:rStyle w:val="HideTWBExt"/>
        </w:rPr>
        <w:t>&lt;/Amend&gt;</w:t>
      </w:r>
    </w:p>
    <w:p w14:paraId="286950AE"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17</w:t>
      </w:r>
      <w:r w:rsidRPr="002D0F6F">
        <w:rPr>
          <w:rStyle w:val="HideTWBExt"/>
          <w:b w:val="0"/>
        </w:rPr>
        <w:t>&lt;/NumAm&gt;</w:t>
      </w:r>
    </w:p>
    <w:p w14:paraId="6B48EB84" w14:textId="77777777" w:rsidR="00CC2DDD" w:rsidRPr="003E0A0F" w:rsidRDefault="00CC2DDD" w:rsidP="00CC2DDD">
      <w:pPr>
        <w:pStyle w:val="NormalBold"/>
      </w:pPr>
      <w:r w:rsidRPr="002D0F6F">
        <w:rPr>
          <w:rStyle w:val="HideTWBExt"/>
          <w:b w:val="0"/>
        </w:rPr>
        <w:t>&lt;RepeatBlock-By&gt;&lt;Members&gt;</w:t>
      </w:r>
      <w:r w:rsidRPr="003E0A0F">
        <w:t>Caterina Chinnici</w:t>
      </w:r>
      <w:r w:rsidRPr="002D0F6F">
        <w:rPr>
          <w:rStyle w:val="HideTWBExt"/>
          <w:b w:val="0"/>
        </w:rPr>
        <w:t>&lt;/Members&gt;</w:t>
      </w:r>
    </w:p>
    <w:p w14:paraId="67800BA8" w14:textId="77777777" w:rsidR="00CC2DDD" w:rsidRPr="003E0A0F" w:rsidRDefault="00CC2DDD" w:rsidP="00CC2DDD">
      <w:pPr>
        <w:pStyle w:val="NormalBold"/>
      </w:pPr>
      <w:r w:rsidRPr="002D0F6F">
        <w:rPr>
          <w:rStyle w:val="HideTWBExt"/>
          <w:b w:val="0"/>
        </w:rPr>
        <w:t>&lt;/RepeatBlock-By&gt;</w:t>
      </w:r>
    </w:p>
    <w:p w14:paraId="364C0AAB"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1E420569" w14:textId="77777777" w:rsidR="00CC2DDD" w:rsidRPr="003E0A0F" w:rsidRDefault="00CC2DDD" w:rsidP="00CC2DDD">
      <w:pPr>
        <w:pStyle w:val="NormalBold"/>
      </w:pPr>
      <w:r w:rsidRPr="002D0F6F">
        <w:rPr>
          <w:rStyle w:val="HideTWBExt"/>
          <w:b w:val="0"/>
        </w:rPr>
        <w:t>&lt;Article&gt;</w:t>
      </w:r>
      <w:r w:rsidRPr="003E0A0F">
        <w:t>Paragrafo 17</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68209DEE" w14:textId="77777777" w:rsidTr="002D2F66">
        <w:trPr>
          <w:trHeight w:hRule="exact" w:val="240"/>
          <w:jc w:val="center"/>
        </w:trPr>
        <w:tc>
          <w:tcPr>
            <w:tcW w:w="9752" w:type="dxa"/>
            <w:gridSpan w:val="2"/>
            <w:tcBorders>
              <w:top w:val="nil"/>
              <w:left w:val="nil"/>
              <w:bottom w:val="nil"/>
              <w:right w:val="nil"/>
            </w:tcBorders>
          </w:tcPr>
          <w:p w14:paraId="65D644F7" w14:textId="77777777" w:rsidR="00CC2DDD" w:rsidRPr="003E0A0F" w:rsidRDefault="00CC2DDD" w:rsidP="002D2F66"/>
        </w:tc>
      </w:tr>
      <w:tr w:rsidR="00CC2DDD" w:rsidRPr="003E0A0F" w14:paraId="440FD4E9" w14:textId="77777777" w:rsidTr="002D2F66">
        <w:trPr>
          <w:trHeight w:val="240"/>
          <w:jc w:val="center"/>
        </w:trPr>
        <w:tc>
          <w:tcPr>
            <w:tcW w:w="4876" w:type="dxa"/>
            <w:tcBorders>
              <w:top w:val="nil"/>
              <w:left w:val="nil"/>
              <w:bottom w:val="nil"/>
              <w:right w:val="nil"/>
            </w:tcBorders>
          </w:tcPr>
          <w:p w14:paraId="4657AA5F"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2C2FE278" w14:textId="77777777" w:rsidR="00CC2DDD" w:rsidRPr="003E0A0F" w:rsidRDefault="00CC2DDD" w:rsidP="002D2F66">
            <w:pPr>
              <w:pStyle w:val="AmColumnHeading"/>
            </w:pPr>
            <w:r w:rsidRPr="003E0A0F">
              <w:t>Emendamento</w:t>
            </w:r>
          </w:p>
        </w:tc>
      </w:tr>
      <w:tr w:rsidR="00CC2DDD" w:rsidRPr="003E0A0F" w14:paraId="1A81B8FE" w14:textId="77777777" w:rsidTr="002D2F66">
        <w:trPr>
          <w:jc w:val="center"/>
        </w:trPr>
        <w:tc>
          <w:tcPr>
            <w:tcW w:w="4876" w:type="dxa"/>
            <w:tcBorders>
              <w:top w:val="nil"/>
              <w:left w:val="nil"/>
              <w:bottom w:val="nil"/>
              <w:right w:val="nil"/>
            </w:tcBorders>
          </w:tcPr>
          <w:p w14:paraId="2E67B4C7" w14:textId="77777777" w:rsidR="00CC2DDD" w:rsidRPr="003E0A0F" w:rsidRDefault="00CC2DDD" w:rsidP="002D2F66">
            <w:pPr>
              <w:pStyle w:val="Normal6a"/>
            </w:pPr>
            <w:r w:rsidRPr="003E0A0F">
              <w:t>17.</w:t>
            </w:r>
            <w:r w:rsidRPr="003E0A0F">
              <w:tab/>
              <w:t>accoglie con favore l'approccio della CGUE riveduto nel 2024 per quanto riguarda la redditività degli investimenti delle iniziative di innovazione, tenendo conto della valutazione dei costi attraverso parametri quali l'attuazione e gli sforzi del personale, la manutenzione annuale, i costi dei contraenti e altri tipi di costi, nonché della valutazione dei benefici attraverso parametri quali i rendimenti previsti, i vantaggi strategici e il numero di utenti interessati;</w:t>
            </w:r>
          </w:p>
        </w:tc>
        <w:tc>
          <w:tcPr>
            <w:tcW w:w="4876" w:type="dxa"/>
            <w:tcBorders>
              <w:top w:val="nil"/>
              <w:left w:val="nil"/>
              <w:bottom w:val="nil"/>
              <w:right w:val="nil"/>
            </w:tcBorders>
          </w:tcPr>
          <w:p w14:paraId="5B8F10BB" w14:textId="77777777" w:rsidR="00CC2DDD" w:rsidRPr="003E0A0F" w:rsidRDefault="00CC2DDD" w:rsidP="002D2F66">
            <w:pPr>
              <w:pStyle w:val="Normal6a"/>
            </w:pPr>
            <w:r w:rsidRPr="003E0A0F">
              <w:t>17.</w:t>
            </w:r>
            <w:r w:rsidRPr="003E0A0F">
              <w:tab/>
              <w:t xml:space="preserve">accoglie con favore l'approccio della CGUE riveduto nel 2024 per quanto riguarda la redditività degli investimenti delle iniziative di innovazione, tenendo conto della valutazione dei costi attraverso parametri quali l'attuazione e gli sforzi del personale, la manutenzione annuale, i costi dei contraenti e altri tipi di costi, nonché della valutazione dei benefici attraverso parametri quali i rendimenti previsti, i vantaggi strategici e il numero di utenti interessati; </w:t>
            </w:r>
            <w:r w:rsidRPr="003E0A0F">
              <w:rPr>
                <w:b/>
                <w:i/>
              </w:rPr>
              <w:t xml:space="preserve">osserva che nel 2024 la CGUE ha inoltre effettuato una revisione approfondita del suo sistema per seguire </w:t>
            </w:r>
            <w:r w:rsidRPr="003E0A0F">
              <w:rPr>
                <w:b/>
                <w:i/>
              </w:rPr>
              <w:lastRenderedPageBreak/>
              <w:t>la gestione dei progetti e il monitoraggio finanziario dei progetti, al fine di garantire una rendicontazione e un controllo completi dei suoi servizi di consulenza sulla digitalizzazione basati sul tempo entro il 2025; invita la CGUE a tenere informata l'autorità di discarico al riguardo;</w:t>
            </w:r>
          </w:p>
        </w:tc>
      </w:tr>
    </w:tbl>
    <w:p w14:paraId="7DA2A0B1" w14:textId="77777777" w:rsidR="00CC2DDD" w:rsidRPr="003E0A0F" w:rsidRDefault="00CC2DDD" w:rsidP="00CC2DDD">
      <w:pPr>
        <w:pStyle w:val="AmOrLang"/>
      </w:pPr>
      <w:r w:rsidRPr="003E0A0F">
        <w:lastRenderedPageBreak/>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62FB9DE2" w14:textId="77777777" w:rsidR="00CC2DDD" w:rsidRPr="003E0A0F" w:rsidRDefault="00CC2DDD" w:rsidP="00CC2DDD">
      <w:r w:rsidRPr="002D0F6F">
        <w:rPr>
          <w:rStyle w:val="HideTWBExt"/>
        </w:rPr>
        <w:t>&lt;/Amend&gt;</w:t>
      </w:r>
    </w:p>
    <w:p w14:paraId="44DEB24B"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18</w:t>
      </w:r>
      <w:r w:rsidRPr="002D0F6F">
        <w:rPr>
          <w:rStyle w:val="HideTWBExt"/>
          <w:b w:val="0"/>
        </w:rPr>
        <w:t>&lt;/NumAm&gt;</w:t>
      </w:r>
    </w:p>
    <w:p w14:paraId="2E6AB8D8" w14:textId="77777777" w:rsidR="00CC2DDD" w:rsidRPr="003E0A0F" w:rsidRDefault="00CC2DDD" w:rsidP="00CC2DDD">
      <w:pPr>
        <w:pStyle w:val="NormalBold"/>
      </w:pPr>
      <w:r w:rsidRPr="002D0F6F">
        <w:rPr>
          <w:rStyle w:val="HideTWBExt"/>
          <w:b w:val="0"/>
        </w:rPr>
        <w:t>&lt;RepeatBlock-By&gt;&lt;Members&gt;</w:t>
      </w:r>
      <w:r w:rsidRPr="003E0A0F">
        <w:t>Caterina Chinnici</w:t>
      </w:r>
      <w:r w:rsidRPr="002D0F6F">
        <w:rPr>
          <w:rStyle w:val="HideTWBExt"/>
          <w:b w:val="0"/>
        </w:rPr>
        <w:t>&lt;/Members&gt;</w:t>
      </w:r>
    </w:p>
    <w:p w14:paraId="4F4208E4" w14:textId="77777777" w:rsidR="00CC2DDD" w:rsidRPr="003E0A0F" w:rsidRDefault="00CC2DDD" w:rsidP="00CC2DDD">
      <w:pPr>
        <w:pStyle w:val="NormalBold"/>
      </w:pPr>
      <w:r w:rsidRPr="002D0F6F">
        <w:rPr>
          <w:rStyle w:val="HideTWBExt"/>
          <w:b w:val="0"/>
        </w:rPr>
        <w:t>&lt;/RepeatBlock-By&gt;</w:t>
      </w:r>
    </w:p>
    <w:p w14:paraId="335BE52D"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6773BAB9" w14:textId="77777777" w:rsidR="00CC2DDD" w:rsidRPr="003E0A0F" w:rsidRDefault="00CC2DDD" w:rsidP="00CC2DDD">
      <w:pPr>
        <w:pStyle w:val="NormalBold"/>
      </w:pPr>
      <w:r w:rsidRPr="002D0F6F">
        <w:rPr>
          <w:rStyle w:val="HideTWBExt"/>
          <w:b w:val="0"/>
        </w:rPr>
        <w:t>&lt;Article&gt;</w:t>
      </w:r>
      <w:r w:rsidRPr="003E0A0F">
        <w:t>Paragrafo 20</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73001EA9" w14:textId="77777777" w:rsidTr="002D2F66">
        <w:trPr>
          <w:trHeight w:hRule="exact" w:val="240"/>
          <w:jc w:val="center"/>
        </w:trPr>
        <w:tc>
          <w:tcPr>
            <w:tcW w:w="9752" w:type="dxa"/>
            <w:gridSpan w:val="2"/>
            <w:tcBorders>
              <w:top w:val="nil"/>
              <w:left w:val="nil"/>
              <w:bottom w:val="nil"/>
              <w:right w:val="nil"/>
            </w:tcBorders>
          </w:tcPr>
          <w:p w14:paraId="5DCF4111" w14:textId="77777777" w:rsidR="00CC2DDD" w:rsidRPr="003E0A0F" w:rsidRDefault="00CC2DDD" w:rsidP="002D2F66"/>
        </w:tc>
      </w:tr>
      <w:tr w:rsidR="00CC2DDD" w:rsidRPr="003E0A0F" w14:paraId="04D6E560" w14:textId="77777777" w:rsidTr="002D2F66">
        <w:trPr>
          <w:trHeight w:val="240"/>
          <w:jc w:val="center"/>
        </w:trPr>
        <w:tc>
          <w:tcPr>
            <w:tcW w:w="4876" w:type="dxa"/>
            <w:tcBorders>
              <w:top w:val="nil"/>
              <w:left w:val="nil"/>
              <w:bottom w:val="nil"/>
              <w:right w:val="nil"/>
            </w:tcBorders>
          </w:tcPr>
          <w:p w14:paraId="66A53267"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6A8B80BE" w14:textId="77777777" w:rsidR="00CC2DDD" w:rsidRPr="003E0A0F" w:rsidRDefault="00CC2DDD" w:rsidP="002D2F66">
            <w:pPr>
              <w:pStyle w:val="AmColumnHeading"/>
            </w:pPr>
            <w:r w:rsidRPr="003E0A0F">
              <w:t>Emendamento</w:t>
            </w:r>
          </w:p>
        </w:tc>
      </w:tr>
      <w:tr w:rsidR="00CC2DDD" w:rsidRPr="003E0A0F" w14:paraId="19E46401" w14:textId="77777777" w:rsidTr="002D2F66">
        <w:trPr>
          <w:jc w:val="center"/>
        </w:trPr>
        <w:tc>
          <w:tcPr>
            <w:tcW w:w="4876" w:type="dxa"/>
            <w:tcBorders>
              <w:top w:val="nil"/>
              <w:left w:val="nil"/>
              <w:bottom w:val="nil"/>
              <w:right w:val="nil"/>
            </w:tcBorders>
          </w:tcPr>
          <w:p w14:paraId="432A3A03" w14:textId="77777777" w:rsidR="00CC2DDD" w:rsidRPr="003E0A0F" w:rsidRDefault="00CC2DDD" w:rsidP="002D2F66">
            <w:pPr>
              <w:pStyle w:val="Normal6a"/>
            </w:pPr>
            <w:r w:rsidRPr="003E0A0F">
              <w:t>20.</w:t>
            </w:r>
            <w:r w:rsidRPr="003E0A0F">
              <w:tab/>
              <w:t>rileva che la Corte di giustizia è composta da 27 giudici e da 11 avvocati generali e che il Tribunale è composto da 54 giudici; rileva inoltre che nove nuovi giudici della Corte di giustizia e due nuovi giudici del Tribunale sono entrati in carica nel 2024 come sostituzione parziale; deplora che la composizione di genere della Corte di giustizia e del Tribunale continua a essere molto sbilanciata; esprime il proprio apprezzamento per la lettera del presidente del Tribunale al presidente della conferenza dei rappresentanti dei governi degli Stati membri nel 2024, che invitava gli Stati membri a prendere in considerazione la necessità di un equilibrio di genere nella nomina dei candidati per la sostituzione dei giudici e degli avvocati generali; rinnova il suo invito agli Stati membri a tenere conto della necessità di un equilibrio di genere al momento di nominare i candidati per la sostituzione dei giudici;</w:t>
            </w:r>
          </w:p>
        </w:tc>
        <w:tc>
          <w:tcPr>
            <w:tcW w:w="4876" w:type="dxa"/>
            <w:tcBorders>
              <w:top w:val="nil"/>
              <w:left w:val="nil"/>
              <w:bottom w:val="nil"/>
              <w:right w:val="nil"/>
            </w:tcBorders>
          </w:tcPr>
          <w:p w14:paraId="46007063" w14:textId="77777777" w:rsidR="00CC2DDD" w:rsidRPr="003E0A0F" w:rsidRDefault="00CC2DDD" w:rsidP="002D2F66">
            <w:pPr>
              <w:pStyle w:val="Normal6a"/>
            </w:pPr>
            <w:r w:rsidRPr="003E0A0F">
              <w:t>20.</w:t>
            </w:r>
            <w:r w:rsidRPr="003E0A0F">
              <w:tab/>
              <w:t>rileva che la Corte di giustizia è composta da 27 giudici e da 11 avvocati generali e che il Tribunale è composto da 54 giudici; rileva inoltre che nove nuovi giudici della Corte di giustizia e due nuovi giudici del Tribunale sono entrati in carica nel 2024 come sostituzione parziale; deplora che la composizione di genere della Corte di giustizia e del Tribunale continua a essere molto sbilanciata; esprime il proprio apprezzamento per la lettera del presidente del Tribunale al presidente della conferenza dei rappresentanti dei governi degli Stati membri nel 2024, che invitava gli Stati membri a prendere in considerazione la necessità di un equilibrio di genere nella nomina dei candidati per la sostituzione dei giudici e degli avvocati generali; rinnova il suo invito agli Stati membri a tenere conto della necessità di un equilibrio di genere al momento di nominare i candidati per la sostituzione dei giudici</w:t>
            </w:r>
            <w:r w:rsidRPr="003E0A0F">
              <w:rPr>
                <w:b/>
                <w:i/>
              </w:rPr>
              <w:t>, garantendo nel contempo che le nomine continuino a basarsi su criteri di merito, qualifica e indipendenza</w:t>
            </w:r>
            <w:r w:rsidRPr="003E0A0F">
              <w:t>;</w:t>
            </w:r>
          </w:p>
        </w:tc>
      </w:tr>
    </w:tbl>
    <w:p w14:paraId="69DD2C43" w14:textId="77777777" w:rsidR="00CC2DDD" w:rsidRPr="003E0A0F" w:rsidRDefault="00CC2DDD" w:rsidP="00CC2DDD">
      <w:pPr>
        <w:pStyle w:val="AmOrLang"/>
      </w:pPr>
      <w:r w:rsidRPr="003E0A0F">
        <w:lastRenderedPageBreak/>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64F8057E" w14:textId="77777777" w:rsidR="00CC2DDD" w:rsidRPr="003E0A0F" w:rsidRDefault="00CC2DDD" w:rsidP="00CC2DDD">
      <w:r w:rsidRPr="002D0F6F">
        <w:rPr>
          <w:rStyle w:val="HideTWBExt"/>
        </w:rPr>
        <w:t>&lt;/Amend&gt;</w:t>
      </w:r>
    </w:p>
    <w:p w14:paraId="6EB16D08"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19</w:t>
      </w:r>
      <w:r w:rsidRPr="002D0F6F">
        <w:rPr>
          <w:rStyle w:val="HideTWBExt"/>
          <w:b w:val="0"/>
        </w:rPr>
        <w:t>&lt;/NumAm&gt;</w:t>
      </w:r>
    </w:p>
    <w:p w14:paraId="27B0B63B" w14:textId="77777777" w:rsidR="00CC2DDD" w:rsidRPr="003E0A0F" w:rsidRDefault="00CC2DDD" w:rsidP="00CC2DDD">
      <w:pPr>
        <w:pStyle w:val="NormalBold"/>
      </w:pPr>
      <w:r w:rsidRPr="002D0F6F">
        <w:rPr>
          <w:rStyle w:val="HideTWBExt"/>
          <w:b w:val="0"/>
        </w:rPr>
        <w:t>&lt;RepeatBlock-By&gt;&lt;Members&gt;</w:t>
      </w:r>
      <w:r w:rsidRPr="003E0A0F">
        <w:t>Gilles Boyer, Olivier Chastel, Vlad Vasile-Voiculescu, Michal Wiezik, Gerben-Jan Gerbrandy</w:t>
      </w:r>
      <w:r w:rsidRPr="002D0F6F">
        <w:rPr>
          <w:rStyle w:val="HideTWBExt"/>
          <w:b w:val="0"/>
        </w:rPr>
        <w:t>&lt;/Members&gt;</w:t>
      </w:r>
    </w:p>
    <w:p w14:paraId="414BC5AF" w14:textId="77777777" w:rsidR="00CC2DDD" w:rsidRPr="003E0A0F" w:rsidRDefault="00CC2DDD" w:rsidP="00CC2DDD">
      <w:pPr>
        <w:pStyle w:val="NormalBold"/>
      </w:pPr>
      <w:r w:rsidRPr="002D0F6F">
        <w:rPr>
          <w:rStyle w:val="HideTWBExt"/>
          <w:b w:val="0"/>
        </w:rPr>
        <w:t>&lt;/RepeatBlock-By&gt;</w:t>
      </w:r>
    </w:p>
    <w:p w14:paraId="12EB92A9"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726606D4" w14:textId="77777777" w:rsidR="00CC2DDD" w:rsidRPr="003E0A0F" w:rsidRDefault="00CC2DDD" w:rsidP="00CC2DDD">
      <w:pPr>
        <w:pStyle w:val="NormalBold"/>
      </w:pPr>
      <w:r w:rsidRPr="002D0F6F">
        <w:rPr>
          <w:rStyle w:val="HideTWBExt"/>
          <w:b w:val="0"/>
        </w:rPr>
        <w:t>&lt;Article&gt;</w:t>
      </w:r>
      <w:r w:rsidRPr="003E0A0F">
        <w:t>Paragrafo 21</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3AF2019E" w14:textId="77777777" w:rsidTr="002D2F66">
        <w:trPr>
          <w:trHeight w:hRule="exact" w:val="240"/>
          <w:jc w:val="center"/>
        </w:trPr>
        <w:tc>
          <w:tcPr>
            <w:tcW w:w="9752" w:type="dxa"/>
            <w:gridSpan w:val="2"/>
            <w:tcBorders>
              <w:top w:val="nil"/>
              <w:left w:val="nil"/>
              <w:bottom w:val="nil"/>
              <w:right w:val="nil"/>
            </w:tcBorders>
          </w:tcPr>
          <w:p w14:paraId="4F20DE03" w14:textId="77777777" w:rsidR="00CC2DDD" w:rsidRPr="003E0A0F" w:rsidRDefault="00CC2DDD" w:rsidP="002D2F66"/>
        </w:tc>
      </w:tr>
      <w:tr w:rsidR="00CC2DDD" w:rsidRPr="003E0A0F" w14:paraId="6B485210" w14:textId="77777777" w:rsidTr="002D2F66">
        <w:trPr>
          <w:trHeight w:val="240"/>
          <w:jc w:val="center"/>
        </w:trPr>
        <w:tc>
          <w:tcPr>
            <w:tcW w:w="4876" w:type="dxa"/>
            <w:tcBorders>
              <w:top w:val="nil"/>
              <w:left w:val="nil"/>
              <w:bottom w:val="nil"/>
              <w:right w:val="nil"/>
            </w:tcBorders>
          </w:tcPr>
          <w:p w14:paraId="7134CCC8"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11A11250" w14:textId="77777777" w:rsidR="00CC2DDD" w:rsidRPr="003E0A0F" w:rsidRDefault="00CC2DDD" w:rsidP="002D2F66">
            <w:pPr>
              <w:pStyle w:val="AmColumnHeading"/>
            </w:pPr>
            <w:r w:rsidRPr="003E0A0F">
              <w:t>Emendamento</w:t>
            </w:r>
          </w:p>
        </w:tc>
      </w:tr>
      <w:tr w:rsidR="00CC2DDD" w:rsidRPr="003E0A0F" w14:paraId="1FAA8FF7" w14:textId="77777777" w:rsidTr="002D2F66">
        <w:trPr>
          <w:jc w:val="center"/>
        </w:trPr>
        <w:tc>
          <w:tcPr>
            <w:tcW w:w="4876" w:type="dxa"/>
            <w:tcBorders>
              <w:top w:val="nil"/>
              <w:left w:val="nil"/>
              <w:bottom w:val="nil"/>
              <w:right w:val="nil"/>
            </w:tcBorders>
          </w:tcPr>
          <w:p w14:paraId="50812932" w14:textId="77777777" w:rsidR="00CC2DDD" w:rsidRPr="003E0A0F" w:rsidRDefault="00CC2DDD" w:rsidP="002D2F66">
            <w:pPr>
              <w:pStyle w:val="Normal6a"/>
            </w:pPr>
            <w:r w:rsidRPr="003E0A0F">
              <w:t>21.</w:t>
            </w:r>
            <w:r w:rsidRPr="003E0A0F">
              <w:tab/>
              <w:t>osserva che, nel 2024, il personale della CGUE era composto per il 60,70 % da donne e per il 39,30 % da uomini; rileva che la rappresentanza femminile era massima nei gradi di assistente (69,14 %), mentre era purtroppo minima nelle posizioni dirigenziali di alto livello (35,71 %); prende atto dell'ulteriore aumento della distribuzione delle donne nelle posizioni dirigenziali intermedie, dal 43,33 % nel 2023 al 51,61 % nel 2024; rileva con soddisfazione dalla relazione sulla gestione dell'ordinatore delegato per il 2024 una tendenza all'aumento della rappresentanza femminile nei posti dirigenziali in generale, dal 37,50% nel 2018 al 48,70 % nel 2024;</w:t>
            </w:r>
          </w:p>
        </w:tc>
        <w:tc>
          <w:tcPr>
            <w:tcW w:w="4876" w:type="dxa"/>
            <w:tcBorders>
              <w:top w:val="nil"/>
              <w:left w:val="nil"/>
              <w:bottom w:val="nil"/>
              <w:right w:val="nil"/>
            </w:tcBorders>
          </w:tcPr>
          <w:p w14:paraId="061646E6" w14:textId="77777777" w:rsidR="00CC2DDD" w:rsidRPr="003E0A0F" w:rsidRDefault="00CC2DDD" w:rsidP="002D2F66">
            <w:pPr>
              <w:pStyle w:val="Normal6a"/>
            </w:pPr>
            <w:r w:rsidRPr="003E0A0F">
              <w:t>21.</w:t>
            </w:r>
            <w:r w:rsidRPr="003E0A0F">
              <w:tab/>
              <w:t xml:space="preserve">osserva che, nel 2024, il personale della CGUE era composto per il 60,70 % da donne e per il 39,30 % da uomini; rileva che la rappresentanza femminile era massima nei gradi di assistente (69,14 %), mentre era purtroppo minima nelle posizioni dirigenziali di alto livello (35,71 %); prende atto dell'ulteriore aumento della distribuzione delle donne nelle posizioni dirigenziali intermedie, dal 43,33 % nel 2023 al 51,61 % nel 2024; rileva con soddisfazione dalla relazione sulla gestione dell'ordinatore delegato per il 2024 una tendenza all'aumento della rappresentanza femminile nei posti dirigenziali in generale, dal 37,50% nel 2018 al 48,70 % nel 2024; </w:t>
            </w:r>
            <w:r w:rsidRPr="003E0A0F">
              <w:rPr>
                <w:b/>
                <w:i/>
              </w:rPr>
              <w:t>sottolinea che la persistente sottorappresentazione delle donne in posizioni dirigenziali di alto livello continua a destare preoccupazione e incoraggia la Corte a proseguire il rafforzamento di misure mirate volte a sostenere la progressione della carriera e i percorsi di leadership per le donne, nel pieno rispetto dei principi di merito e trasparenza;</w:t>
            </w:r>
          </w:p>
        </w:tc>
      </w:tr>
    </w:tbl>
    <w:p w14:paraId="6D61C939" w14:textId="77777777" w:rsidR="00CC2DDD" w:rsidRPr="003E0A0F" w:rsidRDefault="00CC2DDD" w:rsidP="00CC2DDD">
      <w:pPr>
        <w:pStyle w:val="AmOrLang"/>
      </w:pPr>
      <w:r w:rsidRPr="003E0A0F">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5B718F62" w14:textId="77777777" w:rsidR="00CC2DDD" w:rsidRPr="003E0A0F" w:rsidRDefault="00CC2DDD" w:rsidP="00CC2DDD">
      <w:r w:rsidRPr="002D0F6F">
        <w:rPr>
          <w:rStyle w:val="HideTWBExt"/>
        </w:rPr>
        <w:t>&lt;/Amend&gt;</w:t>
      </w:r>
    </w:p>
    <w:p w14:paraId="76C7CA62"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20</w:t>
      </w:r>
      <w:r w:rsidRPr="002D0F6F">
        <w:rPr>
          <w:rStyle w:val="HideTWBExt"/>
          <w:b w:val="0"/>
        </w:rPr>
        <w:t>&lt;/NumAm&gt;</w:t>
      </w:r>
    </w:p>
    <w:p w14:paraId="69AC128D" w14:textId="77777777" w:rsidR="00CC2DDD" w:rsidRPr="003E0A0F" w:rsidRDefault="00CC2DDD" w:rsidP="00CC2DDD">
      <w:pPr>
        <w:pStyle w:val="NormalBold"/>
      </w:pPr>
      <w:r w:rsidRPr="002D0F6F">
        <w:rPr>
          <w:rStyle w:val="HideTWBExt"/>
          <w:b w:val="0"/>
        </w:rPr>
        <w:t>&lt;RepeatBlock-By&gt;&lt;Members&gt;</w:t>
      </w:r>
      <w:r w:rsidRPr="003E0A0F">
        <w:t>José Cepeda</w:t>
      </w:r>
      <w:r w:rsidRPr="002D0F6F">
        <w:rPr>
          <w:rStyle w:val="HideTWBExt"/>
          <w:b w:val="0"/>
        </w:rPr>
        <w:t>&lt;/Members&gt;</w:t>
      </w:r>
    </w:p>
    <w:p w14:paraId="09509C4B" w14:textId="77777777" w:rsidR="00CC2DDD" w:rsidRPr="003E0A0F" w:rsidRDefault="00CC2DDD" w:rsidP="00CC2DDD">
      <w:pPr>
        <w:pStyle w:val="NormalBold"/>
      </w:pPr>
      <w:r w:rsidRPr="002D0F6F">
        <w:rPr>
          <w:rStyle w:val="HideTWBExt"/>
          <w:b w:val="0"/>
        </w:rPr>
        <w:t>&lt;/RepeatBlock-By&gt;</w:t>
      </w:r>
    </w:p>
    <w:p w14:paraId="7488A064"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387E108B" w14:textId="77777777" w:rsidR="00CC2DDD" w:rsidRPr="003E0A0F" w:rsidRDefault="00CC2DDD" w:rsidP="00CC2DDD">
      <w:pPr>
        <w:pStyle w:val="NormalBold"/>
      </w:pPr>
      <w:r w:rsidRPr="002D0F6F">
        <w:rPr>
          <w:rStyle w:val="HideTWBExt"/>
          <w:b w:val="0"/>
        </w:rPr>
        <w:t>&lt;Article&gt;</w:t>
      </w:r>
      <w:r w:rsidRPr="003E0A0F">
        <w:t>Paragrafo 21 bis (nuovo)</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51620D05" w14:textId="77777777" w:rsidTr="002D2F66">
        <w:trPr>
          <w:trHeight w:hRule="exact" w:val="240"/>
          <w:jc w:val="center"/>
        </w:trPr>
        <w:tc>
          <w:tcPr>
            <w:tcW w:w="9752" w:type="dxa"/>
            <w:gridSpan w:val="2"/>
            <w:tcBorders>
              <w:top w:val="nil"/>
              <w:left w:val="nil"/>
              <w:bottom w:val="nil"/>
              <w:right w:val="nil"/>
            </w:tcBorders>
          </w:tcPr>
          <w:p w14:paraId="574D73D8" w14:textId="77777777" w:rsidR="00CC2DDD" w:rsidRPr="003E0A0F" w:rsidRDefault="00CC2DDD" w:rsidP="002D2F66"/>
        </w:tc>
      </w:tr>
      <w:tr w:rsidR="00CC2DDD" w:rsidRPr="003E0A0F" w14:paraId="7A37453F" w14:textId="77777777" w:rsidTr="002D2F66">
        <w:trPr>
          <w:trHeight w:val="240"/>
          <w:jc w:val="center"/>
        </w:trPr>
        <w:tc>
          <w:tcPr>
            <w:tcW w:w="4876" w:type="dxa"/>
            <w:tcBorders>
              <w:top w:val="nil"/>
              <w:left w:val="nil"/>
              <w:bottom w:val="nil"/>
              <w:right w:val="nil"/>
            </w:tcBorders>
          </w:tcPr>
          <w:p w14:paraId="399A53B5"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708A06E4" w14:textId="77777777" w:rsidR="00CC2DDD" w:rsidRPr="003E0A0F" w:rsidRDefault="00CC2DDD" w:rsidP="002D2F66">
            <w:pPr>
              <w:pStyle w:val="AmColumnHeading"/>
            </w:pPr>
            <w:r w:rsidRPr="003E0A0F">
              <w:t>Emendamento</w:t>
            </w:r>
          </w:p>
        </w:tc>
      </w:tr>
      <w:tr w:rsidR="00CC2DDD" w:rsidRPr="003E0A0F" w14:paraId="3FFECCFD" w14:textId="77777777" w:rsidTr="002D2F66">
        <w:trPr>
          <w:jc w:val="center"/>
        </w:trPr>
        <w:tc>
          <w:tcPr>
            <w:tcW w:w="4876" w:type="dxa"/>
            <w:tcBorders>
              <w:top w:val="nil"/>
              <w:left w:val="nil"/>
              <w:bottom w:val="nil"/>
              <w:right w:val="nil"/>
            </w:tcBorders>
          </w:tcPr>
          <w:p w14:paraId="35687BCC" w14:textId="77777777" w:rsidR="00CC2DDD" w:rsidRPr="003E0A0F" w:rsidRDefault="00CC2DDD" w:rsidP="002D2F66">
            <w:pPr>
              <w:pStyle w:val="Normal6a"/>
            </w:pPr>
          </w:p>
        </w:tc>
        <w:tc>
          <w:tcPr>
            <w:tcW w:w="4876" w:type="dxa"/>
            <w:tcBorders>
              <w:top w:val="nil"/>
              <w:left w:val="nil"/>
              <w:bottom w:val="nil"/>
              <w:right w:val="nil"/>
            </w:tcBorders>
          </w:tcPr>
          <w:p w14:paraId="046208F8" w14:textId="77777777" w:rsidR="00CC2DDD" w:rsidRPr="003E0A0F" w:rsidRDefault="00CC2DDD" w:rsidP="002D2F66">
            <w:pPr>
              <w:pStyle w:val="Normal6a"/>
            </w:pPr>
            <w:r w:rsidRPr="003E0A0F">
              <w:rPr>
                <w:b/>
                <w:i/>
              </w:rPr>
              <w:t>21 bis.</w:t>
            </w:r>
            <w:r w:rsidRPr="003E0A0F">
              <w:tab/>
            </w:r>
            <w:r w:rsidRPr="003E0A0F">
              <w:rPr>
                <w:b/>
                <w:i/>
              </w:rPr>
              <w:t>accoglie con favore la creazione di un piano d'azione sulla convenzione di Istanbul che allinei le azioni, formuli raccomandazioni e organizzi azioni informative e di formazione per tutto il personale al fine di prevenire i casi di molestie; prende atto delle ulteriori azioni annunciate, tra cui il proseguimento della collaborazione con le organizzazioni nazionali che operano nel settore della prevenzione della violenza contro le donne, ulteriori iniziative di sensibilizzazione e sessioni di formazione che evidenziano, in particolare, l'impatto delle microaggressioni e dei pregiudizi di genere; deplora, a tale proposito, la mancanza di una formazione obbligatoria per i membri, come affermato nelle risposte della CGUE al questionario per il discarico 2024; sollecita pertanto l'inclusione di tutte le persone, sia del personale che dei membri, nelle sessioni di formazione obbligatorie nel settore della prevenzione della violenza contro le donne;</w:t>
            </w:r>
          </w:p>
        </w:tc>
      </w:tr>
    </w:tbl>
    <w:p w14:paraId="2D0AD6E9" w14:textId="77777777" w:rsidR="00CC2DDD" w:rsidRPr="003E0A0F" w:rsidRDefault="00CC2DDD" w:rsidP="00CC2DDD">
      <w:pPr>
        <w:pStyle w:val="AmOrLang"/>
      </w:pPr>
      <w:r w:rsidRPr="003E0A0F">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13E369AF" w14:textId="77777777" w:rsidR="00CC2DDD" w:rsidRPr="003E0A0F" w:rsidRDefault="00CC2DDD" w:rsidP="00CC2DDD">
      <w:r w:rsidRPr="002D0F6F">
        <w:rPr>
          <w:rStyle w:val="HideTWBExt"/>
        </w:rPr>
        <w:t>&lt;/Amend&gt;</w:t>
      </w:r>
    </w:p>
    <w:p w14:paraId="4E7DF23B"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21</w:t>
      </w:r>
      <w:r w:rsidRPr="002D0F6F">
        <w:rPr>
          <w:rStyle w:val="HideTWBExt"/>
          <w:b w:val="0"/>
        </w:rPr>
        <w:t>&lt;/NumAm&gt;</w:t>
      </w:r>
    </w:p>
    <w:p w14:paraId="50C2A2EA" w14:textId="77777777" w:rsidR="00CC2DDD" w:rsidRPr="003E0A0F" w:rsidRDefault="00CC2DDD" w:rsidP="00CC2DDD">
      <w:pPr>
        <w:pStyle w:val="NormalBold"/>
      </w:pPr>
      <w:r w:rsidRPr="002D0F6F">
        <w:rPr>
          <w:rStyle w:val="HideTWBExt"/>
          <w:b w:val="0"/>
        </w:rPr>
        <w:t>&lt;RepeatBlock-By&gt;&lt;Members&gt;</w:t>
      </w:r>
      <w:r w:rsidRPr="003E0A0F">
        <w:t>Arno Bausemer</w:t>
      </w:r>
      <w:r w:rsidRPr="002D0F6F">
        <w:rPr>
          <w:rStyle w:val="HideTWBExt"/>
          <w:b w:val="0"/>
        </w:rPr>
        <w:t>&lt;/Members&gt;</w:t>
      </w:r>
    </w:p>
    <w:p w14:paraId="55F0D0E9" w14:textId="77777777" w:rsidR="00CC2DDD" w:rsidRPr="003E0A0F" w:rsidRDefault="00CC2DDD" w:rsidP="00CC2DDD">
      <w:pPr>
        <w:pStyle w:val="NormalBold"/>
      </w:pPr>
      <w:r w:rsidRPr="002D0F6F">
        <w:rPr>
          <w:rStyle w:val="HideTWBExt"/>
          <w:b w:val="0"/>
        </w:rPr>
        <w:t>&lt;/RepeatBlock-By&gt;</w:t>
      </w:r>
    </w:p>
    <w:p w14:paraId="128B55AF"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0662E8A7" w14:textId="77777777" w:rsidR="00CC2DDD" w:rsidRPr="003E0A0F" w:rsidRDefault="00CC2DDD" w:rsidP="00CC2DDD">
      <w:pPr>
        <w:pStyle w:val="NormalBold"/>
      </w:pPr>
      <w:r w:rsidRPr="002D0F6F">
        <w:rPr>
          <w:rStyle w:val="HideTWBExt"/>
          <w:b w:val="0"/>
        </w:rPr>
        <w:t>&lt;Article&gt;</w:t>
      </w:r>
      <w:r w:rsidRPr="003E0A0F">
        <w:t>Paragrafo 22</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33DFC544" w14:textId="77777777" w:rsidTr="002D2F66">
        <w:trPr>
          <w:trHeight w:hRule="exact" w:val="240"/>
          <w:jc w:val="center"/>
        </w:trPr>
        <w:tc>
          <w:tcPr>
            <w:tcW w:w="9752" w:type="dxa"/>
            <w:gridSpan w:val="2"/>
            <w:tcBorders>
              <w:top w:val="nil"/>
              <w:left w:val="nil"/>
              <w:bottom w:val="nil"/>
              <w:right w:val="nil"/>
            </w:tcBorders>
          </w:tcPr>
          <w:p w14:paraId="1B840C7D" w14:textId="77777777" w:rsidR="00CC2DDD" w:rsidRPr="003E0A0F" w:rsidRDefault="00CC2DDD" w:rsidP="002D2F66"/>
        </w:tc>
      </w:tr>
      <w:tr w:rsidR="00CC2DDD" w:rsidRPr="003E0A0F" w14:paraId="15CB0AD4" w14:textId="77777777" w:rsidTr="002D2F66">
        <w:trPr>
          <w:trHeight w:val="240"/>
          <w:jc w:val="center"/>
        </w:trPr>
        <w:tc>
          <w:tcPr>
            <w:tcW w:w="4876" w:type="dxa"/>
            <w:tcBorders>
              <w:top w:val="nil"/>
              <w:left w:val="nil"/>
              <w:bottom w:val="nil"/>
              <w:right w:val="nil"/>
            </w:tcBorders>
          </w:tcPr>
          <w:p w14:paraId="2A9FA1D6"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49106A4E" w14:textId="77777777" w:rsidR="00CC2DDD" w:rsidRPr="003E0A0F" w:rsidRDefault="00CC2DDD" w:rsidP="002D2F66">
            <w:pPr>
              <w:pStyle w:val="AmColumnHeading"/>
            </w:pPr>
            <w:r w:rsidRPr="003E0A0F">
              <w:t>Emendamento</w:t>
            </w:r>
          </w:p>
        </w:tc>
      </w:tr>
      <w:tr w:rsidR="00CC2DDD" w:rsidRPr="003E0A0F" w14:paraId="4E60FCD4" w14:textId="77777777" w:rsidTr="002D2F66">
        <w:trPr>
          <w:jc w:val="center"/>
        </w:trPr>
        <w:tc>
          <w:tcPr>
            <w:tcW w:w="4876" w:type="dxa"/>
            <w:tcBorders>
              <w:top w:val="nil"/>
              <w:left w:val="nil"/>
              <w:bottom w:val="nil"/>
              <w:right w:val="nil"/>
            </w:tcBorders>
          </w:tcPr>
          <w:p w14:paraId="296B2E59" w14:textId="77777777" w:rsidR="00CC2DDD" w:rsidRPr="003E0A0F" w:rsidRDefault="00CC2DDD" w:rsidP="002D2F66">
            <w:pPr>
              <w:pStyle w:val="Normal6a"/>
            </w:pPr>
            <w:r w:rsidRPr="003E0A0F">
              <w:t>22.</w:t>
            </w:r>
            <w:r w:rsidRPr="003E0A0F">
              <w:tab/>
            </w:r>
            <w:r w:rsidRPr="003E0A0F">
              <w:rPr>
                <w:b/>
                <w:i/>
              </w:rPr>
              <w:t>prende atto con soddisfazione della varietà di sforzi e azioni messi in atto dalla</w:t>
            </w:r>
            <w:r w:rsidRPr="003E0A0F">
              <w:t xml:space="preserve"> CGUE </w:t>
            </w:r>
            <w:r w:rsidRPr="003E0A0F">
              <w:rPr>
                <w:b/>
                <w:i/>
              </w:rPr>
              <w:t>tra il suo personale, anche nella fase di assunzione, a favore dell'uguaglianza, dell'inclusione, del rispetto reciproco e della diversità</w:t>
            </w:r>
            <w:r w:rsidRPr="003E0A0F">
              <w:t>; prende atto</w:t>
            </w:r>
            <w:r w:rsidRPr="003E0A0F">
              <w:rPr>
                <w:b/>
                <w:i/>
              </w:rPr>
              <w:t xml:space="preserve">, in particolare, dell'avvio nel 2024 di una nuova formazione su diversità e </w:t>
            </w:r>
            <w:r w:rsidRPr="003E0A0F">
              <w:rPr>
                <w:b/>
                <w:i/>
              </w:rPr>
              <w:lastRenderedPageBreak/>
              <w:t>inclusione, incentrata sulla prevenzione delle microaggressioni, e, a partire dal 2025, di due nuove formazioni sulla definizione di limiti sani per migliorare le prestazioni e su un ambiente privo di molestie, organizzate a seguito delle raccomandazioni del gruppo di lavoro interservizi della CGUE sulla convenzione di Istanbul</w:t>
            </w:r>
            <w:r w:rsidRPr="003E0A0F">
              <w:t xml:space="preserve">; </w:t>
            </w:r>
            <w:r w:rsidRPr="003E0A0F">
              <w:rPr>
                <w:b/>
                <w:i/>
              </w:rPr>
              <w:t>prende atto con soddisfazione delle misure di sostegno personalizzate adottate dalla CGUE (su compiti, orari di lavoro e spazi di lavoro), dal 2022, per il personale con disabilità, della partecipazione dell'istituzione alla settimana di sensibilizzazione sulla disabilità organizzata nel 2024 e dello sviluppo, a partire dal 2025, di un programma pilota per tirocinanti con disabilità; invita la CGUE a tenere informata l'autorità di discarico in merito ai risultati di quest'ultimo programma;</w:t>
            </w:r>
          </w:p>
        </w:tc>
        <w:tc>
          <w:tcPr>
            <w:tcW w:w="4876" w:type="dxa"/>
            <w:tcBorders>
              <w:top w:val="nil"/>
              <w:left w:val="nil"/>
              <w:bottom w:val="nil"/>
              <w:right w:val="nil"/>
            </w:tcBorders>
          </w:tcPr>
          <w:p w14:paraId="0FDDE32D" w14:textId="77777777" w:rsidR="00CC2DDD" w:rsidRPr="003E0A0F" w:rsidRDefault="00CC2DDD" w:rsidP="002D2F66">
            <w:pPr>
              <w:pStyle w:val="Normal6a"/>
            </w:pPr>
            <w:r w:rsidRPr="003E0A0F">
              <w:lastRenderedPageBreak/>
              <w:t>22.</w:t>
            </w:r>
            <w:r w:rsidRPr="003E0A0F">
              <w:tab/>
            </w:r>
            <w:r w:rsidRPr="003E0A0F">
              <w:rPr>
                <w:b/>
                <w:i/>
              </w:rPr>
              <w:t>osserva che la</w:t>
            </w:r>
            <w:r w:rsidRPr="003E0A0F">
              <w:t xml:space="preserve"> CGUE </w:t>
            </w:r>
            <w:r w:rsidRPr="003E0A0F">
              <w:rPr>
                <w:b/>
                <w:i/>
              </w:rPr>
              <w:t>ha introdotto misure e formazioni per il suo personale nel 2024</w:t>
            </w:r>
            <w:r w:rsidRPr="003E0A0F">
              <w:t xml:space="preserve">; prende atto </w:t>
            </w:r>
            <w:r w:rsidRPr="003E0A0F">
              <w:rPr>
                <w:b/>
                <w:i/>
              </w:rPr>
              <w:t>inoltre del fatto che tali misure sono finalizzate allo sviluppo del personale interno</w:t>
            </w:r>
            <w:r w:rsidRPr="003E0A0F">
              <w:t>;</w:t>
            </w:r>
          </w:p>
        </w:tc>
      </w:tr>
    </w:tbl>
    <w:p w14:paraId="79D035CA" w14:textId="77777777" w:rsidR="00CC2DDD" w:rsidRPr="003E0A0F" w:rsidRDefault="00CC2DDD" w:rsidP="00CC2DDD">
      <w:pPr>
        <w:pStyle w:val="AmOrLang"/>
      </w:pPr>
      <w:r w:rsidRPr="003E0A0F">
        <w:t xml:space="preserve">Or. </w:t>
      </w:r>
      <w:r w:rsidRPr="002D0F6F">
        <w:rPr>
          <w:rStyle w:val="HideTWBExt"/>
        </w:rPr>
        <w:t>&lt;Original&gt;</w:t>
      </w:r>
      <w:r w:rsidRPr="002D0F6F">
        <w:rPr>
          <w:rStyle w:val="HideTWBInt"/>
        </w:rPr>
        <w:t>{DE}</w:t>
      </w:r>
      <w:r w:rsidRPr="003E0A0F">
        <w:t>de</w:t>
      </w:r>
      <w:r w:rsidRPr="002D0F6F">
        <w:rPr>
          <w:rStyle w:val="HideTWBExt"/>
        </w:rPr>
        <w:t>&lt;/Original&gt;</w:t>
      </w:r>
    </w:p>
    <w:p w14:paraId="43AC9259" w14:textId="77777777" w:rsidR="00CC2DDD" w:rsidRPr="003E0A0F" w:rsidRDefault="00CC2DDD" w:rsidP="00CC2DDD">
      <w:r w:rsidRPr="002D0F6F">
        <w:rPr>
          <w:rStyle w:val="HideTWBExt"/>
        </w:rPr>
        <w:t>&lt;/Amend&gt;</w:t>
      </w:r>
    </w:p>
    <w:p w14:paraId="579EBBF5"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22</w:t>
      </w:r>
      <w:r w:rsidRPr="002D0F6F">
        <w:rPr>
          <w:rStyle w:val="HideTWBExt"/>
          <w:b w:val="0"/>
        </w:rPr>
        <w:t>&lt;/NumAm&gt;</w:t>
      </w:r>
    </w:p>
    <w:p w14:paraId="7F9D82B0" w14:textId="77777777" w:rsidR="00CC2DDD" w:rsidRPr="003E0A0F" w:rsidRDefault="00CC2DDD" w:rsidP="00CC2DDD">
      <w:pPr>
        <w:pStyle w:val="NormalBold"/>
      </w:pPr>
      <w:r w:rsidRPr="002D0F6F">
        <w:rPr>
          <w:rStyle w:val="HideTWBExt"/>
          <w:b w:val="0"/>
        </w:rPr>
        <w:t>&lt;RepeatBlock-By&gt;&lt;Members&gt;</w:t>
      </w:r>
      <w:r w:rsidRPr="003E0A0F">
        <w:t>Arno Bausemer</w:t>
      </w:r>
      <w:r w:rsidRPr="002D0F6F">
        <w:rPr>
          <w:rStyle w:val="HideTWBExt"/>
          <w:b w:val="0"/>
        </w:rPr>
        <w:t>&lt;/Members&gt;</w:t>
      </w:r>
    </w:p>
    <w:p w14:paraId="58AB8E3A" w14:textId="77777777" w:rsidR="00CC2DDD" w:rsidRPr="003E0A0F" w:rsidRDefault="00CC2DDD" w:rsidP="00CC2DDD">
      <w:pPr>
        <w:pStyle w:val="NormalBold"/>
      </w:pPr>
      <w:r w:rsidRPr="002D0F6F">
        <w:rPr>
          <w:rStyle w:val="HideTWBExt"/>
          <w:b w:val="0"/>
        </w:rPr>
        <w:t>&lt;/RepeatBlock-By&gt;</w:t>
      </w:r>
    </w:p>
    <w:p w14:paraId="487C1D50"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5C7D6286" w14:textId="77777777" w:rsidR="00CC2DDD" w:rsidRPr="003E0A0F" w:rsidRDefault="00CC2DDD" w:rsidP="00CC2DDD">
      <w:pPr>
        <w:pStyle w:val="NormalBold"/>
      </w:pPr>
      <w:r w:rsidRPr="002D0F6F">
        <w:rPr>
          <w:rStyle w:val="HideTWBExt"/>
          <w:b w:val="0"/>
        </w:rPr>
        <w:t>&lt;Article&gt;</w:t>
      </w:r>
      <w:r w:rsidRPr="003E0A0F">
        <w:t>Paragrafo 23</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280BDE6B" w14:textId="77777777" w:rsidTr="002D2F66">
        <w:trPr>
          <w:trHeight w:hRule="exact" w:val="240"/>
          <w:jc w:val="center"/>
        </w:trPr>
        <w:tc>
          <w:tcPr>
            <w:tcW w:w="9752" w:type="dxa"/>
            <w:gridSpan w:val="2"/>
            <w:tcBorders>
              <w:top w:val="nil"/>
              <w:left w:val="nil"/>
              <w:bottom w:val="nil"/>
              <w:right w:val="nil"/>
            </w:tcBorders>
          </w:tcPr>
          <w:p w14:paraId="51398E10" w14:textId="77777777" w:rsidR="00CC2DDD" w:rsidRPr="003E0A0F" w:rsidRDefault="00CC2DDD" w:rsidP="002D2F66"/>
        </w:tc>
      </w:tr>
      <w:tr w:rsidR="00CC2DDD" w:rsidRPr="003E0A0F" w14:paraId="4BD88796" w14:textId="77777777" w:rsidTr="002D2F66">
        <w:trPr>
          <w:trHeight w:val="240"/>
          <w:jc w:val="center"/>
        </w:trPr>
        <w:tc>
          <w:tcPr>
            <w:tcW w:w="4876" w:type="dxa"/>
            <w:tcBorders>
              <w:top w:val="nil"/>
              <w:left w:val="nil"/>
              <w:bottom w:val="nil"/>
              <w:right w:val="nil"/>
            </w:tcBorders>
          </w:tcPr>
          <w:p w14:paraId="6A608A35"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14A2FD35" w14:textId="77777777" w:rsidR="00CC2DDD" w:rsidRPr="003E0A0F" w:rsidRDefault="00CC2DDD" w:rsidP="002D2F66">
            <w:pPr>
              <w:pStyle w:val="AmColumnHeading"/>
            </w:pPr>
            <w:r w:rsidRPr="003E0A0F">
              <w:t>Emendamento</w:t>
            </w:r>
          </w:p>
        </w:tc>
      </w:tr>
      <w:tr w:rsidR="00CC2DDD" w:rsidRPr="003E0A0F" w14:paraId="06D167A1" w14:textId="77777777" w:rsidTr="002D2F66">
        <w:trPr>
          <w:jc w:val="center"/>
        </w:trPr>
        <w:tc>
          <w:tcPr>
            <w:tcW w:w="4876" w:type="dxa"/>
            <w:tcBorders>
              <w:top w:val="nil"/>
              <w:left w:val="nil"/>
              <w:bottom w:val="nil"/>
              <w:right w:val="nil"/>
            </w:tcBorders>
          </w:tcPr>
          <w:p w14:paraId="4CD65B36" w14:textId="77777777" w:rsidR="00CC2DDD" w:rsidRPr="003E0A0F" w:rsidRDefault="00CC2DDD" w:rsidP="002D2F66">
            <w:pPr>
              <w:pStyle w:val="Normal6a"/>
            </w:pPr>
            <w:r w:rsidRPr="003E0A0F">
              <w:t>23.</w:t>
            </w:r>
            <w:r w:rsidRPr="003E0A0F">
              <w:tab/>
            </w:r>
            <w:r w:rsidRPr="003E0A0F">
              <w:rPr>
                <w:b/>
                <w:i/>
              </w:rPr>
              <w:t>accoglie con favore il fatto che tutte le nazionalità dell'Unione siano rappresentate</w:t>
            </w:r>
            <w:r w:rsidRPr="003E0A0F">
              <w:t xml:space="preserve"> nel personale della CGUE;</w:t>
            </w:r>
            <w:r w:rsidRPr="003E0A0F">
              <w:rPr>
                <w:b/>
                <w:i/>
              </w:rPr>
              <w:t xml:space="preserve"> osserva tuttavia che alcune nazionalità sono più rappresentate di altre, mentre alcune di esse sono ampiamente sovrarappresentate; sostiene la CGUE nell'intensificare i suoi sforzi volti a pubblicizzare gli avvisi di posto vacante nel modo più ampio possibile attraverso i siti web interistituzionali, le reti di social media e l'EPSO; prende atto, dalla relazione di follow-up, dell'impegno della CGUE ad analizzare i dati pertinenti per </w:t>
            </w:r>
            <w:r w:rsidRPr="003E0A0F">
              <w:rPr>
                <w:b/>
                <w:i/>
              </w:rPr>
              <w:lastRenderedPageBreak/>
              <w:t>l'attuazione di azioni mirate volte a migliorare la rappresentanza geografica tra il suo personale, compresi i tirocinanti; accoglie con favore gli sforzi della CGUE volti a sensibilizzare le amministrazioni nazionali e le rappresentanze permanenti degli Stati membri sottorappresentati in merito ai programmi di tirocinio;</w:t>
            </w:r>
            <w:r w:rsidRPr="003E0A0F">
              <w:t xml:space="preserve"> </w:t>
            </w:r>
            <w:r w:rsidRPr="003E0A0F">
              <w:rPr>
                <w:b/>
                <w:i/>
              </w:rPr>
              <w:t>osserva con soddisfazione che, per i tirocini nell'ambito della rete europea di formazione giudiziaria (REFG), nel 2024 la CGUE ha ricevuto domande da tre nuovi Stati membri che partecipano per la prima volta al suo programma di formazione a lungo termine per i professionisti nazionali della giustizia;</w:t>
            </w:r>
          </w:p>
        </w:tc>
        <w:tc>
          <w:tcPr>
            <w:tcW w:w="4876" w:type="dxa"/>
            <w:tcBorders>
              <w:top w:val="nil"/>
              <w:left w:val="nil"/>
              <w:bottom w:val="nil"/>
              <w:right w:val="nil"/>
            </w:tcBorders>
          </w:tcPr>
          <w:p w14:paraId="5675F8AA" w14:textId="77777777" w:rsidR="00CC2DDD" w:rsidRPr="003E0A0F" w:rsidRDefault="00CC2DDD" w:rsidP="002D2F66">
            <w:pPr>
              <w:pStyle w:val="Normal6a"/>
            </w:pPr>
            <w:r w:rsidRPr="003E0A0F">
              <w:lastRenderedPageBreak/>
              <w:t>23.</w:t>
            </w:r>
            <w:r w:rsidRPr="003E0A0F">
              <w:tab/>
            </w:r>
            <w:r w:rsidRPr="003E0A0F">
              <w:rPr>
                <w:b/>
                <w:i/>
              </w:rPr>
              <w:t>prende atto del fatto che cittadini di tutti gli Stati membri sono rappresentati</w:t>
            </w:r>
            <w:r w:rsidRPr="003E0A0F">
              <w:t xml:space="preserve"> nel personale della CGUE;</w:t>
            </w:r>
          </w:p>
        </w:tc>
      </w:tr>
    </w:tbl>
    <w:p w14:paraId="2A81451C" w14:textId="77777777" w:rsidR="00CC2DDD" w:rsidRPr="003E0A0F" w:rsidRDefault="00CC2DDD" w:rsidP="00CC2DDD">
      <w:pPr>
        <w:pStyle w:val="AmOrLang"/>
      </w:pPr>
      <w:r w:rsidRPr="003E0A0F">
        <w:t xml:space="preserve">Or. </w:t>
      </w:r>
      <w:r w:rsidRPr="002D0F6F">
        <w:rPr>
          <w:rStyle w:val="HideTWBExt"/>
        </w:rPr>
        <w:t>&lt;Original&gt;</w:t>
      </w:r>
      <w:r w:rsidRPr="002D0F6F">
        <w:rPr>
          <w:rStyle w:val="HideTWBInt"/>
        </w:rPr>
        <w:t>{DE}</w:t>
      </w:r>
      <w:r w:rsidRPr="003E0A0F">
        <w:t>de</w:t>
      </w:r>
      <w:r w:rsidRPr="002D0F6F">
        <w:rPr>
          <w:rStyle w:val="HideTWBExt"/>
        </w:rPr>
        <w:t>&lt;/Original&gt;</w:t>
      </w:r>
    </w:p>
    <w:p w14:paraId="3C4510CC" w14:textId="77777777" w:rsidR="00CC2DDD" w:rsidRPr="003E0A0F" w:rsidRDefault="00CC2DDD" w:rsidP="00CC2DDD">
      <w:r w:rsidRPr="002D0F6F">
        <w:rPr>
          <w:rStyle w:val="HideTWBExt"/>
        </w:rPr>
        <w:t>&lt;/Amend&gt;</w:t>
      </w:r>
    </w:p>
    <w:p w14:paraId="1FB0E2D7"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23</w:t>
      </w:r>
      <w:r w:rsidRPr="002D0F6F">
        <w:rPr>
          <w:rStyle w:val="HideTWBExt"/>
          <w:b w:val="0"/>
        </w:rPr>
        <w:t>&lt;/NumAm&gt;</w:t>
      </w:r>
    </w:p>
    <w:p w14:paraId="5FFB275F" w14:textId="77777777" w:rsidR="00CC2DDD" w:rsidRPr="003E0A0F" w:rsidRDefault="00CC2DDD" w:rsidP="00CC2DDD">
      <w:pPr>
        <w:pStyle w:val="NormalBold"/>
      </w:pPr>
      <w:r w:rsidRPr="002D0F6F">
        <w:rPr>
          <w:rStyle w:val="HideTWBExt"/>
          <w:b w:val="0"/>
        </w:rPr>
        <w:t>&lt;RepeatBlock-By&gt;&lt;Members&gt;</w:t>
      </w:r>
      <w:r w:rsidRPr="003E0A0F">
        <w:t>Caterina Chinnici</w:t>
      </w:r>
      <w:r w:rsidRPr="002D0F6F">
        <w:rPr>
          <w:rStyle w:val="HideTWBExt"/>
          <w:b w:val="0"/>
        </w:rPr>
        <w:t>&lt;/Members&gt;</w:t>
      </w:r>
    </w:p>
    <w:p w14:paraId="41225C7A" w14:textId="77777777" w:rsidR="00CC2DDD" w:rsidRPr="003E0A0F" w:rsidRDefault="00CC2DDD" w:rsidP="00CC2DDD">
      <w:pPr>
        <w:pStyle w:val="NormalBold"/>
      </w:pPr>
      <w:r w:rsidRPr="002D0F6F">
        <w:rPr>
          <w:rStyle w:val="HideTWBExt"/>
          <w:b w:val="0"/>
        </w:rPr>
        <w:t>&lt;/RepeatBlock-By&gt;</w:t>
      </w:r>
    </w:p>
    <w:p w14:paraId="5E427C8D"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37B10AF5" w14:textId="77777777" w:rsidR="00CC2DDD" w:rsidRPr="003E0A0F" w:rsidRDefault="00CC2DDD" w:rsidP="00CC2DDD">
      <w:pPr>
        <w:pStyle w:val="NormalBold"/>
      </w:pPr>
      <w:r w:rsidRPr="002D0F6F">
        <w:rPr>
          <w:rStyle w:val="HideTWBExt"/>
          <w:b w:val="0"/>
        </w:rPr>
        <w:t>&lt;Article&gt;</w:t>
      </w:r>
      <w:r w:rsidRPr="003E0A0F">
        <w:t>Paragrafo 25</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3D476AC0" w14:textId="77777777" w:rsidTr="002D2F66">
        <w:trPr>
          <w:trHeight w:hRule="exact" w:val="240"/>
          <w:jc w:val="center"/>
        </w:trPr>
        <w:tc>
          <w:tcPr>
            <w:tcW w:w="9752" w:type="dxa"/>
            <w:gridSpan w:val="2"/>
            <w:tcBorders>
              <w:top w:val="nil"/>
              <w:left w:val="nil"/>
              <w:bottom w:val="nil"/>
              <w:right w:val="nil"/>
            </w:tcBorders>
          </w:tcPr>
          <w:p w14:paraId="1DFE3BC3" w14:textId="77777777" w:rsidR="00CC2DDD" w:rsidRPr="003E0A0F" w:rsidRDefault="00CC2DDD" w:rsidP="002D2F66"/>
        </w:tc>
      </w:tr>
      <w:tr w:rsidR="00CC2DDD" w:rsidRPr="003E0A0F" w14:paraId="7F14D606" w14:textId="77777777" w:rsidTr="002D2F66">
        <w:trPr>
          <w:trHeight w:val="240"/>
          <w:jc w:val="center"/>
        </w:trPr>
        <w:tc>
          <w:tcPr>
            <w:tcW w:w="4876" w:type="dxa"/>
            <w:tcBorders>
              <w:top w:val="nil"/>
              <w:left w:val="nil"/>
              <w:bottom w:val="nil"/>
              <w:right w:val="nil"/>
            </w:tcBorders>
          </w:tcPr>
          <w:p w14:paraId="77D72974"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145E41F3" w14:textId="77777777" w:rsidR="00CC2DDD" w:rsidRPr="003E0A0F" w:rsidRDefault="00CC2DDD" w:rsidP="002D2F66">
            <w:pPr>
              <w:pStyle w:val="AmColumnHeading"/>
            </w:pPr>
            <w:r w:rsidRPr="003E0A0F">
              <w:t>Emendamento</w:t>
            </w:r>
          </w:p>
        </w:tc>
      </w:tr>
      <w:tr w:rsidR="00CC2DDD" w:rsidRPr="003E0A0F" w14:paraId="2D1672EB" w14:textId="77777777" w:rsidTr="002D2F66">
        <w:trPr>
          <w:jc w:val="center"/>
        </w:trPr>
        <w:tc>
          <w:tcPr>
            <w:tcW w:w="4876" w:type="dxa"/>
            <w:tcBorders>
              <w:top w:val="nil"/>
              <w:left w:val="nil"/>
              <w:bottom w:val="nil"/>
              <w:right w:val="nil"/>
            </w:tcBorders>
          </w:tcPr>
          <w:p w14:paraId="5D63A0B6" w14:textId="77777777" w:rsidR="00CC2DDD" w:rsidRPr="003E0A0F" w:rsidRDefault="00CC2DDD" w:rsidP="002D2F66">
            <w:pPr>
              <w:pStyle w:val="Normal6a"/>
            </w:pPr>
            <w:r w:rsidRPr="003E0A0F">
              <w:t>25.</w:t>
            </w:r>
            <w:r w:rsidRPr="003E0A0F">
              <w:tab/>
              <w:t xml:space="preserve">elogia la CGUE per le sue azioni volte ad affrontare le sfide in materia di assunzione del personale e a promuovere il Lussemburgo tra i giovani laureati come luogo di lavoro; prende atto con soddisfazione del contributo della CGUE all'istituzione e all'attuazione di un'indennità di alloggio versata con effetto retroattivo dal 1º gennaio 2025 al personale di grado inferiore, alla preparazione di concorsi EPSO rivolti specificamente al personale da assumere a Lussemburgo, nonché a sessioni informative e scuole estive; apprende dalla relazione di follow-up che la CGUE ha avviato, a nome del gruppo interistituzionale ad alto livello, un progetto/indagine pilota per stabilire se fosse possibile avvalersi di servizi di </w:t>
            </w:r>
            <w:r w:rsidRPr="003E0A0F">
              <w:lastRenderedPageBreak/>
              <w:t>locazione per alloggi temporanei (ossia per un periodo massimo di un anno), a un prezzo di mercato (o inferiore) che sarebbe pagato direttamente dai membri del personale; constata inoltre che l'indagine ha avuto successo e che, di conseguenza, il gruppo di lavoro ha presentato un accordo sul livello dei servizi alle istituzioni partecipanti per incaricare la CGUE di condurre una procedura di negoziazione immobiliare con le entità che hanno presentato progetti adeguati; invita la CGUE a tenere informata l'autorità di discarico riguardo ai progressi compiuti in tale ambito;</w:t>
            </w:r>
          </w:p>
        </w:tc>
        <w:tc>
          <w:tcPr>
            <w:tcW w:w="4876" w:type="dxa"/>
            <w:tcBorders>
              <w:top w:val="nil"/>
              <w:left w:val="nil"/>
              <w:bottom w:val="nil"/>
              <w:right w:val="nil"/>
            </w:tcBorders>
          </w:tcPr>
          <w:p w14:paraId="52193BC2" w14:textId="77777777" w:rsidR="00CC2DDD" w:rsidRPr="003E0A0F" w:rsidRDefault="00CC2DDD" w:rsidP="002D2F66">
            <w:pPr>
              <w:pStyle w:val="Normal6a"/>
            </w:pPr>
            <w:r w:rsidRPr="003E0A0F">
              <w:lastRenderedPageBreak/>
              <w:t>25.</w:t>
            </w:r>
            <w:r w:rsidRPr="003E0A0F">
              <w:tab/>
              <w:t>elogia la CGUE per le sue azioni volte ad affrontare le sfide in materia di assunzione del personale e a promuovere il Lussemburgo tra i giovani laureati come luogo di lavoro; prende atto con soddisfazione del contributo della CGUE all'istituzione e all'attuazione di un'indennità di alloggio versata con effetto retroattivo dal 1º gennaio 2025 al personale di grado inferiore, alla preparazione di concorsi EPSO rivolti specificamente al personale da assumere a Lussemburgo, nonché a sessioni informative e scuole estive</w:t>
            </w:r>
            <w:r w:rsidRPr="003E0A0F">
              <w:rPr>
                <w:b/>
                <w:i/>
              </w:rPr>
              <w:t xml:space="preserve">; incoraggia l'intensificazione della cooperazione con l'EPSO e altre istituzioni per ampliare il bacino di candidati qualificati e rafforzare le procedure di selezione competitiva in </w:t>
            </w:r>
            <w:r w:rsidRPr="003E0A0F">
              <w:rPr>
                <w:b/>
                <w:i/>
              </w:rPr>
              <w:lastRenderedPageBreak/>
              <w:t>settori specializzati</w:t>
            </w:r>
            <w:r w:rsidRPr="003E0A0F">
              <w:t>; apprende dalla relazione di follow-up che la CGUE ha avviato, a nome del gruppo interistituzionale ad alto livello, un progetto/indagine pilota per stabilire se fosse possibile avvalersi di servizi di locazione per alloggi temporanei (ossia per un periodo massimo di un anno), a un prezzo di mercato (o inferiore) che sarebbe pagato direttamente dai membri del personale; constata inoltre che l'indagine ha avuto successo e che, di conseguenza, il gruppo di lavoro ha presentato un accordo sul livello dei servizi alle istituzioni partecipanti per incaricare la CGUE di condurre una procedura di negoziazione immobiliare con le entità che hanno presentato progetti adeguati; invita la CGUE a tenere informata l'autorità di discarico riguardo ai progressi compiuti in tale ambito;</w:t>
            </w:r>
          </w:p>
        </w:tc>
      </w:tr>
    </w:tbl>
    <w:p w14:paraId="51437B5C" w14:textId="77777777" w:rsidR="00CC2DDD" w:rsidRPr="003E0A0F" w:rsidRDefault="00CC2DDD" w:rsidP="00CC2DDD">
      <w:pPr>
        <w:pStyle w:val="AmOrLang"/>
      </w:pPr>
      <w:r w:rsidRPr="003E0A0F">
        <w:lastRenderedPageBreak/>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24E05808" w14:textId="77777777" w:rsidR="00CC2DDD" w:rsidRPr="003E0A0F" w:rsidRDefault="00CC2DDD" w:rsidP="00CC2DDD">
      <w:r w:rsidRPr="002D0F6F">
        <w:rPr>
          <w:rStyle w:val="HideTWBExt"/>
        </w:rPr>
        <w:t>&lt;/Amend&gt;</w:t>
      </w:r>
    </w:p>
    <w:p w14:paraId="1FFB9D5E"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24</w:t>
      </w:r>
      <w:r w:rsidRPr="002D0F6F">
        <w:rPr>
          <w:rStyle w:val="HideTWBExt"/>
          <w:b w:val="0"/>
        </w:rPr>
        <w:t>&lt;/NumAm&gt;</w:t>
      </w:r>
    </w:p>
    <w:p w14:paraId="12D0E8CE" w14:textId="77777777" w:rsidR="00CC2DDD" w:rsidRPr="003E0A0F" w:rsidRDefault="00CC2DDD" w:rsidP="00CC2DDD">
      <w:pPr>
        <w:pStyle w:val="NormalBold"/>
      </w:pPr>
      <w:r w:rsidRPr="002D0F6F">
        <w:rPr>
          <w:rStyle w:val="HideTWBExt"/>
          <w:b w:val="0"/>
        </w:rPr>
        <w:t>&lt;RepeatBlock-By&gt;&lt;Members&gt;</w:t>
      </w:r>
      <w:r w:rsidRPr="003E0A0F">
        <w:t>Pasquale Tridico</w:t>
      </w:r>
      <w:r w:rsidRPr="002D0F6F">
        <w:rPr>
          <w:rStyle w:val="HideTWBExt"/>
          <w:b w:val="0"/>
        </w:rPr>
        <w:t>&lt;/Members&gt;</w:t>
      </w:r>
    </w:p>
    <w:p w14:paraId="737FEF83" w14:textId="77777777" w:rsidR="00CC2DDD" w:rsidRPr="003E0A0F" w:rsidRDefault="00CC2DDD" w:rsidP="00CC2DDD">
      <w:pPr>
        <w:pStyle w:val="NormalBold"/>
      </w:pPr>
      <w:r w:rsidRPr="002D0F6F">
        <w:rPr>
          <w:rStyle w:val="HideTWBExt"/>
          <w:b w:val="0"/>
        </w:rPr>
        <w:t>&lt;/RepeatBlock-By&gt;</w:t>
      </w:r>
    </w:p>
    <w:p w14:paraId="0E147C23"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42EB14D2" w14:textId="77777777" w:rsidR="00CC2DDD" w:rsidRPr="003E0A0F" w:rsidRDefault="00CC2DDD" w:rsidP="00CC2DDD">
      <w:pPr>
        <w:pStyle w:val="NormalBold"/>
      </w:pPr>
      <w:r w:rsidRPr="002D0F6F">
        <w:rPr>
          <w:rStyle w:val="HideTWBExt"/>
          <w:b w:val="0"/>
        </w:rPr>
        <w:t>&lt;Article&gt;</w:t>
      </w:r>
      <w:r w:rsidRPr="003E0A0F">
        <w:t>Paragrafo 27</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10A03954" w14:textId="77777777" w:rsidTr="002D2F66">
        <w:trPr>
          <w:trHeight w:hRule="exact" w:val="240"/>
          <w:jc w:val="center"/>
        </w:trPr>
        <w:tc>
          <w:tcPr>
            <w:tcW w:w="9752" w:type="dxa"/>
            <w:gridSpan w:val="2"/>
            <w:tcBorders>
              <w:top w:val="nil"/>
              <w:left w:val="nil"/>
              <w:bottom w:val="nil"/>
              <w:right w:val="nil"/>
            </w:tcBorders>
          </w:tcPr>
          <w:p w14:paraId="4F8A886A" w14:textId="77777777" w:rsidR="00CC2DDD" w:rsidRPr="003E0A0F" w:rsidRDefault="00CC2DDD" w:rsidP="002D2F66"/>
        </w:tc>
      </w:tr>
      <w:tr w:rsidR="00CC2DDD" w:rsidRPr="003E0A0F" w14:paraId="02863231" w14:textId="77777777" w:rsidTr="002D2F66">
        <w:trPr>
          <w:trHeight w:val="240"/>
          <w:jc w:val="center"/>
        </w:trPr>
        <w:tc>
          <w:tcPr>
            <w:tcW w:w="4876" w:type="dxa"/>
            <w:tcBorders>
              <w:top w:val="nil"/>
              <w:left w:val="nil"/>
              <w:bottom w:val="nil"/>
              <w:right w:val="nil"/>
            </w:tcBorders>
          </w:tcPr>
          <w:p w14:paraId="6DC417CA"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16D19D24" w14:textId="77777777" w:rsidR="00CC2DDD" w:rsidRPr="003E0A0F" w:rsidRDefault="00CC2DDD" w:rsidP="002D2F66">
            <w:pPr>
              <w:pStyle w:val="AmColumnHeading"/>
            </w:pPr>
            <w:r w:rsidRPr="003E0A0F">
              <w:t>Emendamento</w:t>
            </w:r>
          </w:p>
        </w:tc>
      </w:tr>
      <w:tr w:rsidR="00CC2DDD" w:rsidRPr="003E0A0F" w14:paraId="593A7764" w14:textId="77777777" w:rsidTr="002D2F66">
        <w:trPr>
          <w:jc w:val="center"/>
        </w:trPr>
        <w:tc>
          <w:tcPr>
            <w:tcW w:w="4876" w:type="dxa"/>
            <w:tcBorders>
              <w:top w:val="nil"/>
              <w:left w:val="nil"/>
              <w:bottom w:val="nil"/>
              <w:right w:val="nil"/>
            </w:tcBorders>
          </w:tcPr>
          <w:p w14:paraId="7140398B" w14:textId="77777777" w:rsidR="00CC2DDD" w:rsidRPr="003E0A0F" w:rsidRDefault="00CC2DDD" w:rsidP="002D2F66">
            <w:pPr>
              <w:pStyle w:val="Normal6a"/>
            </w:pPr>
            <w:r w:rsidRPr="003E0A0F">
              <w:t>27.</w:t>
            </w:r>
            <w:r w:rsidRPr="003E0A0F">
              <w:tab/>
              <w:t xml:space="preserve">rileva che nel 2024 sono stati documentati </w:t>
            </w:r>
            <w:r w:rsidRPr="003E0A0F">
              <w:rPr>
                <w:b/>
                <w:i/>
              </w:rPr>
              <w:t>19</w:t>
            </w:r>
            <w:r w:rsidRPr="003E0A0F">
              <w:t xml:space="preserve"> casi di burnout, di cui otto nuovi casi segnalati nel 2024 e nove casi segnalati nel 2023, mentre il personale interessato ha ricevuto sostegno e orientamenti professionali; osserva con soddisfazione che, nel 2024, la CGUE è rimasta all'avanguardia nelle iniziative che promuovono il benessere fisico e mentale del personale e affrontano il burnout e i rischi psicosociali, come le consultazioni con un assistente sociale o uno psicologo, i corsi sulla consapevolezza e l'equilibrio digitale, i seminari specializzati e le attività </w:t>
            </w:r>
            <w:r w:rsidRPr="003E0A0F">
              <w:lastRenderedPageBreak/>
              <w:t>di sensibilizzazione su questioni sanitarie, le sessioni di formazione di primo soccorso e l'assunzione di due psicologi a tempo parziale; riconosce il successo dell'uso di modalità di lavoro flessibili, compreso il regime di telelavoro della CGUE, che mira in definitiva a un migliore equilibrio tra vita professionale e vita privata del personale;</w:t>
            </w:r>
          </w:p>
        </w:tc>
        <w:tc>
          <w:tcPr>
            <w:tcW w:w="4876" w:type="dxa"/>
            <w:tcBorders>
              <w:top w:val="nil"/>
              <w:left w:val="nil"/>
              <w:bottom w:val="nil"/>
              <w:right w:val="nil"/>
            </w:tcBorders>
          </w:tcPr>
          <w:p w14:paraId="47EC8F18" w14:textId="77777777" w:rsidR="00CC2DDD" w:rsidRPr="003E0A0F" w:rsidRDefault="00CC2DDD" w:rsidP="002D2F66">
            <w:pPr>
              <w:pStyle w:val="Normal6a"/>
            </w:pPr>
            <w:r w:rsidRPr="003E0A0F">
              <w:lastRenderedPageBreak/>
              <w:t>27.</w:t>
            </w:r>
            <w:r w:rsidRPr="003E0A0F">
              <w:tab/>
              <w:t xml:space="preserve">rileva che nel 2024 sono stati documentati </w:t>
            </w:r>
            <w:r w:rsidRPr="003E0A0F">
              <w:rPr>
                <w:b/>
                <w:i/>
              </w:rPr>
              <w:t>17</w:t>
            </w:r>
            <w:r w:rsidRPr="003E0A0F">
              <w:t xml:space="preserve"> casi di burnout, di cui otto nuovi casi segnalati nel 2024 e nove casi segnalati nel 2023, mentre il personale interessato ha ricevuto sostegno e orientamenti professionali; osserva con soddisfazione che, nel 2024, la CGUE è rimasta all'avanguardia nelle iniziative che promuovono il benessere fisico e mentale del personale e affrontano il burnout e i rischi psicosociali, come le consultazioni con un assistente sociale o uno psicologo, i corsi sulla consapevolezza e l'equilibrio digitale, i seminari specializzati e le attività </w:t>
            </w:r>
            <w:r w:rsidRPr="003E0A0F">
              <w:lastRenderedPageBreak/>
              <w:t>di sensibilizzazione su questioni sanitarie, le sessioni di formazione di primo soccorso e l'assunzione di due psicologi a tempo parziale; riconosce il successo dell'uso di modalità di lavoro flessibili, compreso il regime di telelavoro della CGUE, che mira in definitiva a un migliore equilibrio tra vita professionale e vita privata del personale;</w:t>
            </w:r>
          </w:p>
        </w:tc>
      </w:tr>
    </w:tbl>
    <w:p w14:paraId="330311D8" w14:textId="77777777" w:rsidR="00CC2DDD" w:rsidRPr="003E0A0F" w:rsidRDefault="00CC2DDD" w:rsidP="00CC2DDD">
      <w:pPr>
        <w:pStyle w:val="AmOrLang"/>
      </w:pPr>
      <w:r w:rsidRPr="003E0A0F">
        <w:lastRenderedPageBreak/>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17D04F22" w14:textId="77777777" w:rsidR="00CC2DDD" w:rsidRPr="003E0A0F" w:rsidRDefault="00CC2DDD" w:rsidP="00CC2DDD">
      <w:r w:rsidRPr="002D0F6F">
        <w:rPr>
          <w:rStyle w:val="HideTWBExt"/>
        </w:rPr>
        <w:t>&lt;/Amend&gt;</w:t>
      </w:r>
    </w:p>
    <w:p w14:paraId="0C3C9325"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25</w:t>
      </w:r>
      <w:r w:rsidRPr="002D0F6F">
        <w:rPr>
          <w:rStyle w:val="HideTWBExt"/>
          <w:b w:val="0"/>
        </w:rPr>
        <w:t>&lt;/NumAm&gt;</w:t>
      </w:r>
    </w:p>
    <w:p w14:paraId="0AE59EBA" w14:textId="77777777" w:rsidR="00CC2DDD" w:rsidRPr="003E0A0F" w:rsidRDefault="00CC2DDD" w:rsidP="00CC2DDD">
      <w:pPr>
        <w:pStyle w:val="NormalBold"/>
      </w:pPr>
      <w:r w:rsidRPr="002D0F6F">
        <w:rPr>
          <w:rStyle w:val="HideTWBExt"/>
          <w:b w:val="0"/>
        </w:rPr>
        <w:t>&lt;RepeatBlock-By&gt;&lt;Members&gt;</w:t>
      </w:r>
      <w:r w:rsidRPr="003E0A0F">
        <w:t>Caterina Chinnici</w:t>
      </w:r>
      <w:r w:rsidRPr="002D0F6F">
        <w:rPr>
          <w:rStyle w:val="HideTWBExt"/>
          <w:b w:val="0"/>
        </w:rPr>
        <w:t>&lt;/Members&gt;</w:t>
      </w:r>
    </w:p>
    <w:p w14:paraId="26070676" w14:textId="77777777" w:rsidR="00CC2DDD" w:rsidRPr="003E0A0F" w:rsidRDefault="00CC2DDD" w:rsidP="00CC2DDD">
      <w:pPr>
        <w:pStyle w:val="NormalBold"/>
      </w:pPr>
      <w:r w:rsidRPr="002D0F6F">
        <w:rPr>
          <w:rStyle w:val="HideTWBExt"/>
          <w:b w:val="0"/>
        </w:rPr>
        <w:t>&lt;/RepeatBlock-By&gt;</w:t>
      </w:r>
    </w:p>
    <w:p w14:paraId="768F9BE1"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7E5BFDB9" w14:textId="77777777" w:rsidR="00CC2DDD" w:rsidRPr="003E0A0F" w:rsidRDefault="00CC2DDD" w:rsidP="00CC2DDD">
      <w:pPr>
        <w:pStyle w:val="NormalBold"/>
      </w:pPr>
      <w:r w:rsidRPr="002D0F6F">
        <w:rPr>
          <w:rStyle w:val="HideTWBExt"/>
          <w:b w:val="0"/>
        </w:rPr>
        <w:t>&lt;Article&gt;</w:t>
      </w:r>
      <w:r w:rsidRPr="003E0A0F">
        <w:t>Paragrafo 29</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64300C9E" w14:textId="77777777" w:rsidTr="002D2F66">
        <w:trPr>
          <w:trHeight w:hRule="exact" w:val="240"/>
          <w:jc w:val="center"/>
        </w:trPr>
        <w:tc>
          <w:tcPr>
            <w:tcW w:w="9752" w:type="dxa"/>
            <w:gridSpan w:val="2"/>
            <w:tcBorders>
              <w:top w:val="nil"/>
              <w:left w:val="nil"/>
              <w:bottom w:val="nil"/>
              <w:right w:val="nil"/>
            </w:tcBorders>
          </w:tcPr>
          <w:p w14:paraId="2A218D22" w14:textId="77777777" w:rsidR="00CC2DDD" w:rsidRPr="003E0A0F" w:rsidRDefault="00CC2DDD" w:rsidP="002D2F66"/>
        </w:tc>
      </w:tr>
      <w:tr w:rsidR="00CC2DDD" w:rsidRPr="003E0A0F" w14:paraId="109F88D5" w14:textId="77777777" w:rsidTr="002D2F66">
        <w:trPr>
          <w:trHeight w:val="240"/>
          <w:jc w:val="center"/>
        </w:trPr>
        <w:tc>
          <w:tcPr>
            <w:tcW w:w="4876" w:type="dxa"/>
            <w:tcBorders>
              <w:top w:val="nil"/>
              <w:left w:val="nil"/>
              <w:bottom w:val="nil"/>
              <w:right w:val="nil"/>
            </w:tcBorders>
          </w:tcPr>
          <w:p w14:paraId="2260FD3D"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7DDFDFF4" w14:textId="77777777" w:rsidR="00CC2DDD" w:rsidRPr="003E0A0F" w:rsidRDefault="00CC2DDD" w:rsidP="002D2F66">
            <w:pPr>
              <w:pStyle w:val="AmColumnHeading"/>
            </w:pPr>
            <w:r w:rsidRPr="003E0A0F">
              <w:t>Emendamento</w:t>
            </w:r>
          </w:p>
        </w:tc>
      </w:tr>
      <w:tr w:rsidR="00CC2DDD" w:rsidRPr="003E0A0F" w14:paraId="6B01D103" w14:textId="77777777" w:rsidTr="002D2F66">
        <w:trPr>
          <w:jc w:val="center"/>
        </w:trPr>
        <w:tc>
          <w:tcPr>
            <w:tcW w:w="4876" w:type="dxa"/>
            <w:tcBorders>
              <w:top w:val="nil"/>
              <w:left w:val="nil"/>
              <w:bottom w:val="nil"/>
              <w:right w:val="nil"/>
            </w:tcBorders>
          </w:tcPr>
          <w:p w14:paraId="53510A27" w14:textId="77777777" w:rsidR="00CC2DDD" w:rsidRPr="003E0A0F" w:rsidRDefault="00CC2DDD" w:rsidP="002D2F66">
            <w:pPr>
              <w:pStyle w:val="Normal6a"/>
            </w:pPr>
            <w:r w:rsidRPr="003E0A0F">
              <w:t>29.</w:t>
            </w:r>
            <w:r w:rsidRPr="003E0A0F">
              <w:tab/>
              <w:t xml:space="preserve">osserva che, come richiesto nelle precedenti raccomandazioni sul discarico, nel marzo 2024 è stato adottato il nuovo codice di condotta per i funzionari e gli altri agenti della CGUE, che rispecchia i valori e l'impegno di quest'ultima a favore di standard etici elevati; osserva che il codice di condotta comprende disposizioni sul conflitto di interessi, sull'obbligo di lealtà, sull'obbligo di riservatezza e discrezione, sulle attività esterne, sulle attività professionali dopo la cessazione del servizio e sulle pubblicazioni e disposizioni contro le molestie e si applica anche agli esperti nazionali distaccati e ai giudici in formazione ospitati nell'ambito della REFG; osserva con soddisfazione che la formazione sul codice di condotta e sui diritti e gli obblighi del personale è obbligatoria per i nuovi arrivati e altamente raccomandata a tutto il personale della CGUE, mentre un totale di 747 persone (ossia il 32,80% del numero totale di funzionari e agenti della CGUE) ha partecipato a tali formazioni nel 2024; osserva inoltre che nel 2024 è stata offerta </w:t>
            </w:r>
            <w:r w:rsidRPr="003E0A0F">
              <w:lastRenderedPageBreak/>
              <w:t>una formazione analoga anche ai nuovi membri della CGUE; prende atto con soddisfazione della rete di "consulenti riservati" della CGUE che assistono i membri del personale in caso di molestie, nonché del programma di gestione dei talenti offerto agli amministratori ad alto potenziale che copre, tra l'altro, la leadership etica;</w:t>
            </w:r>
          </w:p>
        </w:tc>
        <w:tc>
          <w:tcPr>
            <w:tcW w:w="4876" w:type="dxa"/>
            <w:tcBorders>
              <w:top w:val="nil"/>
              <w:left w:val="nil"/>
              <w:bottom w:val="nil"/>
              <w:right w:val="nil"/>
            </w:tcBorders>
          </w:tcPr>
          <w:p w14:paraId="66FF4B8A" w14:textId="77777777" w:rsidR="00CC2DDD" w:rsidRPr="003E0A0F" w:rsidRDefault="00CC2DDD" w:rsidP="002D2F66">
            <w:pPr>
              <w:pStyle w:val="Normal6a"/>
            </w:pPr>
            <w:r w:rsidRPr="003E0A0F">
              <w:lastRenderedPageBreak/>
              <w:t>29.</w:t>
            </w:r>
            <w:r w:rsidRPr="003E0A0F">
              <w:tab/>
              <w:t>osserva che, come richiesto nelle precedenti raccomandazioni sul discarico, nel marzo 2024 è stato adottato il nuovo codice di condotta per i funzionari e gli altri agenti della CGUE, che rispecchia i valori e l'impegno di quest'ultima a favore di standard etici elevati; osserva che il codice di condotta comprende disposizioni sul conflitto di interessi, sull'obbligo di lealtà, sull'obbligo di riservatezza e discrezione, sulle attività esterne, sulle attività professionali dopo la cessazione del servizio e sulle pubblicazioni e disposizioni contro le molestie e si applica anche agli esperti nazionali distaccati e ai giudici in formazione ospitati nell'ambito della REFG</w:t>
            </w:r>
            <w:r w:rsidRPr="003E0A0F">
              <w:rPr>
                <w:b/>
                <w:i/>
              </w:rPr>
              <w:t>; constata che la CGUE ha messo in atto tutte le azioni di informazione e formazione necessarie per presentare e spiegare il codice di condotta nel modo più ampio possibile e per far comprendere pienamente al personale le nuove norme e il più ampio quadro giuridico di cui fanno parte</w:t>
            </w:r>
            <w:r w:rsidRPr="003E0A0F">
              <w:t xml:space="preserve">; osserva con soddisfazione che la formazione sul codice di condotta e sui diritti e gli obblighi del personale è </w:t>
            </w:r>
            <w:r w:rsidRPr="003E0A0F">
              <w:lastRenderedPageBreak/>
              <w:t>obbligatoria per i nuovi arrivati e altamente raccomandata a tutto il personale della CGUE, mentre un totale di 747 persone (ossia il 32,80% del numero totale di funzionari e agenti della CGUE) ha partecipato a tali formazioni nel 2024; osserva inoltre che nel 2024 è stata offerta una formazione analoga anche ai nuovi membri della CGUE; prende atto con soddisfazione della rete di "consulenti riservati" della CGUE che assistono i membri del personale in caso di molestie, nonché del programma di gestione dei talenti offerto agli amministratori ad alto potenziale che copre, tra l'altro, la leadership etica;</w:t>
            </w:r>
          </w:p>
        </w:tc>
      </w:tr>
    </w:tbl>
    <w:p w14:paraId="3FBC3ECD" w14:textId="77777777" w:rsidR="00CC2DDD" w:rsidRPr="003E0A0F" w:rsidRDefault="00CC2DDD" w:rsidP="00CC2DDD">
      <w:pPr>
        <w:pStyle w:val="AmOrLang"/>
      </w:pPr>
      <w:r w:rsidRPr="003E0A0F">
        <w:lastRenderedPageBreak/>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33C208BA" w14:textId="77777777" w:rsidR="00CC2DDD" w:rsidRPr="003E0A0F" w:rsidRDefault="00CC2DDD" w:rsidP="00CC2DDD">
      <w:r w:rsidRPr="002D0F6F">
        <w:rPr>
          <w:rStyle w:val="HideTWBExt"/>
        </w:rPr>
        <w:t>&lt;/Amend&gt;</w:t>
      </w:r>
    </w:p>
    <w:p w14:paraId="0B37CE03"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26</w:t>
      </w:r>
      <w:r w:rsidRPr="002D0F6F">
        <w:rPr>
          <w:rStyle w:val="HideTWBExt"/>
          <w:b w:val="0"/>
        </w:rPr>
        <w:t>&lt;/NumAm&gt;</w:t>
      </w:r>
    </w:p>
    <w:p w14:paraId="76E705B4" w14:textId="77777777" w:rsidR="00CC2DDD" w:rsidRPr="003E0A0F" w:rsidRDefault="00CC2DDD" w:rsidP="00CC2DDD">
      <w:pPr>
        <w:pStyle w:val="NormalBold"/>
      </w:pPr>
      <w:r w:rsidRPr="002D0F6F">
        <w:rPr>
          <w:rStyle w:val="HideTWBExt"/>
          <w:b w:val="0"/>
        </w:rPr>
        <w:t>&lt;RepeatBlock-By&gt;&lt;Members&gt;</w:t>
      </w:r>
      <w:r w:rsidRPr="003E0A0F">
        <w:t>Gilles Boyer, Olivier Chastel, Vlad Vasile-Voiculescu, Michal Wiezik, Gerben-Jan Gerbrandy</w:t>
      </w:r>
      <w:r w:rsidRPr="002D0F6F">
        <w:rPr>
          <w:rStyle w:val="HideTWBExt"/>
          <w:b w:val="0"/>
        </w:rPr>
        <w:t>&lt;/Members&gt;</w:t>
      </w:r>
    </w:p>
    <w:p w14:paraId="17D2C893" w14:textId="77777777" w:rsidR="00CC2DDD" w:rsidRPr="003E0A0F" w:rsidRDefault="00CC2DDD" w:rsidP="00CC2DDD">
      <w:pPr>
        <w:pStyle w:val="NormalBold"/>
      </w:pPr>
      <w:r w:rsidRPr="002D0F6F">
        <w:rPr>
          <w:rStyle w:val="HideTWBExt"/>
          <w:b w:val="0"/>
        </w:rPr>
        <w:t>&lt;/RepeatBlock-By&gt;</w:t>
      </w:r>
    </w:p>
    <w:p w14:paraId="0C655E63"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27E2AB2C" w14:textId="77777777" w:rsidR="00CC2DDD" w:rsidRPr="003E0A0F" w:rsidRDefault="00CC2DDD" w:rsidP="00CC2DDD">
      <w:pPr>
        <w:pStyle w:val="NormalBold"/>
      </w:pPr>
      <w:r w:rsidRPr="002D0F6F">
        <w:rPr>
          <w:rStyle w:val="HideTWBExt"/>
          <w:b w:val="0"/>
        </w:rPr>
        <w:t>&lt;Article&gt;</w:t>
      </w:r>
      <w:r w:rsidRPr="003E0A0F">
        <w:t>Paragrafo 29</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0EF825D5" w14:textId="77777777" w:rsidTr="002D2F66">
        <w:trPr>
          <w:trHeight w:hRule="exact" w:val="240"/>
          <w:jc w:val="center"/>
        </w:trPr>
        <w:tc>
          <w:tcPr>
            <w:tcW w:w="9752" w:type="dxa"/>
            <w:gridSpan w:val="2"/>
            <w:tcBorders>
              <w:top w:val="nil"/>
              <w:left w:val="nil"/>
              <w:bottom w:val="nil"/>
              <w:right w:val="nil"/>
            </w:tcBorders>
          </w:tcPr>
          <w:p w14:paraId="3DCD7B18" w14:textId="77777777" w:rsidR="00CC2DDD" w:rsidRPr="003E0A0F" w:rsidRDefault="00CC2DDD" w:rsidP="002D2F66"/>
        </w:tc>
      </w:tr>
      <w:tr w:rsidR="00CC2DDD" w:rsidRPr="003E0A0F" w14:paraId="141876F4" w14:textId="77777777" w:rsidTr="002D2F66">
        <w:trPr>
          <w:trHeight w:val="240"/>
          <w:jc w:val="center"/>
        </w:trPr>
        <w:tc>
          <w:tcPr>
            <w:tcW w:w="4876" w:type="dxa"/>
            <w:tcBorders>
              <w:top w:val="nil"/>
              <w:left w:val="nil"/>
              <w:bottom w:val="nil"/>
              <w:right w:val="nil"/>
            </w:tcBorders>
          </w:tcPr>
          <w:p w14:paraId="60D0153F"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29CC0CEC" w14:textId="77777777" w:rsidR="00CC2DDD" w:rsidRPr="003E0A0F" w:rsidRDefault="00CC2DDD" w:rsidP="002D2F66">
            <w:pPr>
              <w:pStyle w:val="AmColumnHeading"/>
            </w:pPr>
            <w:r w:rsidRPr="003E0A0F">
              <w:t>Emendamento</w:t>
            </w:r>
          </w:p>
        </w:tc>
      </w:tr>
      <w:tr w:rsidR="00CC2DDD" w:rsidRPr="003E0A0F" w14:paraId="083C4805" w14:textId="77777777" w:rsidTr="002D2F66">
        <w:trPr>
          <w:jc w:val="center"/>
        </w:trPr>
        <w:tc>
          <w:tcPr>
            <w:tcW w:w="4876" w:type="dxa"/>
            <w:tcBorders>
              <w:top w:val="nil"/>
              <w:left w:val="nil"/>
              <w:bottom w:val="nil"/>
              <w:right w:val="nil"/>
            </w:tcBorders>
          </w:tcPr>
          <w:p w14:paraId="0998317B" w14:textId="77777777" w:rsidR="00CC2DDD" w:rsidRPr="003E0A0F" w:rsidRDefault="00CC2DDD" w:rsidP="002D2F66">
            <w:pPr>
              <w:pStyle w:val="Normal6a"/>
            </w:pPr>
            <w:r w:rsidRPr="003E0A0F">
              <w:t>29.</w:t>
            </w:r>
            <w:r w:rsidRPr="003E0A0F">
              <w:tab/>
              <w:t xml:space="preserve">osserva che, come richiesto nelle precedenti raccomandazioni sul discarico, nel marzo 2024 è stato adottato il nuovo codice di condotta per i funzionari e gli altri agenti della CGUE, che rispecchia i valori e l'impegno di quest'ultima a favore di standard etici elevati; osserva che il codice di condotta comprende disposizioni sul conflitto di interessi, sull'obbligo di lealtà, sull'obbligo di riservatezza e discrezione, sulle attività esterne, sulle attività professionali dopo la cessazione del servizio e sulle pubblicazioni e disposizioni contro le molestie e si applica anche agli esperti nazionali distaccati e ai giudici in formazione ospitati nell'ambito della REFG; osserva con soddisfazione che la formazione sul codice di condotta e sui </w:t>
            </w:r>
            <w:r w:rsidRPr="003E0A0F">
              <w:lastRenderedPageBreak/>
              <w:t>diritti e gli obblighi del personale è obbligatoria per i nuovi arrivati e altamente raccomandata a tutto il personale della CGUE, mentre un totale di 747 persone (ossia il 32,80% del numero totale di funzionari e agenti della CGUE) ha partecipato a tali formazioni nel 2024; osserva inoltre che nel 2024 è stata offerta una formazione analoga anche ai nuovi membri della CGUE; prende atto con soddisfazione della rete di "consulenti riservati" della CGUE che assistono i membri del personale in caso di molestie, nonché del programma di gestione dei talenti offerto agli amministratori ad alto potenziale che copre, tra l'altro, la leadership etica;</w:t>
            </w:r>
          </w:p>
        </w:tc>
        <w:tc>
          <w:tcPr>
            <w:tcW w:w="4876" w:type="dxa"/>
            <w:tcBorders>
              <w:top w:val="nil"/>
              <w:left w:val="nil"/>
              <w:bottom w:val="nil"/>
              <w:right w:val="nil"/>
            </w:tcBorders>
          </w:tcPr>
          <w:p w14:paraId="2EAEF00F" w14:textId="77777777" w:rsidR="00CC2DDD" w:rsidRPr="003E0A0F" w:rsidRDefault="00CC2DDD" w:rsidP="002D2F66">
            <w:pPr>
              <w:pStyle w:val="Normal6a"/>
            </w:pPr>
            <w:r w:rsidRPr="003E0A0F">
              <w:lastRenderedPageBreak/>
              <w:t>29.</w:t>
            </w:r>
            <w:r w:rsidRPr="003E0A0F">
              <w:tab/>
              <w:t xml:space="preserve">osserva che, come richiesto nelle precedenti raccomandazioni sul discarico, nel marzo 2024 è stato adottato il nuovo codice di condotta per i funzionari e gli altri agenti della CGUE, che rispecchia i valori e l'impegno di quest'ultima a favore di standard etici elevati; osserva che il codice di condotta comprende disposizioni sul conflitto di interessi, sull'obbligo di lealtà, sull'obbligo di riservatezza e discrezione, sulle attività esterne, sulle attività professionali dopo la cessazione del servizio e sulle pubblicazioni e disposizioni contro le molestie e si applica anche agli esperti nazionali distaccati e ai giudici in formazione ospitati nell'ambito della REFG; osserva con soddisfazione che la formazione sul codice di condotta e sui </w:t>
            </w:r>
            <w:r w:rsidRPr="003E0A0F">
              <w:lastRenderedPageBreak/>
              <w:t xml:space="preserve">diritti e gli obblighi del personale è obbligatoria per i nuovi arrivati e altamente raccomandata a tutto il personale della CGUE, mentre un totale di 747 persone (ossia il 32,80% del numero totale di funzionari e agenti della CGUE) ha partecipato a tali formazioni nel 2024; osserva inoltre che nel 2024 è stata offerta una formazione analoga anche ai nuovi membri della CGUE; prende atto con soddisfazione della rete di "consulenti riservati" della CGUE che assistono i membri del personale in caso di molestie, nonché del programma di gestione dei talenti offerto agli amministratori ad alto potenziale che copre, tra l'altro, la leadership etica; </w:t>
            </w:r>
            <w:r w:rsidRPr="003E0A0F">
              <w:rPr>
                <w:b/>
                <w:i/>
              </w:rPr>
              <w:t>incoraggia la Corte a rafforzare progressivamente l'offerta di formazione sul codice di condotta a tutti i membri del personale senza eccezioni, al fine di garantire una comprensione condivisa delle norme etiche in tutta l'istituzione;</w:t>
            </w:r>
          </w:p>
        </w:tc>
      </w:tr>
    </w:tbl>
    <w:p w14:paraId="0BA38FC2" w14:textId="77777777" w:rsidR="00CC2DDD" w:rsidRPr="003E0A0F" w:rsidRDefault="00CC2DDD" w:rsidP="00CC2DDD">
      <w:pPr>
        <w:pStyle w:val="AmOrLang"/>
      </w:pPr>
      <w:r w:rsidRPr="003E0A0F">
        <w:lastRenderedPageBreak/>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1CCEB1D6" w14:textId="77777777" w:rsidR="00CC2DDD" w:rsidRPr="003E0A0F" w:rsidRDefault="00CC2DDD" w:rsidP="00CC2DDD">
      <w:r w:rsidRPr="002D0F6F">
        <w:rPr>
          <w:rStyle w:val="HideTWBExt"/>
        </w:rPr>
        <w:t>&lt;/Amend&gt;</w:t>
      </w:r>
    </w:p>
    <w:p w14:paraId="35DC034D"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27</w:t>
      </w:r>
      <w:r w:rsidRPr="002D0F6F">
        <w:rPr>
          <w:rStyle w:val="HideTWBExt"/>
          <w:b w:val="0"/>
        </w:rPr>
        <w:t>&lt;/NumAm&gt;</w:t>
      </w:r>
    </w:p>
    <w:p w14:paraId="54776C93" w14:textId="77777777" w:rsidR="00CC2DDD" w:rsidRPr="003E0A0F" w:rsidRDefault="00CC2DDD" w:rsidP="00CC2DDD">
      <w:pPr>
        <w:pStyle w:val="NormalBold"/>
      </w:pPr>
      <w:r w:rsidRPr="002D0F6F">
        <w:rPr>
          <w:rStyle w:val="HideTWBExt"/>
          <w:b w:val="0"/>
        </w:rPr>
        <w:t>&lt;RepeatBlock-By&gt;&lt;Members&gt;</w:t>
      </w:r>
      <w:r w:rsidRPr="003E0A0F">
        <w:t>Pasquale Tridico</w:t>
      </w:r>
      <w:r w:rsidRPr="002D0F6F">
        <w:rPr>
          <w:rStyle w:val="HideTWBExt"/>
          <w:b w:val="0"/>
        </w:rPr>
        <w:t>&lt;/Members&gt;</w:t>
      </w:r>
    </w:p>
    <w:p w14:paraId="048D27CF" w14:textId="77777777" w:rsidR="00CC2DDD" w:rsidRPr="003E0A0F" w:rsidRDefault="00CC2DDD" w:rsidP="00CC2DDD">
      <w:pPr>
        <w:pStyle w:val="NormalBold"/>
      </w:pPr>
      <w:r w:rsidRPr="002D0F6F">
        <w:rPr>
          <w:rStyle w:val="HideTWBExt"/>
          <w:b w:val="0"/>
        </w:rPr>
        <w:t>&lt;/RepeatBlock-By&gt;</w:t>
      </w:r>
    </w:p>
    <w:p w14:paraId="363CF2F6"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5B419B23" w14:textId="77777777" w:rsidR="00CC2DDD" w:rsidRPr="003E0A0F" w:rsidRDefault="00CC2DDD" w:rsidP="00CC2DDD">
      <w:pPr>
        <w:pStyle w:val="NormalBold"/>
      </w:pPr>
      <w:r w:rsidRPr="002D0F6F">
        <w:rPr>
          <w:rStyle w:val="HideTWBExt"/>
          <w:b w:val="0"/>
        </w:rPr>
        <w:t>&lt;Article&gt;</w:t>
      </w:r>
      <w:r w:rsidRPr="003E0A0F">
        <w:t>Paragrafo 29</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5BA3BF58" w14:textId="77777777" w:rsidTr="002D2F66">
        <w:trPr>
          <w:trHeight w:hRule="exact" w:val="240"/>
          <w:jc w:val="center"/>
        </w:trPr>
        <w:tc>
          <w:tcPr>
            <w:tcW w:w="9752" w:type="dxa"/>
            <w:gridSpan w:val="2"/>
            <w:tcBorders>
              <w:top w:val="nil"/>
              <w:left w:val="nil"/>
              <w:bottom w:val="nil"/>
              <w:right w:val="nil"/>
            </w:tcBorders>
          </w:tcPr>
          <w:p w14:paraId="7EE96A66" w14:textId="77777777" w:rsidR="00CC2DDD" w:rsidRPr="003E0A0F" w:rsidRDefault="00CC2DDD" w:rsidP="002D2F66"/>
        </w:tc>
      </w:tr>
      <w:tr w:rsidR="00CC2DDD" w:rsidRPr="003E0A0F" w14:paraId="2A2BF3A7" w14:textId="77777777" w:rsidTr="002D2F66">
        <w:trPr>
          <w:trHeight w:val="240"/>
          <w:jc w:val="center"/>
        </w:trPr>
        <w:tc>
          <w:tcPr>
            <w:tcW w:w="4876" w:type="dxa"/>
            <w:tcBorders>
              <w:top w:val="nil"/>
              <w:left w:val="nil"/>
              <w:bottom w:val="nil"/>
              <w:right w:val="nil"/>
            </w:tcBorders>
          </w:tcPr>
          <w:p w14:paraId="33F06936"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29011915" w14:textId="77777777" w:rsidR="00CC2DDD" w:rsidRPr="003E0A0F" w:rsidRDefault="00CC2DDD" w:rsidP="002D2F66">
            <w:pPr>
              <w:pStyle w:val="AmColumnHeading"/>
            </w:pPr>
            <w:r w:rsidRPr="003E0A0F">
              <w:t>Emendamento</w:t>
            </w:r>
          </w:p>
        </w:tc>
      </w:tr>
      <w:tr w:rsidR="00CC2DDD" w:rsidRPr="003E0A0F" w14:paraId="735E2934" w14:textId="77777777" w:rsidTr="002D2F66">
        <w:trPr>
          <w:jc w:val="center"/>
        </w:trPr>
        <w:tc>
          <w:tcPr>
            <w:tcW w:w="4876" w:type="dxa"/>
            <w:tcBorders>
              <w:top w:val="nil"/>
              <w:left w:val="nil"/>
              <w:bottom w:val="nil"/>
              <w:right w:val="nil"/>
            </w:tcBorders>
          </w:tcPr>
          <w:p w14:paraId="732F09E8" w14:textId="77777777" w:rsidR="00CC2DDD" w:rsidRPr="003E0A0F" w:rsidRDefault="00CC2DDD" w:rsidP="002D2F66">
            <w:pPr>
              <w:pStyle w:val="Normal6a"/>
            </w:pPr>
            <w:r w:rsidRPr="003E0A0F">
              <w:t>29.</w:t>
            </w:r>
            <w:r w:rsidRPr="003E0A0F">
              <w:tab/>
              <w:t xml:space="preserve">osserva che, come richiesto nelle precedenti raccomandazioni sul discarico, nel marzo 2024 è stato adottato il nuovo codice di condotta per i funzionari e gli altri agenti della CGUE, che rispecchia i valori e l'impegno di quest'ultima a favore di standard etici elevati; osserva che il codice di condotta comprende disposizioni sul conflitto di interessi, sull'obbligo di lealtà, sull'obbligo di riservatezza e discrezione, sulle attività esterne, sulle attività professionali dopo la cessazione del </w:t>
            </w:r>
            <w:r w:rsidRPr="003E0A0F">
              <w:lastRenderedPageBreak/>
              <w:t xml:space="preserve">servizio e sulle pubblicazioni e disposizioni contro le molestie e si applica anche agli esperti nazionali distaccati e ai giudici in formazione ospitati nell'ambito della REFG; osserva con soddisfazione che la formazione sul codice di condotta e sui diritti e gli obblighi del personale è obbligatoria per i nuovi arrivati e altamente raccomandata a tutto il personale della CGUE, mentre un totale di </w:t>
            </w:r>
            <w:r w:rsidRPr="003E0A0F">
              <w:rPr>
                <w:b/>
                <w:i/>
              </w:rPr>
              <w:t>747</w:t>
            </w:r>
            <w:r w:rsidRPr="003E0A0F">
              <w:t xml:space="preserve"> persone (ossia il </w:t>
            </w:r>
            <w:r w:rsidRPr="003E0A0F">
              <w:rPr>
                <w:b/>
                <w:i/>
              </w:rPr>
              <w:t>32,80</w:t>
            </w:r>
            <w:r w:rsidRPr="003E0A0F">
              <w:t>% del numero totale di funzionari e agenti della CGUE) ha partecipato a tali formazioni nel 2024; osserva inoltre che nel 2024 è stata offerta una formazione analoga anche ai nuovi membri della CGUE; prende atto con soddisfazione della rete di "consulenti riservati" della CGUE che assistono i membri del personale in caso di molestie, nonché del programma di gestione dei talenti offerto agli amministratori ad alto potenziale che copre, tra l'altro, la leadership etica;</w:t>
            </w:r>
          </w:p>
        </w:tc>
        <w:tc>
          <w:tcPr>
            <w:tcW w:w="4876" w:type="dxa"/>
            <w:tcBorders>
              <w:top w:val="nil"/>
              <w:left w:val="nil"/>
              <w:bottom w:val="nil"/>
              <w:right w:val="nil"/>
            </w:tcBorders>
          </w:tcPr>
          <w:p w14:paraId="6E9C0AFB" w14:textId="77777777" w:rsidR="00CC2DDD" w:rsidRPr="003E0A0F" w:rsidRDefault="00CC2DDD" w:rsidP="002D2F66">
            <w:pPr>
              <w:pStyle w:val="Normal6a"/>
            </w:pPr>
            <w:r w:rsidRPr="003E0A0F">
              <w:lastRenderedPageBreak/>
              <w:t>29.</w:t>
            </w:r>
            <w:r w:rsidRPr="003E0A0F">
              <w:tab/>
              <w:t xml:space="preserve">osserva che, come richiesto nelle precedenti raccomandazioni sul discarico, nel marzo 2024 è stato adottato il nuovo codice di condotta per i funzionari e gli altri agenti della CGUE, che rispecchia i valori e l'impegno di quest'ultima a favore di standard etici elevati; osserva che il codice di condotta comprende disposizioni sul conflitto di interessi, sull'obbligo di lealtà, sull'obbligo di riservatezza e discrezione, sulle attività esterne, sulle attività professionali dopo la cessazione del </w:t>
            </w:r>
            <w:r w:rsidRPr="003E0A0F">
              <w:lastRenderedPageBreak/>
              <w:t xml:space="preserve">servizio e sulle pubblicazioni e disposizioni contro le molestie e si applica anche agli esperti nazionali distaccati e ai giudici in formazione ospitati nell'ambito della REFG; osserva con soddisfazione che la formazione sul codice di condotta e sui diritti e gli obblighi del personale è obbligatoria per i nuovi arrivati e altamente raccomandata a tutto il personale della CGUE, mentre un totale di </w:t>
            </w:r>
            <w:r w:rsidRPr="003E0A0F">
              <w:rPr>
                <w:b/>
                <w:i/>
              </w:rPr>
              <w:t>561</w:t>
            </w:r>
            <w:r w:rsidRPr="003E0A0F">
              <w:t xml:space="preserve"> persone (ossia il </w:t>
            </w:r>
            <w:r w:rsidRPr="003E0A0F">
              <w:rPr>
                <w:b/>
                <w:i/>
              </w:rPr>
              <w:t>24,75</w:t>
            </w:r>
            <w:r w:rsidRPr="003E0A0F">
              <w:t>% del numero totale di funzionari e agenti della CGUE) ha partecipato a tali formazioni nel 2024; osserva inoltre che nel 2024 è stata offerta una formazione analoga anche ai nuovi membri della CGUE; prende atto con soddisfazione della rete di "consulenti riservati" della CGUE che assistono i membri del personale in caso di molestie, nonché del programma di gestione dei talenti offerto agli amministratori ad alto potenziale che copre, tra l'altro, la leadership etica;</w:t>
            </w:r>
          </w:p>
        </w:tc>
      </w:tr>
    </w:tbl>
    <w:p w14:paraId="7E5FB0FD" w14:textId="77777777" w:rsidR="00CC2DDD" w:rsidRPr="003E0A0F" w:rsidRDefault="00CC2DDD" w:rsidP="00CC2DDD">
      <w:pPr>
        <w:pStyle w:val="AmOrLang"/>
      </w:pPr>
      <w:r w:rsidRPr="003E0A0F">
        <w:lastRenderedPageBreak/>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3815D8EA" w14:textId="77777777" w:rsidR="00CC2DDD" w:rsidRPr="003E0A0F" w:rsidRDefault="00CC2DDD" w:rsidP="00CC2DDD">
      <w:r w:rsidRPr="002D0F6F">
        <w:rPr>
          <w:rStyle w:val="HideTWBExt"/>
        </w:rPr>
        <w:t>&lt;/Amend&gt;</w:t>
      </w:r>
    </w:p>
    <w:p w14:paraId="444259FB"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28</w:t>
      </w:r>
      <w:r w:rsidRPr="002D0F6F">
        <w:rPr>
          <w:rStyle w:val="HideTWBExt"/>
          <w:b w:val="0"/>
        </w:rPr>
        <w:t>&lt;/NumAm&gt;</w:t>
      </w:r>
    </w:p>
    <w:p w14:paraId="4082DE61" w14:textId="77777777" w:rsidR="00CC2DDD" w:rsidRPr="003E0A0F" w:rsidRDefault="00CC2DDD" w:rsidP="00CC2DDD">
      <w:pPr>
        <w:pStyle w:val="NormalBold"/>
      </w:pPr>
      <w:r w:rsidRPr="002D0F6F">
        <w:rPr>
          <w:rStyle w:val="HideTWBExt"/>
          <w:b w:val="0"/>
        </w:rPr>
        <w:t>&lt;RepeatBlock-By&gt;&lt;Members&gt;</w:t>
      </w:r>
      <w:r w:rsidRPr="003E0A0F">
        <w:t>Şerban Dimitrie Sturdza</w:t>
      </w:r>
      <w:r w:rsidRPr="002D0F6F">
        <w:rPr>
          <w:rStyle w:val="HideTWBExt"/>
          <w:b w:val="0"/>
        </w:rPr>
        <w:t>&lt;/Members&gt;</w:t>
      </w:r>
    </w:p>
    <w:p w14:paraId="779A142A" w14:textId="77777777" w:rsidR="00CC2DDD" w:rsidRPr="003E0A0F" w:rsidRDefault="00CC2DDD" w:rsidP="00CC2DDD">
      <w:pPr>
        <w:pStyle w:val="NormalBold"/>
      </w:pPr>
      <w:r w:rsidRPr="002D0F6F">
        <w:rPr>
          <w:rStyle w:val="HideTWBExt"/>
          <w:b w:val="0"/>
        </w:rPr>
        <w:t>&lt;/RepeatBlock-By&gt;</w:t>
      </w:r>
    </w:p>
    <w:p w14:paraId="6D0482CB"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611AA98B" w14:textId="77777777" w:rsidR="00CC2DDD" w:rsidRPr="003E0A0F" w:rsidRDefault="00CC2DDD" w:rsidP="00CC2DDD">
      <w:pPr>
        <w:pStyle w:val="NormalBold"/>
      </w:pPr>
      <w:r w:rsidRPr="002D0F6F">
        <w:rPr>
          <w:rStyle w:val="HideTWBExt"/>
          <w:b w:val="0"/>
        </w:rPr>
        <w:t>&lt;Article&gt;</w:t>
      </w:r>
      <w:r w:rsidRPr="003E0A0F">
        <w:t>Paragrafo 37</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7CC8FA49" w14:textId="77777777" w:rsidTr="002D2F66">
        <w:trPr>
          <w:trHeight w:hRule="exact" w:val="240"/>
          <w:jc w:val="center"/>
        </w:trPr>
        <w:tc>
          <w:tcPr>
            <w:tcW w:w="9752" w:type="dxa"/>
            <w:gridSpan w:val="2"/>
            <w:tcBorders>
              <w:top w:val="nil"/>
              <w:left w:val="nil"/>
              <w:bottom w:val="nil"/>
              <w:right w:val="nil"/>
            </w:tcBorders>
          </w:tcPr>
          <w:p w14:paraId="56E726D1" w14:textId="77777777" w:rsidR="00CC2DDD" w:rsidRPr="003E0A0F" w:rsidRDefault="00CC2DDD" w:rsidP="002D2F66"/>
        </w:tc>
      </w:tr>
      <w:tr w:rsidR="00CC2DDD" w:rsidRPr="003E0A0F" w14:paraId="6CE04DB7" w14:textId="77777777" w:rsidTr="002D2F66">
        <w:trPr>
          <w:trHeight w:val="240"/>
          <w:jc w:val="center"/>
        </w:trPr>
        <w:tc>
          <w:tcPr>
            <w:tcW w:w="4876" w:type="dxa"/>
            <w:tcBorders>
              <w:top w:val="nil"/>
              <w:left w:val="nil"/>
              <w:bottom w:val="nil"/>
              <w:right w:val="nil"/>
            </w:tcBorders>
          </w:tcPr>
          <w:p w14:paraId="4536C4F8"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612F4113" w14:textId="77777777" w:rsidR="00CC2DDD" w:rsidRPr="003E0A0F" w:rsidRDefault="00CC2DDD" w:rsidP="002D2F66">
            <w:pPr>
              <w:pStyle w:val="AmColumnHeading"/>
            </w:pPr>
            <w:r w:rsidRPr="003E0A0F">
              <w:t>Emendamento</w:t>
            </w:r>
          </w:p>
        </w:tc>
      </w:tr>
      <w:tr w:rsidR="00CC2DDD" w:rsidRPr="003E0A0F" w14:paraId="7D6BA4C7" w14:textId="77777777" w:rsidTr="002D2F66">
        <w:trPr>
          <w:jc w:val="center"/>
        </w:trPr>
        <w:tc>
          <w:tcPr>
            <w:tcW w:w="4876" w:type="dxa"/>
            <w:tcBorders>
              <w:top w:val="nil"/>
              <w:left w:val="nil"/>
              <w:bottom w:val="nil"/>
              <w:right w:val="nil"/>
            </w:tcBorders>
          </w:tcPr>
          <w:p w14:paraId="7412612F" w14:textId="77777777" w:rsidR="00CC2DDD" w:rsidRPr="003E0A0F" w:rsidRDefault="00CC2DDD" w:rsidP="002D2F66">
            <w:pPr>
              <w:pStyle w:val="Normal6a"/>
            </w:pPr>
            <w:r w:rsidRPr="003E0A0F">
              <w:t>37.</w:t>
            </w:r>
            <w:r w:rsidRPr="003E0A0F">
              <w:tab/>
              <w:t xml:space="preserve">accoglie con favore l'impegno della CGUE a migliorare la trasparenza, l'accesso alla giustizia e l'apertura pubblica, contribuendo in tal modo a promuovere la fiducia del pubblico nelle istituzioni dell'Unione, bilanciando nel contempo altre preoccupazioni fondamentali quali la serenità giudiziaria, la riservatezza dei procedimenti e la protezione dei dati personali; rileva che, nel 2024, la CGUE ha consolidato il servizio di streaming delle udienze della Corte di giustizia e del </w:t>
            </w:r>
            <w:r w:rsidRPr="003E0A0F">
              <w:lastRenderedPageBreak/>
              <w:t>Tribunale sul sito web Curia, facilitando così l'accesso dei cittadini alle attività giudiziarie della CGUE; accoglie con favore, in tale contesto, a seguito della riforma giudiziaria adottata nel 2024, la maggiore trasparenza del procedimento di rinvio pregiudiziale consentendo la pubblicazione sul sito web della CGUE di osservazioni scritte entro un termine ragionevole dopo la chiusura della causa;</w:t>
            </w:r>
          </w:p>
        </w:tc>
        <w:tc>
          <w:tcPr>
            <w:tcW w:w="4876" w:type="dxa"/>
            <w:tcBorders>
              <w:top w:val="nil"/>
              <w:left w:val="nil"/>
              <w:bottom w:val="nil"/>
              <w:right w:val="nil"/>
            </w:tcBorders>
          </w:tcPr>
          <w:p w14:paraId="00274416" w14:textId="77777777" w:rsidR="00CC2DDD" w:rsidRPr="003E0A0F" w:rsidRDefault="00CC2DDD" w:rsidP="002D2F66">
            <w:pPr>
              <w:pStyle w:val="Normal6a"/>
            </w:pPr>
            <w:r w:rsidRPr="003E0A0F">
              <w:lastRenderedPageBreak/>
              <w:t>37.</w:t>
            </w:r>
            <w:r w:rsidRPr="003E0A0F">
              <w:tab/>
              <w:t>accoglie con favore l'impegno della CGUE a migliorare la trasparenza, l'accesso alla giustizia e l'apertura pubblica, contribuendo in tal modo a promuovere la fiducia del pubblico nelle istituzioni dell'Unione, bilanciando nel contempo altre preoccupazioni fondamentali quali la serenità giudiziaria, la riservatezza dei procedimenti e la protezione dei dati personali</w:t>
            </w:r>
            <w:r w:rsidRPr="003E0A0F">
              <w:rPr>
                <w:b/>
                <w:i/>
              </w:rPr>
              <w:t xml:space="preserve">; sottolinea che una maggiore trasparenza deve servire anche a rafforzare la fiducia del pubblico nella </w:t>
            </w:r>
            <w:r w:rsidRPr="003E0A0F">
              <w:rPr>
                <w:b/>
                <w:i/>
              </w:rPr>
              <w:lastRenderedPageBreak/>
              <w:t>giurisprudenza della Corte; incoraggia la Corte a portare avanti gli sforzi per migliorare la chiarezza, l'accessibilità e la prevedibilità della sua giurisprudenza, in particolare nei casi con un significativo impatto costituzionale o sociale</w:t>
            </w:r>
            <w:r w:rsidRPr="003E0A0F">
              <w:t>; rileva che, nel 2024, la CGUE ha consolidato il servizio di streaming delle udienze della Corte di giustizia e del Tribunale sul sito web Curia, facilitando così l'accesso dei cittadini alle attività giudiziarie della CGUE; accoglie con favore, in tale contesto, a seguito della riforma giudiziaria adottata nel 2024, la maggiore trasparenza del procedimento di rinvio pregiudiziale consentendo la pubblicazione sul sito web della CGUE di osservazioni scritte entro un termine ragionevole dopo la chiusura della causa;</w:t>
            </w:r>
          </w:p>
        </w:tc>
      </w:tr>
    </w:tbl>
    <w:p w14:paraId="259D6D9E" w14:textId="77777777" w:rsidR="00CC2DDD" w:rsidRPr="003E0A0F" w:rsidRDefault="00CC2DDD" w:rsidP="00CC2DDD">
      <w:pPr>
        <w:pStyle w:val="AmOrLang"/>
      </w:pPr>
      <w:r w:rsidRPr="003E0A0F">
        <w:lastRenderedPageBreak/>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238309E9" w14:textId="77777777" w:rsidR="00CC2DDD" w:rsidRPr="003E0A0F" w:rsidRDefault="00CC2DDD" w:rsidP="00CC2DDD">
      <w:r w:rsidRPr="002D0F6F">
        <w:rPr>
          <w:rStyle w:val="HideTWBExt"/>
        </w:rPr>
        <w:t>&lt;/Amend&gt;</w:t>
      </w:r>
    </w:p>
    <w:p w14:paraId="4E9245FF"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29</w:t>
      </w:r>
      <w:r w:rsidRPr="002D0F6F">
        <w:rPr>
          <w:rStyle w:val="HideTWBExt"/>
          <w:b w:val="0"/>
        </w:rPr>
        <w:t>&lt;/NumAm&gt;</w:t>
      </w:r>
    </w:p>
    <w:p w14:paraId="5C9429B7" w14:textId="77777777" w:rsidR="00CC2DDD" w:rsidRPr="003E0A0F" w:rsidRDefault="00CC2DDD" w:rsidP="00CC2DDD">
      <w:pPr>
        <w:pStyle w:val="NormalBold"/>
      </w:pPr>
      <w:r w:rsidRPr="002D0F6F">
        <w:rPr>
          <w:rStyle w:val="HideTWBExt"/>
          <w:b w:val="0"/>
        </w:rPr>
        <w:t>&lt;RepeatBlock-By&gt;&lt;Members&gt;</w:t>
      </w:r>
      <w:r w:rsidRPr="003E0A0F">
        <w:t>Pasquale Tridico</w:t>
      </w:r>
      <w:r w:rsidRPr="002D0F6F">
        <w:rPr>
          <w:rStyle w:val="HideTWBExt"/>
          <w:b w:val="0"/>
        </w:rPr>
        <w:t>&lt;/Members&gt;</w:t>
      </w:r>
    </w:p>
    <w:p w14:paraId="3B1148C4" w14:textId="77777777" w:rsidR="00CC2DDD" w:rsidRPr="003E0A0F" w:rsidRDefault="00CC2DDD" w:rsidP="00CC2DDD">
      <w:pPr>
        <w:pStyle w:val="NormalBold"/>
      </w:pPr>
      <w:r w:rsidRPr="002D0F6F">
        <w:rPr>
          <w:rStyle w:val="HideTWBExt"/>
          <w:b w:val="0"/>
        </w:rPr>
        <w:t>&lt;/RepeatBlock-By&gt;</w:t>
      </w:r>
    </w:p>
    <w:p w14:paraId="212167A3"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1991A94A" w14:textId="77777777" w:rsidR="00CC2DDD" w:rsidRPr="003E0A0F" w:rsidRDefault="00CC2DDD" w:rsidP="00CC2DDD">
      <w:pPr>
        <w:pStyle w:val="NormalBold"/>
      </w:pPr>
      <w:r w:rsidRPr="002D0F6F">
        <w:rPr>
          <w:rStyle w:val="HideTWBExt"/>
          <w:b w:val="0"/>
        </w:rPr>
        <w:t>&lt;Article&gt;</w:t>
      </w:r>
      <w:r w:rsidRPr="003E0A0F">
        <w:t>Paragrafo 38</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31F14AA9" w14:textId="77777777" w:rsidTr="002D2F66">
        <w:trPr>
          <w:trHeight w:hRule="exact" w:val="240"/>
          <w:jc w:val="center"/>
        </w:trPr>
        <w:tc>
          <w:tcPr>
            <w:tcW w:w="9752" w:type="dxa"/>
            <w:gridSpan w:val="2"/>
            <w:tcBorders>
              <w:top w:val="nil"/>
              <w:left w:val="nil"/>
              <w:bottom w:val="nil"/>
              <w:right w:val="nil"/>
            </w:tcBorders>
          </w:tcPr>
          <w:p w14:paraId="041843E5" w14:textId="77777777" w:rsidR="00CC2DDD" w:rsidRPr="003E0A0F" w:rsidRDefault="00CC2DDD" w:rsidP="002D2F66"/>
        </w:tc>
      </w:tr>
      <w:tr w:rsidR="00CC2DDD" w:rsidRPr="003E0A0F" w14:paraId="04C77FEA" w14:textId="77777777" w:rsidTr="002D2F66">
        <w:trPr>
          <w:trHeight w:val="240"/>
          <w:jc w:val="center"/>
        </w:trPr>
        <w:tc>
          <w:tcPr>
            <w:tcW w:w="4876" w:type="dxa"/>
            <w:tcBorders>
              <w:top w:val="nil"/>
              <w:left w:val="nil"/>
              <w:bottom w:val="nil"/>
              <w:right w:val="nil"/>
            </w:tcBorders>
          </w:tcPr>
          <w:p w14:paraId="10C9FE27"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3027DFF5" w14:textId="77777777" w:rsidR="00CC2DDD" w:rsidRPr="003E0A0F" w:rsidRDefault="00CC2DDD" w:rsidP="002D2F66">
            <w:pPr>
              <w:pStyle w:val="AmColumnHeading"/>
            </w:pPr>
            <w:r w:rsidRPr="003E0A0F">
              <w:t>Emendamento</w:t>
            </w:r>
          </w:p>
        </w:tc>
      </w:tr>
      <w:tr w:rsidR="00CC2DDD" w:rsidRPr="003E0A0F" w14:paraId="675088F5" w14:textId="77777777" w:rsidTr="002D2F66">
        <w:trPr>
          <w:jc w:val="center"/>
        </w:trPr>
        <w:tc>
          <w:tcPr>
            <w:tcW w:w="4876" w:type="dxa"/>
            <w:tcBorders>
              <w:top w:val="nil"/>
              <w:left w:val="nil"/>
              <w:bottom w:val="nil"/>
              <w:right w:val="nil"/>
            </w:tcBorders>
          </w:tcPr>
          <w:p w14:paraId="7482F98A" w14:textId="77777777" w:rsidR="00CC2DDD" w:rsidRPr="003E0A0F" w:rsidRDefault="00CC2DDD" w:rsidP="002D2F66">
            <w:pPr>
              <w:pStyle w:val="Normal6a"/>
            </w:pPr>
            <w:r w:rsidRPr="003E0A0F">
              <w:t>38.</w:t>
            </w:r>
            <w:r w:rsidRPr="003E0A0F">
              <w:tab/>
              <w:t xml:space="preserve">rileva con soddisfazione dalla relazione di follow-up che, successivamente a un progetto pilota avviato con successo nel 2022 e all'aggiornamento del suo regolamento interno nel 2024, la Corte di giustizia ha ampliato il servizio di streaming per includere le cause importanti esaminate da una sezione di cinque giudici, nonché lo streaming quasi in diretta delle udienze delle memorie orali e trasmissioni in diretta della pronuncia delle sentenze e delle conclusioni degli avvocati generali; osserva inoltre che dal 1º settembre 2024 le videoregistrazioni delle audizioni per la pronuncia delle sentenze e delle </w:t>
            </w:r>
            <w:r w:rsidRPr="003E0A0F">
              <w:lastRenderedPageBreak/>
              <w:t>conclusioni rimangono permanentemente disponibili sul sito web della CGUE e le videoregistrazioni delle difese orali sono accessibili un mese dopo l'audizione; osserva con soddisfazione che il Tribunale ha adottato misure analoghe per garantire un accesso più ampio del pubblico ai suoi procedimenti;</w:t>
            </w:r>
          </w:p>
        </w:tc>
        <w:tc>
          <w:tcPr>
            <w:tcW w:w="4876" w:type="dxa"/>
            <w:tcBorders>
              <w:top w:val="nil"/>
              <w:left w:val="nil"/>
              <w:bottom w:val="nil"/>
              <w:right w:val="nil"/>
            </w:tcBorders>
          </w:tcPr>
          <w:p w14:paraId="5FAC128D" w14:textId="77777777" w:rsidR="00CC2DDD" w:rsidRPr="003E0A0F" w:rsidRDefault="00CC2DDD" w:rsidP="002D2F66">
            <w:pPr>
              <w:pStyle w:val="Normal6a"/>
            </w:pPr>
            <w:r w:rsidRPr="003E0A0F">
              <w:lastRenderedPageBreak/>
              <w:t>38.</w:t>
            </w:r>
            <w:r w:rsidRPr="003E0A0F">
              <w:tab/>
              <w:t xml:space="preserve">rileva con soddisfazione dalla relazione di follow-up che, successivamente a un progetto pilota avviato con successo nel 2022 e all'aggiornamento del suo regolamento interno nel 2024, la Corte di giustizia ha ampliato il servizio di streaming per includere le cause importanti esaminate da una sezione di cinque giudici, nonché lo streaming quasi in diretta delle udienze delle memorie orali e trasmissioni in diretta della pronuncia delle sentenze e delle conclusioni degli avvocati generali; osserva inoltre che dal 1º settembre 2024 le videoregistrazioni delle audizioni per la pronuncia delle sentenze e delle </w:t>
            </w:r>
            <w:r w:rsidRPr="003E0A0F">
              <w:lastRenderedPageBreak/>
              <w:t xml:space="preserve">conclusioni rimangono permanentemente disponibili sul sito web della CGUE e le videoregistrazioni delle difese orali sono accessibili </w:t>
            </w:r>
            <w:r w:rsidRPr="003E0A0F">
              <w:rPr>
                <w:b/>
                <w:i/>
              </w:rPr>
              <w:t>per</w:t>
            </w:r>
            <w:r w:rsidRPr="003E0A0F">
              <w:t xml:space="preserve"> un mese dopo l'audizione; osserva con soddisfazione che il Tribunale ha adottato misure analoghe per garantire un accesso più ampio del pubblico ai suoi procedimenti;</w:t>
            </w:r>
          </w:p>
        </w:tc>
      </w:tr>
    </w:tbl>
    <w:p w14:paraId="17A301C3" w14:textId="77777777" w:rsidR="00CC2DDD" w:rsidRPr="003E0A0F" w:rsidRDefault="00CC2DDD" w:rsidP="00CC2DDD">
      <w:pPr>
        <w:pStyle w:val="AmOrLang"/>
      </w:pPr>
      <w:r w:rsidRPr="003E0A0F">
        <w:lastRenderedPageBreak/>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638758C0" w14:textId="77777777" w:rsidR="00CC2DDD" w:rsidRPr="003E0A0F" w:rsidRDefault="00CC2DDD" w:rsidP="00CC2DDD">
      <w:r w:rsidRPr="002D0F6F">
        <w:rPr>
          <w:rStyle w:val="HideTWBExt"/>
        </w:rPr>
        <w:t>&lt;/Amend&gt;</w:t>
      </w:r>
    </w:p>
    <w:p w14:paraId="27F60899"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30</w:t>
      </w:r>
      <w:r w:rsidRPr="002D0F6F">
        <w:rPr>
          <w:rStyle w:val="HideTWBExt"/>
          <w:b w:val="0"/>
        </w:rPr>
        <w:t>&lt;/NumAm&gt;</w:t>
      </w:r>
    </w:p>
    <w:p w14:paraId="24B4ABD4" w14:textId="77777777" w:rsidR="00CC2DDD" w:rsidRPr="003E0A0F" w:rsidRDefault="00CC2DDD" w:rsidP="00CC2DDD">
      <w:pPr>
        <w:pStyle w:val="NormalBold"/>
      </w:pPr>
      <w:r w:rsidRPr="002D0F6F">
        <w:rPr>
          <w:rStyle w:val="HideTWBExt"/>
          <w:b w:val="0"/>
        </w:rPr>
        <w:t>&lt;RepeatBlock-By&gt;&lt;Members&gt;</w:t>
      </w:r>
      <w:r w:rsidRPr="003E0A0F">
        <w:t>Şerban Dimitrie Sturdza</w:t>
      </w:r>
      <w:r w:rsidRPr="002D0F6F">
        <w:rPr>
          <w:rStyle w:val="HideTWBExt"/>
          <w:b w:val="0"/>
        </w:rPr>
        <w:t>&lt;/Members&gt;</w:t>
      </w:r>
    </w:p>
    <w:p w14:paraId="42309A1D" w14:textId="77777777" w:rsidR="00CC2DDD" w:rsidRPr="003E0A0F" w:rsidRDefault="00CC2DDD" w:rsidP="00CC2DDD">
      <w:pPr>
        <w:pStyle w:val="NormalBold"/>
      </w:pPr>
      <w:r w:rsidRPr="002D0F6F">
        <w:rPr>
          <w:rStyle w:val="HideTWBExt"/>
          <w:b w:val="0"/>
        </w:rPr>
        <w:t>&lt;/RepeatBlock-By&gt;</w:t>
      </w:r>
    </w:p>
    <w:p w14:paraId="5D9529EB"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3E75FEFA" w14:textId="77777777" w:rsidR="00CC2DDD" w:rsidRPr="003E0A0F" w:rsidRDefault="00CC2DDD" w:rsidP="00CC2DDD">
      <w:pPr>
        <w:pStyle w:val="NormalBold"/>
      </w:pPr>
      <w:r w:rsidRPr="002D0F6F">
        <w:rPr>
          <w:rStyle w:val="HideTWBExt"/>
          <w:b w:val="0"/>
        </w:rPr>
        <w:t>&lt;Article&gt;</w:t>
      </w:r>
      <w:r w:rsidRPr="003E0A0F">
        <w:t>Paragrafo 43</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1DB1207B" w14:textId="77777777" w:rsidTr="002D2F66">
        <w:trPr>
          <w:trHeight w:hRule="exact" w:val="240"/>
          <w:jc w:val="center"/>
        </w:trPr>
        <w:tc>
          <w:tcPr>
            <w:tcW w:w="9752" w:type="dxa"/>
            <w:gridSpan w:val="2"/>
            <w:tcBorders>
              <w:top w:val="nil"/>
              <w:left w:val="nil"/>
              <w:bottom w:val="nil"/>
              <w:right w:val="nil"/>
            </w:tcBorders>
          </w:tcPr>
          <w:p w14:paraId="4FC39828" w14:textId="77777777" w:rsidR="00CC2DDD" w:rsidRPr="003E0A0F" w:rsidRDefault="00CC2DDD" w:rsidP="002D2F66"/>
        </w:tc>
      </w:tr>
      <w:tr w:rsidR="00CC2DDD" w:rsidRPr="003E0A0F" w14:paraId="76D1210C" w14:textId="77777777" w:rsidTr="002D2F66">
        <w:trPr>
          <w:trHeight w:val="240"/>
          <w:jc w:val="center"/>
        </w:trPr>
        <w:tc>
          <w:tcPr>
            <w:tcW w:w="4876" w:type="dxa"/>
            <w:tcBorders>
              <w:top w:val="nil"/>
              <w:left w:val="nil"/>
              <w:bottom w:val="nil"/>
              <w:right w:val="nil"/>
            </w:tcBorders>
          </w:tcPr>
          <w:p w14:paraId="2F37E261"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0DF478F6" w14:textId="77777777" w:rsidR="00CC2DDD" w:rsidRPr="003E0A0F" w:rsidRDefault="00CC2DDD" w:rsidP="002D2F66">
            <w:pPr>
              <w:pStyle w:val="AmColumnHeading"/>
            </w:pPr>
            <w:r w:rsidRPr="003E0A0F">
              <w:t>Emendamento</w:t>
            </w:r>
          </w:p>
        </w:tc>
      </w:tr>
      <w:tr w:rsidR="00CC2DDD" w:rsidRPr="003E0A0F" w14:paraId="0338F27A" w14:textId="77777777" w:rsidTr="002D2F66">
        <w:trPr>
          <w:jc w:val="center"/>
        </w:trPr>
        <w:tc>
          <w:tcPr>
            <w:tcW w:w="4876" w:type="dxa"/>
            <w:tcBorders>
              <w:top w:val="nil"/>
              <w:left w:val="nil"/>
              <w:bottom w:val="nil"/>
              <w:right w:val="nil"/>
            </w:tcBorders>
          </w:tcPr>
          <w:p w14:paraId="4FEDC597" w14:textId="77777777" w:rsidR="00CC2DDD" w:rsidRPr="003E0A0F" w:rsidRDefault="00CC2DDD" w:rsidP="002D2F66">
            <w:pPr>
              <w:pStyle w:val="Normal6a"/>
            </w:pPr>
            <w:r w:rsidRPr="003E0A0F">
              <w:t>43.</w:t>
            </w:r>
            <w:r w:rsidRPr="003E0A0F">
              <w:tab/>
              <w:t xml:space="preserve">prende atto con interesse dell'avvio, nel 2024, di un progetto pilota che fornisce a tutti i servizi della CGUE l'accesso agli assistenti per l'IA; sottolinea l'importanza di garantire il rispetto dei principi etici nell'utilizzo degli strumenti di IA e, in particolare, degli orientamenti della CGUE sull'IA adottati nel 2024, garantendo in tal modo la sorveglianza umana nel rispetto del principio di indipendenza dei procedimenti giudiziari; sottolinea, in tale contesto, il ruolo di supervisione del consiglio di amministrazione della CGUE per l'IA; elogia la CGUE per il programma di formazione globale che ha istituito nel 2024, a partire dall'iniziativa del "mese di sensibilizzazione sull'IA" che comprendeva sessioni di formazione, tavole rotonde animate da esperti di IA, webinar e bootcamp, compiendo così un primo e importante passo verso la sensibilizzazione dei membri del personale in merito alla strategia e agli orientamenti della CGUE sull'IA e all'IA in generale; rileva che i membri del personale seguono anche corsi sulla gestione del cambiamento, sul trasferimento delle conoscenze, sul </w:t>
            </w:r>
            <w:r w:rsidRPr="003E0A0F">
              <w:lastRenderedPageBreak/>
              <w:t>tutoraggio e sull'agilità mentale per sostenere l'adattamento alle tecnologie emergenti; invita la CGUE a continuare a organizzare tali programmi di formazione e sensibilizzazione;</w:t>
            </w:r>
          </w:p>
        </w:tc>
        <w:tc>
          <w:tcPr>
            <w:tcW w:w="4876" w:type="dxa"/>
            <w:tcBorders>
              <w:top w:val="nil"/>
              <w:left w:val="nil"/>
              <w:bottom w:val="nil"/>
              <w:right w:val="nil"/>
            </w:tcBorders>
          </w:tcPr>
          <w:p w14:paraId="6FC211FC" w14:textId="77777777" w:rsidR="00CC2DDD" w:rsidRPr="003E0A0F" w:rsidRDefault="00CC2DDD" w:rsidP="002D2F66">
            <w:pPr>
              <w:pStyle w:val="Normal6a"/>
            </w:pPr>
            <w:r w:rsidRPr="003E0A0F">
              <w:lastRenderedPageBreak/>
              <w:t>43.</w:t>
            </w:r>
            <w:r w:rsidRPr="003E0A0F">
              <w:tab/>
              <w:t>prende atto con interesse dell'avvio, nel 2024, di un progetto pilota che fornisce a tutti i servizi della CGUE l'accesso agli assistenti per l'IA; sottolinea l'importanza di garantire il rispetto dei principi etici nell'utilizzo degli strumenti di IA e, in particolare, degli orientamenti della CGUE sull'IA adottati nel 2024, garantendo in tal modo la sorveglianza umana nel rispetto del principio di indipendenza dei procedimenti giudiziari</w:t>
            </w:r>
            <w:r w:rsidRPr="003E0A0F">
              <w:rPr>
                <w:b/>
                <w:i/>
              </w:rPr>
              <w:t>; sottolinea che l'uso di strumenti di IA in un ambiente giudiziario non deve mai sostituire il ragionamento giuridico umano o la discrezionalità giudiziaria, né compromettere la responsabilità personale dei giudici</w:t>
            </w:r>
            <w:r w:rsidRPr="003E0A0F">
              <w:t xml:space="preserve">; sottolinea, in tale contesto, il ruolo di supervisione del consiglio di amministrazione della CGUE per l'IA; elogia la CGUE per il programma di formazione globale che ha istituito nel 2024, a partire dall'iniziativa del "mese di sensibilizzazione sull'IA" che comprendeva sessioni di formazione, tavole rotonde animate da esperti di IA, webinar e bootcamp, compiendo così un primo e importante passo verso la sensibilizzazione </w:t>
            </w:r>
            <w:r w:rsidRPr="003E0A0F">
              <w:lastRenderedPageBreak/>
              <w:t>dei membri del personale in merito alla strategia e agli orientamenti della CGUE sull'IA e all'IA in generale; rileva che i membri del personale seguono anche corsi sulla gestione del cambiamento, sul trasferimento delle conoscenze, sul tutoraggio e sull'agilità mentale per sostenere l'adattamento alle tecnologie emergenti; invita la CGUE a continuare a organizzare tali programmi di formazione e sensibilizzazione;</w:t>
            </w:r>
          </w:p>
        </w:tc>
      </w:tr>
    </w:tbl>
    <w:p w14:paraId="3ABAE499" w14:textId="77777777" w:rsidR="00CC2DDD" w:rsidRPr="003E0A0F" w:rsidRDefault="00CC2DDD" w:rsidP="00CC2DDD">
      <w:pPr>
        <w:pStyle w:val="AmOrLang"/>
      </w:pPr>
      <w:r w:rsidRPr="003E0A0F">
        <w:lastRenderedPageBreak/>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2EE096DB" w14:textId="77777777" w:rsidR="00CC2DDD" w:rsidRPr="003E0A0F" w:rsidRDefault="00CC2DDD" w:rsidP="00CC2DDD">
      <w:r w:rsidRPr="002D0F6F">
        <w:rPr>
          <w:rStyle w:val="HideTWBExt"/>
        </w:rPr>
        <w:t>&lt;/Amend&gt;</w:t>
      </w:r>
    </w:p>
    <w:p w14:paraId="275F07D1"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31</w:t>
      </w:r>
      <w:r w:rsidRPr="002D0F6F">
        <w:rPr>
          <w:rStyle w:val="HideTWBExt"/>
          <w:b w:val="0"/>
        </w:rPr>
        <w:t>&lt;/NumAm&gt;</w:t>
      </w:r>
    </w:p>
    <w:p w14:paraId="03BB97AC" w14:textId="77777777" w:rsidR="00CC2DDD" w:rsidRPr="003E0A0F" w:rsidRDefault="00CC2DDD" w:rsidP="00CC2DDD">
      <w:pPr>
        <w:pStyle w:val="NormalBold"/>
      </w:pPr>
      <w:r w:rsidRPr="002D0F6F">
        <w:rPr>
          <w:rStyle w:val="HideTWBExt"/>
          <w:b w:val="0"/>
        </w:rPr>
        <w:t>&lt;RepeatBlock-By&gt;&lt;Members&gt;</w:t>
      </w:r>
      <w:r w:rsidRPr="003E0A0F">
        <w:t>José Cepeda</w:t>
      </w:r>
      <w:r w:rsidRPr="002D0F6F">
        <w:rPr>
          <w:rStyle w:val="HideTWBExt"/>
          <w:b w:val="0"/>
        </w:rPr>
        <w:t>&lt;/Members&gt;</w:t>
      </w:r>
    </w:p>
    <w:p w14:paraId="4EB6648B" w14:textId="77777777" w:rsidR="00CC2DDD" w:rsidRPr="003E0A0F" w:rsidRDefault="00CC2DDD" w:rsidP="00CC2DDD">
      <w:pPr>
        <w:pStyle w:val="NormalBold"/>
      </w:pPr>
      <w:r w:rsidRPr="002D0F6F">
        <w:rPr>
          <w:rStyle w:val="HideTWBExt"/>
          <w:b w:val="0"/>
        </w:rPr>
        <w:t>&lt;/RepeatBlock-By&gt;</w:t>
      </w:r>
    </w:p>
    <w:p w14:paraId="463C1824"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0A76E949" w14:textId="77777777" w:rsidR="00CC2DDD" w:rsidRPr="003E0A0F" w:rsidRDefault="00CC2DDD" w:rsidP="00CC2DDD">
      <w:pPr>
        <w:pStyle w:val="NormalBold"/>
      </w:pPr>
      <w:r w:rsidRPr="002D0F6F">
        <w:rPr>
          <w:rStyle w:val="HideTWBExt"/>
          <w:b w:val="0"/>
        </w:rPr>
        <w:t>&lt;Article&gt;</w:t>
      </w:r>
      <w:r w:rsidRPr="003E0A0F">
        <w:t>Paragrafo 45</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4BCDA249" w14:textId="77777777" w:rsidTr="002D2F66">
        <w:trPr>
          <w:trHeight w:hRule="exact" w:val="240"/>
          <w:jc w:val="center"/>
        </w:trPr>
        <w:tc>
          <w:tcPr>
            <w:tcW w:w="9752" w:type="dxa"/>
            <w:gridSpan w:val="2"/>
            <w:tcBorders>
              <w:top w:val="nil"/>
              <w:left w:val="nil"/>
              <w:bottom w:val="nil"/>
              <w:right w:val="nil"/>
            </w:tcBorders>
          </w:tcPr>
          <w:p w14:paraId="0EE03E95" w14:textId="77777777" w:rsidR="00CC2DDD" w:rsidRPr="003E0A0F" w:rsidRDefault="00CC2DDD" w:rsidP="002D2F66"/>
        </w:tc>
      </w:tr>
      <w:tr w:rsidR="00CC2DDD" w:rsidRPr="003E0A0F" w14:paraId="70D98F97" w14:textId="77777777" w:rsidTr="002D2F66">
        <w:trPr>
          <w:trHeight w:val="240"/>
          <w:jc w:val="center"/>
        </w:trPr>
        <w:tc>
          <w:tcPr>
            <w:tcW w:w="4876" w:type="dxa"/>
            <w:tcBorders>
              <w:top w:val="nil"/>
              <w:left w:val="nil"/>
              <w:bottom w:val="nil"/>
              <w:right w:val="nil"/>
            </w:tcBorders>
          </w:tcPr>
          <w:p w14:paraId="2AD7A14A"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2D535466" w14:textId="77777777" w:rsidR="00CC2DDD" w:rsidRPr="003E0A0F" w:rsidRDefault="00CC2DDD" w:rsidP="002D2F66">
            <w:pPr>
              <w:pStyle w:val="AmColumnHeading"/>
            </w:pPr>
            <w:r w:rsidRPr="003E0A0F">
              <w:t>Emendamento</w:t>
            </w:r>
          </w:p>
        </w:tc>
      </w:tr>
      <w:tr w:rsidR="00CC2DDD" w:rsidRPr="003E0A0F" w14:paraId="5DDCD6E2" w14:textId="77777777" w:rsidTr="002D2F66">
        <w:trPr>
          <w:jc w:val="center"/>
        </w:trPr>
        <w:tc>
          <w:tcPr>
            <w:tcW w:w="4876" w:type="dxa"/>
            <w:tcBorders>
              <w:top w:val="nil"/>
              <w:left w:val="nil"/>
              <w:bottom w:val="nil"/>
              <w:right w:val="nil"/>
            </w:tcBorders>
          </w:tcPr>
          <w:p w14:paraId="65667915" w14:textId="77777777" w:rsidR="00CC2DDD" w:rsidRPr="003E0A0F" w:rsidRDefault="00CC2DDD" w:rsidP="002D2F66">
            <w:pPr>
              <w:pStyle w:val="Normal6a"/>
            </w:pPr>
            <w:r w:rsidRPr="003E0A0F">
              <w:t>45.</w:t>
            </w:r>
            <w:r w:rsidRPr="003E0A0F">
              <w:tab/>
              <w:t>osserva che nel 2024 le capacità operative in materia di cibersicurezza sono state ulteriormente rafforzate per conformarsi al regolamento (UE, Euratom) 2023/2841 e far fronte al crescente numero di attacchi informatici; osserva che nel 2024 non si sono verificati gravi attacchi informatici; constata con preoccupazione che sono stati registrati e analizzati in media 142 incidenti di sicurezza al mese, alcuni dei quali hanno richiesto l'intervento umano;</w:t>
            </w:r>
          </w:p>
        </w:tc>
        <w:tc>
          <w:tcPr>
            <w:tcW w:w="4876" w:type="dxa"/>
            <w:tcBorders>
              <w:top w:val="nil"/>
              <w:left w:val="nil"/>
              <w:bottom w:val="nil"/>
              <w:right w:val="nil"/>
            </w:tcBorders>
          </w:tcPr>
          <w:p w14:paraId="274003C1" w14:textId="77777777" w:rsidR="00CC2DDD" w:rsidRPr="003E0A0F" w:rsidRDefault="00CC2DDD" w:rsidP="002D2F66">
            <w:pPr>
              <w:pStyle w:val="Normal6a"/>
            </w:pPr>
            <w:r w:rsidRPr="003E0A0F">
              <w:t>45.</w:t>
            </w:r>
            <w:r w:rsidRPr="003E0A0F">
              <w:tab/>
              <w:t xml:space="preserve">osserva che nel 2024 le capacità operative in materia di cibersicurezza sono state ulteriormente rafforzate per conformarsi al regolamento (UE, Euratom) 2023/2841 e far fronte al crescente numero di attacchi informatici; osserva che nel 2024 non si sono verificati gravi attacchi informatici; constata con preoccupazione che sono stati registrati e analizzati in media 142 incidenti di sicurezza al mese, alcuni dei quali hanno richiesto l'intervento umano; </w:t>
            </w:r>
            <w:r w:rsidRPr="003E0A0F">
              <w:rPr>
                <w:b/>
                <w:i/>
              </w:rPr>
              <w:t>sottolinea che tale tendenza evidenzia la necessità di investimenti continui e prevedibili nelle capacità di cibersicurezza, nella formazione del personale e nella cooperazione interistituzionale, in linea con il regolamento (UE, Euratom) 2023/2841;</w:t>
            </w:r>
          </w:p>
        </w:tc>
      </w:tr>
    </w:tbl>
    <w:p w14:paraId="7C2C78C9" w14:textId="77777777" w:rsidR="00CC2DDD" w:rsidRPr="003E0A0F" w:rsidRDefault="00CC2DDD" w:rsidP="00CC2DDD">
      <w:pPr>
        <w:pStyle w:val="AmOrLang"/>
      </w:pPr>
      <w:r w:rsidRPr="003E0A0F">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5122AB4F" w14:textId="77777777" w:rsidR="00CC2DDD" w:rsidRPr="003E0A0F" w:rsidRDefault="00CC2DDD" w:rsidP="00CC2DDD">
      <w:r w:rsidRPr="002D0F6F">
        <w:rPr>
          <w:rStyle w:val="HideTWBExt"/>
        </w:rPr>
        <w:t>&lt;/Amend&gt;</w:t>
      </w:r>
    </w:p>
    <w:p w14:paraId="5EBF46D9"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32</w:t>
      </w:r>
      <w:r w:rsidRPr="002D0F6F">
        <w:rPr>
          <w:rStyle w:val="HideTWBExt"/>
          <w:b w:val="0"/>
        </w:rPr>
        <w:t>&lt;/NumAm&gt;</w:t>
      </w:r>
    </w:p>
    <w:p w14:paraId="6B0DD68F" w14:textId="77777777" w:rsidR="00CC2DDD" w:rsidRPr="003E0A0F" w:rsidRDefault="00CC2DDD" w:rsidP="00CC2DDD">
      <w:pPr>
        <w:pStyle w:val="NormalBold"/>
      </w:pPr>
      <w:r w:rsidRPr="002D0F6F">
        <w:rPr>
          <w:rStyle w:val="HideTWBExt"/>
          <w:b w:val="0"/>
        </w:rPr>
        <w:lastRenderedPageBreak/>
        <w:t>&lt;RepeatBlock-By&gt;&lt;Members&gt;</w:t>
      </w:r>
      <w:r w:rsidRPr="003E0A0F">
        <w:t>Gilles Boyer, Olivier Chastel, Vlad Vasile-Voiculescu, Michal Wiezik, Gerben-Jan Gerbrandy</w:t>
      </w:r>
      <w:r w:rsidRPr="002D0F6F">
        <w:rPr>
          <w:rStyle w:val="HideTWBExt"/>
          <w:b w:val="0"/>
        </w:rPr>
        <w:t>&lt;/Members&gt;</w:t>
      </w:r>
    </w:p>
    <w:p w14:paraId="0CED2317" w14:textId="77777777" w:rsidR="00CC2DDD" w:rsidRPr="003E0A0F" w:rsidRDefault="00CC2DDD" w:rsidP="00CC2DDD">
      <w:pPr>
        <w:pStyle w:val="NormalBold"/>
      </w:pPr>
      <w:r w:rsidRPr="002D0F6F">
        <w:rPr>
          <w:rStyle w:val="HideTWBExt"/>
          <w:b w:val="0"/>
        </w:rPr>
        <w:t>&lt;/RepeatBlock-By&gt;</w:t>
      </w:r>
    </w:p>
    <w:p w14:paraId="0067D5A4"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2A7BB578" w14:textId="77777777" w:rsidR="00CC2DDD" w:rsidRPr="003E0A0F" w:rsidRDefault="00CC2DDD" w:rsidP="00CC2DDD">
      <w:pPr>
        <w:pStyle w:val="NormalBold"/>
      </w:pPr>
      <w:r w:rsidRPr="002D0F6F">
        <w:rPr>
          <w:rStyle w:val="HideTWBExt"/>
          <w:b w:val="0"/>
        </w:rPr>
        <w:t>&lt;Article&gt;</w:t>
      </w:r>
      <w:r w:rsidRPr="003E0A0F">
        <w:t>Paragrafo 45</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3FABEEAE" w14:textId="77777777" w:rsidTr="002D2F66">
        <w:trPr>
          <w:trHeight w:hRule="exact" w:val="240"/>
          <w:jc w:val="center"/>
        </w:trPr>
        <w:tc>
          <w:tcPr>
            <w:tcW w:w="9752" w:type="dxa"/>
            <w:gridSpan w:val="2"/>
            <w:tcBorders>
              <w:top w:val="nil"/>
              <w:left w:val="nil"/>
              <w:bottom w:val="nil"/>
              <w:right w:val="nil"/>
            </w:tcBorders>
          </w:tcPr>
          <w:p w14:paraId="66ED7B9C" w14:textId="77777777" w:rsidR="00CC2DDD" w:rsidRPr="003E0A0F" w:rsidRDefault="00CC2DDD" w:rsidP="002D2F66"/>
        </w:tc>
      </w:tr>
      <w:tr w:rsidR="00CC2DDD" w:rsidRPr="003E0A0F" w14:paraId="6181C126" w14:textId="77777777" w:rsidTr="002D2F66">
        <w:trPr>
          <w:trHeight w:val="240"/>
          <w:jc w:val="center"/>
        </w:trPr>
        <w:tc>
          <w:tcPr>
            <w:tcW w:w="4876" w:type="dxa"/>
            <w:tcBorders>
              <w:top w:val="nil"/>
              <w:left w:val="nil"/>
              <w:bottom w:val="nil"/>
              <w:right w:val="nil"/>
            </w:tcBorders>
          </w:tcPr>
          <w:p w14:paraId="41F06F57"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3FEC262F" w14:textId="77777777" w:rsidR="00CC2DDD" w:rsidRPr="003E0A0F" w:rsidRDefault="00CC2DDD" w:rsidP="002D2F66">
            <w:pPr>
              <w:pStyle w:val="AmColumnHeading"/>
            </w:pPr>
            <w:r w:rsidRPr="003E0A0F">
              <w:t>Emendamento</w:t>
            </w:r>
          </w:p>
        </w:tc>
      </w:tr>
      <w:tr w:rsidR="00CC2DDD" w:rsidRPr="003E0A0F" w14:paraId="72FE10B1" w14:textId="77777777" w:rsidTr="002D2F66">
        <w:trPr>
          <w:jc w:val="center"/>
        </w:trPr>
        <w:tc>
          <w:tcPr>
            <w:tcW w:w="4876" w:type="dxa"/>
            <w:tcBorders>
              <w:top w:val="nil"/>
              <w:left w:val="nil"/>
              <w:bottom w:val="nil"/>
              <w:right w:val="nil"/>
            </w:tcBorders>
          </w:tcPr>
          <w:p w14:paraId="49DBB41C" w14:textId="77777777" w:rsidR="00CC2DDD" w:rsidRPr="003E0A0F" w:rsidRDefault="00CC2DDD" w:rsidP="002D2F66">
            <w:pPr>
              <w:pStyle w:val="Normal6a"/>
            </w:pPr>
            <w:r w:rsidRPr="003E0A0F">
              <w:t>45.</w:t>
            </w:r>
            <w:r w:rsidRPr="003E0A0F">
              <w:tab/>
              <w:t>osserva che nel 2024 le capacità operative in materia di cibersicurezza sono state ulteriormente rafforzate per conformarsi al regolamento (UE, Euratom) 2023/2841 e far fronte al crescente numero di attacchi informatici; osserva che nel 2024 non si sono verificati gravi attacchi informatici; constata con preoccupazione che sono stati registrati e analizzati in media 142 incidenti di sicurezza al mese, alcuni dei quali hanno richiesto l'intervento umano;</w:t>
            </w:r>
          </w:p>
        </w:tc>
        <w:tc>
          <w:tcPr>
            <w:tcW w:w="4876" w:type="dxa"/>
            <w:tcBorders>
              <w:top w:val="nil"/>
              <w:left w:val="nil"/>
              <w:bottom w:val="nil"/>
              <w:right w:val="nil"/>
            </w:tcBorders>
          </w:tcPr>
          <w:p w14:paraId="0C995FD4" w14:textId="77777777" w:rsidR="00CC2DDD" w:rsidRPr="003E0A0F" w:rsidRDefault="00CC2DDD" w:rsidP="002D2F66">
            <w:pPr>
              <w:pStyle w:val="Normal6a"/>
            </w:pPr>
            <w:r w:rsidRPr="003E0A0F">
              <w:t>45.</w:t>
            </w:r>
            <w:r w:rsidRPr="003E0A0F">
              <w:tab/>
              <w:t xml:space="preserve">osserva che nel 2024 le capacità operative in materia di cibersicurezza sono state ulteriormente rafforzate per conformarsi al regolamento (UE, Euratom) 2023/2841 e far fronte al crescente numero di attacchi informatici; osserva che nel 2024 non si sono verificati gravi attacchi informatici; constata con preoccupazione che sono stati registrati e analizzati in media 142 incidenti di sicurezza al mese, alcuni dei quali hanno richiesto l'intervento umano; </w:t>
            </w:r>
            <w:r w:rsidRPr="003E0A0F">
              <w:rPr>
                <w:b/>
                <w:i/>
              </w:rPr>
              <w:t>sottolinea che la cibersicurezza è un investimento strategico, essenziale per salvaguardare l'indipendenza giudiziaria, l'integrità dei dati e la continuità dell'attività giudiziaria;</w:t>
            </w:r>
          </w:p>
        </w:tc>
      </w:tr>
    </w:tbl>
    <w:p w14:paraId="17D35DD9" w14:textId="77777777" w:rsidR="00CC2DDD" w:rsidRPr="003E0A0F" w:rsidRDefault="00CC2DDD" w:rsidP="00CC2DDD">
      <w:pPr>
        <w:pStyle w:val="AmOrLang"/>
      </w:pPr>
      <w:r w:rsidRPr="003E0A0F">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22C417F0" w14:textId="77777777" w:rsidR="00CC2DDD" w:rsidRPr="003E0A0F" w:rsidRDefault="00CC2DDD" w:rsidP="00CC2DDD">
      <w:r w:rsidRPr="002D0F6F">
        <w:rPr>
          <w:rStyle w:val="HideTWBExt"/>
        </w:rPr>
        <w:t>&lt;/Amend&gt;</w:t>
      </w:r>
    </w:p>
    <w:p w14:paraId="17904A19"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33</w:t>
      </w:r>
      <w:r w:rsidRPr="002D0F6F">
        <w:rPr>
          <w:rStyle w:val="HideTWBExt"/>
          <w:b w:val="0"/>
        </w:rPr>
        <w:t>&lt;/NumAm&gt;</w:t>
      </w:r>
    </w:p>
    <w:p w14:paraId="15777275" w14:textId="77777777" w:rsidR="00CC2DDD" w:rsidRPr="003E0A0F" w:rsidRDefault="00CC2DDD" w:rsidP="00CC2DDD">
      <w:pPr>
        <w:pStyle w:val="NormalBold"/>
      </w:pPr>
      <w:r w:rsidRPr="002D0F6F">
        <w:rPr>
          <w:rStyle w:val="HideTWBExt"/>
          <w:b w:val="0"/>
        </w:rPr>
        <w:t>&lt;RepeatBlock-By&gt;&lt;Members&gt;</w:t>
      </w:r>
      <w:r w:rsidRPr="003E0A0F">
        <w:t>Pasquale Tridico</w:t>
      </w:r>
      <w:r w:rsidRPr="002D0F6F">
        <w:rPr>
          <w:rStyle w:val="HideTWBExt"/>
          <w:b w:val="0"/>
        </w:rPr>
        <w:t>&lt;/Members&gt;</w:t>
      </w:r>
    </w:p>
    <w:p w14:paraId="226EB006" w14:textId="77777777" w:rsidR="00CC2DDD" w:rsidRPr="003E0A0F" w:rsidRDefault="00CC2DDD" w:rsidP="00CC2DDD">
      <w:pPr>
        <w:pStyle w:val="NormalBold"/>
      </w:pPr>
      <w:r w:rsidRPr="002D0F6F">
        <w:rPr>
          <w:rStyle w:val="HideTWBExt"/>
          <w:b w:val="0"/>
        </w:rPr>
        <w:t>&lt;/RepeatBlock-By&gt;</w:t>
      </w:r>
    </w:p>
    <w:p w14:paraId="0B638E88"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055F9B4D" w14:textId="77777777" w:rsidR="00CC2DDD" w:rsidRPr="003E0A0F" w:rsidRDefault="00CC2DDD" w:rsidP="00CC2DDD">
      <w:pPr>
        <w:pStyle w:val="NormalBold"/>
      </w:pPr>
      <w:r w:rsidRPr="002D0F6F">
        <w:rPr>
          <w:rStyle w:val="HideTWBExt"/>
          <w:b w:val="0"/>
        </w:rPr>
        <w:t>&lt;Article&gt;</w:t>
      </w:r>
      <w:r w:rsidRPr="003E0A0F">
        <w:t>Paragrafo 50</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7E82890F" w14:textId="77777777" w:rsidTr="002D2F66">
        <w:trPr>
          <w:trHeight w:hRule="exact" w:val="240"/>
          <w:jc w:val="center"/>
        </w:trPr>
        <w:tc>
          <w:tcPr>
            <w:tcW w:w="9752" w:type="dxa"/>
            <w:gridSpan w:val="2"/>
            <w:tcBorders>
              <w:top w:val="nil"/>
              <w:left w:val="nil"/>
              <w:bottom w:val="nil"/>
              <w:right w:val="nil"/>
            </w:tcBorders>
          </w:tcPr>
          <w:p w14:paraId="3FD58CAC" w14:textId="77777777" w:rsidR="00CC2DDD" w:rsidRPr="003E0A0F" w:rsidRDefault="00CC2DDD" w:rsidP="002D2F66"/>
        </w:tc>
      </w:tr>
      <w:tr w:rsidR="00CC2DDD" w:rsidRPr="003E0A0F" w14:paraId="4CF0C3C4" w14:textId="77777777" w:rsidTr="002D2F66">
        <w:trPr>
          <w:trHeight w:val="240"/>
          <w:jc w:val="center"/>
        </w:trPr>
        <w:tc>
          <w:tcPr>
            <w:tcW w:w="4876" w:type="dxa"/>
            <w:tcBorders>
              <w:top w:val="nil"/>
              <w:left w:val="nil"/>
              <w:bottom w:val="nil"/>
              <w:right w:val="nil"/>
            </w:tcBorders>
          </w:tcPr>
          <w:p w14:paraId="70D0F7D6"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1BC0C275" w14:textId="77777777" w:rsidR="00CC2DDD" w:rsidRPr="003E0A0F" w:rsidRDefault="00CC2DDD" w:rsidP="002D2F66">
            <w:pPr>
              <w:pStyle w:val="AmColumnHeading"/>
            </w:pPr>
            <w:r w:rsidRPr="003E0A0F">
              <w:t>Emendamento</w:t>
            </w:r>
          </w:p>
        </w:tc>
      </w:tr>
      <w:tr w:rsidR="00CC2DDD" w:rsidRPr="003E0A0F" w14:paraId="05C786D1" w14:textId="77777777" w:rsidTr="002D2F66">
        <w:trPr>
          <w:jc w:val="center"/>
        </w:trPr>
        <w:tc>
          <w:tcPr>
            <w:tcW w:w="4876" w:type="dxa"/>
            <w:tcBorders>
              <w:top w:val="nil"/>
              <w:left w:val="nil"/>
              <w:bottom w:val="nil"/>
              <w:right w:val="nil"/>
            </w:tcBorders>
          </w:tcPr>
          <w:p w14:paraId="4B93180F" w14:textId="77777777" w:rsidR="00CC2DDD" w:rsidRPr="003E0A0F" w:rsidRDefault="00CC2DDD" w:rsidP="002D2F66">
            <w:pPr>
              <w:pStyle w:val="Normal6a"/>
            </w:pPr>
            <w:r w:rsidRPr="003E0A0F">
              <w:t>50.</w:t>
            </w:r>
            <w:r w:rsidRPr="003E0A0F">
              <w:tab/>
              <w:t xml:space="preserve">elogia la CGUE per i continui sforzi e i progressi significativi nella riduzione della sua impronta ambientale nel 2024, come dimostrato dalle sue prestazioni rispetto allo scenario di riferimento del sistema di ecogestione e audit (EMAS) del 2015, con riduzioni per equivalente a tempo pieno (ETP) ottenute in molti tipi di consumi/emissioni (riscaldamento: - 37,5 %; energia elettrica: -29,3 %; carta: -64,2 %, rifiuti da ufficio e da mensa: -40,4 %; emissioni di gas a </w:t>
            </w:r>
            <w:r w:rsidRPr="003E0A0F">
              <w:lastRenderedPageBreak/>
              <w:t>effetto serra: -</w:t>
            </w:r>
            <w:r w:rsidRPr="003E0A0F">
              <w:rPr>
                <w:b/>
                <w:i/>
              </w:rPr>
              <w:t>30,20</w:t>
            </w:r>
            <w:r w:rsidRPr="003E0A0F">
              <w:t> %); prende atto di un miglioramento complessivo rispetto alle riduzioni comunicate per il 2023; riconosce che tali risultati, combinati con le condizioni di mercato, hanno portato a una riduzione del 18 % della spesa energetica rispetto alle previsioni; elogia, in tale contesto, la solida integrazione della sostenibilità nel quadro della CGUE in materia di gestione dei rischi e responsabilità, come richiesto dalla sua certificazione EMAS;</w:t>
            </w:r>
          </w:p>
        </w:tc>
        <w:tc>
          <w:tcPr>
            <w:tcW w:w="4876" w:type="dxa"/>
            <w:tcBorders>
              <w:top w:val="nil"/>
              <w:left w:val="nil"/>
              <w:bottom w:val="nil"/>
              <w:right w:val="nil"/>
            </w:tcBorders>
          </w:tcPr>
          <w:p w14:paraId="650ED9D4" w14:textId="77777777" w:rsidR="00CC2DDD" w:rsidRPr="003E0A0F" w:rsidRDefault="00CC2DDD" w:rsidP="002D2F66">
            <w:pPr>
              <w:pStyle w:val="Normal6a"/>
            </w:pPr>
            <w:r w:rsidRPr="003E0A0F">
              <w:lastRenderedPageBreak/>
              <w:t>50.</w:t>
            </w:r>
            <w:r w:rsidRPr="003E0A0F">
              <w:tab/>
              <w:t xml:space="preserve">elogia la CGUE per i continui sforzi e i progressi significativi nella riduzione della sua impronta ambientale nel 2024, come dimostrato dalle sue prestazioni rispetto allo scenario di riferimento del sistema di ecogestione e audit (EMAS) del 2015, con riduzioni per equivalente a tempo pieno (ETP) ottenute in molti tipi di consumi/emissioni (riscaldamento: - 37,5 %; energia elettrica: -29,3 %; carta: -64,2 %, rifiuti da ufficio e da mensa: -40,4 %; emissioni di gas a </w:t>
            </w:r>
            <w:r w:rsidRPr="003E0A0F">
              <w:lastRenderedPageBreak/>
              <w:t>effetto serra: -</w:t>
            </w:r>
            <w:r w:rsidRPr="003E0A0F">
              <w:rPr>
                <w:b/>
                <w:i/>
              </w:rPr>
              <w:t>26,7</w:t>
            </w:r>
            <w:r w:rsidRPr="003E0A0F">
              <w:t> %); prende atto di un miglioramento complessivo rispetto alle riduzioni comunicate per il 2023; riconosce che tali risultati, combinati con le condizioni di mercato, hanno portato a una riduzione del 18 % della spesa energetica rispetto alle previsioni; elogia, in tale contesto, la solida integrazione della sostenibilità nel quadro della CGUE in materia di gestione dei rischi e responsabilità, come richiesto dalla sua certificazione EMAS;</w:t>
            </w:r>
          </w:p>
        </w:tc>
      </w:tr>
    </w:tbl>
    <w:p w14:paraId="528BA983" w14:textId="77777777" w:rsidR="00CC2DDD" w:rsidRPr="003E0A0F" w:rsidRDefault="00CC2DDD" w:rsidP="00CC2DDD">
      <w:pPr>
        <w:pStyle w:val="AmOrLang"/>
      </w:pPr>
      <w:r w:rsidRPr="003E0A0F">
        <w:lastRenderedPageBreak/>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52F2D929" w14:textId="77777777" w:rsidR="00CC2DDD" w:rsidRPr="003E0A0F" w:rsidRDefault="00CC2DDD" w:rsidP="00CC2DDD">
      <w:r w:rsidRPr="002D0F6F">
        <w:rPr>
          <w:rStyle w:val="HideTWBExt"/>
        </w:rPr>
        <w:t>&lt;/Amend&gt;</w:t>
      </w:r>
    </w:p>
    <w:p w14:paraId="30CAF434"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34</w:t>
      </w:r>
      <w:r w:rsidRPr="002D0F6F">
        <w:rPr>
          <w:rStyle w:val="HideTWBExt"/>
          <w:b w:val="0"/>
        </w:rPr>
        <w:t>&lt;/NumAm&gt;</w:t>
      </w:r>
    </w:p>
    <w:p w14:paraId="75074415" w14:textId="77777777" w:rsidR="00CC2DDD" w:rsidRPr="003E0A0F" w:rsidRDefault="00CC2DDD" w:rsidP="00CC2DDD">
      <w:pPr>
        <w:pStyle w:val="NormalBold"/>
      </w:pPr>
      <w:r w:rsidRPr="002D0F6F">
        <w:rPr>
          <w:rStyle w:val="HideTWBExt"/>
          <w:b w:val="0"/>
        </w:rPr>
        <w:t>&lt;RepeatBlock-By&gt;&lt;Members&gt;</w:t>
      </w:r>
      <w:r w:rsidRPr="003E0A0F">
        <w:t>Arno Bausemer</w:t>
      </w:r>
      <w:r w:rsidRPr="002D0F6F">
        <w:rPr>
          <w:rStyle w:val="HideTWBExt"/>
          <w:b w:val="0"/>
        </w:rPr>
        <w:t>&lt;/Members&gt;</w:t>
      </w:r>
    </w:p>
    <w:p w14:paraId="32CBC7A0" w14:textId="77777777" w:rsidR="00CC2DDD" w:rsidRPr="003E0A0F" w:rsidRDefault="00CC2DDD" w:rsidP="00CC2DDD">
      <w:pPr>
        <w:pStyle w:val="NormalBold"/>
      </w:pPr>
      <w:r w:rsidRPr="002D0F6F">
        <w:rPr>
          <w:rStyle w:val="HideTWBExt"/>
          <w:b w:val="0"/>
        </w:rPr>
        <w:t>&lt;/RepeatBlock-By&gt;</w:t>
      </w:r>
    </w:p>
    <w:p w14:paraId="4EB6117A"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39C952AF" w14:textId="77777777" w:rsidR="00CC2DDD" w:rsidRPr="003E0A0F" w:rsidRDefault="00CC2DDD" w:rsidP="00CC2DDD">
      <w:pPr>
        <w:pStyle w:val="NormalBold"/>
      </w:pPr>
      <w:r w:rsidRPr="002D0F6F">
        <w:rPr>
          <w:rStyle w:val="HideTWBExt"/>
          <w:b w:val="0"/>
        </w:rPr>
        <w:t>&lt;Article&gt;</w:t>
      </w:r>
      <w:r w:rsidRPr="003E0A0F">
        <w:t>Paragrafo 52</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6FD969EC" w14:textId="77777777" w:rsidTr="002D2F66">
        <w:trPr>
          <w:trHeight w:hRule="exact" w:val="240"/>
          <w:jc w:val="center"/>
        </w:trPr>
        <w:tc>
          <w:tcPr>
            <w:tcW w:w="9752" w:type="dxa"/>
            <w:gridSpan w:val="2"/>
            <w:tcBorders>
              <w:top w:val="nil"/>
              <w:left w:val="nil"/>
              <w:bottom w:val="nil"/>
              <w:right w:val="nil"/>
            </w:tcBorders>
          </w:tcPr>
          <w:p w14:paraId="7B75C37C" w14:textId="77777777" w:rsidR="00CC2DDD" w:rsidRPr="003E0A0F" w:rsidRDefault="00CC2DDD" w:rsidP="002D2F66"/>
        </w:tc>
      </w:tr>
      <w:tr w:rsidR="00CC2DDD" w:rsidRPr="003E0A0F" w14:paraId="34838270" w14:textId="77777777" w:rsidTr="002D2F66">
        <w:trPr>
          <w:trHeight w:val="240"/>
          <w:jc w:val="center"/>
        </w:trPr>
        <w:tc>
          <w:tcPr>
            <w:tcW w:w="4876" w:type="dxa"/>
            <w:tcBorders>
              <w:top w:val="nil"/>
              <w:left w:val="nil"/>
              <w:bottom w:val="nil"/>
              <w:right w:val="nil"/>
            </w:tcBorders>
          </w:tcPr>
          <w:p w14:paraId="02C188EF"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55AEF896" w14:textId="77777777" w:rsidR="00CC2DDD" w:rsidRPr="003E0A0F" w:rsidRDefault="00CC2DDD" w:rsidP="002D2F66">
            <w:pPr>
              <w:pStyle w:val="AmColumnHeading"/>
            </w:pPr>
            <w:r w:rsidRPr="003E0A0F">
              <w:t>Emendamento</w:t>
            </w:r>
          </w:p>
        </w:tc>
      </w:tr>
      <w:tr w:rsidR="00CC2DDD" w:rsidRPr="003E0A0F" w14:paraId="5AD12982" w14:textId="77777777" w:rsidTr="002D2F66">
        <w:trPr>
          <w:jc w:val="center"/>
        </w:trPr>
        <w:tc>
          <w:tcPr>
            <w:tcW w:w="4876" w:type="dxa"/>
            <w:tcBorders>
              <w:top w:val="nil"/>
              <w:left w:val="nil"/>
              <w:bottom w:val="nil"/>
              <w:right w:val="nil"/>
            </w:tcBorders>
          </w:tcPr>
          <w:p w14:paraId="342FDB67" w14:textId="77777777" w:rsidR="00CC2DDD" w:rsidRPr="003E0A0F" w:rsidRDefault="00CC2DDD" w:rsidP="002D2F66">
            <w:pPr>
              <w:pStyle w:val="Normal6a"/>
            </w:pPr>
            <w:r w:rsidRPr="003E0A0F">
              <w:rPr>
                <w:b/>
                <w:i/>
              </w:rPr>
              <w:t>52.</w:t>
            </w:r>
            <w:r w:rsidRPr="003E0A0F">
              <w:tab/>
            </w:r>
            <w:r w:rsidRPr="003E0A0F">
              <w:rPr>
                <w:b/>
                <w:i/>
              </w:rPr>
              <w:t>si congratula con la CGUE per il suo approccio rigoroso agli appalti sostenibili, attraverso la categorizzazione dei bandi di gara in base all'impatto ("verde chiaro", "verde medio", "verde superiore") delle loro clausole ambientali, l'uso sistematico di strumenti quali l'autovalutazione obbligatoria delle "prestazioni verdi" e la consultazione dell'helpdesk interistituzionale sugli appalti pubblici sostenibili; osserva che nel 2024 undici importanti gare d'appalto di importo superiore a 60 000 EUR erano "appalti verdi", otto dei quali includevano clausole ambientali significative; accoglie con favore, in particolare, l'efficace attuazione del nuovo contratto di ristorazione, che richiede pratiche alimentari sostenibili e detiene la certificazione ISO 14001, e il conseguimento dell'obiettivo di limitare le gare d'appalto "verde chiaro" ben al di sotto dell'obiettivo del 50 %;</w:t>
            </w:r>
          </w:p>
        </w:tc>
        <w:tc>
          <w:tcPr>
            <w:tcW w:w="4876" w:type="dxa"/>
            <w:tcBorders>
              <w:top w:val="nil"/>
              <w:left w:val="nil"/>
              <w:bottom w:val="nil"/>
              <w:right w:val="nil"/>
            </w:tcBorders>
          </w:tcPr>
          <w:p w14:paraId="2B00DAA8" w14:textId="77777777" w:rsidR="00CC2DDD" w:rsidRPr="003E0A0F" w:rsidRDefault="00CC2DDD" w:rsidP="002D2F66">
            <w:pPr>
              <w:pStyle w:val="Normal6a"/>
            </w:pPr>
            <w:r w:rsidRPr="003E0A0F">
              <w:rPr>
                <w:b/>
                <w:i/>
              </w:rPr>
              <w:t>soppresso</w:t>
            </w:r>
          </w:p>
        </w:tc>
      </w:tr>
    </w:tbl>
    <w:p w14:paraId="25324F33" w14:textId="77777777" w:rsidR="00CC2DDD" w:rsidRPr="003E0A0F" w:rsidRDefault="00CC2DDD" w:rsidP="00CC2DDD">
      <w:pPr>
        <w:pStyle w:val="AmOrLang"/>
      </w:pPr>
      <w:r w:rsidRPr="003E0A0F">
        <w:lastRenderedPageBreak/>
        <w:t xml:space="preserve">Or. </w:t>
      </w:r>
      <w:r w:rsidRPr="002D0F6F">
        <w:rPr>
          <w:rStyle w:val="HideTWBExt"/>
        </w:rPr>
        <w:t>&lt;Original&gt;</w:t>
      </w:r>
      <w:r w:rsidRPr="002D0F6F">
        <w:rPr>
          <w:rStyle w:val="HideTWBInt"/>
        </w:rPr>
        <w:t>{DE}</w:t>
      </w:r>
      <w:r w:rsidRPr="003E0A0F">
        <w:t>de</w:t>
      </w:r>
      <w:r w:rsidRPr="002D0F6F">
        <w:rPr>
          <w:rStyle w:val="HideTWBExt"/>
        </w:rPr>
        <w:t>&lt;/Original&gt;</w:t>
      </w:r>
    </w:p>
    <w:p w14:paraId="57BEAC1D" w14:textId="7EB9050A" w:rsidR="00CC2DDD" w:rsidRPr="003E0A0F" w:rsidRDefault="00CC2DDD" w:rsidP="00CC2DDD">
      <w:r w:rsidRPr="002D0F6F">
        <w:rPr>
          <w:rStyle w:val="HideTWBExt"/>
        </w:rPr>
        <w:t>&lt;/Amend&gt;</w:t>
      </w:r>
    </w:p>
    <w:p w14:paraId="428729C8"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35</w:t>
      </w:r>
      <w:r w:rsidRPr="002D0F6F">
        <w:rPr>
          <w:rStyle w:val="HideTWBExt"/>
          <w:b w:val="0"/>
        </w:rPr>
        <w:t>&lt;/NumAm&gt;</w:t>
      </w:r>
    </w:p>
    <w:p w14:paraId="565AB5B2" w14:textId="77777777" w:rsidR="00CC2DDD" w:rsidRPr="003E0A0F" w:rsidRDefault="00CC2DDD" w:rsidP="00CC2DDD">
      <w:pPr>
        <w:pStyle w:val="NormalBold"/>
      </w:pPr>
      <w:r w:rsidRPr="002D0F6F">
        <w:rPr>
          <w:rStyle w:val="HideTWBExt"/>
          <w:b w:val="0"/>
        </w:rPr>
        <w:t>&lt;RepeatBlock-By&gt;&lt;Members&gt;</w:t>
      </w:r>
      <w:r w:rsidRPr="003E0A0F">
        <w:t>Pasquale Tridico</w:t>
      </w:r>
      <w:r w:rsidRPr="002D0F6F">
        <w:rPr>
          <w:rStyle w:val="HideTWBExt"/>
          <w:b w:val="0"/>
        </w:rPr>
        <w:t>&lt;/Members&gt;</w:t>
      </w:r>
    </w:p>
    <w:p w14:paraId="70F957E9" w14:textId="77777777" w:rsidR="00CC2DDD" w:rsidRPr="003E0A0F" w:rsidRDefault="00CC2DDD" w:rsidP="00CC2DDD">
      <w:pPr>
        <w:pStyle w:val="NormalBold"/>
      </w:pPr>
      <w:r w:rsidRPr="002D0F6F">
        <w:rPr>
          <w:rStyle w:val="HideTWBExt"/>
          <w:b w:val="0"/>
        </w:rPr>
        <w:t>&lt;/RepeatBlock-By&gt;</w:t>
      </w:r>
    </w:p>
    <w:p w14:paraId="28AE7537"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47D3844A" w14:textId="77777777" w:rsidR="00CC2DDD" w:rsidRPr="003E0A0F" w:rsidRDefault="00CC2DDD" w:rsidP="00CC2DDD">
      <w:pPr>
        <w:pStyle w:val="NormalBold"/>
      </w:pPr>
      <w:r w:rsidRPr="002D0F6F">
        <w:rPr>
          <w:rStyle w:val="HideTWBExt"/>
          <w:b w:val="0"/>
        </w:rPr>
        <w:t>&lt;Article&gt;</w:t>
      </w:r>
      <w:r w:rsidRPr="003E0A0F">
        <w:t>Paragrafo 52</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0A1B3DB8" w14:textId="77777777" w:rsidTr="002D2F66">
        <w:trPr>
          <w:trHeight w:hRule="exact" w:val="240"/>
          <w:jc w:val="center"/>
        </w:trPr>
        <w:tc>
          <w:tcPr>
            <w:tcW w:w="9752" w:type="dxa"/>
            <w:gridSpan w:val="2"/>
            <w:tcBorders>
              <w:top w:val="nil"/>
              <w:left w:val="nil"/>
              <w:bottom w:val="nil"/>
              <w:right w:val="nil"/>
            </w:tcBorders>
          </w:tcPr>
          <w:p w14:paraId="1886E566" w14:textId="77777777" w:rsidR="00CC2DDD" w:rsidRPr="003E0A0F" w:rsidRDefault="00CC2DDD" w:rsidP="002D2F66"/>
        </w:tc>
      </w:tr>
      <w:tr w:rsidR="00CC2DDD" w:rsidRPr="003E0A0F" w14:paraId="73C30B0D" w14:textId="77777777" w:rsidTr="002D2F66">
        <w:trPr>
          <w:trHeight w:val="240"/>
          <w:jc w:val="center"/>
        </w:trPr>
        <w:tc>
          <w:tcPr>
            <w:tcW w:w="4876" w:type="dxa"/>
            <w:tcBorders>
              <w:top w:val="nil"/>
              <w:left w:val="nil"/>
              <w:bottom w:val="nil"/>
              <w:right w:val="nil"/>
            </w:tcBorders>
          </w:tcPr>
          <w:p w14:paraId="521B7025"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01AA0D0B" w14:textId="77777777" w:rsidR="00CC2DDD" w:rsidRPr="003E0A0F" w:rsidRDefault="00CC2DDD" w:rsidP="002D2F66">
            <w:pPr>
              <w:pStyle w:val="AmColumnHeading"/>
            </w:pPr>
            <w:r w:rsidRPr="003E0A0F">
              <w:t>Emendamento</w:t>
            </w:r>
          </w:p>
        </w:tc>
      </w:tr>
      <w:tr w:rsidR="00CC2DDD" w:rsidRPr="003E0A0F" w14:paraId="2060A7D9" w14:textId="77777777" w:rsidTr="002D2F66">
        <w:trPr>
          <w:jc w:val="center"/>
        </w:trPr>
        <w:tc>
          <w:tcPr>
            <w:tcW w:w="4876" w:type="dxa"/>
            <w:tcBorders>
              <w:top w:val="nil"/>
              <w:left w:val="nil"/>
              <w:bottom w:val="nil"/>
              <w:right w:val="nil"/>
            </w:tcBorders>
          </w:tcPr>
          <w:p w14:paraId="1C8BEA70" w14:textId="77777777" w:rsidR="00CC2DDD" w:rsidRPr="003E0A0F" w:rsidRDefault="00CC2DDD" w:rsidP="002D2F66">
            <w:pPr>
              <w:pStyle w:val="Normal6a"/>
            </w:pPr>
            <w:r w:rsidRPr="003E0A0F">
              <w:t>52.</w:t>
            </w:r>
            <w:r w:rsidRPr="003E0A0F">
              <w:tab/>
              <w:t xml:space="preserve">si congratula con la CGUE per il suo approccio rigoroso agli appalti sostenibili, attraverso la categorizzazione dei bandi di gara in base all'impatto ("verde chiaro", "verde medio", "verde superiore") delle loro clausole ambientali, l'uso sistematico di strumenti quali l'autovalutazione obbligatoria delle "prestazioni verdi" e la consultazione dell'helpdesk interistituzionale sugli appalti pubblici sostenibili; osserva che nel 2024 </w:t>
            </w:r>
            <w:r w:rsidRPr="003E0A0F">
              <w:rPr>
                <w:b/>
                <w:i/>
              </w:rPr>
              <w:t>undici</w:t>
            </w:r>
            <w:r w:rsidRPr="003E0A0F">
              <w:t xml:space="preserve"> importanti gare d'appalto di importo superiore a 60 000 EUR erano "appalti verdi", </w:t>
            </w:r>
            <w:r w:rsidRPr="003E0A0F">
              <w:rPr>
                <w:b/>
                <w:i/>
              </w:rPr>
              <w:t>otto</w:t>
            </w:r>
            <w:r w:rsidRPr="003E0A0F">
              <w:t xml:space="preserve"> dei quali includevano clausole ambientali significative; accoglie con favore, in particolare, l'efficace attuazione del nuovo contratto di ristorazione, che richiede pratiche alimentari sostenibili e detiene la certificazione ISO 14001, e il conseguimento dell'obiettivo di limitare le gare d'appalto "verde chiaro" ben al di sotto dell'obiettivo del 50 %;</w:t>
            </w:r>
          </w:p>
        </w:tc>
        <w:tc>
          <w:tcPr>
            <w:tcW w:w="4876" w:type="dxa"/>
            <w:tcBorders>
              <w:top w:val="nil"/>
              <w:left w:val="nil"/>
              <w:bottom w:val="nil"/>
              <w:right w:val="nil"/>
            </w:tcBorders>
          </w:tcPr>
          <w:p w14:paraId="3EAD7B51" w14:textId="77777777" w:rsidR="00CC2DDD" w:rsidRPr="003E0A0F" w:rsidRDefault="00CC2DDD" w:rsidP="002D2F66">
            <w:pPr>
              <w:pStyle w:val="Normal6a"/>
            </w:pPr>
            <w:r w:rsidRPr="003E0A0F">
              <w:t>52.</w:t>
            </w:r>
            <w:r w:rsidRPr="003E0A0F">
              <w:tab/>
              <w:t xml:space="preserve">si congratula con la CGUE per il suo approccio rigoroso agli appalti sostenibili, attraverso la categorizzazione dei bandi di gara in base all'impatto ("verde chiaro", "verde medio", "verde superiore") delle loro clausole ambientali, l'uso sistematico di strumenti quali l'autovalutazione obbligatoria delle "prestazioni verdi" e la consultazione dell'helpdesk interistituzionale sugli appalti pubblici sostenibili; osserva che nel 2024 </w:t>
            </w:r>
            <w:r w:rsidRPr="003E0A0F">
              <w:rPr>
                <w:b/>
                <w:i/>
              </w:rPr>
              <w:t>otto</w:t>
            </w:r>
            <w:r w:rsidRPr="003E0A0F">
              <w:t xml:space="preserve"> importanti gare d'appalto di importo superiore a 60 000 EUR erano "appalti verdi", </w:t>
            </w:r>
            <w:r w:rsidRPr="003E0A0F">
              <w:rPr>
                <w:b/>
                <w:i/>
              </w:rPr>
              <w:t>sei</w:t>
            </w:r>
            <w:r w:rsidRPr="003E0A0F">
              <w:t xml:space="preserve"> dei quali includevano clausole ambientali significative; accoglie con favore, in particolare, l'efficace attuazione del nuovo contratto di ristorazione, che richiede pratiche alimentari sostenibili e detiene la certificazione ISO 14001, e il conseguimento dell'obiettivo di limitare le gare d'appalto "verde chiaro" ben al di sotto dell'obiettivo del 50 %;</w:t>
            </w:r>
          </w:p>
        </w:tc>
      </w:tr>
    </w:tbl>
    <w:p w14:paraId="3713E602" w14:textId="77777777" w:rsidR="00CC2DDD" w:rsidRPr="003E0A0F" w:rsidRDefault="00CC2DDD" w:rsidP="00CC2DDD">
      <w:pPr>
        <w:pStyle w:val="AmOrLang"/>
      </w:pPr>
      <w:r w:rsidRPr="003E0A0F">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116B9AB8" w14:textId="77777777" w:rsidR="00CC2DDD" w:rsidRPr="003E0A0F" w:rsidRDefault="00CC2DDD" w:rsidP="00CC2DDD">
      <w:r w:rsidRPr="002D0F6F">
        <w:rPr>
          <w:rStyle w:val="HideTWBExt"/>
        </w:rPr>
        <w:t>&lt;/Amend&gt;</w:t>
      </w:r>
    </w:p>
    <w:p w14:paraId="315A8075"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36</w:t>
      </w:r>
      <w:r w:rsidRPr="002D0F6F">
        <w:rPr>
          <w:rStyle w:val="HideTWBExt"/>
          <w:b w:val="0"/>
        </w:rPr>
        <w:t>&lt;/NumAm&gt;</w:t>
      </w:r>
    </w:p>
    <w:p w14:paraId="77FED620" w14:textId="77777777" w:rsidR="00CC2DDD" w:rsidRPr="003E0A0F" w:rsidRDefault="00CC2DDD" w:rsidP="00CC2DDD">
      <w:pPr>
        <w:pStyle w:val="NormalBold"/>
      </w:pPr>
      <w:r w:rsidRPr="002D0F6F">
        <w:rPr>
          <w:rStyle w:val="HideTWBExt"/>
          <w:b w:val="0"/>
        </w:rPr>
        <w:t>&lt;RepeatBlock-By&gt;&lt;Members&gt;</w:t>
      </w:r>
      <w:r w:rsidRPr="003E0A0F">
        <w:t>Ondřej Knotek, Julien Sanchez, Virginie Joron, Tamás Deutsch</w:t>
      </w:r>
      <w:r w:rsidRPr="002D0F6F">
        <w:rPr>
          <w:rStyle w:val="HideTWBExt"/>
          <w:b w:val="0"/>
        </w:rPr>
        <w:t>&lt;/Members&gt;</w:t>
      </w:r>
    </w:p>
    <w:p w14:paraId="066990B9" w14:textId="77777777" w:rsidR="00CC2DDD" w:rsidRPr="003E0A0F" w:rsidRDefault="00CC2DDD" w:rsidP="00CC2DDD">
      <w:pPr>
        <w:pStyle w:val="NormalBold"/>
      </w:pPr>
      <w:r w:rsidRPr="002D0F6F">
        <w:rPr>
          <w:rStyle w:val="HideTWBExt"/>
          <w:b w:val="0"/>
        </w:rPr>
        <w:t>&lt;/RepeatBlock-By&gt;</w:t>
      </w:r>
    </w:p>
    <w:p w14:paraId="1AE1CFDE"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63F03623" w14:textId="77777777" w:rsidR="00CC2DDD" w:rsidRPr="003E0A0F" w:rsidRDefault="00CC2DDD" w:rsidP="00CC2DDD">
      <w:pPr>
        <w:pStyle w:val="NormalBold"/>
      </w:pPr>
      <w:r w:rsidRPr="002D0F6F">
        <w:rPr>
          <w:rStyle w:val="HideTWBExt"/>
          <w:b w:val="0"/>
        </w:rPr>
        <w:t>&lt;Article&gt;</w:t>
      </w:r>
      <w:r w:rsidRPr="003E0A0F">
        <w:t>Paragrafo 52 bis (nuovo)</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3C8BD6ED" w14:textId="77777777" w:rsidTr="002D2F66">
        <w:trPr>
          <w:trHeight w:hRule="exact" w:val="240"/>
          <w:jc w:val="center"/>
        </w:trPr>
        <w:tc>
          <w:tcPr>
            <w:tcW w:w="9752" w:type="dxa"/>
            <w:gridSpan w:val="2"/>
            <w:tcBorders>
              <w:top w:val="nil"/>
              <w:left w:val="nil"/>
              <w:bottom w:val="nil"/>
              <w:right w:val="nil"/>
            </w:tcBorders>
          </w:tcPr>
          <w:p w14:paraId="1159C94A" w14:textId="77777777" w:rsidR="00CC2DDD" w:rsidRPr="003E0A0F" w:rsidRDefault="00CC2DDD" w:rsidP="002D2F66"/>
        </w:tc>
      </w:tr>
      <w:tr w:rsidR="00CC2DDD" w:rsidRPr="003E0A0F" w14:paraId="44D7CCE0" w14:textId="77777777" w:rsidTr="002D2F66">
        <w:trPr>
          <w:trHeight w:val="240"/>
          <w:jc w:val="center"/>
        </w:trPr>
        <w:tc>
          <w:tcPr>
            <w:tcW w:w="4876" w:type="dxa"/>
            <w:tcBorders>
              <w:top w:val="nil"/>
              <w:left w:val="nil"/>
              <w:bottom w:val="nil"/>
              <w:right w:val="nil"/>
            </w:tcBorders>
          </w:tcPr>
          <w:p w14:paraId="5BC12108"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1B1D0F11" w14:textId="77777777" w:rsidR="00CC2DDD" w:rsidRPr="003E0A0F" w:rsidRDefault="00CC2DDD" w:rsidP="002D2F66">
            <w:pPr>
              <w:pStyle w:val="AmColumnHeading"/>
            </w:pPr>
            <w:r w:rsidRPr="003E0A0F">
              <w:t>Emendamento</w:t>
            </w:r>
          </w:p>
        </w:tc>
      </w:tr>
      <w:tr w:rsidR="00CC2DDD" w:rsidRPr="003E0A0F" w14:paraId="47F0D7D4" w14:textId="77777777" w:rsidTr="002D2F66">
        <w:trPr>
          <w:jc w:val="center"/>
        </w:trPr>
        <w:tc>
          <w:tcPr>
            <w:tcW w:w="4876" w:type="dxa"/>
            <w:tcBorders>
              <w:top w:val="nil"/>
              <w:left w:val="nil"/>
              <w:bottom w:val="nil"/>
              <w:right w:val="nil"/>
            </w:tcBorders>
          </w:tcPr>
          <w:p w14:paraId="25DB9514" w14:textId="77777777" w:rsidR="00CC2DDD" w:rsidRPr="003E0A0F" w:rsidRDefault="00CC2DDD" w:rsidP="002D2F66">
            <w:pPr>
              <w:pStyle w:val="Normal6a"/>
            </w:pPr>
          </w:p>
        </w:tc>
        <w:tc>
          <w:tcPr>
            <w:tcW w:w="4876" w:type="dxa"/>
            <w:tcBorders>
              <w:top w:val="nil"/>
              <w:left w:val="nil"/>
              <w:bottom w:val="nil"/>
              <w:right w:val="nil"/>
            </w:tcBorders>
          </w:tcPr>
          <w:p w14:paraId="73F2E2B9" w14:textId="77777777" w:rsidR="00CC2DDD" w:rsidRPr="003E0A0F" w:rsidRDefault="00CC2DDD" w:rsidP="002D2F66">
            <w:pPr>
              <w:pStyle w:val="Normal6a"/>
            </w:pPr>
            <w:r w:rsidRPr="003E0A0F">
              <w:rPr>
                <w:b/>
                <w:i/>
              </w:rPr>
              <w:t>52 bis.</w:t>
            </w:r>
            <w:r w:rsidRPr="003E0A0F">
              <w:tab/>
            </w:r>
            <w:r w:rsidRPr="003E0A0F">
              <w:rPr>
                <w:b/>
                <w:i/>
              </w:rPr>
              <w:t xml:space="preserve">sottolinea che le iniziative di </w:t>
            </w:r>
            <w:r w:rsidRPr="003E0A0F">
              <w:rPr>
                <w:b/>
                <w:i/>
              </w:rPr>
              <w:lastRenderedPageBreak/>
              <w:t>carattere ambientale all'interno delle istituzioni dell'Unione devono rimanere efficaci sotto il profilo dei costi e tecnologicamente neutre; invita la Corte a fornire un'analisi costi-benefici trasparente dei suoi investimenti verdi e delle sue pratiche in materia di appalti e a garantire che le considerazioni ambientali non prevalgano sull'efficienza o sulla disciplina di bilancio;</w:t>
            </w:r>
          </w:p>
        </w:tc>
      </w:tr>
    </w:tbl>
    <w:p w14:paraId="7D94CD55" w14:textId="77777777" w:rsidR="00CC2DDD" w:rsidRPr="003E0A0F" w:rsidRDefault="00CC2DDD" w:rsidP="00CC2DDD">
      <w:pPr>
        <w:pStyle w:val="AmOrLang"/>
      </w:pPr>
      <w:r w:rsidRPr="003E0A0F">
        <w:lastRenderedPageBreak/>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5096369B" w14:textId="77777777" w:rsidR="00CC2DDD" w:rsidRPr="003E0A0F" w:rsidRDefault="00CC2DDD" w:rsidP="00CC2DDD">
      <w:r w:rsidRPr="002D0F6F">
        <w:rPr>
          <w:rStyle w:val="HideTWBExt"/>
        </w:rPr>
        <w:t>&lt;/Amend&gt;</w:t>
      </w:r>
    </w:p>
    <w:p w14:paraId="12FCB95C"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37</w:t>
      </w:r>
      <w:r w:rsidRPr="002D0F6F">
        <w:rPr>
          <w:rStyle w:val="HideTWBExt"/>
          <w:b w:val="0"/>
        </w:rPr>
        <w:t>&lt;/NumAm&gt;</w:t>
      </w:r>
    </w:p>
    <w:p w14:paraId="045FAE4E" w14:textId="77777777" w:rsidR="00CC2DDD" w:rsidRPr="003E0A0F" w:rsidRDefault="00CC2DDD" w:rsidP="00CC2DDD">
      <w:pPr>
        <w:pStyle w:val="NormalBold"/>
      </w:pPr>
      <w:r w:rsidRPr="002D0F6F">
        <w:rPr>
          <w:rStyle w:val="HideTWBExt"/>
          <w:b w:val="0"/>
        </w:rPr>
        <w:t>&lt;RepeatBlock-By&gt;&lt;Members&gt;</w:t>
      </w:r>
      <w:r w:rsidRPr="003E0A0F">
        <w:t>Pasquale Tridico</w:t>
      </w:r>
      <w:r w:rsidRPr="002D0F6F">
        <w:rPr>
          <w:rStyle w:val="HideTWBExt"/>
          <w:b w:val="0"/>
        </w:rPr>
        <w:t>&lt;/Members&gt;</w:t>
      </w:r>
    </w:p>
    <w:p w14:paraId="65AE9C6F" w14:textId="77777777" w:rsidR="00CC2DDD" w:rsidRPr="003E0A0F" w:rsidRDefault="00CC2DDD" w:rsidP="00CC2DDD">
      <w:pPr>
        <w:pStyle w:val="NormalBold"/>
      </w:pPr>
      <w:r w:rsidRPr="002D0F6F">
        <w:rPr>
          <w:rStyle w:val="HideTWBExt"/>
          <w:b w:val="0"/>
        </w:rPr>
        <w:t>&lt;/RepeatBlock-By&gt;</w:t>
      </w:r>
    </w:p>
    <w:p w14:paraId="76B42DB4"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794A5B5B" w14:textId="77777777" w:rsidR="00CC2DDD" w:rsidRPr="003E0A0F" w:rsidRDefault="00CC2DDD" w:rsidP="00CC2DDD">
      <w:pPr>
        <w:pStyle w:val="NormalBold"/>
      </w:pPr>
      <w:r w:rsidRPr="002D0F6F">
        <w:rPr>
          <w:rStyle w:val="HideTWBExt"/>
          <w:b w:val="0"/>
        </w:rPr>
        <w:t>&lt;Article&gt;</w:t>
      </w:r>
      <w:r w:rsidRPr="003E0A0F">
        <w:t>Paragrafo 60</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6DC0037F" w14:textId="77777777" w:rsidTr="002D2F66">
        <w:trPr>
          <w:trHeight w:hRule="exact" w:val="240"/>
          <w:jc w:val="center"/>
        </w:trPr>
        <w:tc>
          <w:tcPr>
            <w:tcW w:w="9752" w:type="dxa"/>
            <w:gridSpan w:val="2"/>
            <w:tcBorders>
              <w:top w:val="nil"/>
              <w:left w:val="nil"/>
              <w:bottom w:val="nil"/>
              <w:right w:val="nil"/>
            </w:tcBorders>
          </w:tcPr>
          <w:p w14:paraId="349FB3C3" w14:textId="77777777" w:rsidR="00CC2DDD" w:rsidRPr="003E0A0F" w:rsidRDefault="00CC2DDD" w:rsidP="002D2F66"/>
        </w:tc>
      </w:tr>
      <w:tr w:rsidR="00CC2DDD" w:rsidRPr="003E0A0F" w14:paraId="1130AFCD" w14:textId="77777777" w:rsidTr="002D2F66">
        <w:trPr>
          <w:trHeight w:val="240"/>
          <w:jc w:val="center"/>
        </w:trPr>
        <w:tc>
          <w:tcPr>
            <w:tcW w:w="4876" w:type="dxa"/>
            <w:tcBorders>
              <w:top w:val="nil"/>
              <w:left w:val="nil"/>
              <w:bottom w:val="nil"/>
              <w:right w:val="nil"/>
            </w:tcBorders>
          </w:tcPr>
          <w:p w14:paraId="7A532029"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6205BD01" w14:textId="77777777" w:rsidR="00CC2DDD" w:rsidRPr="003E0A0F" w:rsidRDefault="00CC2DDD" w:rsidP="002D2F66">
            <w:pPr>
              <w:pStyle w:val="AmColumnHeading"/>
            </w:pPr>
            <w:r w:rsidRPr="003E0A0F">
              <w:t>Emendamento</w:t>
            </w:r>
          </w:p>
        </w:tc>
      </w:tr>
      <w:tr w:rsidR="00CC2DDD" w:rsidRPr="003E0A0F" w14:paraId="3868BB76" w14:textId="77777777" w:rsidTr="002D2F66">
        <w:trPr>
          <w:jc w:val="center"/>
        </w:trPr>
        <w:tc>
          <w:tcPr>
            <w:tcW w:w="4876" w:type="dxa"/>
            <w:tcBorders>
              <w:top w:val="nil"/>
              <w:left w:val="nil"/>
              <w:bottom w:val="nil"/>
              <w:right w:val="nil"/>
            </w:tcBorders>
          </w:tcPr>
          <w:p w14:paraId="13D4F62F" w14:textId="77777777" w:rsidR="00CC2DDD" w:rsidRPr="003E0A0F" w:rsidRDefault="00CC2DDD" w:rsidP="002D2F66">
            <w:pPr>
              <w:pStyle w:val="Normal6a"/>
            </w:pPr>
            <w:r w:rsidRPr="003E0A0F">
              <w:t>60.</w:t>
            </w:r>
            <w:r w:rsidRPr="003E0A0F">
              <w:tab/>
              <w:t xml:space="preserve">rileva che, nel 2024, la CGUE ha intensificato gli sforzi tesi a coinvolgere i cittadini dell'Unione migliorando la propria presenza sui social media; osserva che, alla fine del 2024, il numero di iscritti all'account LinkedIn della CGUE è aumentato del 26 % e il numero di follower sui due account della CGUE su X (ex Twitter) del 2,5 %, mentre le visualizzazioni sul suo canale YouTube sono aumentate del </w:t>
            </w:r>
            <w:r w:rsidRPr="003E0A0F">
              <w:rPr>
                <w:b/>
                <w:i/>
              </w:rPr>
              <w:t>236</w:t>
            </w:r>
            <w:r w:rsidRPr="003E0A0F">
              <w:t xml:space="preserve"> % e il numero dei suoi iscritti a YouTube è aumentato </w:t>
            </w:r>
            <w:r w:rsidRPr="003E0A0F">
              <w:rPr>
                <w:b/>
                <w:i/>
              </w:rPr>
              <w:t>di oltre il 400</w:t>
            </w:r>
            <w:r w:rsidRPr="003E0A0F">
              <w:t> % rispetto all'anno precedente; constata che l'aumento parabolico delle visualizzazioni e degli iscritti è in parte dovuto a una campagna promozionale organizzata dalla CGUE;</w:t>
            </w:r>
          </w:p>
        </w:tc>
        <w:tc>
          <w:tcPr>
            <w:tcW w:w="4876" w:type="dxa"/>
            <w:tcBorders>
              <w:top w:val="nil"/>
              <w:left w:val="nil"/>
              <w:bottom w:val="nil"/>
              <w:right w:val="nil"/>
            </w:tcBorders>
          </w:tcPr>
          <w:p w14:paraId="6BF53114" w14:textId="77777777" w:rsidR="00CC2DDD" w:rsidRPr="003E0A0F" w:rsidRDefault="00CC2DDD" w:rsidP="002D2F66">
            <w:pPr>
              <w:pStyle w:val="Normal6a"/>
            </w:pPr>
            <w:r w:rsidRPr="003E0A0F">
              <w:t>60.</w:t>
            </w:r>
            <w:r w:rsidRPr="003E0A0F">
              <w:tab/>
              <w:t xml:space="preserve">rileva che, nel 2024, la CGUE ha intensificato gli sforzi tesi a coinvolgere i cittadini dell'Unione migliorando la propria presenza sui social media; osserva che, alla fine del 2024, il numero di iscritti all'account LinkedIn della CGUE è aumentato del 26 % e il numero di follower sui due account della CGUE su X (ex Twitter) del 2,5 %, mentre le visualizzazioni sul suo canale YouTube sono aumentate del </w:t>
            </w:r>
            <w:r w:rsidRPr="003E0A0F">
              <w:rPr>
                <w:b/>
                <w:i/>
              </w:rPr>
              <w:t>137</w:t>
            </w:r>
            <w:r w:rsidRPr="003E0A0F">
              <w:t xml:space="preserve"> % e il numero dei suoi iscritti a YouTube è aumentato </w:t>
            </w:r>
            <w:r w:rsidRPr="003E0A0F">
              <w:rPr>
                <w:b/>
                <w:i/>
              </w:rPr>
              <w:t>del 329</w:t>
            </w:r>
            <w:r w:rsidRPr="003E0A0F">
              <w:t> % rispetto all'anno precedente; constata che l'aumento parabolico delle visualizzazioni e degli iscritti è in parte dovuto a una campagna promozionale organizzata dalla CGUE;</w:t>
            </w:r>
          </w:p>
        </w:tc>
      </w:tr>
    </w:tbl>
    <w:p w14:paraId="24EC66A0" w14:textId="77777777" w:rsidR="00CC2DDD" w:rsidRPr="003E0A0F" w:rsidRDefault="00CC2DDD" w:rsidP="00CC2DDD">
      <w:pPr>
        <w:pStyle w:val="AmOrLang"/>
      </w:pPr>
      <w:r w:rsidRPr="003E0A0F">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1C29C9EA" w14:textId="77777777" w:rsidR="00CC2DDD" w:rsidRPr="003E0A0F" w:rsidRDefault="00CC2DDD" w:rsidP="00CC2DDD">
      <w:r w:rsidRPr="002D0F6F">
        <w:rPr>
          <w:rStyle w:val="HideTWBExt"/>
        </w:rPr>
        <w:t>&lt;/Amend&gt;</w:t>
      </w:r>
    </w:p>
    <w:p w14:paraId="3B19F638" w14:textId="77777777" w:rsidR="00CC2DDD" w:rsidRPr="003E0A0F" w:rsidRDefault="00CC2DDD" w:rsidP="00CC2DDD">
      <w:pPr>
        <w:pStyle w:val="AmNumberTabs"/>
      </w:pPr>
      <w:r w:rsidRPr="002D0F6F">
        <w:rPr>
          <w:rStyle w:val="HideTWBExt"/>
          <w:b w:val="0"/>
        </w:rPr>
        <w:t>&lt;Amend&gt;</w:t>
      </w:r>
      <w:r w:rsidRPr="003E0A0F">
        <w:t>Emendamento</w:t>
      </w:r>
      <w:r w:rsidRPr="003E0A0F">
        <w:tab/>
      </w:r>
      <w:r w:rsidRPr="003E0A0F">
        <w:tab/>
      </w:r>
      <w:r w:rsidRPr="002D0F6F">
        <w:rPr>
          <w:rStyle w:val="HideTWBExt"/>
          <w:b w:val="0"/>
        </w:rPr>
        <w:t>&lt;NumAm&gt;</w:t>
      </w:r>
      <w:r w:rsidRPr="003E0A0F">
        <w:t>38</w:t>
      </w:r>
      <w:r w:rsidRPr="002D0F6F">
        <w:rPr>
          <w:rStyle w:val="HideTWBExt"/>
          <w:b w:val="0"/>
        </w:rPr>
        <w:t>&lt;/NumAm&gt;</w:t>
      </w:r>
    </w:p>
    <w:p w14:paraId="6E07930A" w14:textId="77777777" w:rsidR="00CC2DDD" w:rsidRPr="003E0A0F" w:rsidRDefault="00CC2DDD" w:rsidP="00CC2DDD">
      <w:pPr>
        <w:pStyle w:val="NormalBold"/>
      </w:pPr>
      <w:r w:rsidRPr="002D0F6F">
        <w:rPr>
          <w:rStyle w:val="HideTWBExt"/>
          <w:b w:val="0"/>
        </w:rPr>
        <w:t>&lt;RepeatBlock-By&gt;&lt;Members&gt;</w:t>
      </w:r>
      <w:r w:rsidRPr="003E0A0F">
        <w:t>Şerban Dimitrie Sturdza</w:t>
      </w:r>
      <w:r w:rsidRPr="002D0F6F">
        <w:rPr>
          <w:rStyle w:val="HideTWBExt"/>
          <w:b w:val="0"/>
        </w:rPr>
        <w:t>&lt;/Members&gt;</w:t>
      </w:r>
    </w:p>
    <w:p w14:paraId="33A0D886" w14:textId="77777777" w:rsidR="00CC2DDD" w:rsidRPr="003E0A0F" w:rsidRDefault="00CC2DDD" w:rsidP="00CC2DDD">
      <w:pPr>
        <w:pStyle w:val="NormalBold"/>
      </w:pPr>
      <w:r w:rsidRPr="002D0F6F">
        <w:rPr>
          <w:rStyle w:val="HideTWBExt"/>
          <w:b w:val="0"/>
        </w:rPr>
        <w:t>&lt;/RepeatBlock-By&gt;</w:t>
      </w:r>
    </w:p>
    <w:p w14:paraId="3C9F6A1E" w14:textId="77777777" w:rsidR="00CC2DDD" w:rsidRPr="003E0A0F" w:rsidRDefault="00CC2DDD" w:rsidP="00CC2DDD">
      <w:pPr>
        <w:pStyle w:val="NormalBold"/>
      </w:pPr>
      <w:r w:rsidRPr="002D0F6F">
        <w:rPr>
          <w:rStyle w:val="HideTWBExt"/>
          <w:b w:val="0"/>
        </w:rPr>
        <w:t>&lt;DocAmend&gt;</w:t>
      </w:r>
      <w:r w:rsidRPr="003E0A0F">
        <w:t>Proposta di risoluzione</w:t>
      </w:r>
      <w:r w:rsidRPr="002D0F6F">
        <w:rPr>
          <w:rStyle w:val="HideTWBExt"/>
          <w:b w:val="0"/>
        </w:rPr>
        <w:t>&lt;/DocAmend&gt;</w:t>
      </w:r>
    </w:p>
    <w:p w14:paraId="4AB6C7C8" w14:textId="77777777" w:rsidR="00CC2DDD" w:rsidRPr="003E0A0F" w:rsidRDefault="00CC2DDD" w:rsidP="00CC2DDD">
      <w:pPr>
        <w:pStyle w:val="NormalBold"/>
      </w:pPr>
      <w:r w:rsidRPr="002D0F6F">
        <w:rPr>
          <w:rStyle w:val="HideTWBExt"/>
          <w:b w:val="0"/>
        </w:rPr>
        <w:lastRenderedPageBreak/>
        <w:t>&lt;Article&gt;</w:t>
      </w:r>
      <w:r w:rsidRPr="003E0A0F">
        <w:t>Paragrafo 60 bis (nuovo)</w:t>
      </w:r>
      <w:r w:rsidRPr="002D0F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2DDD" w:rsidRPr="003E0A0F" w14:paraId="67502DEE" w14:textId="77777777" w:rsidTr="002D2F66">
        <w:trPr>
          <w:trHeight w:hRule="exact" w:val="240"/>
          <w:jc w:val="center"/>
        </w:trPr>
        <w:tc>
          <w:tcPr>
            <w:tcW w:w="9752" w:type="dxa"/>
            <w:gridSpan w:val="2"/>
            <w:tcBorders>
              <w:top w:val="nil"/>
              <w:left w:val="nil"/>
              <w:bottom w:val="nil"/>
              <w:right w:val="nil"/>
            </w:tcBorders>
          </w:tcPr>
          <w:p w14:paraId="611B170D" w14:textId="77777777" w:rsidR="00CC2DDD" w:rsidRPr="003E0A0F" w:rsidRDefault="00CC2DDD" w:rsidP="002D2F66"/>
        </w:tc>
      </w:tr>
      <w:tr w:rsidR="00CC2DDD" w:rsidRPr="003E0A0F" w14:paraId="6DAD22A5" w14:textId="77777777" w:rsidTr="002D2F66">
        <w:trPr>
          <w:trHeight w:val="240"/>
          <w:jc w:val="center"/>
        </w:trPr>
        <w:tc>
          <w:tcPr>
            <w:tcW w:w="4876" w:type="dxa"/>
            <w:tcBorders>
              <w:top w:val="nil"/>
              <w:left w:val="nil"/>
              <w:bottom w:val="nil"/>
              <w:right w:val="nil"/>
            </w:tcBorders>
          </w:tcPr>
          <w:p w14:paraId="09FEE5FF" w14:textId="77777777" w:rsidR="00CC2DDD" w:rsidRPr="003E0A0F" w:rsidRDefault="00CC2DDD" w:rsidP="002D2F66">
            <w:pPr>
              <w:pStyle w:val="AmColumnHeading"/>
            </w:pPr>
            <w:r w:rsidRPr="003E0A0F">
              <w:t>Proposta di risoluzione</w:t>
            </w:r>
          </w:p>
        </w:tc>
        <w:tc>
          <w:tcPr>
            <w:tcW w:w="4876" w:type="dxa"/>
            <w:tcBorders>
              <w:top w:val="nil"/>
              <w:left w:val="nil"/>
              <w:bottom w:val="nil"/>
              <w:right w:val="nil"/>
            </w:tcBorders>
          </w:tcPr>
          <w:p w14:paraId="12CA15A5" w14:textId="77777777" w:rsidR="00CC2DDD" w:rsidRPr="003E0A0F" w:rsidRDefault="00CC2DDD" w:rsidP="002D2F66">
            <w:pPr>
              <w:pStyle w:val="AmColumnHeading"/>
            </w:pPr>
            <w:r w:rsidRPr="003E0A0F">
              <w:t>Emendamento</w:t>
            </w:r>
          </w:p>
        </w:tc>
      </w:tr>
      <w:tr w:rsidR="00CC2DDD" w:rsidRPr="003E0A0F" w14:paraId="0E7FB271" w14:textId="77777777" w:rsidTr="002D2F66">
        <w:trPr>
          <w:jc w:val="center"/>
        </w:trPr>
        <w:tc>
          <w:tcPr>
            <w:tcW w:w="4876" w:type="dxa"/>
            <w:tcBorders>
              <w:top w:val="nil"/>
              <w:left w:val="nil"/>
              <w:bottom w:val="nil"/>
              <w:right w:val="nil"/>
            </w:tcBorders>
          </w:tcPr>
          <w:p w14:paraId="26170DA0" w14:textId="77777777" w:rsidR="00CC2DDD" w:rsidRPr="003E0A0F" w:rsidRDefault="00CC2DDD" w:rsidP="002D2F66">
            <w:pPr>
              <w:pStyle w:val="Normal6a"/>
            </w:pPr>
          </w:p>
        </w:tc>
        <w:tc>
          <w:tcPr>
            <w:tcW w:w="4876" w:type="dxa"/>
            <w:tcBorders>
              <w:top w:val="nil"/>
              <w:left w:val="nil"/>
              <w:bottom w:val="nil"/>
              <w:right w:val="nil"/>
            </w:tcBorders>
          </w:tcPr>
          <w:p w14:paraId="5D728C5D" w14:textId="77777777" w:rsidR="00CC2DDD" w:rsidRPr="003E0A0F" w:rsidRDefault="00CC2DDD" w:rsidP="002D2F66">
            <w:pPr>
              <w:pStyle w:val="Normal6a"/>
            </w:pPr>
            <w:r w:rsidRPr="003E0A0F">
              <w:rPr>
                <w:b/>
                <w:i/>
              </w:rPr>
              <w:t>60 bis.</w:t>
            </w:r>
            <w:r w:rsidRPr="003E0A0F">
              <w:tab/>
            </w:r>
            <w:r w:rsidRPr="003E0A0F">
              <w:rPr>
                <w:b/>
                <w:i/>
              </w:rPr>
              <w:t>incoraggia la Corte a sviluppare ulteriormente strumenti di comunicazione orientati ai cittadini, in particolare fornendo spiegazioni chiare, accessibili e giuridicamente accurate di sentenze fondamentali con implicazioni significative per gli ordinamenti giuridici nazionali, nel pieno rispetto dell'indipendenza della magistratura e della riservatezza procedurale;</w:t>
            </w:r>
          </w:p>
        </w:tc>
      </w:tr>
    </w:tbl>
    <w:p w14:paraId="53ED46AE" w14:textId="77777777" w:rsidR="00CC2DDD" w:rsidRPr="003E0A0F" w:rsidRDefault="00CC2DDD" w:rsidP="00CC2DDD">
      <w:pPr>
        <w:pStyle w:val="AmOrLang"/>
      </w:pPr>
      <w:r w:rsidRPr="003E0A0F">
        <w:t xml:space="preserve">Or. </w:t>
      </w:r>
      <w:r w:rsidRPr="002D0F6F">
        <w:rPr>
          <w:rStyle w:val="HideTWBExt"/>
        </w:rPr>
        <w:t>&lt;Original&gt;</w:t>
      </w:r>
      <w:r w:rsidRPr="002D0F6F">
        <w:rPr>
          <w:rStyle w:val="HideTWBInt"/>
        </w:rPr>
        <w:t>{EN}</w:t>
      </w:r>
      <w:r w:rsidRPr="003E0A0F">
        <w:t>en</w:t>
      </w:r>
      <w:r w:rsidRPr="002D0F6F">
        <w:rPr>
          <w:rStyle w:val="HideTWBExt"/>
        </w:rPr>
        <w:t>&lt;/Original&gt;</w:t>
      </w:r>
    </w:p>
    <w:p w14:paraId="7ABE6D7A" w14:textId="02EF84CC" w:rsidR="00CC2DDD" w:rsidRPr="003E0A0F" w:rsidRDefault="00CC2DDD" w:rsidP="00CC2DDD">
      <w:r w:rsidRPr="002D0F6F">
        <w:rPr>
          <w:rStyle w:val="HideTWBExt"/>
        </w:rPr>
        <w:t>&lt;/Amend&gt;&lt;/RepeatBlock-Amend&gt;</w:t>
      </w:r>
    </w:p>
    <w:p w14:paraId="39D65DF8" w14:textId="7C6ADB6E" w:rsidR="00D1318E" w:rsidRPr="003E0A0F" w:rsidRDefault="00D1318E" w:rsidP="00CC2DDD"/>
    <w:sectPr w:rsidR="00D1318E" w:rsidRPr="003E0A0F" w:rsidSect="000E64F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857F7" w14:textId="77777777" w:rsidR="004D783F" w:rsidRPr="000B2D3C" w:rsidRDefault="004D783F">
      <w:r w:rsidRPr="000B2D3C">
        <w:separator/>
      </w:r>
    </w:p>
  </w:endnote>
  <w:endnote w:type="continuationSeparator" w:id="0">
    <w:p w14:paraId="63751AF3" w14:textId="77777777" w:rsidR="004D783F" w:rsidRPr="000B2D3C" w:rsidRDefault="004D783F">
      <w:r w:rsidRPr="000B2D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8BFBC" w14:textId="2E855176" w:rsidR="000E64FB" w:rsidRPr="000B2D3C" w:rsidRDefault="000E64FB" w:rsidP="000E64FB">
    <w:pPr>
      <w:pStyle w:val="EPFooter"/>
    </w:pPr>
    <w:r w:rsidRPr="000B2D3C">
      <w:t>PE</w:t>
    </w:r>
    <w:r w:rsidRPr="002D0F6F">
      <w:rPr>
        <w:rStyle w:val="HideTWBExt"/>
      </w:rPr>
      <w:t>&lt;NoPE&gt;</w:t>
    </w:r>
    <w:r w:rsidRPr="000B2D3C">
      <w:t>784.145</w:t>
    </w:r>
    <w:r w:rsidRPr="002D0F6F">
      <w:rPr>
        <w:rStyle w:val="HideTWBExt"/>
      </w:rPr>
      <w:t>&lt;/NoPE&gt;&lt;Version&gt;</w:t>
    </w:r>
    <w:r w:rsidRPr="000B2D3C">
      <w:t>v01-00</w:t>
    </w:r>
    <w:r w:rsidRPr="002D0F6F">
      <w:rPr>
        <w:rStyle w:val="HideTWBExt"/>
      </w:rPr>
      <w:t>&lt;/Version&gt;</w:t>
    </w:r>
    <w:r w:rsidRPr="000B2D3C">
      <w:tab/>
    </w:r>
    <w:r w:rsidRPr="000B2D3C">
      <w:fldChar w:fldCharType="begin"/>
    </w:r>
    <w:r w:rsidRPr="000B2D3C">
      <w:instrText xml:space="preserve"> PAGE  \* MERGEFORMAT </w:instrText>
    </w:r>
    <w:r w:rsidRPr="000B2D3C">
      <w:fldChar w:fldCharType="separate"/>
    </w:r>
    <w:r w:rsidRPr="000B2D3C">
      <w:rPr>
        <w:noProof/>
      </w:rPr>
      <w:t>2</w:t>
    </w:r>
    <w:r w:rsidRPr="000B2D3C">
      <w:fldChar w:fldCharType="end"/>
    </w:r>
    <w:r w:rsidRPr="000B2D3C">
      <w:t>/</w:t>
    </w:r>
    <w:r w:rsidR="002D0F6F">
      <w:fldChar w:fldCharType="begin"/>
    </w:r>
    <w:r w:rsidR="002D0F6F">
      <w:instrText xml:space="preserve"> NUMPAGES  \* MERGEFORMAT </w:instrText>
    </w:r>
    <w:r w:rsidR="002D0F6F">
      <w:fldChar w:fldCharType="separate"/>
    </w:r>
    <w:r w:rsidRPr="000B2D3C">
      <w:rPr>
        <w:noProof/>
      </w:rPr>
      <w:t>32</w:t>
    </w:r>
    <w:r w:rsidR="002D0F6F">
      <w:rPr>
        <w:noProof/>
      </w:rPr>
      <w:fldChar w:fldCharType="end"/>
    </w:r>
    <w:r w:rsidRPr="000B2D3C">
      <w:tab/>
    </w:r>
    <w:r w:rsidRPr="002D0F6F">
      <w:rPr>
        <w:rStyle w:val="HideTWBExt"/>
      </w:rPr>
      <w:t>&lt;PathFdR&gt;</w:t>
    </w:r>
    <w:r w:rsidR="000B2D3C" w:rsidRPr="000B2D3C">
      <w:t>AM\1336272IT.docx</w:t>
    </w:r>
    <w:r w:rsidRPr="002D0F6F">
      <w:rPr>
        <w:rStyle w:val="HideTWBExt"/>
      </w:rPr>
      <w:t>&lt;/PathFdR&gt;</w:t>
    </w:r>
  </w:p>
  <w:p w14:paraId="408BE5F4" w14:textId="6D6BCE90" w:rsidR="00D1318E" w:rsidRPr="000B2D3C" w:rsidRDefault="000E64FB" w:rsidP="000E64FB">
    <w:pPr>
      <w:pStyle w:val="EPFooter2"/>
    </w:pPr>
    <w:r w:rsidRPr="000B2D3C">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2ECE0" w14:textId="5BB8C2AA" w:rsidR="000E64FB" w:rsidRPr="000B2D3C" w:rsidRDefault="000E64FB" w:rsidP="000E64FB">
    <w:pPr>
      <w:pStyle w:val="EPFooter"/>
    </w:pPr>
    <w:r w:rsidRPr="002D0F6F">
      <w:rPr>
        <w:rStyle w:val="HideTWBExt"/>
      </w:rPr>
      <w:t>&lt;PathFdR&gt;</w:t>
    </w:r>
    <w:r w:rsidR="000B2D3C" w:rsidRPr="000B2D3C">
      <w:t>AM\1336272IT.docx</w:t>
    </w:r>
    <w:r w:rsidRPr="002D0F6F">
      <w:rPr>
        <w:rStyle w:val="HideTWBExt"/>
      </w:rPr>
      <w:t>&lt;/PathFdR&gt;</w:t>
    </w:r>
    <w:r w:rsidRPr="000B2D3C">
      <w:tab/>
    </w:r>
    <w:r w:rsidRPr="000B2D3C">
      <w:fldChar w:fldCharType="begin"/>
    </w:r>
    <w:r w:rsidRPr="000B2D3C">
      <w:instrText xml:space="preserve"> PAGE  \* MERGEFORMAT </w:instrText>
    </w:r>
    <w:r w:rsidRPr="000B2D3C">
      <w:fldChar w:fldCharType="separate"/>
    </w:r>
    <w:r w:rsidRPr="000B2D3C">
      <w:rPr>
        <w:noProof/>
      </w:rPr>
      <w:t>3</w:t>
    </w:r>
    <w:r w:rsidRPr="000B2D3C">
      <w:fldChar w:fldCharType="end"/>
    </w:r>
    <w:r w:rsidRPr="000B2D3C">
      <w:t>/</w:t>
    </w:r>
    <w:r w:rsidR="002D0F6F">
      <w:fldChar w:fldCharType="begin"/>
    </w:r>
    <w:r w:rsidR="002D0F6F">
      <w:instrText xml:space="preserve"> NUMPAGES  \* MERGEFORMAT </w:instrText>
    </w:r>
    <w:r w:rsidR="002D0F6F">
      <w:fldChar w:fldCharType="separate"/>
    </w:r>
    <w:r w:rsidRPr="000B2D3C">
      <w:rPr>
        <w:noProof/>
      </w:rPr>
      <w:t>32</w:t>
    </w:r>
    <w:r w:rsidR="002D0F6F">
      <w:rPr>
        <w:noProof/>
      </w:rPr>
      <w:fldChar w:fldCharType="end"/>
    </w:r>
    <w:r w:rsidRPr="000B2D3C">
      <w:tab/>
      <w:t>PE</w:t>
    </w:r>
    <w:r w:rsidRPr="002D0F6F">
      <w:rPr>
        <w:rStyle w:val="HideTWBExt"/>
      </w:rPr>
      <w:t>&lt;NoPE&gt;</w:t>
    </w:r>
    <w:r w:rsidRPr="000B2D3C">
      <w:t>784.145</w:t>
    </w:r>
    <w:r w:rsidRPr="002D0F6F">
      <w:rPr>
        <w:rStyle w:val="HideTWBExt"/>
      </w:rPr>
      <w:t>&lt;/NoPE&gt;&lt;Version&gt;</w:t>
    </w:r>
    <w:r w:rsidRPr="000B2D3C">
      <w:t>v01-00</w:t>
    </w:r>
    <w:r w:rsidRPr="002D0F6F">
      <w:rPr>
        <w:rStyle w:val="HideTWBExt"/>
      </w:rPr>
      <w:t>&lt;/Version&gt;</w:t>
    </w:r>
  </w:p>
  <w:p w14:paraId="30E1EE40" w14:textId="1FE02EE3" w:rsidR="00D1318E" w:rsidRPr="000B2D3C" w:rsidRDefault="000E64FB" w:rsidP="000E64FB">
    <w:pPr>
      <w:pStyle w:val="EPFooter2"/>
    </w:pPr>
    <w:r w:rsidRPr="000B2D3C">
      <w:tab/>
    </w:r>
    <w:r w:rsidRPr="000B2D3C">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A3B23" w14:textId="51FF9481" w:rsidR="000E64FB" w:rsidRPr="000B2D3C" w:rsidRDefault="000E64FB" w:rsidP="000E64FB">
    <w:pPr>
      <w:pStyle w:val="EPFooter"/>
    </w:pPr>
    <w:r w:rsidRPr="002D0F6F">
      <w:rPr>
        <w:rStyle w:val="HideTWBExt"/>
      </w:rPr>
      <w:t>&lt;PathFdR&gt;</w:t>
    </w:r>
    <w:r w:rsidR="000B2D3C" w:rsidRPr="000B2D3C">
      <w:t>AM\1336272IT.docx</w:t>
    </w:r>
    <w:r w:rsidRPr="002D0F6F">
      <w:rPr>
        <w:rStyle w:val="HideTWBExt"/>
      </w:rPr>
      <w:t>&lt;/PathFdR&gt;</w:t>
    </w:r>
    <w:r w:rsidRPr="000B2D3C">
      <w:tab/>
    </w:r>
    <w:r w:rsidRPr="000B2D3C">
      <w:tab/>
      <w:t>PE</w:t>
    </w:r>
    <w:r w:rsidRPr="002D0F6F">
      <w:rPr>
        <w:rStyle w:val="HideTWBExt"/>
      </w:rPr>
      <w:t>&lt;NoPE&gt;</w:t>
    </w:r>
    <w:r w:rsidRPr="000B2D3C">
      <w:t>784.145</w:t>
    </w:r>
    <w:r w:rsidRPr="002D0F6F">
      <w:rPr>
        <w:rStyle w:val="HideTWBExt"/>
      </w:rPr>
      <w:t>&lt;/NoPE&gt;&lt;Version&gt;</w:t>
    </w:r>
    <w:r w:rsidRPr="000B2D3C">
      <w:t>v01-00</w:t>
    </w:r>
    <w:r w:rsidRPr="002D0F6F">
      <w:rPr>
        <w:rStyle w:val="HideTWBExt"/>
      </w:rPr>
      <w:t>&lt;/Version&gt;</w:t>
    </w:r>
  </w:p>
  <w:p w14:paraId="2F278DDF" w14:textId="7F3071C7" w:rsidR="00D1318E" w:rsidRPr="000B2D3C" w:rsidRDefault="000E64FB" w:rsidP="000E64FB">
    <w:pPr>
      <w:pStyle w:val="EPFooter2"/>
    </w:pPr>
    <w:r w:rsidRPr="000B2D3C">
      <w:t>IT</w:t>
    </w:r>
    <w:r w:rsidRPr="000B2D3C">
      <w:tab/>
    </w:r>
    <w:r w:rsidRPr="000B2D3C">
      <w:rPr>
        <w:b w:val="0"/>
        <w:i/>
        <w:color w:val="C0C0C0"/>
        <w:sz w:val="22"/>
      </w:rPr>
      <w:t>Unita nella diversità</w:t>
    </w:r>
    <w:r w:rsidRPr="000B2D3C">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572EC" w14:textId="77777777" w:rsidR="004D783F" w:rsidRPr="000B2D3C" w:rsidRDefault="004D783F">
      <w:r w:rsidRPr="000B2D3C">
        <w:separator/>
      </w:r>
    </w:p>
  </w:footnote>
  <w:footnote w:type="continuationSeparator" w:id="0">
    <w:p w14:paraId="6EE9CA40" w14:textId="77777777" w:rsidR="004D783F" w:rsidRPr="000B2D3C" w:rsidRDefault="004D783F">
      <w:r w:rsidRPr="000B2D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F11F3" w14:textId="77777777" w:rsidR="003E0A0F" w:rsidRDefault="003E0A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E8D2A" w14:textId="77777777" w:rsidR="003E0A0F" w:rsidRDefault="003E0A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59691" w14:textId="77777777" w:rsidR="003E0A0F" w:rsidRDefault="003E0A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LANGUE" w:val="IT"/>
    <w:docVar w:name="TXTLANGUEMIN" w:val="it"/>
    <w:docVar w:name="TXTNRPE" w:val="784.145"/>
    <w:docVar w:name="TXTPEorAP" w:val="PE"/>
    <w:docVar w:name="TXTROUTE" w:val="AM\1336272IT.docx"/>
    <w:docVar w:name="TXTVERSION" w:val="01-00"/>
  </w:docVars>
  <w:rsids>
    <w:rsidRoot w:val="00A77B3E"/>
    <w:rsid w:val="00043186"/>
    <w:rsid w:val="000B2D3C"/>
    <w:rsid w:val="000E64FB"/>
    <w:rsid w:val="002D0F6F"/>
    <w:rsid w:val="003E0A0F"/>
    <w:rsid w:val="004C31F2"/>
    <w:rsid w:val="004D783F"/>
    <w:rsid w:val="006310F2"/>
    <w:rsid w:val="008D6948"/>
    <w:rsid w:val="00A77B3E"/>
    <w:rsid w:val="00BB3607"/>
    <w:rsid w:val="00C34256"/>
    <w:rsid w:val="00CA2A55"/>
    <w:rsid w:val="00CC2DDD"/>
    <w:rsid w:val="00CD6CD3"/>
    <w:rsid w:val="00D1318E"/>
    <w:rsid w:val="00D94AE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194DD1"/>
  <w15:docId w15:val="{FF5D6307-2F56-42A4-B96B-B8B18749A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CC2DDD"/>
    <w:pPr>
      <w:tabs>
        <w:tab w:val="center" w:pos="4153"/>
        <w:tab w:val="right" w:pos="8306"/>
      </w:tabs>
    </w:pPr>
  </w:style>
  <w:style w:type="character" w:customStyle="1" w:styleId="HeaderChar">
    <w:name w:val="Header Char"/>
    <w:basedOn w:val="DefaultParagraphFont"/>
    <w:link w:val="Header"/>
    <w:rsid w:val="00CC2DDD"/>
    <w:rPr>
      <w:sz w:val="24"/>
      <w:szCs w:val="24"/>
    </w:rPr>
  </w:style>
  <w:style w:type="paragraph" w:styleId="Footer">
    <w:name w:val="footer"/>
    <w:basedOn w:val="Normal"/>
    <w:link w:val="FooterChar"/>
    <w:rsid w:val="003E0A0F"/>
    <w:pPr>
      <w:tabs>
        <w:tab w:val="center" w:pos="4513"/>
        <w:tab w:val="right" w:pos="9026"/>
      </w:tabs>
    </w:pPr>
  </w:style>
  <w:style w:type="character" w:customStyle="1" w:styleId="FooterChar">
    <w:name w:val="Footer Char"/>
    <w:basedOn w:val="DefaultParagraphFont"/>
    <w:link w:val="Footer"/>
    <w:rsid w:val="003E0A0F"/>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32</Pages>
  <Words>10313</Words>
  <Characters>60025</Characters>
  <Application>Microsoft Office Word</Application>
  <DocSecurity>0</DocSecurity>
  <Lines>2054</Lines>
  <Paragraphs>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MUSIO Cristina</cp:lastModifiedBy>
  <cp:revision>2</cp:revision>
  <dcterms:created xsi:type="dcterms:W3CDTF">2026-02-10T08:33:00Z</dcterms:created>
  <dcterms:modified xsi:type="dcterms:W3CDTF">2026-02-10T08:33:00Z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1336272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355553</vt:lpwstr>
  </property>
  <property fmtid="{D5CDD505-2E9C-101B-9397-08002B2CF9AE}" pid="7" name="dmxml.render.traceId">
    <vt:lpwstr>697a0c9d1ae61a4b72c67036701534b6</vt:lpwstr>
  </property>
  <property fmtid="{D5CDD505-2E9C-101B-9397-08002B2CF9AE}" pid="8" name="FooterPath">
    <vt:lpwstr>AM\1336272IT.docx</vt:lpwstr>
  </property>
  <property fmtid="{D5CDD505-2E9C-101B-9397-08002B2CF9AE}" pid="9" name="PE Number">
    <vt:lpwstr>784.145</vt:lpwstr>
  </property>
  <property fmtid="{D5CDD505-2E9C-101B-9397-08002B2CF9AE}" pid="10" name="UID">
    <vt:lpwstr>eu.europa.europarl-DIN1-2026-0000016485_01.00-xm-01.00_text-xml</vt:lpwstr>
  </property>
  <property fmtid="{D5CDD505-2E9C-101B-9397-08002B2CF9AE}" pid="11" name="LastEdited with">
    <vt:lpwstr>10.2.1 Build [20260110]</vt:lpwstr>
  </property>
  <property fmtid="{D5CDD505-2E9C-101B-9397-08002B2CF9AE}" pid="12" name="Bookout">
    <vt:lpwstr>OK - 2026/02/10 09:32</vt:lpwstr>
  </property>
</Properties>
</file>