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Commissie begrotingscontrole</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Kwijting 2024: algemene begroting van de EU – Hof van Justitie van de Europese Unie</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het HvJ-EU bijdraagt aan de instandhouding van de waarden van de Unie en door middel van zijn rechtspraak werkt aan de opbouw van Europa;</w:t>
            </w:r>
          </w:p>
        </w:tc>
        <w:tc>
          <w:tcPr>
            <w:tcW w:w="4876" w:type="dxa"/>
            <w:tcBorders>
              <w:top w:val="nil"/>
              <w:left w:val="nil"/>
              <w:bottom w:val="nil"/>
              <w:right w:val="nil"/>
            </w:tcBorders>
          </w:tcPr>
          <w:p>
            <w:pPr>
              <w:pStyle w:val="Normal6a"/>
            </w:pPr>
            <w:r>
              <w:t>C.</w:t>
            </w:r>
            <w:r>
              <w:tab/>
            </w:r>
            <w:r>
              <w:t>overwegende dat het HvJ-EU bijdraagt aan de instandhouding van de waarden van de Unie en door middel van zijn rechtspraak werkt aan de opbouw van Europa</w:t>
            </w:r>
            <w:r>
              <w:rPr>
                <w:b/>
                <w:i/>
              </w:rPr>
              <w:t>, en daarbij door middel van rechtszekerheid, consistentie van de jurisprudentie en eerbiediging van de grenzen van de rechterlijke interpretatie invulling geeft aan zijn verantwoordingsplicht richting de burger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merkt op dat de begroting van het HvJ-EU onder rubriek 7, “Europees openbaar bestuur”, van het MFK valt, die in 2023 in totaal 13,3 miljard EUR bedroeg (goed voor 6,9 % van de totale begroting van de Unie); merkt op dat de begroting van het HvJ-EU van ongeveer 0,5 miljard EUR ongeveer 3,76 % van de totale administratieve uitgaven van de Unie vertegenwoordigt, hetgeen een daling is ten opzichte van 3,9 % in 2023;</w:t>
            </w:r>
          </w:p>
        </w:tc>
        <w:tc>
          <w:tcPr>
            <w:tcW w:w="4876" w:type="dxa"/>
            <w:tcBorders>
              <w:top w:val="nil"/>
              <w:left w:val="nil"/>
              <w:bottom w:val="nil"/>
              <w:right w:val="nil"/>
            </w:tcBorders>
          </w:tcPr>
          <w:p>
            <w:pPr>
              <w:pStyle w:val="Normal6a"/>
            </w:pPr>
            <w:r>
              <w:t>1.</w:t>
            </w:r>
            <w:r>
              <w:tab/>
            </w:r>
            <w:r>
              <w:t xml:space="preserve">merkt op dat de begroting van het HvJ-EU onder rubriek 7, “Europees openbaar bestuur”, van het MFK valt, die in 2023 in totaal 13,3 miljard EUR bedroeg (goed voor 6,9 % van de totale begroting van de Unie);merkt op dat de begroting van het HvJ-EU van ongeveer 0,5 miljard EUR ongeveer 3,76 % van de totale administratieve uitgaven van de Unie vertegenwoordigt, hetgeen een daling is ten opzichte van 3,9 % in 2023; </w:t>
            </w:r>
            <w:r>
              <w:rPr>
                <w:b/>
                <w:i/>
              </w:rPr>
              <w:t>benadrukt dat in zaken die verband houden met onderzoek naar de Uniebegroting de beginselen van een eerlijke rechtsbedeling en de grondrechten door alle bevoegde autoriteiten volledig moeten worden geëerbiedigd;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merkt op dat de personeelsuitgaven goed zijn voor bijna 80 % van de begroting van het HvJ-EU en dat de salarisaanpassingen in 2024 groter waren dan voorzien in de oorspronkelijke prognoses;</w:t>
            </w:r>
            <w:r>
              <w:t xml:space="preserve"> </w:t>
            </w:r>
            <w:r>
              <w:rPr>
                <w:b/>
                <w:i/>
              </w:rPr>
              <w:t>benadrukt dat deze aanpassingen weliswaar door de begroting geabsorbeerd werden zonder dat extra verhogingen nodig waren, maar dat het terugkerende karakter ervan vragen doet rijzen over de houdbaarheid van de begroting op middellange termijn in het licht van de huidige beperkingen van het MFK;</w:t>
            </w:r>
            <w:r>
              <w:t xml:space="preserve"> </w:t>
            </w:r>
            <w:r>
              <w:rPr>
                <w:b/>
                <w:i/>
              </w:rPr>
              <w:t>dringt aan op een betere meerjarige personeels- en uitgavenplanning, zonder de onafhankelijkheid van de rechterlijke macht te ondermijnen;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is het ermee eens dat het vermogen van het HvJ-EU om het hoofd te bieden aan een steeds grotere werkdruk enerzijds wordt bemoeilijkt door de richtsnoeren van de Commissie voor de opstelling van de begroting, die de stijging van alle niet‑salarisgerelateerde uitgaven beperken tot maximaal 2 % en verzoeken om nieuwe posten ontmoedigen, en anderzijds door het onvermogen van EPSO om de instellingen van de Unie te voorzien van een redelijk grote pool van geslaagde kandidaten uit vergelijkende onderzoeken waaruit zij personeel kunnen werven; merkt bovendien op dat de inflatoire effecten van de Russische aanvalsoorlog tegen Oekraïne de begroting van het HvJ-EU onder druk bleven zetten, bijvoorbeeld door stijgende kosten voor dienstreizen of een stijging van de prijzen van gecontracteerde goederen en diensten; prijst het HvJ-EU voor zijn maatregelen om deze effecten te beperken door het aantal dienstreizen te verminderen, de energie-uitgaven te beperken en vooral door bij de opstelling van de begrotingsramingen prioriteit te geven aan projecten; erkent dat alle instellingen van de Unie hun begrotingsbeheer moeten verbeteren door bij het sluiten van contracten met dienstverleners ook rekening te houden met de prijsvolatiliteit, met name in de energiesector;</w:t>
            </w:r>
          </w:p>
        </w:tc>
        <w:tc>
          <w:tcPr>
            <w:tcW w:w="4876" w:type="dxa"/>
            <w:tcBorders>
              <w:top w:val="nil"/>
              <w:left w:val="nil"/>
              <w:bottom w:val="nil"/>
              <w:right w:val="nil"/>
            </w:tcBorders>
          </w:tcPr>
          <w:p>
            <w:pPr>
              <w:pStyle w:val="Normal6a"/>
            </w:pPr>
            <w:r>
              <w:t>6.</w:t>
            </w:r>
            <w:r>
              <w:tab/>
            </w:r>
            <w:r>
              <w:t xml:space="preserve">is het ermee eens dat het vermogen van het HvJ-EU om het hoofd te bieden aan een steeds grotere werkdruk enerzijds wordt bemoeilijkt door de richtsnoeren van de Commissie voor de opstelling van de begroting, die de stijging van alle niet‑salarisgerelateerde uitgaven beperken tot maximaal 2 % en verzoeken om nieuwe posten ontmoedigen, en anderzijds door het onvermogen van EPSO om de instellingen van de Unie te voorzien van een redelijk grote pool van geslaagde kandidaten uit vergelijkende onderzoeken waaruit zij personeel kunnen werven; merkt bovendien op dat de inflatoire effecten van de </w:t>
            </w:r>
            <w:r>
              <w:rPr>
                <w:b/>
                <w:i/>
              </w:rPr>
              <w:t>illegale</w:t>
            </w:r>
            <w:r>
              <w:t xml:space="preserve"> Russische aanvalsoorlog tegen Oekraïne de begroting van het HvJ-EU onder druk bleven zetten, bijvoorbeeld door stijgende kosten voor dienstreizen of een stijging van de prijzen van gecontracteerde goederen en diensten; prijst het HvJ-EU voor zijn maatregelen om deze effecten te beperken door het aantal dienstreizen te verminderen, de energie-uitgaven te beperken en vooral door bij de opstelling van de begrotingsramingen prioriteit te geven aan projecten; erkent dat alle instellingen van de Unie hun begrotingsbeheer moeten verbeteren door bij het sluiten van contracten met dienstverleners ook rekening te houden met de prijsvolatiliteit, met name in de energiesector; </w:t>
            </w:r>
            <w:r>
              <w:rPr>
                <w:b/>
                <w:i/>
              </w:rPr>
              <w:t>verzoekt het HvJ-EU de kostenefficiëntie en een proactieve begrotingsplanning te blijven verbeteren om de gerechtelijke kwaliteit — binnen de grenzen van de beschikbare middelen — te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merkt met voldoening op dat de begroting voor dienstreizen van de leden en het personeel van het HvJ-EU voor het tweede jaar op rij is gedaald, van 638 000 EUR in 2023 tot 616 000 EUR in 2024, hetgeen neerkomt op een daling van ongeveer </w:t>
            </w:r>
            <w:r>
              <w:rPr>
                <w:b/>
                <w:i/>
              </w:rPr>
              <w:t>3,3</w:t>
            </w:r>
            <w:r>
              <w:t xml:space="preserve"> %;</w:t>
            </w:r>
          </w:p>
        </w:tc>
        <w:tc>
          <w:tcPr>
            <w:tcW w:w="4876" w:type="dxa"/>
            <w:tcBorders>
              <w:top w:val="nil"/>
              <w:left w:val="nil"/>
              <w:bottom w:val="nil"/>
              <w:right w:val="nil"/>
            </w:tcBorders>
          </w:tcPr>
          <w:p>
            <w:pPr>
              <w:pStyle w:val="Normal6a"/>
            </w:pPr>
            <w:r>
              <w:t>8.</w:t>
            </w:r>
            <w:r>
              <w:tab/>
            </w:r>
            <w:r>
              <w:t xml:space="preserve">merkt met voldoening op dat de begroting voor dienstreizen van de leden en het personeel van het HvJ-EU voor het tweede jaar op rij is gedaald, van 638 000 EUR in 2023 tot 616 000 EUR in 2024, hetgeen neerkomt op een daling van ongeveer </w:t>
            </w:r>
            <w:r>
              <w:rPr>
                <w:b/>
                <w:i/>
              </w:rPr>
              <w:t>3,44</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merkt met waardering op uit de antwoorden van het HvJ-EU op de vragenlijst voor de kwijting 2024 dat het HvJ-EU zich inspant om de justitiële hervorming voor de gedeeltelijke overdracht van de bevoegdheid om prejudiciële beslissingen te nemen van het HvJ-EU naar het Gerecht te voltooien en de uitvoering van het nieuwe regelgevingskader vanaf 1 oktober 2024 mogelijk te maken; neemt in dit verband kennis van de reorganisatie van de structuur van het Gerecht, de wijziging van het reglement voor de procesvoering van het HvJ-EU, de goedkeuring van een nieuwe reeks praktijkregels van het Gerecht voor de uitvoering van het reglement voor de procesvoering, de goedkeuring van een nieuw besluit inzake de neerlegging en betekening van processtukken via </w:t>
            </w:r>
            <w:r>
              <w:rPr>
                <w:b/>
                <w:i/>
              </w:rPr>
              <w:t>e‑Curia</w:t>
            </w:r>
            <w:r>
              <w:t>, de ontwikkeling van nieuwe software (“onestopshop”) voor een snelle analyse en behandeling van zaken en de harmonisatie van de praktijken van de griffies van de twee rechterlijke instanties in 2024; merkt met waardering op dat in de eerste drie maanden na de inwerkingtreding van de hervorming al twintig prejudiciële beslissingen zijn overgedragen aan het Gerecht, waarmee de eerste resultaten zijn geboekt op weg naar een evenwichtigere verdeling van de werkdruk tussen de twee rechterlijke instanties; merkt op dat de enige extra kosten in verband met de uitvoering van de justitiële hervorming IT-gerelateerde kosten waren voor de ontwikkeling van de onestopshop, die ongeveer 805 000 EUR bedroegen, terwijl de hervorming op personeelsgebied budgettair neutraal bleef door de herschikking van posten en taken binnen de instelling;</w:t>
            </w:r>
          </w:p>
        </w:tc>
        <w:tc>
          <w:tcPr>
            <w:tcW w:w="4876" w:type="dxa"/>
            <w:tcBorders>
              <w:top w:val="nil"/>
              <w:left w:val="nil"/>
              <w:bottom w:val="nil"/>
              <w:right w:val="nil"/>
            </w:tcBorders>
          </w:tcPr>
          <w:p>
            <w:pPr>
              <w:pStyle w:val="Normal6a"/>
            </w:pPr>
            <w:r>
              <w:t>9.</w:t>
            </w:r>
            <w:r>
              <w:tab/>
            </w:r>
            <w:r>
              <w:t xml:space="preserve">merkt met waardering op uit de antwoorden van het HvJ-EU op de vragenlijst voor de kwijting 2024 dat het HvJ-EU zich inspant om de justitiële hervorming voor de gedeeltelijke overdracht van de bevoegdheid om prejudiciële beslissingen te nemen van het HvJ-EU naar het Gerecht te voltooien en de uitvoering van het nieuwe regelgevingskader vanaf 1 oktober 2024 mogelijk te maken; neemt in dit verband kennis van de reorganisatie van de structuur van het Gerecht, de wijziging van het reglement voor de procesvoering van het HvJ-EU, de goedkeuring van een nieuwe reeks praktijkregels van het Gerecht voor de uitvoering van het reglement voor de procesvoering, de goedkeuring van een nieuw besluit inzake de neerlegging en betekening van processtukken via </w:t>
            </w:r>
            <w:r>
              <w:rPr>
                <w:b/>
                <w:i/>
              </w:rPr>
              <w:t>e-Curia</w:t>
            </w:r>
            <w:r>
              <w:t>, de ontwikkeling van nieuwe software (“onestopshop”) voor een snelle analyse en behandeling van zaken en de harmonisatie van de praktijken van de griffies van de twee rechterlijke instanties in 2024</w:t>
            </w:r>
            <w:r>
              <w:rPr>
                <w:b/>
                <w:i/>
              </w:rPr>
              <w:t>;</w:t>
            </w:r>
            <w:r>
              <w:t xml:space="preserve"> </w:t>
            </w:r>
            <w:r>
              <w:rPr>
                <w:b/>
                <w:i/>
              </w:rPr>
              <w:t>ziet in dat een digitale afhandeling van rechtszaken bijdraagt tot meer efficiëntie en een betere kwaliteit van gerechtelijke uitkomsten</w:t>
            </w:r>
            <w:r>
              <w:t xml:space="preserve">; merkt met waardering op dat in de eerste drie maanden na de inwerkingtreding van de hervorming al twintig prejudiciële beslissingen zijn overgedragen aan het Gerecht, waarmee de eerste resultaten zijn geboekt op weg naar een evenwichtigere verdeling van de werkdruk tussen de twee rechterlijke instanties; merkt op dat de enige extra kosten in verband met de uitvoering van de justitiële hervorming IT-gerelateerde kosten waren voor de ontwikkeling van de onestopshop, die ongeveer 805 000 EUR bedroegen, terwijl de hervorming op personeelsgebied budgettair neutraal bleef door de herschikking van posten en taken binnen de instelling; </w:t>
            </w:r>
            <w:r>
              <w:rPr>
                <w:b/>
                <w:i/>
              </w:rPr>
              <w:t>moedigt het HvJ-EU aan het effect van digitale tools op verwerkingstijden en verdeling van de werklast te blijven monitoren en hierover verslag uit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merkt met waardering op uit de antwoorden van het HvJ-EU op de vragenlijst voor de kwijting 2024 dat het HvJ-EU zich inspant om de justitiële hervorming voor de gedeeltelijke overdracht van de bevoegdheid om prejudiciële beslissingen te nemen van het HvJ-EU naar het Gerecht te voltooien en de uitvoering van het nieuwe regelgevingskader vanaf 1 oktober 2024 mogelijk te maken; neemt in dit verband kennis van de reorganisatie van de structuur van het Gerecht, de wijziging van het reglement voor de procesvoering van het HvJ-EU, de goedkeuring van een nieuwe reeks praktijkregels van het Gerecht voor de uitvoering van het reglement voor de procesvoering, de goedkeuring van een nieuw besluit inzake de neerlegging en betekening van processtukken via </w:t>
            </w:r>
            <w:r>
              <w:rPr>
                <w:b/>
                <w:i/>
              </w:rPr>
              <w:t>e‑Curia</w:t>
            </w:r>
            <w:r>
              <w:t>, de ontwikkeling van nieuwe software (“onestopshop”) voor een snelle analyse en behandeling van zaken en de harmonisatie van de praktijken van de griffies van de twee rechterlijke instanties in 2024; merkt met waardering op dat in de eerste drie maanden na de inwerkingtreding van de hervorming al twintig prejudiciële beslissingen zijn overgedragen aan het Gerecht, waarmee de eerste resultaten zijn geboekt op weg naar een evenwichtigere verdeling van de werkdruk tussen de twee rechterlijke instanties; merkt op dat de enige extra kosten in verband met de uitvoering van de justitiële hervorming IT-gerelateerde kosten waren voor de ontwikkeling van de onestopshop, die ongeveer 805 000 EUR bedroegen, terwijl de hervorming op personeelsgebied budgettair neutraal bleef door de herschikking van posten en taken binnen de instelling;</w:t>
            </w:r>
          </w:p>
        </w:tc>
        <w:tc>
          <w:tcPr>
            <w:tcW w:w="4876" w:type="dxa"/>
            <w:tcBorders>
              <w:top w:val="nil"/>
              <w:left w:val="nil"/>
              <w:bottom w:val="nil"/>
              <w:right w:val="nil"/>
            </w:tcBorders>
          </w:tcPr>
          <w:p>
            <w:pPr>
              <w:pStyle w:val="Normal6a"/>
            </w:pPr>
            <w:r>
              <w:t>9.</w:t>
            </w:r>
            <w:r>
              <w:tab/>
            </w:r>
            <w:r>
              <w:t xml:space="preserve">merkt met waardering op uit de antwoorden van het HvJ-EU op de vragenlijst voor de kwijting 2024 dat het HvJ-EU zich inspant om de justitiële hervorming voor de gedeeltelijke overdracht van de bevoegdheid om prejudiciële beslissingen te nemen van het HvJ-EU naar het Gerecht te voltooien en de uitvoering van het nieuwe regelgevingskader vanaf 1 oktober 2024 mogelijk te maken; neemt in dit verband kennis van de reorganisatie van de structuur van het Gerecht, de wijziging van het reglement voor de procesvoering van het HvJ-EU, de goedkeuring van een nieuwe reeks praktijkregels van het Gerecht voor de uitvoering van het reglement voor de procesvoering, de goedkeuring van een nieuw besluit inzake de neerlegging en betekening van processtukken via </w:t>
            </w:r>
            <w:r>
              <w:rPr>
                <w:b/>
                <w:i/>
              </w:rPr>
              <w:t>e-Curia</w:t>
            </w:r>
            <w:r>
              <w:t xml:space="preserve">, de ontwikkeling van nieuwe software (“onestopshop”) voor een snelle analyse en behandeling van zaken en de harmonisatie van de praktijken van de griffies van de twee rechterlijke instanties in 2024; merkt met waardering op dat in de eerste drie maanden na de inwerkingtreding van de hervorming al twintig prejudiciële beslissingen zijn overgedragen aan het Gerecht, waarmee de eerste resultaten zijn geboekt op weg naar een evenwichtigere verdeling van de werkdruk tussen de twee rechterlijke instanties; merkt op dat de enige extra kosten in verband met de uitvoering van de justitiële hervorming IT-gerelateerde kosten waren voor de ontwikkeling van de onestopshop, die ongeveer 805 000 EUR bedroegen, terwijl de hervorming op personeelsgebied budgettair neutraal bleef door de herschikking van posten en taken binnen de instelling; </w:t>
            </w:r>
            <w:r>
              <w:rPr>
                <w:b/>
                <w:i/>
              </w:rPr>
              <w:t>verzoekt het Hof van Justitie voor de volgende kwijtingsprocedure een uitgebreide ex-postevaluatie van de hervorming voor te leggen, met inbegrip van het effect op de duur van procedures en de verdeling van de werklast tussen de twee rechtbanken;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merkt met waardering op uit de antwoorden van het HvJ-EU op de vragenlijst voor de kwijting 2024 dat het HvJ-EU zich inspant om de justitiële hervorming voor de gedeeltelijke overdracht van de bevoegdheid om prejudiciële beslissingen te nemen van het HvJ-EU naar het Gerecht te voltooien en de uitvoering van het nieuwe regelgevingskader vanaf 1 oktober 2024 mogelijk te maken; neemt in dit verband kennis van de reorganisatie van de structuur van het Gerecht, de wijziging van het reglement voor de procesvoering van het HvJ-EU, de goedkeuring van een nieuwe reeks praktijkregels van het Gerecht voor de uitvoering van het reglement voor de procesvoering, de goedkeuring van een nieuw besluit inzake de neerlegging en betekening van processtukken via </w:t>
            </w:r>
            <w:r>
              <w:rPr>
                <w:b/>
                <w:i/>
              </w:rPr>
              <w:t>e‑Curia</w:t>
            </w:r>
            <w:r>
              <w:t>, de ontwikkeling van nieuwe software (“onestopshop”) voor een snelle analyse en behandeling van zaken en de harmonisatie van de praktijken van de griffies van de twee rechterlijke instanties in 2024; merkt met waardering op dat in de eerste drie maanden na de inwerkingtreding van de hervorming al twintig prejudiciële beslissingen zijn overgedragen aan het Gerecht, waarmee de eerste resultaten zijn geboekt op weg naar een evenwichtigere verdeling van de werkdruk tussen de twee rechterlijke instanties; merkt op dat de enige extra kosten in verband met de uitvoering van de justitiële hervorming IT-gerelateerde kosten waren voor de ontwikkeling van de onestopshop, die ongeveer 805 000 EUR bedroegen, terwijl de hervorming op personeelsgebied budgettair neutraal bleef door de herschikking van posten en taken binnen de instelling;</w:t>
            </w:r>
          </w:p>
        </w:tc>
        <w:tc>
          <w:tcPr>
            <w:tcW w:w="4876" w:type="dxa"/>
            <w:tcBorders>
              <w:top w:val="nil"/>
              <w:left w:val="nil"/>
              <w:bottom w:val="nil"/>
              <w:right w:val="nil"/>
            </w:tcBorders>
          </w:tcPr>
          <w:p>
            <w:pPr>
              <w:pStyle w:val="Normal6a"/>
            </w:pPr>
            <w:r>
              <w:t>9.</w:t>
            </w:r>
            <w:r>
              <w:tab/>
            </w:r>
            <w:r>
              <w:t xml:space="preserve">merkt met waardering op uit de antwoorden van het HvJ-EU op de vragenlijst voor de kwijting 2024 dat het HvJ-EU zich inspant om de justitiële hervorming voor de gedeeltelijke overdracht van de bevoegdheid om prejudiciële beslissingen te nemen van het HvJ-EU naar het Gerecht te voltooien en de uitvoering van het nieuwe regelgevingskader vanaf 1 oktober 2024 mogelijk te maken; neemt in dit verband kennis van de reorganisatie van de structuur van het Gerecht, de wijziging van het reglement voor de procesvoering van het HvJ-EU, de goedkeuring van een nieuwe reeks praktijkregels van het Gerecht voor de uitvoering van het reglement voor de procesvoering, de goedkeuring van een nieuw besluit inzake de neerlegging en betekening van processtukken via </w:t>
            </w:r>
            <w:r>
              <w:rPr>
                <w:b/>
                <w:i/>
              </w:rPr>
              <w:t>e-Curia</w:t>
            </w:r>
            <w:r>
              <w:t xml:space="preserve">, de ontwikkeling van nieuwe software (“onestopshop”) voor een snelle analyse en behandeling van zaken en de harmonisatie van de praktijken van de griffies van de twee rechterlijke instanties in 2024; merkt met waardering op dat in de eerste drie maanden na de inwerkingtreding van de hervorming al twintig prejudiciële beslissingen zijn overgedragen aan het Gerecht, waarmee de eerste resultaten zijn geboekt op weg naar een evenwichtigere verdeling van de werkdruk tussen de twee rechterlijke instanties; merkt op dat de enige extra kosten in verband met de uitvoering van de justitiële hervorming IT-gerelateerde kosten waren voor de ontwikkeling van de onestopshop, die ongeveer 805 000 EUR bedroegen, terwijl de hervorming op personeelsgebied budgettair neutraal bleef door de herschikking van posten en taken binnen de instelling; </w:t>
            </w:r>
            <w:r>
              <w:rPr>
                <w:b/>
                <w:i/>
              </w:rPr>
              <w:t>verzoekt het HvJ-EU in de context van toekomstige kwijtingsprocedures verslag uit te brengen over de concrete effecten van de justitiële hervorming op de efficiëntie, de duur van procedures en de verdeling van de werklast;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merkt met waardering op uit de antwoorden van het HvJ-EU op de vragenlijst voor de kwijting 2024 dat het HvJ-EU zich inspant om de justitiële hervorming voor de gedeeltelijke overdracht van de bevoegdheid om prejudiciële beslissingen te nemen van het HvJ-EU naar het Gerecht te voltooien en de uitvoering van het nieuwe regelgevingskader vanaf 1 oktober 2024 mogelijk te maken; neemt in dit verband kennis van de reorganisatie van de structuur van het Gerecht, de wijziging van het reglement voor de procesvoering van het HvJ-EU, de goedkeuring van een nieuwe reeks praktijkregels van het Gerecht voor de uitvoering van het reglement voor de procesvoering, de goedkeuring van een nieuw besluit inzake de neerlegging en betekening van processtukken via </w:t>
            </w:r>
            <w:r>
              <w:rPr>
                <w:b/>
                <w:i/>
              </w:rPr>
              <w:t>e‑Curia</w:t>
            </w:r>
            <w:r>
              <w:t xml:space="preserve">, de ontwikkeling van nieuwe software (“onestopshop”) voor een snelle analyse en behandeling van zaken en de harmonisatie van de praktijken van de griffies van de twee rechterlijke instanties in 2024; merkt met waardering op dat in de eerste drie maanden na de inwerkingtreding van de hervorming al </w:t>
            </w:r>
            <w:r>
              <w:rPr>
                <w:b/>
                <w:i/>
              </w:rPr>
              <w:t>twintig</w:t>
            </w:r>
            <w:r>
              <w:t xml:space="preserve"> prejudiciële beslissingen zijn overgedragen aan het Gerecht, waarmee de eerste resultaten zijn geboekt op weg naar een evenwichtigere verdeling van de werkdruk tussen de twee rechterlijke instanties; merkt op dat de enige extra kosten in verband met de uitvoering van de justitiële hervorming IT-gerelateerde kosten waren voor de ontwikkeling van de onestopshop, die ongeveer 805 000 EUR bedroegen, terwijl de hervorming op personeelsgebied budgettair neutraal bleef door de herschikking van posten en taken binnen de instelling;</w:t>
            </w:r>
          </w:p>
        </w:tc>
        <w:tc>
          <w:tcPr>
            <w:tcW w:w="4876" w:type="dxa"/>
            <w:tcBorders>
              <w:top w:val="nil"/>
              <w:left w:val="nil"/>
              <w:bottom w:val="nil"/>
              <w:right w:val="nil"/>
            </w:tcBorders>
          </w:tcPr>
          <w:p>
            <w:pPr>
              <w:pStyle w:val="Normal6a"/>
            </w:pPr>
            <w:r>
              <w:t>9.</w:t>
            </w:r>
            <w:r>
              <w:tab/>
            </w:r>
            <w:r>
              <w:t xml:space="preserve">merkt met waardering op uit de antwoorden van het HvJ-EU op de vragenlijst voor de kwijting 2024 dat het HvJ-EU zich inspant om de justitiële hervorming voor de gedeeltelijke overdracht van de bevoegdheid om prejudiciële beslissingen te nemen van het HvJ-EU naar het Gerecht te voltooien en de uitvoering van het nieuwe regelgevingskader vanaf 1 oktober 2024 mogelijk te maken; neemt in dit verband kennis van de reorganisatie van de structuur van het Gerecht, de wijziging van het reglement voor de procesvoering van het HvJ-EU, de goedkeuring van een nieuwe reeks praktijkregels van het Gerecht voor de uitvoering van het reglement voor de procesvoering, de goedkeuring van een nieuw besluit inzake de neerlegging en betekening van processtukken via </w:t>
            </w:r>
            <w:r>
              <w:rPr>
                <w:b/>
                <w:i/>
              </w:rPr>
              <w:t>e-Curia</w:t>
            </w:r>
            <w:r>
              <w:t xml:space="preserve">, de ontwikkeling van nieuwe software (“onestopshop”) voor een snelle analyse en behandeling van zaken en de harmonisatie van de praktijken van de griffies van de twee rechterlijke instanties in 2024; merkt met waardering op dat in de eerste drie maanden na de inwerkingtreding van de hervorming al </w:t>
            </w:r>
            <w:r>
              <w:rPr>
                <w:b/>
                <w:i/>
              </w:rPr>
              <w:t>negentien</w:t>
            </w:r>
            <w:r>
              <w:t xml:space="preserve"> prejudiciële beslissingen zijn overgedragen aan het Gerecht, waarmee de eerste resultaten zijn geboekt op weg naar een evenwichtigere verdeling van de werkdruk tussen de twee rechterlijke instanties; merkt op dat de enige extra kosten in verband met de uitvoering van de justitiële hervorming IT-gerelateerde kosten waren voor de ontwikkeling van de onestopshop, die ongeveer 805 000 EUR bedroegen, terwijl de hervorming op personeelsgebied budgettair neutraal bleef door de herschikking van posten en taken binnen de instelling;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merkt op dat het Hof van Justitie in 2024 uitspraak heeft gedaan in twaalf zaken betreffende het beginsel van voorrang van het Unierecht, waarvan tien prejudiciële zaken en twee inbreukzaken; herhaalt dat het beginsel van de voorrang van het Unierecht, dat de uniforme uitlegging en toepassing van het Unierecht in alle lidstaten waarborgt en de rechtsstaat als kernwaarde van de Unie vrijwaart, van fundamenteel belang is; bevestigt eens te meer met klem dat het beginsel van voorrang van het Unierecht de hoeksteen van de rechtsorde van de Unie is en benadrukt de centrale rol van het HvJ-EU bij de handhaving van de rechtsstaat in de hele Unie;</w:t>
            </w:r>
          </w:p>
        </w:tc>
        <w:tc>
          <w:tcPr>
            <w:tcW w:w="4876" w:type="dxa"/>
            <w:tcBorders>
              <w:top w:val="nil"/>
              <w:left w:val="nil"/>
              <w:bottom w:val="nil"/>
              <w:right w:val="nil"/>
            </w:tcBorders>
          </w:tcPr>
          <w:p>
            <w:pPr>
              <w:pStyle w:val="Normal6a"/>
            </w:pPr>
            <w:r>
              <w:t>10.</w:t>
            </w:r>
            <w:r>
              <w:tab/>
            </w:r>
            <w:r>
              <w:t xml:space="preserve">merkt op dat het Hof van Justitie in 2024 uitspraak heeft gedaan in twaalf zaken betreffende het beginsel van voorrang van het Unierecht, waarvan tien prejudiciële zaken en twee inbreukzaken; herhaalt dat het beginsel van de voorrang van het Unierecht, dat de uniforme uitlegging en toepassing van het Unierecht in alle lidstaten waarborgt en de rechtsstaat als kernwaarde van de Unie vrijwaart, van fundamenteel belang is; bevestigt eens te meer met klem dat het beginsel van voorrang van het Unierecht de hoeksteen van de rechtsorde van de Unie is en benadrukt de centrale rol van het HvJ-EU bij de handhaving van de rechtsstaat in de hele Unie; </w:t>
            </w:r>
            <w:r>
              <w:rPr>
                <w:b/>
                <w:i/>
              </w:rPr>
              <w:t>merkt in dit verband op dat in artikel 4, lid 2, van het Verdrag betreffende de Europese Unie het volgende is bepaald: “De Unie eerbiedigt de gelijkheid van de lidstaten voor de Verdragen, alsmede hun nationale identiteit die besloten ligt in hun politieke en constitutionele basisstructuren, waaronder die voor regionaal en lokaal zelfbestuur.</w:t>
            </w:r>
            <w:r>
              <w:t xml:space="preserve"> </w:t>
            </w:r>
            <w:r>
              <w:rPr>
                <w:b/>
                <w:i/>
              </w:rPr>
              <w:t>Zij eerbiedigt de essentiële staatsfuncties [...]”;</w:t>
            </w:r>
            <w:r>
              <w:t xml:space="preserve"> </w:t>
            </w:r>
            <w:r>
              <w:rPr>
                <w:b/>
                <w:i/>
              </w:rPr>
              <w:t>benadrukt dat de superioriteit van nationale grondwetten het absolute beginsel blijft dat de verhouding bepaalt tussen de grondwetten van de lidstaten en het Unierecht;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merkt op dat het Hof van Justitie in 2024 uitspraak heeft gedaan in twaalf zaken betreffende het beginsel van voorrang van het Unierecht, waarvan tien prejudiciële zaken en twee inbreukzaken; herhaalt dat het beginsel van de voorrang van het Unierecht, dat de uniforme uitlegging en toepassing van het Unierecht in alle lidstaten waarborgt en de rechtsstaat als kernwaarde van de Unie vrijwaart, van fundamenteel belang is; bevestigt eens te meer met klem dat het beginsel van voorrang van het Unierecht de hoeksteen van de rechtsorde van de Unie is en benadrukt de centrale rol van het HvJ-EU bij de handhaving van de rechtsstaat in de hele Unie;</w:t>
            </w:r>
          </w:p>
        </w:tc>
        <w:tc>
          <w:tcPr>
            <w:tcW w:w="4876" w:type="dxa"/>
            <w:tcBorders>
              <w:top w:val="nil"/>
              <w:left w:val="nil"/>
              <w:bottom w:val="nil"/>
              <w:right w:val="nil"/>
            </w:tcBorders>
          </w:tcPr>
          <w:p>
            <w:pPr>
              <w:pStyle w:val="Normal6a"/>
            </w:pPr>
            <w:r>
              <w:t>10.</w:t>
            </w:r>
            <w:r>
              <w:tab/>
            </w:r>
            <w:r>
              <w:t>merkt op dat het Hof van Justitie in 2024 uitspraak heeft gedaan in twaalf zaken betreffende het beginsel van voorrang van het Unierecht, waarvan tien prejudiciële zaken en twee inbreukzaken; herhaalt dat het beginsel van de voorrang van het Unierecht, dat de uniforme uitlegging en toepassing van het Unierecht in alle lidstaten waarborgt en de rechtsstaat als kernwaarde van de Unie vrijwaart, van fundamenteel belang is; bevestigt eens te meer met klem dat het beginsel van voorrang van het Unierecht de hoeksteen van de rechtsorde van de Unie is en benadrukt de centrale rol van het HvJ-EU bij de handhaving van de rechtsstaat in de hele Unie</w:t>
            </w:r>
            <w:r>
              <w:rPr>
                <w:b/>
                <w:i/>
              </w:rPr>
              <w:t>, en herinnert eraan dat de toepassing van het beginsel van voorrang stevig verankerd moet blijven in de Verdragen en moet worden uitgeoefend met inachtneming van nationale constitutionele identiteiten, overeenkomstig artikel 4, lid 2, VEU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is het eens met het HvJ-EU dat de Commissie, als hoedster van de Verdragen, moet toezien op de naleving van de uitspraken van het HvJ-EU door de lidstaten, maar herhaalt zijn oproep aan het Hof om een mechanisme in te stellen om goede en slechte praktijken in de lidstaten vast te stellen;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is het eens met het HvJ-EU dat de Commissie, als hoedster van de Verdragen, moet toezien op de naleving van de uitspraken van het HvJ-EU door de lidstaten</w:t>
            </w:r>
            <w:r>
              <w:rPr>
                <w:b/>
                <w:i/>
              </w:rPr>
              <w:t>, maar</w:t>
            </w:r>
            <w:r>
              <w:t xml:space="preserve"> herhaalt zijn oproep aan het Hof om een mechanisme in te stellen om goede en slechte praktijken in de lidstaten vast te stellen;</w:t>
            </w:r>
          </w:p>
        </w:tc>
        <w:tc>
          <w:tcPr>
            <w:tcW w:w="4876" w:type="dxa"/>
            <w:tcBorders>
              <w:top w:val="nil"/>
              <w:left w:val="nil"/>
              <w:bottom w:val="nil"/>
              <w:right w:val="nil"/>
            </w:tcBorders>
          </w:tcPr>
          <w:p>
            <w:pPr>
              <w:pStyle w:val="Normal6a"/>
            </w:pPr>
            <w:r>
              <w:t>12.</w:t>
            </w:r>
            <w:r>
              <w:tab/>
            </w:r>
            <w:r>
              <w:t>is het eens met het HvJ-EU dat de Commissie, als hoedster van de Verdragen, moet toezien op de naleving van de uitspraken van het HvJ-EU door de lidstaten</w:t>
            </w:r>
            <w:r>
              <w:rPr>
                <w:b/>
                <w:i/>
              </w:rPr>
              <w:t>;</w:t>
            </w:r>
            <w:r>
              <w:t xml:space="preserve"> herhaalt zijn oproep aan het Hof om</w:t>
            </w:r>
            <w:r>
              <w:rPr>
                <w:b/>
                <w:i/>
              </w:rPr>
              <w:t>, met strikte inachtneming van de grenzen van zijn rol;</w:t>
            </w:r>
            <w:r>
              <w:t xml:space="preserve"> een mechanisme in te stellen om goede en slechte praktijken in de lidstaten vast te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merkt op dat de gemiddelde duur van de procedures voor de door het Hof van Justitie afgesloten zaken in 2024 17,7 maanden bedroeg, tegenover 16,1 maanden in 2023, terwijl de toename met ongeveer zes weken te wijten was aan de complexiteit en omvang van sommige dossiers (zoals de in 2020 ingestelde beroepen tegen het zogenaamde “mobiliteitspakket” van de Unie, die in 2024 werden afgesloten); merkt op dat de gemiddelde duur van de door het Gerecht bij arrest of beschikking afgesloten zaken is gestegen van 18,2 maanden in 2023 tot 18,5 maanden in 2024;</w:t>
            </w:r>
          </w:p>
        </w:tc>
        <w:tc>
          <w:tcPr>
            <w:tcW w:w="4876" w:type="dxa"/>
            <w:tcBorders>
              <w:top w:val="nil"/>
              <w:left w:val="nil"/>
              <w:bottom w:val="nil"/>
              <w:right w:val="nil"/>
            </w:tcBorders>
          </w:tcPr>
          <w:p>
            <w:pPr>
              <w:pStyle w:val="Normal6a"/>
            </w:pPr>
            <w:r>
              <w:t>14.</w:t>
            </w:r>
            <w:r>
              <w:tab/>
            </w:r>
            <w:r>
              <w:t xml:space="preserve">merkt op dat de gemiddelde duur van de procedures voor de door het Hof van Justitie afgesloten zaken in 2024 17,7 maanden bedroeg, tegenover 16,1 maanden in 2023, terwijl de toename met ongeveer zes weken te wijten was aan de complexiteit en omvang van sommige dossiers (zoals de in 2020 ingestelde beroepen tegen het zogenaamde “mobiliteitspakket” van de Unie, die in 2024 werden afgesloten); merkt op dat de gemiddelde duur van de door het Gerecht bij arrest of beschikking afgesloten zaken is gestegen van 18,2 maanden in 2023 tot 18,5 maanden in 2024; </w:t>
            </w:r>
            <w:r>
              <w:rPr>
                <w:b/>
                <w:i/>
              </w:rPr>
              <w:t>benadrukt dat de tijdigheid van gerechtelijke procedures een kernprestatiedoelstelling moet blijven, aangezien een buitensporige duur rechtstreeks van invloed is op de rechtszekerheid voor burgers, nationale rechtbanken en marktdeelnemers;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is ingenomen met de door het HvJ-EU ontwikkelde prestatiegerichte aanpak, waardoor het HvJ-EU beslissingen kan nemen op basis van de mate waarin zijn doelstellingen zijn verwezenlijkt, gemeten aan de hand van een reeks werkdruk- en operationele indicatoren (bijvoorbeeld kostenefficiëntie, percentage voltooide projecten, gebruikerstevredenheid en optimalisatie van middelen) die op elke dienst zijn afgestemd;</w:t>
            </w:r>
            <w:r>
              <w:t xml:space="preserve"> </w:t>
            </w:r>
            <w:r>
              <w:rPr>
                <w:b/>
                <w:i/>
              </w:rPr>
              <w:t>stelt vast dat de door het HvJ-EU gebruikte kernprestatie-indicatoren een breed scala aan specifieke gebieden bestrijken ter ondersteuning van de vijf beheersdoelstellingen met betrekking tot de goede werking van de twee rechterlijke instanties, digitalisering en opkomende technologieën, openheid en transparantie, meertaligheid en personeelsbeheer;</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is ingenomen met de door het HvJ-EU ontwikkelde prestatiegerichte aanpak, waardoor het HvJ-EU beslissingen kan nemen op basis van de mate waarin zijn doelstellingen zijn verwezenlijkt, gemeten aan de hand van een reeks werkdruk- en operationele indicatoren (bijvoorbeeld kostenefficiëntie, percentage voltooide projecten, gebruikerstevredenheid en optimalisatie van middelen) die op elke dienst zijn afgestemd; stelt vast dat de door het HvJ-EU gebruikte kernprestatie-indicatoren een breed scala aan specifieke gebieden bestrijken ter ondersteuning van de vijf beheersdoelstellingen met betrekking tot de goede werking van de twee rechterlijke instanties, digitalisering en opkomende technologieën, openheid en transparantie, meertaligheid en personeelsbeheer;</w:t>
            </w:r>
          </w:p>
        </w:tc>
        <w:tc>
          <w:tcPr>
            <w:tcW w:w="4876" w:type="dxa"/>
            <w:tcBorders>
              <w:top w:val="nil"/>
              <w:left w:val="nil"/>
              <w:bottom w:val="nil"/>
              <w:right w:val="nil"/>
            </w:tcBorders>
          </w:tcPr>
          <w:p>
            <w:pPr>
              <w:pStyle w:val="Normal6a"/>
            </w:pPr>
            <w:r>
              <w:t>16.</w:t>
            </w:r>
            <w:r>
              <w:tab/>
            </w:r>
            <w:r>
              <w:t xml:space="preserve">is ingenomen met de door het HvJ-EU ontwikkelde prestatiegerichte aanpak, waardoor het HvJ-EU beslissingen kan nemen op basis van de mate waarin zijn doelstellingen zijn verwezenlijkt, gemeten aan de hand van een reeks werkdruk- en operationele indicatoren (bijvoorbeeld kostenefficiëntie, percentage voltooide projecten, gebruikerstevredenheid en optimalisatie van middelen) die op elke dienst zijn afgestemd; stelt vast dat de door het HvJ-EU gebruikte kernprestatie-indicatoren een breed scala aan specifieke gebieden bestrijken ter ondersteuning van de vijf beheersdoelstellingen met betrekking tot de goede werking van de twee rechterlijke instanties, digitalisering en opkomende technologieën, openheid en transparantie, meertaligheid en personeelsbeheer; </w:t>
            </w:r>
            <w:r>
              <w:rPr>
                <w:b/>
                <w:i/>
              </w:rPr>
              <w:t>benadrukt dat het HvJ-EU ervoor moet zorgen dat deze indicatoren transparant en resultaatgericht zijn en regelmatig worden herzien, teneinde bij te dragen tot doeltreffend beheer en verantwoordingsplicht;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 ingenomen met de in 2024 herziene aanpak met betrekking tot het rendement op investeringen in innovatie-initiatieven, waarbij rekening wordt gehouden met de kostenevaluatie aan de hand van parameters zoals implementatie</w:t>
            </w:r>
            <w:r>
              <w:rPr>
                <w:b/>
                <w:i/>
              </w:rPr>
              <w:t>‑</w:t>
            </w:r>
            <w:r>
              <w:t xml:space="preserve"> en personeelsinspanningen, jaarlijks onderhoud, kosten van aannemers en andere soorten kosten, alsook met de evaluatie van de baten aan de hand van parameters zoals verwachte winsten, strategische voordelen en het aantal betrokken gebruikers;</w:t>
            </w:r>
          </w:p>
        </w:tc>
        <w:tc>
          <w:tcPr>
            <w:tcW w:w="4876" w:type="dxa"/>
            <w:tcBorders>
              <w:top w:val="nil"/>
              <w:left w:val="nil"/>
              <w:bottom w:val="nil"/>
              <w:right w:val="nil"/>
            </w:tcBorders>
          </w:tcPr>
          <w:p>
            <w:pPr>
              <w:pStyle w:val="Normal6a"/>
            </w:pPr>
            <w:r>
              <w:t>17.</w:t>
            </w:r>
            <w:r>
              <w:tab/>
            </w:r>
            <w:r>
              <w:t>is ingenomen met de in 2024 herziene aanpak met betrekking tot het rendement op investeringen in innovatie-initiatieven, waarbij rekening wordt gehouden met de kostenevaluatie aan de hand van parameters zoals implementatie</w:t>
            </w:r>
            <w:r>
              <w:rPr>
                <w:b/>
                <w:i/>
              </w:rPr>
              <w:t>-</w:t>
            </w:r>
            <w:r>
              <w:t xml:space="preserve"> en personeelsinspanningen, jaarlijks onderhoud, kosten van aannemers en andere soorten kosten, alsook met de evaluatie van de baten aan de hand van parameters zoals verwachte winsten, strategische voordelen en het aantal betrokken gebruikers; </w:t>
            </w:r>
            <w:r>
              <w:rPr>
                <w:b/>
                <w:i/>
              </w:rPr>
              <w:t>merkt op dat het HvJ-EU in 2024 ook zijn systeem voor het volgen van projectbeheer en projectfinanciën aan een grondige herziening heeft onderworpen, waarbij het beoogt in 2025 volledige verslaglegging en controle te kunnen waarborgen met betrekking tot zijn tijdsgevoelige consultancydiensten op het vlak van digitalisering;</w:t>
            </w:r>
            <w:r>
              <w:t xml:space="preserve"> </w:t>
            </w:r>
            <w:r>
              <w:rPr>
                <w:b/>
                <w:i/>
              </w:rPr>
              <w:t>verzoekt het HvJ-EU de kwijtingsautoriteit op de hoogte te houden van deze kwestie;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merkt op dat het Hof van Justitie bestaat uit 27 rechters en elf advocaten-generaal en dat het Gerecht bestaat uit 54 rechters; merkt voorts op dat negen nieuwe rechters bij het Hof van Justitie en twee nieuwe rechters bij het Gerecht hun ambt hebben aanvaard in het kader van een gedeeltelijke vervanging in 2024; betreurt dat de gendersamenstelling van het Hof van Justitie en het Gerecht nog steeds zeer onevenwichtig is; spreekt zijn waardering uit voor de brief van de president van het Gerecht aan de voorzitter van de Conferentie van vertegenwoordigers van de lidstaten uit 2024, waarin de lidstaten worden opgeroepen om bij het voordragen van kandidaten voor de vervanging van rechters en advocaten-generaal rekening te houden met het belang van genderevenwicht; herhaalt zijn verzoek aan de lidstaten om bij het voordragen van kandidaten ter vervanging van rechters rekening te houden met de noodzaak van genderevenwicht;</w:t>
            </w:r>
          </w:p>
        </w:tc>
        <w:tc>
          <w:tcPr>
            <w:tcW w:w="4876" w:type="dxa"/>
            <w:tcBorders>
              <w:top w:val="nil"/>
              <w:left w:val="nil"/>
              <w:bottom w:val="nil"/>
              <w:right w:val="nil"/>
            </w:tcBorders>
          </w:tcPr>
          <w:p>
            <w:pPr>
              <w:pStyle w:val="Normal6a"/>
            </w:pPr>
            <w:r>
              <w:t>20.</w:t>
            </w:r>
            <w:r>
              <w:tab/>
            </w:r>
            <w:r>
              <w:t>merkt op dat het Hof van Justitie bestaat uit 27 rechters en elf advocaten-generaal en dat het Gerecht bestaat uit 54 rechters; merkt voorts op dat negen nieuwe rechters bij het Hof van Justitie en twee nieuwe rechters bij het Gerecht hun ambt hebben aanvaard in het kader van een gedeeltelijke vervanging in 2024; betreurt dat de gendersamenstelling van het Hof van Justitie en het Gerecht nog steeds zeer onevenwichtig is; spreekt zijn waardering uit voor de brief van de president van het Gerecht aan de voorzitter van de Conferentie van vertegenwoordigers van de lidstaten uit 2024, waarin de lidstaten worden opgeroepen om bij het voordragen van kandidaten voor de vervanging van rechters en advocaten-generaal rekening te houden met het belang van genderevenwicht; herhaalt zijn verzoek aan de lidstaten om bij het voordragen van kandidaten ter vervanging van rechters rekening te houden met de noodzaak van genderevenwicht</w:t>
            </w:r>
            <w:r>
              <w:rPr>
                <w:b/>
                <w:i/>
              </w:rPr>
              <w:t>, zonder uit het oog te verliezen dat nominaties nog steeds gebaseerd moeten zijn op verdienste, kwalificaties en onafhankelijke criteria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merkt op dat het personeel van het HvJ-EU in 2024 voor 60,70 % uit vrouwen en 39,30 % uit mannen bestond; merkt op dat vrouwen het best vertegenwoordigd waren in de rangen van assistenten (69,14 %), maar helaas het minst in hogere managementfuncties (35,71 %); merkt voorts een toename op van het aantal vrouwen in middenkaderfuncties, van 43,33 % in 2023 tot 51,61 % in 2024; merkt met voldoening op uit het beheersverslag van de gedelegeerde ordonnateur voor 2024 dat er een stijgende trend is in de vertegenwoordiging van vrouwen in leidinggevende functies in het algemeen, van 37,50 % in 2018 tot 48,70 % in 2024;</w:t>
            </w:r>
          </w:p>
        </w:tc>
        <w:tc>
          <w:tcPr>
            <w:tcW w:w="4876" w:type="dxa"/>
            <w:tcBorders>
              <w:top w:val="nil"/>
              <w:left w:val="nil"/>
              <w:bottom w:val="nil"/>
              <w:right w:val="nil"/>
            </w:tcBorders>
          </w:tcPr>
          <w:p>
            <w:pPr>
              <w:pStyle w:val="Normal6a"/>
            </w:pPr>
            <w:r>
              <w:t>21.</w:t>
            </w:r>
            <w:r>
              <w:tab/>
            </w:r>
            <w:r>
              <w:t xml:space="preserve">merkt op dat het personeel van het HvJ-EU in 2024 voor 60,70 % uit vrouwen en 39,30 % uit mannen bestond; merkt op dat vrouwen het best vertegenwoordigd waren in de rangen van assistenten (69,14 %), maar helaas het minst in hogere managementfuncties (35,71 %); merkt voorts een toename op van het aantal vrouwen in middenkaderfuncties, van 43,33 % in 2023 tot 51,61 % in 2024; merkt met voldoening op uit het beheersverslag van de gedelegeerde ordonnateur voor 2024 dat er een stijgende trend is in de vertegenwoordiging van vrouwen in leidinggevende functies in het algemeen, van 37,50 % in 2018 tot 48,70 % in 2024; </w:t>
            </w:r>
            <w:r>
              <w:rPr>
                <w:b/>
                <w:i/>
              </w:rPr>
              <w:t>benadrukt dat de aanhoudende ondervertegenwoordiging van vrouwen in hogere managementfuncties een punt van zorg blijft en moedigt de rechtbank aan zijn gerichte maatregelen voor loopbaanontwikkeling en leiderschapstrajecten voor vrouwen te blijven versterken, met volledige inachtneming van de beginselen van verdienste en transparantie;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is ingenomen met de opstelling van een actieplan inzake het Verdrag van Istanbul, waarin acties op elkaar worden afgestemd, aanbevelingen worden gedaan en voorlichtings- en opleidingsacties voor al het personeel worden georganiseerd om gevallen van intimidatie te voorkomen;</w:t>
            </w:r>
            <w:r>
              <w:t xml:space="preserve"> </w:t>
            </w:r>
            <w:r>
              <w:rPr>
                <w:b/>
                <w:i/>
              </w:rPr>
              <w:t>neemt kennis van de verder nog aangekondigde maatregelen, waaronder de voortzetting van de samenwerking met nationale organisaties die actief zijn op het gebied van de preventie van geweld tegen vrouwen, aanvullende bewustmakingsinitiatieven en trainingen waarin met name de nadruk wordt gelegd op de gevolgen van microagressie en gendergerelateerde vooroordelen;</w:t>
            </w:r>
            <w:r>
              <w:t xml:space="preserve"> </w:t>
            </w:r>
            <w:r>
              <w:rPr>
                <w:b/>
                <w:i/>
              </w:rPr>
              <w:t>betreurt in dit kader dat er geen verplichte opleidingen zijn georganiseerd voor alle personeelsleden en leden, zoals vermeld in de antwoorden van het HvJ-EU op de vragenlijst voor de kwijting 2024;</w:t>
            </w:r>
            <w:r>
              <w:t xml:space="preserve"> </w:t>
            </w:r>
            <w:r>
              <w:rPr>
                <w:b/>
                <w:i/>
              </w:rPr>
              <w:t>dringt er daarom op aan dat bepaald wordt dat alle personen, zowel personeelsleden als leden, verplicht moeten deelnemen aan trainingen op het gebied van het voorkomen van geweld tegen vrouwen;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neemt met waardering kennis van de diverse inspanningen en</w:t>
            </w:r>
            <w:r>
              <w:t xml:space="preserve"> maatregelen </w:t>
            </w:r>
            <w:r>
              <w:rPr>
                <w:b/>
                <w:i/>
              </w:rPr>
              <w:t>die het HvJ‑EU onder</w:t>
            </w:r>
            <w:r>
              <w:t xml:space="preserve"> zijn personeel heeft </w:t>
            </w:r>
            <w:r>
              <w:rPr>
                <w:b/>
                <w:i/>
              </w:rPr>
              <w:t>genomen, onder meer in de aanwervingsfase, ten behoeve van gelijkheid, inclusie, wederzijds respect en diversiteit (D&amp;I);</w:t>
            </w:r>
            <w:r>
              <w:t xml:space="preserve"> </w:t>
            </w:r>
            <w:r>
              <w:rPr>
                <w:b/>
                <w:i/>
              </w:rPr>
              <w:t>neemt met name kennis van de lancering in 2024 van een nieuwe opleiding over D&amp;I, gericht op het voorkomen van microagressies, en, vanaf 2025, twee nieuwe opleidingen over het stellen van gezonde grenzen om de prestaties te verbeteren en over een omgeving zonder intimidatie, georganiseerd naar aanleiding van aanbevelingen van de interdepartementale werkgroep van het HvJ-EU over het Verdrag van Istanbul;</w:t>
            </w:r>
            <w:r>
              <w:t xml:space="preserve"> </w:t>
            </w:r>
            <w:r>
              <w:rPr>
                <w:b/>
                <w:i/>
              </w:rPr>
              <w:t>neemt met waardering kennis van de gepersonaliseerde ondersteuningsmaatregelen (met betrekking tot taken, werktijden en werkplekken) die het HvJ-EU sinds 2022 treft voor personeelsleden met een handicap, de deelname van de instelling</w:t>
            </w:r>
            <w:r>
              <w:t xml:space="preserve"> aan de </w:t>
            </w:r>
            <w:r>
              <w:rPr>
                <w:b/>
                <w:i/>
              </w:rPr>
              <w:t>in 2024 georganiseerde bewustmakingsweek rond handicaps en de ontwikkeling vanaf 2025 van een proefprogramma voor stagiairs met een handicap</w:t>
            </w:r>
            <w:r>
              <w:t xml:space="preserve">; </w:t>
            </w:r>
            <w:r>
              <w:rPr>
                <w:b/>
                <w:i/>
              </w:rPr>
              <w:t>verzoekt het HvJ-EU de kwijtingsautoriteit op de hoogte te stellen van het resultaat van dit laatste programma;</w:t>
            </w:r>
          </w:p>
        </w:tc>
        <w:tc>
          <w:tcPr>
            <w:tcW w:w="4876" w:type="dxa"/>
            <w:tcBorders>
              <w:top w:val="nil"/>
              <w:left w:val="nil"/>
              <w:bottom w:val="nil"/>
              <w:right w:val="nil"/>
            </w:tcBorders>
          </w:tcPr>
          <w:p>
            <w:pPr>
              <w:pStyle w:val="Normal6a"/>
            </w:pPr>
            <w:r>
              <w:t>22.</w:t>
            </w:r>
            <w:r>
              <w:tab/>
            </w:r>
            <w:r>
              <w:rPr>
                <w:b/>
                <w:i/>
              </w:rPr>
              <w:t>merkt op dat het HvJ-EU in 2024</w:t>
            </w:r>
            <w:r>
              <w:t xml:space="preserve"> maatregelen </w:t>
            </w:r>
            <w:r>
              <w:rPr>
                <w:b/>
                <w:i/>
              </w:rPr>
              <w:t>en opleidingen voor</w:t>
            </w:r>
            <w:r>
              <w:t xml:space="preserve"> zijn personeel heeft </w:t>
            </w:r>
            <w:r>
              <w:rPr>
                <w:b/>
                <w:i/>
              </w:rPr>
              <w:t>ingevoerd;</w:t>
            </w:r>
            <w:r>
              <w:t xml:space="preserve"> </w:t>
            </w:r>
            <w:r>
              <w:rPr>
                <w:b/>
                <w:i/>
              </w:rPr>
              <w:t>merkt voorts op dat die maatregelen bijdragen</w:t>
            </w:r>
            <w:r>
              <w:t xml:space="preserve"> aan de </w:t>
            </w:r>
            <w:r>
              <w:rPr>
                <w:b/>
                <w:i/>
              </w:rPr>
              <w:t>interne personeelsontwikkeling</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is ingenomen met het feit dat alle nationaliteiten</w:t>
            </w:r>
            <w:r>
              <w:t xml:space="preserve"> van de Unie vertegenwoordigd zijn onder het personeel van het HvJ-EU; </w:t>
            </w:r>
            <w:r>
              <w:rPr>
                <w:b/>
                <w:i/>
              </w:rPr>
              <w:t>merkt echter op dat bepaalde nationaliteiten sterker vertegenwoordigd zijn dan andere, terwijl sommige nationaliteiten sterk oververtegenwoordigd zijn;</w:t>
            </w:r>
            <w:r>
              <w:t xml:space="preserve"> </w:t>
            </w:r>
            <w:r>
              <w:rPr>
                <w:b/>
                <w:i/>
              </w:rPr>
              <w:t>steunt het HvJ-EU bij het opvoeren van zijn inspanningen om vacatures zo breed mogelijk bekend te maken via interinstitutionele websites, socialemedianetwerken en EPSO;</w:t>
            </w:r>
            <w:r>
              <w:t xml:space="preserve"> </w:t>
            </w:r>
            <w:r>
              <w:rPr>
                <w:b/>
                <w:i/>
              </w:rPr>
              <w:t>merkt op uit het vervolgverslag dat het HvJ-EU zich ertoe verbindt relevante gegevens te analyseren voor de uitvoering van gerichte acties ter verbetering van de geografische vertegenwoordiging onder zijn personeel, met inbegrip van stagiairs;</w:t>
            </w:r>
            <w:r>
              <w:t xml:space="preserve"> </w:t>
            </w:r>
            <w:r>
              <w:rPr>
                <w:b/>
                <w:i/>
              </w:rPr>
              <w:t>is ingenomen met de inspanningen van het HvJ-EU om nationale overheden en permanente vertegenwoordigingen van ondervertegenwoordigde lidstaten meer bewust te maken van de stageprogramma’s;</w:t>
            </w:r>
            <w:r>
              <w:t xml:space="preserve"> </w:t>
            </w:r>
            <w:r>
              <w:rPr>
                <w:b/>
                <w:i/>
              </w:rPr>
              <w:t>merkt met voldoening op dat het HvJ‑EU in 2024 aanvragen heeft ontvangen van drie nieuwe lidstaten die voor het eerst deelnemen aan het langetermijnopleidingsprogramma voor nationale rechtsbeoefenaars in het kader van het Europees netwerk voor justitiële opleiding (ENJO);</w:t>
            </w:r>
          </w:p>
        </w:tc>
        <w:tc>
          <w:tcPr>
            <w:tcW w:w="4876" w:type="dxa"/>
            <w:tcBorders>
              <w:top w:val="nil"/>
              <w:left w:val="nil"/>
              <w:bottom w:val="nil"/>
              <w:right w:val="nil"/>
            </w:tcBorders>
          </w:tcPr>
          <w:p>
            <w:pPr>
              <w:pStyle w:val="Normal6a"/>
            </w:pPr>
            <w:r>
              <w:t>23.</w:t>
            </w:r>
            <w:r>
              <w:tab/>
            </w:r>
            <w:r>
              <w:rPr>
                <w:b/>
                <w:i/>
              </w:rPr>
              <w:t>merkt op dat uit alle lidstaten</w:t>
            </w:r>
            <w:r>
              <w:t xml:space="preserve"> van de Unie </w:t>
            </w:r>
            <w:r>
              <w:rPr>
                <w:b/>
                <w:i/>
              </w:rPr>
              <w:t>ingezetenen</w:t>
            </w:r>
            <w:r>
              <w:t xml:space="preserve"> vertegenwoordigd zijn onder het personeel van het HvJ-EU;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prijst het HvJ-EU voor zijn maatregelen om de uitdagingen op het gebied van personeelsaanwerving aan te pakken en Luxemburg onder jonge afgestudeerden te promoten als een aantrekkelijke werkplek; neemt met waardering kennis van de bijdrage van het HvJ-EU aan de invoering en uitvoering van een huisvestingstoelage die met terugwerkende kracht vanaf 1 januari 2025 wordt betaald aan personeelsleden in lagere rangen, de voorbereiding van vergelijkende onderzoeken van EPSO die specifiek gericht zijn op personeelsleden die in Luxemburg werkzaam zullen zijn, alsook informatiebijeenkomsten en zomercursussen; merkt op uit het vervolgverslag dat het HvJ-EU namens de interinstitutionele groep op hoog niveau een project/enquête heeft uitgevoerd om na te gaan of het haalbaar zou zijn om huurcontracten voor tijdelijke huisvesting (d.w.z. voor een periode van maximaal één jaar) af te sluiten tegen marktprijs (of minder), die rechtstreeks door de personeelsleden zouden worden betaald; merkt voorts op dat de enquête succesvol was en dat de werkgroep bijgevolg een overeenkomst inzake dienstverleningsniveau heeft voorgelegd aan de deelnemende instellingen om het HvJ-EU te machtigen om een onderhandelingsprocedure inzake onroerend goed te voeren met entiteiten die geschikte projecten hebben ingediend; verzoekt het HvJ-EU de kwijtingsautoriteit op de hoogte te houden van de follow-up op dit gebied;</w:t>
            </w:r>
          </w:p>
        </w:tc>
        <w:tc>
          <w:tcPr>
            <w:tcW w:w="4876" w:type="dxa"/>
            <w:tcBorders>
              <w:top w:val="nil"/>
              <w:left w:val="nil"/>
              <w:bottom w:val="nil"/>
              <w:right w:val="nil"/>
            </w:tcBorders>
          </w:tcPr>
          <w:p>
            <w:pPr>
              <w:pStyle w:val="Normal6a"/>
            </w:pPr>
            <w:r>
              <w:t>25.</w:t>
            </w:r>
            <w:r>
              <w:tab/>
            </w:r>
            <w:r>
              <w:t>prijst het HvJ-EU voor zijn maatregelen om de uitdagingen op het gebied van personeelsaanwerving aan te pakken en Luxemburg onder jonge afgestudeerden te promoten als een aantrekkelijke werkplek; neemt met waardering kennis van de bijdrage van het HvJ-EU aan de invoering en uitvoering van een huisvestingstoelage die met terugwerkende kracht vanaf 1 januari 2025 wordt betaald aan personeelsleden in lagere rangen, de voorbereiding van vergelijkende onderzoeken van EPSO die specifiek gericht zijn op personeelsleden die in Luxemburg werkzaam zullen zijn, alsook informatiebijeenkomsten en zomercursussen</w:t>
            </w:r>
            <w:r>
              <w:rPr>
                <w:b/>
                <w:i/>
              </w:rPr>
              <w:t>;</w:t>
            </w:r>
            <w:r>
              <w:t xml:space="preserve"> </w:t>
            </w:r>
            <w:r>
              <w:rPr>
                <w:b/>
                <w:i/>
              </w:rPr>
              <w:t>moedigt intensievere samenwerking met EPSO en andere instellingen aan om de pool van gekwalificeerde kandidaten uit te breiden en de vergelijkende selectieprocedures op gespecialiseerde gebieden te versterken</w:t>
            </w:r>
            <w:r>
              <w:t>; merkt op uit het vervolgverslag dat het HvJ-EU namens de interinstitutionele groep op hoog niveau een project/enquête heeft uitgevoerd om na te gaan of het haalbaar zou zijn om huurcontracten voor tijdelijke huisvesting (d.w.z. voor een periode van maximaal één jaar) af te sluiten tegen marktprijs (of minder), die rechtstreeks door de personeelsleden zouden worden betaald; merkt voorts op dat de enquête succesvol was en dat de werkgroep bijgevolg een overeenkomst inzake dienstverleningsniveau heeft voorgelegd aan de deelnemende instellingen om het HvJ-EU te machtigen om een onderhandelingsprocedure inzake onroerend goed te voeren met entiteiten die geschikte projecten hebben ingediend; verzoekt het HvJ-EU de kwijtingsautoriteit op de hoogte te houden van de follow-up op dit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merkt op dat er in </w:t>
            </w:r>
            <w:r>
              <w:rPr>
                <w:b/>
                <w:i/>
              </w:rPr>
              <w:t>2024 19</w:t>
            </w:r>
            <w:r>
              <w:t xml:space="preserve"> gevallen van burn-out zijn gedocumenteerd, waarvan acht nieuwe gevallen in 2024 en negen gevallen in 2023, waarbij de betrokken medewerkers professionele ondersteuning en begeleiding hebben gekregen; merkt met waardering op dat het HvJ-EU in 2024 een voortrekkersrol bleef spelen op het gebied van initiatieven ter bevordering van het fysieke en mentale welzijn van het personeel en ter bestrijding van burn-out en psychosociale risico’s, zoals consultaties met een maatschappelijk werker of een psycholoog, lezingen over mindfulness en digitale balans, gespecialiseerde workshops en bewustmakingsactiviteiten over gezondheidskwesties, EHBO-trainingen en de aanwerving van twee deeltijdpsychologen; erkent het succes van het gebruik van flexibele werkregelingen, waaronder het telewerkprogramma van het HvJ-EU, dat uiteindelijk streeft naar een betere balans tussen werk en privéleven voor het personeel;</w:t>
            </w:r>
          </w:p>
        </w:tc>
        <w:tc>
          <w:tcPr>
            <w:tcW w:w="4876" w:type="dxa"/>
            <w:tcBorders>
              <w:top w:val="nil"/>
              <w:left w:val="nil"/>
              <w:bottom w:val="nil"/>
              <w:right w:val="nil"/>
            </w:tcBorders>
          </w:tcPr>
          <w:p>
            <w:pPr>
              <w:pStyle w:val="Normal6a"/>
            </w:pPr>
            <w:r>
              <w:t>27.</w:t>
            </w:r>
            <w:r>
              <w:tab/>
            </w:r>
            <w:r>
              <w:t xml:space="preserve">merkt op dat er in </w:t>
            </w:r>
            <w:r>
              <w:rPr>
                <w:b/>
                <w:i/>
              </w:rPr>
              <w:t>2024 17</w:t>
            </w:r>
            <w:r>
              <w:t xml:space="preserve"> gevallen van burn-out zijn gedocumenteerd, waarvan acht nieuwe gevallen in 2024 en negen gevallen in 2023, waarbij de betrokken medewerkers professionele ondersteuning en begeleiding hebben gekregen; merkt met waardering op dat het HvJ-EU in 2024 een voortrekkersrol bleef spelen op het gebied van initiatieven ter bevordering van het fysieke en mentale welzijn van het personeel en ter bestrijding van burn-out en psychosociale risico’s, zoals consultaties met een maatschappelijk werker of een psycholoog, lezingen over mindfulness en digitale balans, gespecialiseerde workshops en bewustmakingsactiviteiten over gezondheidskwesties, EHBO-trainingen en de aanwerving van twee deeltijdpsychologen; erkent het succes van het gebruik van flexibele werkregelingen, waaronder het telewerkprogramma van het HvJ-EU, dat uiteindelijk streeft naar een betere balans tussen werk en privéleven voor het personeel;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merkt op dat, zoals gevraagd in eerdere kwijtingsaanbevelingen, de nieuwe gedragscode voor ambtenaren en andere personeelsleden van het HvJ-EU, waarin de waarden en het streven naar hoge ethische normen van het Hof tot uiting komen, in maart 2024 is aangenomen; stelt vast dat de gedragscode bepalingen bevat over belangenconflicten, loyaliteitsplicht, geheimhoudingsplicht en zwijgplicht, externe activiteiten, beroepsactiviteiten na beëindiging van de dienst en publicaties, bepalingen tegen intimidatie, en ook van toepassing is op gedetacheerde nationale deskundigen en stagiair-rechters in het kader van het ENJO; merkt met voldoening op dat opleidingen over het gedragscode en de rechten en plichten van het personeel verplicht zijn voor nieuwkomers en ten zeerste worden aanbevolen aan alle medewerkers van het HvJ-EU, en dat in totaal 747 personen (d.w.z. 32,80 % van het totale aantal ambtenaren en functionarissen van het HvJ-EU) in 2024 aan dergelijke opleidingen hebben deelgenomen; merkt voorts op dat soortgelijk opleidingen ook werden aangeboden aan nieuwe leden van het HvJ-EU in 2024; neemt met waardering kennis van het netwerk van “vertrouwenspersonen” van het HvJ-EU, die personeelsleden bijstaan in geval van intimidatie, alsook van het talentmanagementprogramma dat wordt aangeboden aan veelbelovende administrateurs en dat onder meer betrekking heeft op ethisch leiderschap;</w:t>
            </w:r>
          </w:p>
        </w:tc>
        <w:tc>
          <w:tcPr>
            <w:tcW w:w="4876" w:type="dxa"/>
            <w:tcBorders>
              <w:top w:val="nil"/>
              <w:left w:val="nil"/>
              <w:bottom w:val="nil"/>
              <w:right w:val="nil"/>
            </w:tcBorders>
          </w:tcPr>
          <w:p>
            <w:pPr>
              <w:pStyle w:val="Normal6a"/>
            </w:pPr>
            <w:r>
              <w:t>29.</w:t>
            </w:r>
            <w:r>
              <w:tab/>
            </w:r>
            <w:r>
              <w:t>merkt op dat, zoals gevraagd in eerdere kwijtingsaanbevelingen, de nieuwe gedragscode voor ambtenaren en andere personeelsleden van het HvJ-EU, waarin de waarden en het streven naar hoge ethische normen van het Hof tot uiting komen, in maart 2024 is aangenomen; stelt vast dat de gedragscode bepalingen bevat over belangenconflicten, loyaliteitsplicht, geheimhoudingsplicht en zwijgplicht, externe activiteiten, beroepsactiviteiten na beëindiging van de dienst en publicaties, bepalingen tegen intimidatie, en ook van toepassing is op gedetacheerde nationale deskundigen en stagiair-rechters in het kader van het ENJO</w:t>
            </w:r>
            <w:r>
              <w:rPr>
                <w:b/>
                <w:i/>
              </w:rPr>
              <w:t>;</w:t>
            </w:r>
            <w:r>
              <w:t xml:space="preserve"> </w:t>
            </w:r>
            <w:r>
              <w:rPr>
                <w:b/>
                <w:i/>
              </w:rPr>
              <w:t>merkt op dat het HvJ-EU in termen van voorlichting en opleiding al het nodige heeft gedaan om de gedragscode zo breed mogelijk te presenteren en toe te lichten en om het personeel volledig inzicht te geven in de nieuwe regels en het bredere rechtskader waarvan zij deel uitmaken</w:t>
            </w:r>
            <w:r>
              <w:t>; merkt met voldoening op dat opleidingen over het gedragscode en de rechten en plichten van het personeel verplicht zijn voor nieuwkomers en ten zeerste worden aanbevolen aan alle medewerkers van het HvJ-EU, en dat in totaal 747 personen (d.w.z. 32,80 % van het totale aantal ambtenaren en functionarissen van het HvJ-EU) in 2024 aan dergelijke opleidingen hebben deelgenomen; merkt voorts op dat soortgelijk opleidingen ook werden aangeboden aan nieuwe leden van het HvJ-EU in 2024; neemt met waardering kennis van het netwerk van “vertrouwenspersonen” van het HvJ-EU, die personeelsleden bijstaan in geval van intimidatie, alsook van het talentmanagementprogramma dat wordt aangeboden aan veelbelovende administrateurs en dat onder meer betrekking heeft op ethisch leiderschap;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merkt op dat, zoals gevraagd in eerdere kwijtingsaanbevelingen, de nieuwe gedragscode voor ambtenaren en andere personeelsleden van het HvJ-EU, waarin de waarden en het streven naar hoge ethische normen van het Hof tot uiting komen, in maart 2024 is aangenomen; stelt vast dat de gedragscode bepalingen bevat over belangenconflicten, loyaliteitsplicht, geheimhoudingsplicht en zwijgplicht, externe activiteiten, beroepsactiviteiten na beëindiging van de dienst en publicaties, bepalingen tegen intimidatie, en ook van toepassing is op gedetacheerde nationale deskundigen en stagiair-rechters in het kader van het ENJO; merkt met voldoening op dat opleidingen over het gedragscode en de rechten en plichten van het personeel verplicht zijn voor nieuwkomers en ten zeerste worden aanbevolen aan alle medewerkers van het HvJ-EU, en dat in totaal 747 personen (d.w.z. 32,80 % van het totale aantal ambtenaren en functionarissen van het HvJ-EU) in 2024 aan dergelijke opleidingen hebben deelgenomen; merkt voorts op dat soortgelijk opleidingen ook werden aangeboden aan nieuwe leden van het HvJ-EU in 2024; neemt met waardering kennis van het netwerk van “vertrouwenspersonen” van het HvJ-EU, die personeelsleden bijstaan in geval van intimidatie, alsook van het talentmanagementprogramma dat wordt aangeboden aan veelbelovende administrateurs en dat onder meer betrekking heeft op ethisch leiderschap;</w:t>
            </w:r>
          </w:p>
        </w:tc>
        <w:tc>
          <w:tcPr>
            <w:tcW w:w="4876" w:type="dxa"/>
            <w:tcBorders>
              <w:top w:val="nil"/>
              <w:left w:val="nil"/>
              <w:bottom w:val="nil"/>
              <w:right w:val="nil"/>
            </w:tcBorders>
          </w:tcPr>
          <w:p>
            <w:pPr>
              <w:pStyle w:val="Normal6a"/>
            </w:pPr>
            <w:r>
              <w:t>29.</w:t>
            </w:r>
            <w:r>
              <w:tab/>
            </w:r>
            <w:r>
              <w:t xml:space="preserve">merkt op dat, zoals gevraagd in eerdere kwijtingsaanbevelingen, de nieuwe gedragscode voor ambtenaren en andere personeelsleden van het HvJ-EU, waarin de waarden en het streven naar hoge ethische normen van het Hof tot uiting komen, in maart 2024 is aangenomen; stelt vast dat de gedragscode bepalingen bevat over belangenconflicten, loyaliteitsplicht, geheimhoudingsplicht en zwijgplicht, externe activiteiten, beroepsactiviteiten na beëindiging van de dienst en publicaties, bepalingen tegen intimidatie, en ook van toepassing is op gedetacheerde nationale deskundigen en stagiair-rechters in het kader van het ENJO; merkt met voldoening op dat opleidingen over het gedragscode en de rechten en plichten van het personeel verplicht zijn voor nieuwkomers en ten zeerste worden aanbevolen aan alle medewerkers van het HvJ-EU, en dat in totaal 747 personen (d.w.z. 32,80 % van het totale aantal ambtenaren en functionarissen van het HvJ-EU) in 2024 aan dergelijke opleidingen hebben deelgenomen; merkt voorts op dat soortgelijk opleidingen ook werden aangeboden aan nieuwe leden van het HvJ-EU in 2024; neemt met waardering kennis van het netwerk van “vertrouwenspersonen” van het HvJ-EU, die personeelsleden bijstaan in geval van intimidatie, alsook van het talentmanagementprogramma dat wordt aangeboden aan veelbelovende administrateurs en dat onder meer betrekking heeft op ethisch leiderschap; </w:t>
            </w:r>
            <w:r>
              <w:rPr>
                <w:b/>
                <w:i/>
              </w:rPr>
              <w:t>moedigt de Rekenkamer aan geleidelijk meer opleidingen over de gedragscode aan te bieden aan alle personeelsleden, zonder uitzondering, om te zorgen voor een gedeeld begrip van ethische normen in de hele instelling;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merkt op dat, zoals gevraagd in eerdere kwijtingsaanbevelingen, de nieuwe gedragscode voor ambtenaren en andere personeelsleden van het HvJ-EU, waarin de waarden en het streven naar hoge ethische normen van het Hof tot uiting komen, in maart 2024 is aangenomen; stelt vast dat de gedragscode bepalingen bevat over belangenconflicten, loyaliteitsplicht, geheimhoudingsplicht en zwijgplicht, externe activiteiten, beroepsactiviteiten na beëindiging van de dienst en publicaties, bepalingen tegen intimidatie, en ook van toepassing is op gedetacheerde nationale deskundigen en stagiair-rechters in het kader van het ENJO; merkt met voldoening op dat opleidingen over het gedragscode en de rechten en plichten van het personeel verplicht zijn voor nieuwkomers en ten zeerste worden aanbevolen aan alle medewerkers van het HvJ-EU, en dat in totaal </w:t>
            </w:r>
            <w:r>
              <w:rPr>
                <w:b/>
                <w:i/>
              </w:rPr>
              <w:t>747</w:t>
            </w:r>
            <w:r>
              <w:t xml:space="preserve"> personen (d.w.z. </w:t>
            </w:r>
            <w:r>
              <w:rPr>
                <w:b/>
                <w:i/>
              </w:rPr>
              <w:t>32,80</w:t>
            </w:r>
            <w:r>
              <w:t xml:space="preserve"> % van het totale aantal ambtenaren en functionarissen van het HvJ-EU) in 2024 aan dergelijke opleidingen hebben deelgenomen; merkt voorts op dat soortgelijk opleidingen ook werden aangeboden aan nieuwe leden van het HvJ-EU in 2024; neemt met waardering kennis van het netwerk van “vertrouwenspersonen” van het HvJ-EU, die personeelsleden bijstaan in geval van intimidatie, alsook van het talentmanagementprogramma dat wordt aangeboden aan veelbelovende administrateurs en dat onder meer betrekking heeft op ethisch leiderschap;</w:t>
            </w:r>
          </w:p>
        </w:tc>
        <w:tc>
          <w:tcPr>
            <w:tcW w:w="4876" w:type="dxa"/>
            <w:tcBorders>
              <w:top w:val="nil"/>
              <w:left w:val="nil"/>
              <w:bottom w:val="nil"/>
              <w:right w:val="nil"/>
            </w:tcBorders>
          </w:tcPr>
          <w:p>
            <w:pPr>
              <w:pStyle w:val="Normal6a"/>
            </w:pPr>
            <w:r>
              <w:t>29.</w:t>
            </w:r>
            <w:r>
              <w:tab/>
            </w:r>
            <w:r>
              <w:t xml:space="preserve">merkt op dat, zoals gevraagd in eerdere kwijtingsaanbevelingen, de nieuwe gedragscode voor ambtenaren en andere personeelsleden van het HvJ-EU, waarin de waarden en het streven naar hoge ethische normen van het Hof tot uiting komen, in maart 2024 is aangenomen; stelt vast dat de gedragscode bepalingen bevat over belangenconflicten, loyaliteitsplicht, geheimhoudingsplicht en zwijgplicht, externe activiteiten, beroepsactiviteiten na beëindiging van de dienst en publicaties, bepalingen tegen intimidatie, en ook van toepassing is op gedetacheerde nationale deskundigen en stagiair-rechters in het kader van het ENJO; merkt met voldoening op dat opleidingen over het gedragscode en de rechten en plichten van het personeel verplicht zijn voor nieuwkomers en ten zeerste worden aanbevolen aan alle medewerkers van het HvJ-EU, en dat in totaal </w:t>
            </w:r>
            <w:r>
              <w:rPr>
                <w:b/>
                <w:i/>
              </w:rPr>
              <w:t>561</w:t>
            </w:r>
            <w:r>
              <w:t xml:space="preserve"> personen (d.w.z. </w:t>
            </w:r>
            <w:r>
              <w:rPr>
                <w:b/>
                <w:i/>
              </w:rPr>
              <w:t>24,75</w:t>
            </w:r>
            <w:r>
              <w:t> % van het totale aantal ambtenaren en functionarissen van het HvJ-EU) in 2024 aan dergelijke opleidingen hebben deelgenomen; merkt voorts op dat soortgelijk opleidingen ook werden aangeboden aan nieuwe leden van het HvJ-EU in 2024; neemt met waardering kennis van het netwerk van “vertrouwenspersonen” van het HvJ-EU, die personeelsleden bijstaan in geval van intimidatie, alsook van het talentmanagementprogramma dat wordt aangeboden aan veelbelovende administrateurs en dat onder meer betrekking heeft op ethisch leiderschap;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is ingenomen met het streven van het HvJ-EU om de transparantie, de toegang tot de rechter en de openbaarheid te verbeteren en zo het vertrouwen van het publiek in de instellingen van de Unie te bevorderen, waarbij een evenwicht wordt gezocht tussen andere fundamentele belangen, zoals de sereniteit van de rechtspraak, de vertrouwelijkheid van procedures en de bescherming van persoonsgegevens; merkt op dat het HvJ-EU in 2024 de streamingdienst voor hoorzittingen van het Hof van Justitie en het Gerecht op de Curia-website heeft geconsolideerd, waardoor de toegang van burgers tot de gerechtelijke activiteiten van het HvJ-EU wordt vergemakkelijkt; is in dit verband ingenomen met de grotere transparantie van de prejudiciële procedure als gevolg van de in 2024 aangenomen justitiële hervorming, waardoor schriftelijke opmerkingen binnen een redelijke termijn na de afsluiting van de zaak op de website van het HvJ-EU kunnen worden gepubliceerd;</w:t>
            </w:r>
          </w:p>
        </w:tc>
        <w:tc>
          <w:tcPr>
            <w:tcW w:w="4876" w:type="dxa"/>
            <w:tcBorders>
              <w:top w:val="nil"/>
              <w:left w:val="nil"/>
              <w:bottom w:val="nil"/>
              <w:right w:val="nil"/>
            </w:tcBorders>
          </w:tcPr>
          <w:p>
            <w:pPr>
              <w:pStyle w:val="Normal6a"/>
            </w:pPr>
            <w:r>
              <w:t>37.</w:t>
            </w:r>
            <w:r>
              <w:tab/>
            </w:r>
            <w:r>
              <w:t>is ingenomen met het streven van het HvJ-EU om de transparantie, de toegang tot de rechter en de openbaarheid te verbeteren en zo het vertrouwen van het publiek in de instellingen van de Unie te bevorderen, waarbij een evenwicht wordt gezocht tussen andere fundamentele belangen, zoals de sereniteit van de rechtspraak, de vertrouwelijkheid van procedures en de bescherming van persoonsgegevens</w:t>
            </w:r>
            <w:r>
              <w:rPr>
                <w:b/>
                <w:i/>
              </w:rPr>
              <w:t>;</w:t>
            </w:r>
            <w:r>
              <w:t xml:space="preserve"> </w:t>
            </w:r>
            <w:r>
              <w:rPr>
                <w:b/>
                <w:i/>
              </w:rPr>
              <w:t>benadrukt dat meer transparantie ook moet dienen om het vertrouwen van het publiek in de jurisprudentie van het Hof te versterken;</w:t>
            </w:r>
            <w:r>
              <w:t xml:space="preserve"> </w:t>
            </w:r>
            <w:r>
              <w:rPr>
                <w:b/>
                <w:i/>
              </w:rPr>
              <w:t>moedigt het Hof aan zich te blijven inspannen om de duidelijkheid, toegankelijkheid en voorspelbaarheid van zijn jurisprudentie te verbeteren, met name in zaken met aanzienlijke constitutionele of maatschappelijke gevolgen</w:t>
            </w:r>
            <w:r>
              <w:t>; merkt op dat het HvJ-EU in 2024 de streamingdienst voor hoorzittingen van het Hof van Justitie en het Gerecht op de Curia-website heeft geconsolideerd, waardoor de toegang van burgers tot de gerechtelijke activiteiten van het HvJ-EU wordt vergemakkelijkt; is in dit verband ingenomen met de grotere transparantie van de prejudiciële procedure als gevolg van de in 2024 aangenomen justitiële hervorming, waardoor schriftelijke opmerkingen binnen een redelijke termijn na de afsluiting van de zaak op de website van het HvJ-EU kunnen worden gepubliceerd;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neemt met voldoening kennis van het vervolgverslag waarin wordt vermeld dat het Hof van Justitie, na een succesvol proefproject dat in 2022 van start is gegaan en de actualisering van zijn reglement voor de procesvoering in 2024, de streamingdienst heeft uitgebreid met belangrijke zaken die door een kamer van vijf rechters worden behandeld, alsook met bijna-livestreaming van de pleidooien en live-uitzendingen van de uitspraken en de conclusies van de advocaten-generaal; merkt voorts op dat sinds 1 september 2024 video-opnames van zittingen voor de uitspraak van arresten en adviezen permanent beschikbaar blijven op de website van het HvJ-EU en dat video-opnames van pleidooien </w:t>
            </w:r>
            <w:r>
              <w:rPr>
                <w:b/>
                <w:i/>
              </w:rPr>
              <w:t>een maand</w:t>
            </w:r>
            <w:r>
              <w:t xml:space="preserve"> na de zitting toegankelijk zijn; merkt met waardering op dat het Gerecht soortgelijke maatregelen heeft genomen om het publiek een betere toegang tot zijn procedures te bieden;</w:t>
            </w:r>
          </w:p>
        </w:tc>
        <w:tc>
          <w:tcPr>
            <w:tcW w:w="4876" w:type="dxa"/>
            <w:tcBorders>
              <w:top w:val="nil"/>
              <w:left w:val="nil"/>
              <w:bottom w:val="nil"/>
              <w:right w:val="nil"/>
            </w:tcBorders>
          </w:tcPr>
          <w:p>
            <w:pPr>
              <w:pStyle w:val="Normal6a"/>
            </w:pPr>
            <w:r>
              <w:t>38.</w:t>
            </w:r>
            <w:r>
              <w:tab/>
            </w:r>
            <w:r>
              <w:t xml:space="preserve">neemt met voldoening kennis van het vervolgverslag waarin wordt vermeld dat het Hof van Justitie, na een succesvol proefproject dat in 2022 van start is gegaan en de actualisering van zijn reglement voor de procesvoering in 2024, de streamingdienst heeft uitgebreid met belangrijke zaken die door een kamer van vijf rechters worden behandeld, alsook met bijna-livestreaming van de pleidooien en live-uitzendingen van de uitspraken en de conclusies van de advocaten-generaal; merkt voorts op dat sinds 1 september 2024 video-opnames van zittingen voor de uitspraak van arresten en adviezen permanent beschikbaar blijven op de website van het HvJ-EU en dat video-opnames van pleidooien na de zitting </w:t>
            </w:r>
            <w:r>
              <w:rPr>
                <w:b/>
                <w:i/>
              </w:rPr>
              <w:t>voor de duur van een maand</w:t>
            </w:r>
            <w:r>
              <w:t xml:space="preserve"> toegankelijk zijn; merkt met waardering op dat het Gerecht soortgelijke maatregelen heeft genomen om het publiek een betere toegang tot zijn procedures te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neemt met belangstelling kennis van de start in 2024 van een proefproject waarbij alle diensten van het HvJ-EU toegang krijgen tot AI-assistenten; benadrukt het belang van naleving van ethische beginselen bij het gebruik van AI-instrumenten en met name van de in 2024 vastgestelde AI-richtsnoeren van het HvJ-EU, zodat menselijk toezicht wordt gewaarborgd met inachtneming van het beginsel van onafhankelijkheid van gerechtelijke procedures; benadrukt in dit verband de toezichthoudende rol van de raad van bestuur voor AI van het HvJ-EU; prijst het HvJ-EU voor het uitgebreide opleidingsprogramma dat het in 2024 heeft opgezet, te beginnen met een “</w:t>
            </w:r>
            <w:r>
              <w:rPr>
                <w:b/>
                <w:i/>
              </w:rPr>
              <w:t>AI‑bewustmakingsmaand</w:t>
            </w:r>
            <w:r>
              <w:t xml:space="preserve">” met opleidingssessies, rondetafelgesprekken onder leiding van AI-deskundigen, webinars en bootcamps, waarmee een eerste belangrijke stap is gezet om het personeel bewust te maken van de AI-strategie en </w:t>
            </w:r>
            <w:r>
              <w:rPr>
                <w:b/>
                <w:i/>
              </w:rPr>
              <w:t>‑</w:t>
            </w:r>
            <w:r>
              <w:t>richtsnoeren van het HvJ-EU en van AI in het algemeen; merkt op dat medewerkers ook cursussen volgen over veranderingsmanagement, kennisoverdracht, mentorschap en mentale flexibiliteit om de aanpassing aan opkomende technologieën te ondersteunen; verzoekt het HvJ-EU om dergelijke opleidings</w:t>
            </w:r>
            <w:r>
              <w:rPr>
                <w:b/>
                <w:i/>
              </w:rPr>
              <w:t>‑</w:t>
            </w:r>
            <w:r>
              <w:t xml:space="preserve"> en bewustmakingsprogramma’s te blijven organiseren;</w:t>
            </w:r>
          </w:p>
        </w:tc>
        <w:tc>
          <w:tcPr>
            <w:tcW w:w="4876" w:type="dxa"/>
            <w:tcBorders>
              <w:top w:val="nil"/>
              <w:left w:val="nil"/>
              <w:bottom w:val="nil"/>
              <w:right w:val="nil"/>
            </w:tcBorders>
          </w:tcPr>
          <w:p>
            <w:pPr>
              <w:pStyle w:val="Normal6a"/>
            </w:pPr>
            <w:r>
              <w:t>43.</w:t>
            </w:r>
            <w:r>
              <w:tab/>
            </w:r>
            <w:r>
              <w:t xml:space="preserve">neemt met belangstelling kennis van de start in 2024 van een proefproject waarbij alle diensten van het HvJ-EU toegang krijgen tot AI-assistenten; benadrukt het belang van naleving van ethische beginselen bij het gebruik van AI-instrumenten en met name van de in 2024 vastgestelde AI-richtsnoeren van het HvJ-EU, zodat menselijk toezicht wordt gewaarborgd met inachtneming van het beginsel van onafhankelijkheid van gerechtelijke procedures; </w:t>
            </w:r>
            <w:r>
              <w:rPr>
                <w:b/>
                <w:i/>
              </w:rPr>
              <w:t>onderstreept dat het gebruik van AI-instrumenten in een gerechtelijke omgeving nooit in de plaats mag komen van menselijke juridische redenering of rechterlijke beoordelingsvrijheid, noch de persoonlijke verantwoordelijkheid van rechters mag ondermijnen;</w:t>
            </w:r>
            <w:r>
              <w:t xml:space="preserve"> benadrukt in dit verband de toezichthoudende rol van de raad van bestuur voor AI van het HvJ-EU; prijst het HvJ-EU voor het uitgebreide opleidingsprogramma dat het in 2024 heeft opgezet, te beginnen met een “</w:t>
            </w:r>
            <w:r>
              <w:rPr>
                <w:b/>
                <w:i/>
              </w:rPr>
              <w:t>AI-bewustmakingsmaand</w:t>
            </w:r>
            <w:r>
              <w:t xml:space="preserve">” met opleidingssessies, rondetafelgesprekken onder leiding van AI-deskundigen, webinars en bootcamps, waarmee een eerste belangrijke stap is gezet om het personeel bewust te maken van de AI-strategie en </w:t>
            </w:r>
            <w:r>
              <w:rPr>
                <w:b/>
                <w:i/>
              </w:rPr>
              <w:t>-</w:t>
            </w:r>
            <w:r>
              <w:t>richtsnoeren van het HvJ-EU en van AI in het algemeen; merkt op dat medewerkers ook cursussen volgen over veranderingsmanagement, kennisoverdracht, mentorschap en mentale flexibiliteit om de aanpassing aan opkomende technologieën te ondersteunen; verzoekt het HvJ-EU om dergelijke opleidings</w:t>
            </w:r>
            <w:r>
              <w:rPr>
                <w:b/>
                <w:i/>
              </w:rPr>
              <w:t>-</w:t>
            </w:r>
            <w:r>
              <w:t xml:space="preserve"> en bewustmakingsprogramma’s te blijven organiseren;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merkt op dat de operationele vermogens op het gebied van cyberbeveiliging in 2024 verder zijn versterkt om te voldoen aan Verordening (EU, Euratom) 2023/2841 en om het toenemende aantal cyberaanvallen aan te pakken; constateert dat er in 2024 geen grote cyberaanvallen hebben plaatsgevonden; merkt met bezorgdheid op dat er gemiddeld 142 beveiligingsincidenten per maand zijn geregistreerd en geanalyseerd, waarvan sommige menselijk ingrijpen vereisten;</w:t>
            </w:r>
          </w:p>
        </w:tc>
        <w:tc>
          <w:tcPr>
            <w:tcW w:w="4876" w:type="dxa"/>
            <w:tcBorders>
              <w:top w:val="nil"/>
              <w:left w:val="nil"/>
              <w:bottom w:val="nil"/>
              <w:right w:val="nil"/>
            </w:tcBorders>
          </w:tcPr>
          <w:p>
            <w:pPr>
              <w:pStyle w:val="Normal6a"/>
            </w:pPr>
            <w:r>
              <w:t>45.</w:t>
            </w:r>
            <w:r>
              <w:tab/>
            </w:r>
            <w:r>
              <w:t xml:space="preserve">merkt op dat de operationele vermogens op het gebied van cyberbeveiliging in 2024 verder zijn versterkt om te voldoen aan Verordening (EU, Euratom) 2023/2841 en om het toenemende aantal cyberaanvallen aan te pakken; constateert dat er in 2024 geen grote cyberaanvallen hebben plaatsgevonden; merkt met bezorgdheid op dat er gemiddeld 142 beveiligingsincidenten per maand zijn geregistreerd en geanalyseerd, waarvan sommige menselijk ingrijpen vereisten; </w:t>
            </w:r>
            <w:r>
              <w:rPr>
                <w:b/>
                <w:i/>
              </w:rPr>
              <w:t>onderstreept dat deze trend wijst op de noodzaak van aanhoudende en voorspelbare investeringen in cyberbeveiligingscapaciteiten, opleiding van personeel en interinstitutionele samenwerking, in overeenstemming met Verordening (EU, Euratom) 2023/2841;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merkt op dat de operationele vermogens op het gebied van cyberbeveiliging in 2024 verder zijn versterkt om te voldoen aan Verordening (EU, Euratom) 2023/2841 en om het toenemende aantal cyberaanvallen aan te pakken; constateert dat er in 2024 geen grote cyberaanvallen hebben plaatsgevonden; merkt met bezorgdheid op dat er gemiddeld 142 beveiligingsincidenten per maand zijn geregistreerd en geanalyseerd, waarvan sommige menselijk ingrijpen vereisten;</w:t>
            </w:r>
          </w:p>
        </w:tc>
        <w:tc>
          <w:tcPr>
            <w:tcW w:w="4876" w:type="dxa"/>
            <w:tcBorders>
              <w:top w:val="nil"/>
              <w:left w:val="nil"/>
              <w:bottom w:val="nil"/>
              <w:right w:val="nil"/>
            </w:tcBorders>
          </w:tcPr>
          <w:p>
            <w:pPr>
              <w:pStyle w:val="Normal6a"/>
            </w:pPr>
            <w:r>
              <w:t>45.</w:t>
            </w:r>
            <w:r>
              <w:tab/>
            </w:r>
            <w:r>
              <w:t xml:space="preserve">merkt op dat de operationele vermogens op het gebied van cyberbeveiliging in 2024 verder zijn versterkt om te voldoen aan Verordening (EU, Euratom) 2023/2841 en om het toenemende aantal cyberaanvallen aan te pakken; constateert dat er in 2024 geen grote cyberaanvallen hebben plaatsgevonden; merkt met bezorgdheid op dat er gemiddeld 142 beveiligingsincidenten per maand zijn geregistreerd en geanalyseerd, waarvan sommige menselijk ingrijpen vereisten; </w:t>
            </w:r>
            <w:r>
              <w:rPr>
                <w:b/>
                <w:i/>
              </w:rPr>
              <w:t>benadrukt dat cyberbeveiliging een strategische investering is die van essentieel belang is voor het waarborgen van een onafhankelijke rechterlijke macht, gegevensintegriteit en de continuïteit van de gerechtelijke activiteit;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prijst het HvJ-EU voor zijn voortdurende inspanningen en aanzienlijke vooruitgang bij het verminderen van zijn milieuvoetafdruk in 2024, zoals blijkt uit zijn prestaties ten opzichte van de referentiewaarde van 2015 van het milieubeheer</w:t>
            </w:r>
            <w:r>
              <w:rPr>
                <w:b/>
                <w:i/>
              </w:rPr>
              <w:t>‑</w:t>
            </w:r>
            <w:r>
              <w:t xml:space="preserve"> en milieuauditsysteem (EMAS), met verminderingen per voltijdequivalent (vte) die zijn gerealiseerd in vele soorten verbruik/emissies (verwarming: </w:t>
            </w:r>
            <w:r>
              <w:rPr>
                <w:b/>
                <w:i/>
              </w:rPr>
              <w:t>–</w:t>
            </w:r>
            <w:r>
              <w:t xml:space="preserve"> 37,5 %; elektriciteit: </w:t>
            </w:r>
            <w:r>
              <w:rPr>
                <w:b/>
                <w:i/>
              </w:rPr>
              <w:t>–</w:t>
            </w:r>
            <w:r>
              <w:t xml:space="preserve"> 29,3 %; papier: </w:t>
            </w:r>
            <w:r>
              <w:rPr>
                <w:b/>
                <w:i/>
              </w:rPr>
              <w:t>–</w:t>
            </w:r>
            <w:r>
              <w:t xml:space="preserve"> 64,2 %, kantoor</w:t>
            </w:r>
            <w:r>
              <w:rPr>
                <w:b/>
                <w:i/>
              </w:rPr>
              <w:t>‑</w:t>
            </w:r>
            <w:r>
              <w:t xml:space="preserve"> en kantineafval: </w:t>
            </w:r>
            <w:r>
              <w:rPr>
                <w:b/>
                <w:i/>
              </w:rPr>
              <w:t>– 40,4 %</w:t>
            </w:r>
            <w:r>
              <w:t xml:space="preserve">; uitstoot van broeikasgassen: </w:t>
            </w:r>
            <w:r>
              <w:rPr>
                <w:b/>
                <w:i/>
              </w:rPr>
              <w:t>– 30,20 %</w:t>
            </w:r>
            <w:r>
              <w:t>); merkt een algemene verbetering op in vergelijking met de voor 2023 gerapporteerde verminderingen; erkent dat deze resultaten, in combinatie met de marktomstandigheden, hebben geleid tot een daling van de energie-uitgaven met 18 % ten opzichte van de prognoses; prijst in dit verband de krachtige integratie van duurzaamheid in het risicobeheer</w:t>
            </w:r>
            <w:r>
              <w:rPr>
                <w:b/>
                <w:i/>
              </w:rPr>
              <w:t>‑</w:t>
            </w:r>
            <w:r>
              <w:t xml:space="preserve"> en verantwoordingskader van het HvJ-EU, zoals vereist door zijn </w:t>
            </w:r>
            <w:r>
              <w:rPr>
                <w:b/>
                <w:i/>
              </w:rPr>
              <w:t>EMAS‑certificering</w:t>
            </w:r>
            <w:r>
              <w:t>;</w:t>
            </w:r>
          </w:p>
        </w:tc>
        <w:tc>
          <w:tcPr>
            <w:tcW w:w="4876" w:type="dxa"/>
            <w:tcBorders>
              <w:top w:val="nil"/>
              <w:left w:val="nil"/>
              <w:bottom w:val="nil"/>
              <w:right w:val="nil"/>
            </w:tcBorders>
          </w:tcPr>
          <w:p>
            <w:pPr>
              <w:pStyle w:val="Normal6a"/>
            </w:pPr>
            <w:r>
              <w:t>50.</w:t>
            </w:r>
            <w:r>
              <w:tab/>
            </w:r>
            <w:r>
              <w:t>prijst het HvJ-EU voor zijn voortdurende inspanningen en aanzienlijke vooruitgang bij het verminderen van zijn milieuvoetafdruk in 2024, zoals blijkt uit zijn prestaties ten opzichte van de referentiewaarde van 2015 van het milieubeheer</w:t>
            </w:r>
            <w:r>
              <w:rPr>
                <w:b/>
                <w:i/>
              </w:rPr>
              <w:t>-</w:t>
            </w:r>
            <w:r>
              <w:t xml:space="preserve"> en milieuauditsysteem (EMAS), met verminderingen per voltijdequivalent (vte) die zijn gerealiseerd in vele soorten verbruik/emissies (verwarming: </w:t>
            </w:r>
            <w:r>
              <w:rPr>
                <w:b/>
                <w:i/>
              </w:rPr>
              <w:t>-</w:t>
            </w:r>
            <w:r>
              <w:t xml:space="preserve"> 37,5 %; elektriciteit: </w:t>
            </w:r>
            <w:r>
              <w:rPr>
                <w:b/>
                <w:i/>
              </w:rPr>
              <w:t>-</w:t>
            </w:r>
            <w:r>
              <w:t>29,3 %; papier: 64,2 %, kantoor</w:t>
            </w:r>
            <w:r>
              <w:rPr>
                <w:b/>
                <w:i/>
              </w:rPr>
              <w:t>-</w:t>
            </w:r>
            <w:r>
              <w:t xml:space="preserve"> en kantineafval: </w:t>
            </w:r>
            <w:r>
              <w:rPr>
                <w:b/>
                <w:i/>
              </w:rPr>
              <w:t>-40,4%</w:t>
            </w:r>
            <w:r>
              <w:t xml:space="preserve">; uitstoot van broeikasgassen: </w:t>
            </w:r>
            <w:r>
              <w:rPr>
                <w:b/>
                <w:i/>
              </w:rPr>
              <w:t>-26,7%</w:t>
            </w:r>
            <w:r>
              <w:t>); merkt een algemene verbetering op in vergelijking met de voor 2023 gerapporteerde verminderingen; erkent dat deze resultaten, in combinatie met de marktomstandigheden, hebben geleid tot een daling van de energie-uitgaven met 18 % ten opzichte van de prognoses; prijst in dit verband de krachtige integratie van duurzaamheid in het risicobeheer</w:t>
            </w:r>
            <w:r>
              <w:rPr>
                <w:b/>
                <w:i/>
              </w:rPr>
              <w:t>-</w:t>
            </w:r>
            <w:r>
              <w:t xml:space="preserve"> en verantwoordingskader van het HvJ-EU, zoals vereist door zijn </w:t>
            </w:r>
            <w:r>
              <w:rPr>
                <w:b/>
                <w:i/>
              </w:rPr>
              <w:t>EMAS-certificering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prijst het HvJ-EU voor zijn rigoureuze aanpak van duurzame aanbestedingen, door middel van de categorisering van aanbestedingen op basis van de impact (“lichtgroen”, “middelgroen”, “topgroen”) van hun milieuclausules, het systematische gebruik van instrumenten zoals de verplichte zelfbeoordeling van “groene prestaties” en het raadplegen van de interinstitutionele SPP-helpdesk;</w:t>
            </w:r>
            <w:r>
              <w:t xml:space="preserve"> </w:t>
            </w:r>
            <w:r>
              <w:rPr>
                <w:b/>
                <w:i/>
              </w:rPr>
              <w:t>merkt op dat in 2024 elf grote aanbestedingen van meer dan 60 000 EUR “groene aankopen” waren, waarvan er acht belangrijke milieuclausules bevatten; is met name ingenomen met de succesvolle uitvoering van het nieuwe cateringcontract, dat duurzame voedselpraktijken vereist en de ISO 14001-certificering heeft, en met het bereiken van de doelstelling om “lichtgroene” aanbestedingen tot ruim onder de doelstelling van 50 % te beperken;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prijst het HvJ-EU voor zijn rigoureuze aanpak van duurzame aanbestedingen, door middel van de categorisering van aanbestedingen op basis van de impact (“lichtgroen”, “middelgroen”, “topgroen”) van hun milieuclausules, het systematische gebruik van instrumenten zoals de verplichte zelfbeoordeling van “groene prestaties” en het raadplegen van de interinstitutionele SPP-helpdesk; merkt op dat in 2024 </w:t>
            </w:r>
            <w:r>
              <w:rPr>
                <w:b/>
                <w:i/>
              </w:rPr>
              <w:t>elf</w:t>
            </w:r>
            <w:r>
              <w:t xml:space="preserve"> grote aanbestedingen van meer dan 60 000 EUR “groene aankopen” waren, waarvan er </w:t>
            </w:r>
            <w:r>
              <w:rPr>
                <w:b/>
                <w:i/>
              </w:rPr>
              <w:t>acht</w:t>
            </w:r>
            <w:r>
              <w:t xml:space="preserve"> belangrijke milieuclausules bevatten; is met name ingenomen met de succesvolle uitvoering van het nieuwe cateringcontract, dat duurzame voedselpraktijken vereist en de ISO 14001-certificering heeft, en met het bereiken van de doelstelling om “lichtgroene” aanbestedingen tot ruim onder de doelstelling van 50 % te beperken;</w:t>
            </w:r>
          </w:p>
        </w:tc>
        <w:tc>
          <w:tcPr>
            <w:tcW w:w="4876" w:type="dxa"/>
            <w:tcBorders>
              <w:top w:val="nil"/>
              <w:left w:val="nil"/>
              <w:bottom w:val="nil"/>
              <w:right w:val="nil"/>
            </w:tcBorders>
          </w:tcPr>
          <w:p>
            <w:pPr>
              <w:pStyle w:val="Normal6a"/>
            </w:pPr>
            <w:r>
              <w:t>52.</w:t>
            </w:r>
            <w:r>
              <w:tab/>
            </w:r>
            <w:r>
              <w:t xml:space="preserve">prijst het HvJ-EU voor zijn rigoureuze aanpak van duurzame aanbestedingen, door middel van de categorisering van aanbestedingen op basis van de impact (“lichtgroen”, “middelgroen”, “topgroen”) van hun milieuclausules, het systematische gebruik van instrumenten zoals de verplichte zelfbeoordeling van “groene prestaties” en het raadplegen van de interinstitutionele SPP-helpdesk; merkt op dat in 2024 </w:t>
            </w:r>
            <w:r>
              <w:rPr>
                <w:b/>
                <w:i/>
              </w:rPr>
              <w:t>acht</w:t>
            </w:r>
            <w:r>
              <w:t xml:space="preserve"> grote aanbestedingen van meer dan 60 000 EUR “groene aankopen” waren, waarvan er </w:t>
            </w:r>
            <w:r>
              <w:rPr>
                <w:b/>
                <w:i/>
              </w:rPr>
              <w:t>zes</w:t>
            </w:r>
            <w:r>
              <w:t xml:space="preserve"> belangrijke milieuclausules bevatten; is met name ingenomen met de succesvolle uitvoering van het nieuwe cateringcontract, dat duurzame voedselpraktijken vereist en de ISO 14001-certificering heeft, en met het bereiken van de doelstelling om “lichtgroene” aanbestedingen tot ruim onder de doelstelling van 50 % te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bis.</w:t>
            </w:r>
            <w:r>
              <w:tab/>
            </w:r>
            <w:r>
              <w:rPr>
                <w:b/>
                <w:i/>
              </w:rPr>
              <w:t>benadrukt dat milieu-initiatieven binnen de instellingen van de Unie kosteneffectief en technologieneutraal moeten blijven;</w:t>
            </w:r>
            <w:r>
              <w:t xml:space="preserve"> </w:t>
            </w:r>
            <w:r>
              <w:rPr>
                <w:b/>
                <w:i/>
              </w:rPr>
              <w:t>verzoekt het Hof een transparante kosten-batenanalyse van zijn groene investeringen en aanbestedingspraktijken te verstrekken en ervoor te zorgen dat milieuoverwegingen niet prevaleren boven efficiëntie of begrotingsdiscipline.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merkt op dat het HvJ-EU in 2024 zijn inspanningen om de burgers van de Unie te bereiken heeft opgevoerd door meer gebruik te maken van sociale media; merkt op dat eind 2024 het aantal abonnees op het LinkedIn-account van het HvJ-EU met 26 % was gestegen en het aantal volgers op de twee accounts van het HvJ-EU op X (voorheen Twitter) met 2,5 %, terwijl het aantal weergaven op zijn YouTube-kanaal met </w:t>
            </w:r>
            <w:r>
              <w:rPr>
                <w:b/>
                <w:i/>
              </w:rPr>
              <w:t>236</w:t>
            </w:r>
            <w:r>
              <w:t xml:space="preserve"> % was gestegen en het aantal YouTube-abonnees met meer dan </w:t>
            </w:r>
            <w:r>
              <w:rPr>
                <w:b/>
                <w:i/>
              </w:rPr>
              <w:t>400</w:t>
            </w:r>
            <w:r>
              <w:t xml:space="preserve"> % was toegenomen ten opzichte van het voorgaande jaar; merkt op dat de parabolische stijging van het aantal weergaven en abonnees deels te danken was aan een promotiecampagne van het HvJ-EU;</w:t>
            </w:r>
          </w:p>
        </w:tc>
        <w:tc>
          <w:tcPr>
            <w:tcW w:w="4876" w:type="dxa"/>
            <w:tcBorders>
              <w:top w:val="nil"/>
              <w:left w:val="nil"/>
              <w:bottom w:val="nil"/>
              <w:right w:val="nil"/>
            </w:tcBorders>
          </w:tcPr>
          <w:p>
            <w:pPr>
              <w:pStyle w:val="Normal6a"/>
            </w:pPr>
            <w:r>
              <w:t>60.</w:t>
            </w:r>
            <w:r>
              <w:tab/>
            </w:r>
            <w:r>
              <w:t xml:space="preserve">merkt op dat het HvJ-EU in 2024 zijn inspanningen om de burgers van de Unie te bereiken heeft opgevoerd door meer gebruik te maken van sociale media; merkt op dat eind 2024 het aantal abonnees op het LinkedIn-account van het HvJ-EU met 26 % was gestegen en het aantal volgers op de twee accounts van het HvJ-EU op X (voorheen Twitter) met 2,5 %, terwijl het aantal weergaven op zijn YouTube-kanaal met </w:t>
            </w:r>
            <w:r>
              <w:rPr>
                <w:b/>
                <w:i/>
              </w:rPr>
              <w:t>137</w:t>
            </w:r>
            <w:r>
              <w:t xml:space="preserve"> % was gestegen en het aantal YouTube-abonnees met meer dan </w:t>
            </w:r>
            <w:r>
              <w:rPr>
                <w:b/>
                <w:i/>
              </w:rPr>
              <w:t>329</w:t>
            </w:r>
            <w:r>
              <w:t xml:space="preserve"> % was toegenomen ten opzichte van het voorgaande jaar; merkt op dat de parabolische stijging van het aantal weergaven en abonnees deels te danken was aan een promotiecampagne van het HvJ-EU;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 bis.</w:t>
            </w:r>
            <w:r>
              <w:tab/>
            </w:r>
            <w:r>
              <w:rPr>
                <w:b/>
                <w:i/>
              </w:rPr>
              <w:t>moedigt het Hof aan tot verdere ontwikkeling van tools voor communicatie richting de burger, met name door baanbrekende arresten die aanzienlijke gevolgen hebben voor nationale rechtsstelsels op duidelijke, toegankelijke en juridisch correcte wijze toe te lichten, met volledige inachtneming van de onafhankelijkheid van de rechterlijke macht en de procedurele vertrouwelijkheid;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33</w:t>
    </w:r>
    <w:r>
      <w:fldChar w:fldCharType="end"/>
    </w:r>
    <w:r>
      <w:tab/>
    </w:r>
    <w:r>
      <w:rPr>
        <w:rStyle w:val="HideTWBExt"/>
      </w:rPr>
      <w:t>&lt;PathFdR&gt;</w:t>
    </w:r>
    <w:r>
      <w:t>AM\1336272NL.docx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AM\1336272NL.docx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33</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AM\1336272NL.docx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33</Pages>
  <Words>10114</Words>
  <Characters>59407</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369426</vt:lpwstr>
  </property>
  <property fmtid="{D5CDD505-2E9C-101B-9397-08002B2CF9AE}" pid="7" name="dmxml.render.traceId">
    <vt:lpwstr>698af69f3e0d5fd6e7ec061587468251</vt:lpwstr>
  </property>
  <property fmtid="{D5CDD505-2E9C-101B-9397-08002B2CF9AE}" pid="8" name="FooterPath">
    <vt:lpwstr>AM\1336272NL.docx</vt:lpwstr>
  </property>
  <property fmtid="{D5CDD505-2E9C-101B-9397-08002B2CF9AE}" pid="9" name="PE Number">
    <vt:lpwstr>784.145</vt:lpwstr>
  </property>
  <property fmtid="{D5CDD505-2E9C-101B-9397-08002B2CF9AE}" pid="10" name="UID">
    <vt:lpwstr>eu.europa.europarl-DIN1-2026-0000016485_01.00-nl-01.00_text-xml</vt:lpwstr>
  </property>
</Properties>
</file>