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Komisja Kontroli Budżetowej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2025/2148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(DEC)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28.1.2026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POPRAWKI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38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(PE778.060v01-00)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Absolutorium za rok 2024: budżet ogólny UE – Trybunał Sprawiedliwości Unii Europejskiej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(2025/2148(DEC))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mając na uwadze, że TSUE przyczynia się do ochrony wartości Unii, a poprzez swoje orzecznictwo działa na rzecz budowania Europy;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mając na uwadze, że TSUE przyczynia się do ochrony wartości Unii, a poprzez swoje orzecznictwo działa na rzecz budowania Europy</w:t>
            </w:r>
            <w:r>
              <w:rPr>
                <w:b/>
                <w:i/>
              </w:rPr>
              <w:t>, pozostając jednocześnie odpowiedzialnym przed obywatelami dzięki pewności prawa, spójności orzecznictwa i poszanowaniu granic wykładni sądowej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odnotowuje, że budżet TSUE wchodzi w zakres działu 7 WRF „Europejska administracja publiczna”, który w 2023 r. dysponował kwotą 13,3 mld EUR (co stanowi 6,9 % całkowitego budżetu Unii); zauważa, że budżet TSUE wynoszący około 0,5 mld EUR stanowi około 3,76 % całkowitych wydatków administracyjnych Unii, co stanowi spadek z 3,9 % w 2023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odnotowuje, że budżet TSUE wchodzi w zakres działu 7 WRF „Europejska administracja publiczna”, który w 2023 r. dysponował kwotą 13,3 mld EUR (co stanowi 6,9 % całkowitego budżetu Unii); zauważa, że budżet TSUE wynoszący około 0,5 mld EUR stanowi około 3,76 % całkowitych wydatków administracyjnych Unii, co stanowi spadek z 3,9 % w 2023 r.; </w:t>
            </w:r>
            <w:r>
              <w:rPr>
                <w:b/>
                <w:i/>
              </w:rPr>
              <w:t>podkreśla, że w sprawach związanych z dochodzeniem w sprawie budżetu Unii wszystkie właściwe organy muszą w pełni przestrzegać zasad sprawiedliwości proceduralnej i praw podstawowych;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zauważa, że wydatki na personel stanowią prawie 80 % budżetu TSUE oraz że aktualizacje wynagrodzeń przekroczyły początkowe prognozy w 2024 r.;</w:t>
            </w:r>
            <w:r>
              <w:t xml:space="preserve"> </w:t>
            </w:r>
            <w:r>
              <w:rPr>
                <w:b/>
                <w:i/>
              </w:rPr>
              <w:t>podkreśla, że chociaż wzrosty pokryto bez dodatkowego zwiększenia środków budżetowych, ich powtarzający się charakter budzi wątpliwości co do średniookresowej stabilności budżetowej w ramach obecnych ograniczeń WRF;</w:t>
            </w:r>
            <w:r>
              <w:t xml:space="preserve"> </w:t>
            </w:r>
            <w:r>
              <w:rPr>
                <w:b/>
                <w:i/>
              </w:rPr>
              <w:t>apeluje o lepsze wieloletnie planowanie zatrudnienia i wydatków, bez osłabiania niezależności sądów;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zgadza się, że zdolność TSUE do radzenia sobie z coraz większym nakładem pracy została ograniczona z jednej strony przez wytyczne Komisji dotyczące przygotowania budżetu, które ograniczają wzrost wszystkich wydatków niezwiązanych z wynagrodzeniami do maksymalnie 2 % i zniechęcają do składania wniosków o utworzenie nowych stanowisk, a z drugiej strony przez niezdolność EPSO do zapewnienia instytucjom unijnym odpowiedniej liczby kandydatów, którzy pomyślnie przeszli konkursy, spośród których można by dokonać rekrutacji; zauważa ponadto, że skutki inflacyjne rosyjskiej wojny napastniczej przeciwko Ukrainie nadal wywierają presję na budżet TSUE, np. przez wzrost kosztów podróży służbowych czy podwyżkę cen towarów i usług objętych umowami; docenia działania TSUE łagodzące te skutki, takie jak ograniczenie liczby podróży służbowych, racjonalizacja wydatków na energię oraz przede wszystkim stosowanie priorytetyzacji projektów przy sporządzaniu założeń budżetowych; uznaje potrzebę usprawnienia zarządzania budżetem przez wszystkie instytucje Unii, również przez uwzględnianie wahania cen, zwłaszcza w sektorze energetycznym, przy zawieraniu umów z usługodawcami;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zgadza się, że zdolność TSUE do radzenia sobie z coraz większym nakładem pracy została ograniczona z jednej strony przez wytyczne Komisji dotyczące przygotowania budżetu, które ograniczają wzrost wszystkich wydatków niezwiązanych z wynagrodzeniami do maksymalnie 2 % i zniechęcają do składania wniosków o utworzenie nowych stanowisk, a z drugiej strony przez niezdolność EPSO do zapewnienia instytucjom unijnym odpowiedniej liczby kandydatów, którzy pomyślnie przeszli konkursy, spośród których można by dokonać rekrutacji; zauważa ponadto, że skutki inflacyjne rosyjskiej </w:t>
            </w:r>
            <w:r>
              <w:rPr>
                <w:b/>
                <w:i/>
              </w:rPr>
              <w:t>nielegalnej</w:t>
            </w:r>
            <w:r>
              <w:t xml:space="preserve"> wojny napastniczej przeciwko Ukrainie nadal wywierają presję na budżet TSUE, np. przez wzrost kosztów podróży służbowych czy podwyżkę cen towarów i usług objętych umowami; docenia działania TSUE łagodzące te skutki, takie jak ograniczenie liczby podróży służbowych, racjonalizacja wydatków na energię oraz przede wszystkim stosowanie priorytetyzacji projektów przy sporządzaniu założeń budżetowych; uznaje potrzebę usprawnienia zarządzania budżetem przez wszystkie instytucje Unii, również przez uwzględnianie wahania cen, zwłaszcza w sektorze energetycznym, przy zawieraniu umów z usługodawcami; </w:t>
            </w:r>
            <w:r>
              <w:rPr>
                <w:b/>
                <w:i/>
              </w:rPr>
              <w:t>wzywa TSUE do dalszego zwiększania efektywności kosztowej i proaktywnego planowania budżetu, aby zachować jakość sądownictwa w ramach dostępnych zasobów;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 zadowoleniem przyjmuje spadek budżetu przeznaczonego na podróże służbowe członków i pracowników TSUE po raz drugi z rzędu – z </w:t>
            </w:r>
            <w:r>
              <w:rPr>
                <w:b/>
                <w:i/>
              </w:rPr>
              <w:t>638 000</w:t>
            </w:r>
            <w:r>
              <w:t xml:space="preserve"> EUR w 2023 r. do </w:t>
            </w:r>
            <w:r>
              <w:rPr>
                <w:b/>
                <w:i/>
              </w:rPr>
              <w:t>616 000</w:t>
            </w:r>
            <w:r>
              <w:t xml:space="preserve"> EUR w 2024 r., co oznacza spadek o ok. </w:t>
            </w:r>
            <w:r>
              <w:rPr>
                <w:b/>
                <w:i/>
              </w:rPr>
              <w:t>3,3</w:t>
            </w:r>
            <w:r>
              <w:t xml:space="preserve">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z zadowoleniem przyjmuje spadek budżetu przeznaczonego na podróże służbowe członków i pracowników TSUE po raz drugi z rzędu – z </w:t>
            </w:r>
            <w:r>
              <w:rPr>
                <w:b/>
                <w:i/>
              </w:rPr>
              <w:t>638 000</w:t>
            </w:r>
            <w:r>
              <w:t xml:space="preserve"> EUR w 2023 r. do </w:t>
            </w:r>
            <w:r>
              <w:rPr>
                <w:b/>
                <w:i/>
              </w:rPr>
              <w:t>616 000</w:t>
            </w:r>
            <w:r>
              <w:t xml:space="preserve"> EUR w 2024 r., co oznacza spadek o ok. </w:t>
            </w:r>
            <w:r>
              <w:rPr>
                <w:b/>
                <w:i/>
              </w:rPr>
              <w:t>3,44</w:t>
            </w:r>
            <w:r>
              <w:t>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e-Curia, opracowanie nowego oprogramowania („One-stop-shop”) umożliwiającego szybkie analizowanie i rozpatrywanie spraw oraz ujednolicenie praktyk kancelarii obu organów sądowych w 2024 r.; z uznaniem odnotowuje, że w pierwszych trzech miesiącach po wejściu w życie reformy do Sądu przekazano już 20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e-Curia, opracowanie nowego oprogramowania („One-stop-shop”) umożliwiającego szybkie analizowanie i rozpatrywanie spraw oraz ujednolicenie praktyk kancelarii obu organów sądowych w 2024 r.; </w:t>
            </w:r>
            <w:r>
              <w:rPr>
                <w:b/>
                <w:i/>
              </w:rPr>
              <w:t>uznaje, że cyfryzacja rozpatrywania spraw sądowych przyczynia się do większej skuteczności i jakości orzeczeń sądowych;</w:t>
            </w:r>
            <w:r>
              <w:t xml:space="preserve"> z uznaniem odnotowuje, że w pierwszych trzech miesiącach po wejściu w życie reformy do Sądu przekazano już 20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 </w:t>
            </w:r>
            <w:r>
              <w:rPr>
                <w:b/>
                <w:i/>
              </w:rPr>
              <w:t>zachęca TSUE, aby dalej monitorował wpływ narzędzi cyfrowych na czas rozpatrywania spraw i równowagę obciążenia pracą oraz aby składał sprawozdania na ten temat;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e-Curia, opracowanie nowego oprogramowania („One-stop-shop”) umożliwiającego szybkie analizowanie i rozpatrywanie spraw oraz ujednolicenie praktyk kancelarii obu organów sądowych w 2024 r.; z uznaniem odnotowuje, że w pierwszych trzech miesiącach po wejściu w życie reformy do Sądu przekazano już 20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e-Curia, opracowanie nowego oprogramowania („One-stop-shop”) umożliwiającego szybkie analizowanie i rozpatrywanie spraw oraz ujednolicenie praktyk kancelarii obu organów sądowych w 2024 r.; z uznaniem odnotowuje, że w pierwszych trzech miesiącach po wejściu w życie reformy do Sądu przekazano już 20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 </w:t>
            </w:r>
            <w:r>
              <w:rPr>
                <w:b/>
                <w:i/>
              </w:rPr>
              <w:t>wzywa Trybunał Sprawiedliwości do przedstawienia na potrzeby następnej procedury udzielania absolutorium kompleksowej oceny ex post reformy, w tym jej wpływu na czas trwania postępowań i podział obciążenia pracą między obydwoma sądami;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e-Curia, opracowanie nowego oprogramowania („One-stop-shop”) umożliwiającego szybkie analizowanie i rozpatrywanie spraw oraz ujednolicenie praktyk kancelarii obu organów sądowych w 2024 r.; z uznaniem odnotowuje, że w pierwszych trzech miesiącach po wejściu w życie reformy do Sądu przekazano już 20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e-Curia, opracowanie nowego oprogramowania („One-stop-shop”) umożliwiającego szybkie analizowanie i rozpatrywanie spraw oraz ujednolicenie praktyk kancelarii obu organów sądowych w 2024 r.; z uznaniem odnotowuje, że w pierwszych trzech miesiącach po wejściu w życie reformy do Sądu przekazano już 20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 </w:t>
            </w:r>
            <w:r>
              <w:rPr>
                <w:b/>
                <w:i/>
              </w:rPr>
              <w:t>wzywa TSUE, aby w kontekście przyszłych procedur udzielania absolutorium informował o konkretnym wpływie reformy sądownictwa na skuteczność, czas trwania postępowań i podział obciążenia pracą;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e-Curia, opracowanie nowego oprogramowania („One-stop-shop”) umożliwiającego szybkie analizowanie i rozpatrywanie spraw oraz ujednolicenie praktyk kancelarii obu organów sądowych w 2024 r.; z uznaniem odnotowuje, że w pierwszych trzech miesiącach po wejściu w życie reformy do Sądu przekazano już </w:t>
            </w:r>
            <w:r>
              <w:rPr>
                <w:b/>
                <w:i/>
              </w:rPr>
              <w:t>20</w:t>
            </w:r>
            <w:r>
              <w:t xml:space="preserve">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z uznaniem odnotowuje, na podstawie odpowiedzi TSUE na kwestionariusz dotyczący absolutorium za 2024 r., działania podjęte przez TSUE w celu sfinalizowania reformy sądownictwa polegającej na częściowym przekazaniu właściwości do wydawania orzeczeń w trybie prejudycjalnym z Trybunału Sprawiedliwości do Sądu oraz umożliwienia wejścia w życie nowych ram regulacyjnych od 1 października 2024 r.; w tym kontekście zauważa reorganizację struktury Sądu, zmianę regulaminu postępowania przed TSUE, przyjęcie nowych przepisów proceduralnych Sądu dla wdrożenia regulaminu postępowania, przyjęcie nowej decyzji dotyczącej składania i doręczania pism procesowych za pośrednictwem systemu e-Curia, opracowanie nowego oprogramowania („One-stop-shop”) umożliwiającego szybkie analizowanie i rozpatrywanie spraw oraz ujednolicenie praktyk kancelarii obu organów sądowych w 2024 r.; z uznaniem odnotowuje, że w pierwszych trzech miesiącach po wejściu w życie reformy do Sądu przekazano już </w:t>
            </w:r>
            <w:r>
              <w:rPr>
                <w:b/>
                <w:i/>
              </w:rPr>
              <w:t>19</w:t>
            </w:r>
            <w:r>
              <w:t xml:space="preserve"> spraw prowadzonych w trybie prejudycjalnym, co stanowi pierwsze efekty dążenia do bardziej zrównoważonego podziału obciążenia pracą między oba organy sądowe; zauważa, że jedynymi dodatkowymi kosztami związanymi z wdrożeniem reformy sądownictwa były wydatki informatyczne związane z opracowaniem systemu One-stop-shop, wynoszące ok. 805 000 EUR, natomiast w zakresie zatrudnienia reforma pozostała neutralna budżetowo dzięki przesunięciom stanowisk i zadań w ramach instytucji;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zauważa, że w 2024 r. Trybunał Sprawiedliwości rozpatrzył 12 spraw dotyczących zasady pierwszeństwa prawa Unii, w tym 10 w trybie prejudycjalnym i 2 w postępowaniu w sprawie uchybienia zobowiązaniom państwa członkowskiego; ponownie podkreśla fundamentalne znaczenie zasady pierwszeństwa prawa unijnego, która zapewnia jednolitą wykładnię i jednolite stosowanie prawa Unii we wszystkich państwach członkowskich oraz gwarantuje praworządność jako jedną z podstawowych wartości Unii; zdecydowanie potwierdza, że pierwszeństwo prawa Unii jest podstawą jej porządku prawnego, i podkreśla kluczową rolę TSUE w utrzymywaniu rządów prawa w całej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zauważa, że w 2024 r. Trybunał Sprawiedliwości rozpatrzył 12 spraw dotyczących zasady pierwszeństwa prawa Unii, w tym 10 w trybie prejudycjalnym i 2 w postępowaniu w sprawie uchybienia zobowiązaniom państwa członkowskiego; ponownie podkreśla fundamentalne znaczenie zasady pierwszeństwa prawa unijnego, która zapewnia jednolitą wykładnię i jednolite stosowanie prawa Unii we wszystkich państwach członkowskich oraz gwarantuje praworządność jako jedną z podstawowych wartości Unii; zdecydowanie potwierdza, że pierwszeństwo prawa Unii jest podstawą jej porządku prawnego, i podkreśla kluczową rolę TSUE w utrzymywaniu rządów prawa w całej Unii; </w:t>
            </w:r>
            <w:r>
              <w:rPr>
                <w:b/>
                <w:i/>
              </w:rPr>
              <w:t>zauważa w związku z tym, że zgodnie z art. 4 ust. 2 Traktatu o Unii Europejskiej „Unia szanuje równość Państw Członkowskich wobec Traktatów, jak również ich tożsamość narodową, nierozerwalnie związaną z ich podstawowymi strukturami politycznymi i konstytucyjnymi, w tym w odniesieniu do samorządu regionalnego i lokalnego.</w:t>
            </w:r>
            <w:r>
              <w:t xml:space="preserve"> </w:t>
            </w:r>
            <w:r>
              <w:rPr>
                <w:b/>
                <w:i/>
              </w:rPr>
              <w:t>Szanuje podstawowe funkcje państwa […]”;</w:t>
            </w:r>
            <w:r>
              <w:t xml:space="preserve"> </w:t>
            </w:r>
            <w:r>
              <w:rPr>
                <w:b/>
                <w:i/>
              </w:rPr>
              <w:t>podkreśla, że nadrzędność konstytucji krajowych pozostaje bezwzględną zasadą regulującą stosunki między konstytucjami państw członkowskich a prawem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zauważa, że w 2024 r. Trybunał Sprawiedliwości rozpatrzył 12 spraw dotyczących zasady pierwszeństwa prawa Unii, w tym 10 w trybie prejudycjalnym i 2 w postępowaniu w sprawie uchybienia zobowiązaniom państwa członkowskiego; ponownie podkreśla fundamentalne znaczenie zasady pierwszeństwa prawa unijnego, która zapewnia jednolitą wykładnię i jednolite stosowanie prawa Unii we wszystkich państwach członkowskich oraz gwarantuje praworządność jako jedną z podstawowych wartości Unii; zdecydowanie potwierdza, że pierwszeństwo prawa Unii jest podstawą jej porządku prawnego, i podkreśla kluczową rolę TSUE w utrzymywaniu rządów prawa w całej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zauważa, że w 2024 r. Trybunał Sprawiedliwości rozpatrzył 12 spraw dotyczących zasady pierwszeństwa prawa Unii, w tym 10 w trybie prejudycjalnym i 2 w postępowaniu w sprawie uchybienia zobowiązaniom państwa członkowskiego; ponownie podkreśla fundamentalne znaczenie zasady pierwszeństwa prawa unijnego, która zapewnia jednolitą wykładnię i jednolite stosowanie prawa Unii we wszystkich państwach członkowskich oraz gwarantuje praworządność jako jedną z podstawowych wartości Unii; zdecydowanie potwierdza, że pierwszeństwo prawa Unii jest podstawą jej porządku prawnego, i podkreśla kluczową rolę TSUE w utrzymywaniu rządów prawa w całej Unii;</w:t>
            </w:r>
            <w:r>
              <w:rPr>
                <w:b/>
                <w:i/>
              </w:rPr>
              <w:t> przypomina jednocześnie, że stosowanie zasady pierwszeństwa musi pozostać mocno zakorzenione w Traktatach i wykonywane z należytym poszanowaniem krajowej tożsamości konstytucyjnej, zgodnie z art. 4 ust. 2 TUE;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podziela pogląd TSUE, że Komisja jako strażniczka Traktatów powinna monitorować przestrzeganie orzeczeń TSUE przez państwa członkowskie;</w:t>
            </w:r>
            <w:r>
              <w:t xml:space="preserve"> </w:t>
            </w:r>
            <w:r>
              <w:rPr>
                <w:b/>
                <w:i/>
              </w:rPr>
              <w:t>jednocześnie ponownie wzywa Trybunał do ustanowienia mechanizmu umożliwiającego identyfikację najlepszych i najgorszych praktyk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podziela pogląd TSUE, że Komisja jako strażniczka Traktatów powinna monitorować przestrzeganie orzeczeń TSUE przez państwa członkowskie; </w:t>
            </w:r>
            <w:r>
              <w:rPr>
                <w:b/>
                <w:i/>
              </w:rPr>
              <w:t>jednocześnie ponownie wzywa Trybunał do ustanowienia mechanizmu umożliwiającego</w:t>
            </w:r>
            <w:r>
              <w:t xml:space="preserve"> identyfikację najlepszych i najgorszych praktyk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podziela pogląd TSUE, że Komisja jako strażniczka Traktatów powinna monitorować przestrzeganie orzeczeń TSUE przez państwa członkowskie; </w:t>
            </w:r>
            <w:r>
              <w:rPr>
                <w:b/>
                <w:i/>
              </w:rPr>
              <w:t>ponawia swój apel do Trybunału, aby ściśle w granicach swojej roli ustanowił mechanizm umożliwiający</w:t>
            </w:r>
            <w:r>
              <w:t xml:space="preserve"> identyfikację najlepszych i najgorszych praktyk państw członkowskich;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zauważa, że średni czas trwania postępowania w sprawach zakończonych przez Trybunał Sprawiedliwości wyniósł 17,7 miesiąca w 2024 r. wobec 16,1 miesiąca w 2023 r., przy czym wzrost ten o ok. sześć tygodni wynikał ze złożoności i objętości niektórych spraw (np. skarg wniesionych w 2020 r. przeciwko unijnemu „pakietowi mobilności” i zakończonych w 2024 r.); zauważa, że średni czas trwania spraw zakończonych wyrokiem lub postanowieniem przez Sąd wzrósł z 18,2 miesiąca w 2023 r. do 18,5 miesiąca w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zauważa, że średni czas trwania postępowania w sprawach zakończonych przez Trybunał Sprawiedliwości wyniósł 17,7 miesiąca w 2024 r. wobec 16,1 miesiąca w 2023 r., przy czym wzrost ten o ok. sześć tygodni wynikał ze złożoności i objętości niektórych spraw (np. skarg wniesionych w 2020 r. przeciwko unijnemu „pakietowi mobilności” i zakończonych w 2024 r.); zauważa, że średni czas trwania spraw zakończonych wyrokiem lub postanowieniem przez Sąd wzrósł z 18,2 miesiąca w 2023 r. do 18,5 miesiąca w 2024 r.; </w:t>
            </w:r>
            <w:r>
              <w:rPr>
                <w:b/>
                <w:i/>
              </w:rPr>
              <w:t>podkreśla, że terminowość postępowań sądowych musi pozostać głównym celem w zakresie wydajności, ponieważ zbyt długi czas trwania ma bezpośredni wpływ na pewność prawa dla obywateli, sądów krajowych i podmiotów gospodarczych;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z zadowoleniem przyjmuje podejście oparte na ocenie wyników, wdrożone przez TSUE, które umożliwia mu podejmowanie decyzji w oparciu o stopień realizacji wyznaczonych celów, mierzony za pomocą zestawu wskaźników dotyczących obciążenia pracą i działalności operacyjnej (np. efektywność kosztowa, wskaźniki realizacji projektów, poziom satysfakcji użytkowników, optymalizacja zasobów) dostosowanych do specyfiki poszczególnych działów;</w:t>
            </w:r>
            <w:r>
              <w:t xml:space="preserve"> </w:t>
            </w:r>
            <w:r>
              <w:rPr>
                <w:b/>
                <w:i/>
              </w:rPr>
              <w:t>zauważa, że kluczowe wskaźniki skuteczności działania stosowane przez TSUE obejmują szeroki zakres określonych obszarów wspierających pięć celów zarządczych dotyczących prawidłowego funkcjonowania obu organów sądowych, cyfryzacji i nowych technologii, otwartości i przejrzystości, wielojęzyczności oraz zarządzania zasobami ludzkimi;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z zadowoleniem przyjmuje podejście oparte na ocenie wyników, wdrożone przez TSUE, które umożliwia mu podejmowanie decyzji w oparciu o stopień realizacji wyznaczonych celów, mierzony za pomocą zestawu wskaźników dotyczących obciążenia pracą i działalności operacyjnej (np. efektywność kosztowa, wskaźniki realizacji projektów, poziom satysfakcji użytkowników, optymalizacja zasobów) dostosowanych do specyfiki poszczególnych działów; zauważa, że kluczowe wskaźniki skuteczności działania stosowane przez TSUE obejmują szeroki zakres określonych obszarów wspierających pięć celów zarządczych dotyczących prawidłowego funkcjonowania obu organów sądowych, cyfryzacji i nowych technologii, otwartości i przejrzystości, wielojęzyczności oraz zarządzania zasobami ludzkimi;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z zadowoleniem przyjmuje podejście oparte na ocenie wyników, wdrożone przez TSUE, które umożliwia mu podejmowanie decyzji w oparciu o stopień realizacji wyznaczonych celów, mierzony za pomocą zestawu wskaźników dotyczących obciążenia pracą i działalności operacyjnej (np. efektywność kosztowa, wskaźniki realizacji projektów, poziom satysfakcji użytkowników, optymalizacja zasobów) dostosowanych do specyfiki poszczególnych działów; zauważa, że kluczowe wskaźniki skuteczności działania stosowane przez TSUE obejmują szeroki zakres określonych obszarów wspierających pięć celów zarządczych dotyczących prawidłowego funkcjonowania obu organów sądowych, cyfryzacji i nowych technologii, otwartości i przejrzystości, wielojęzyczności oraz zarządzania zasobami ludzkimi; </w:t>
            </w:r>
            <w:r>
              <w:rPr>
                <w:b/>
                <w:i/>
              </w:rPr>
              <w:t>podkreśla, że TSUE musi dopilnować, aby wskaźniki te były przejrzyste, zorientowane na wyniki i regularnie poddawane przeglądowi w celu wspierania skutecznego zarządzania i rozliczalności;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 zadowoleniem przyjmuje zmodyfikowane w 2024 r. podejście do oceny zwrotu z inwestycji w inicjatywy innowacyjne, uwzględniające ocenę kosztów za pomocą takich parametrów, jak koszty wdrożenia i personelu, koszty utrzymania rocznego, koszty wykonawców i inne rodzaje wydatków, jak również ocenę korzyści na podstawie przewidywanych zysków, korzyści strategicznych oraz liczby użytkowników objętych daną inicjatywą;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 zadowoleniem przyjmuje zmodyfikowane w 2024 r. podejście do oceny zwrotu z inwestycji w inicjatywy innowacyjne, uwzględniające ocenę kosztów za pomocą takich parametrów, jak koszty wdrożenia i personelu, koszty utrzymania rocznego, koszty wykonawców i inne rodzaje wydatków, jak również ocenę korzyści na podstawie przewidywanych zysków, korzyści strategicznych oraz liczby użytkowników objętych daną inicjatywą; </w:t>
            </w:r>
            <w:r>
              <w:rPr>
                <w:b/>
                <w:i/>
              </w:rPr>
              <w:t>zauważa, że w 2024 r. TSUE przeprowadził również gruntowny przegląd swojego systemu, aby śledzić zarządzanie projektami i monitorowanie finansowe projektów w celu zapewnienia pełnej sprawozdawczości i kontroli nad czasowymi usługami doradczymi w zakresie cyfryzacji do 2025 r.;</w:t>
            </w:r>
            <w:r>
              <w:t xml:space="preserve"> </w:t>
            </w:r>
            <w:r>
              <w:rPr>
                <w:b/>
                <w:i/>
              </w:rPr>
              <w:t>zwraca się do TSUE o informowanie organu udzielającego absolutorium o postępach w tym zakresie;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zauważa, że Trybunał Sprawiedliwości składa się z 27 sędziów i 11 rzeczników generalnych, natomiast Sąd z 54 sędziów; zauważa ponadto, że w związku z częściową wymianą w 2024 r. stanowiska objęło dziewięciu nowych sędziów Trybunału Sprawiedliwości i dwóch nowych sędziów Sądu; ubolewa, że skład pod względem płci w Trybunale Sprawiedliwości i w Sądzie pozostaje bardzo niezrównoważony; z uznaniem odnosi się do pisma prezesa Sądu skierowanego w 2024 r. do przewodniczącego konferencji przedstawicieli rządów państw członkowskich, w którym wezwano państwa członkowskie do uwzględniania potrzeby równowagi płci przy zgłaszaniu kandydatur na stanowiska sędziów i rzeczników generalnych; ponownie wzywa państwa członkowskie do brania pod uwagę potrzeby równowagi płci przy zgłaszaniu kandydatów na stanowiska sędziów;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zauważa, że Trybunał Sprawiedliwości składa się z 27 sędziów i 11 rzeczników generalnych, natomiast Sąd z 54 sędziów; zauważa ponadto, że w związku z częściową wymianą w 2024 r. stanowiska objęło dziewięciu nowych sędziów Trybunału Sprawiedliwości i dwóch nowych sędziów Sądu; ubolewa, że skład pod względem płci w Trybunale Sprawiedliwości i w Sądzie pozostaje bardzo niezrównoważony; z uznaniem odnosi się do pisma prezesa Sądu skierowanego w 2024 r. do przewodniczącego konferencji przedstawicieli rządów państw członkowskich, w którym wezwano państwa członkowskie do uwzględniania potrzeby równowagi płci przy zgłaszaniu kandydatur na stanowiska sędziów i rzeczników generalnych; ponownie wzywa państwa członkowskie do brania pod uwagę potrzeby równowagi płci przy zgłaszaniu kandydatów na stanowiska sędziów</w:t>
            </w:r>
            <w:r>
              <w:rPr>
                <w:b/>
                <w:i/>
              </w:rPr>
              <w:t>, przy jednoczesnym zapewnieniu, aby nominacje nadal opierały się na kryteriach osiągnięć, kwalifikacji i niezależności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zwraca uwagę, że w 2024 r. w TSUE zatrudnionych było 60,70 % kobiet i 39,30 % mężczyzn; odnotowuje, że reprezentacja kobiet była najwyższa w asystenckich grupach zaszeregowania (69,14 %), zaś najniższa niestety na stanowiskach kierowniczych wyższego szczebla (35,71 %); zauważa ponadto wzrost udziału kobiet na stanowiskach kierowniczych średniego szczebla z 43,33 % w 2023 r. do 51,61 % w 2024 r.; z zadowoleniem odnotowuje, na podstawie sprawozdania z zarządzania delegowanego urzędnika zatwierdzającego za 2024 r., wzrostowy trend reprezentacji kobiet na stanowiskach kierowniczych ogółem – z 37,50 % w 2018 r. do 48,70 % w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zwraca uwagę, że w 2024 r. w TSUE zatrudnionych było 60,70 % kobiet i 39,30 % mężczyzn; odnotowuje, że reprezentacja kobiet była najwyższa w asystenckich grupach zaszeregowania (69,14 %), zaś najniższa niestety na stanowiskach kierowniczych wyższego szczebla (35,71 %); zauważa ponadto wzrost udziału kobiet na stanowiskach kierowniczych średniego szczebla z 43,33 % w 2023 r. do 51,61 % w 2024 r.; z zadowoleniem odnotowuje, na podstawie sprawozdania z zarządzania delegowanego urzędnika zatwierdzającego za 2024 r., wzrostowy trend reprezentacji kobiet na stanowiskach kierowniczych ogółem – z 37,50 % w 2018 r. do 48,70 % w 2024 r.; </w:t>
            </w:r>
            <w:r>
              <w:rPr>
                <w:b/>
                <w:i/>
              </w:rPr>
              <w:t>podkreśla, że utrzymująca się niedostateczna reprezentacja kobiet na stanowiskach kierowniczych wyższego szczebla nadal budzi obawy, i zachęca Trybunał, aby dalej wzmacniał ukierunkowane środki mające na celu wspieranie rozwoju kariery i ścieżek przywódczych dla kobiet, przy pełnym poszanowaniu zasad osiągnięć i przejrzystości;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 zadowoleniem przyjmuje utworzenie planu działania dotyczącego konwencji stambulskiej, który dostosowuje działania, zawiera zalecenia i przewiduje działania informacyjne i szkoleniowe dla wszystkich pracowników w celu zapobiegania przypadkom molestowania;</w:t>
            </w:r>
            <w:r>
              <w:t xml:space="preserve"> </w:t>
            </w:r>
            <w:r>
              <w:rPr>
                <w:b/>
                <w:i/>
              </w:rPr>
              <w:t>odnotowuje dalsze zapowiedziane działania, które obejmują kontynuację współpracę z organizacjami krajowymi działającymi w dziedzinie zapobiegania przemocy wobec kobiet, dodatkowe inicjatywy podnoszące świadomość i sesje szkoleniowe podkreślające w szczególności wpływ mikroagresji i uprzedzeń ze względu na płeć;</w:t>
            </w:r>
            <w:r>
              <w:t xml:space="preserve"> </w:t>
            </w:r>
            <w:r>
              <w:rPr>
                <w:b/>
                <w:i/>
              </w:rPr>
              <w:t>ubolewa w związku z tym nad brakiem obowiązkowych szkoleń dla posłów, jak stwierdzono w odpowiedziach TSUE na kwestionariusz dotyczący absolutorium za 2024 r.;</w:t>
            </w:r>
            <w:r>
              <w:t xml:space="preserve"> </w:t>
            </w:r>
            <w:r>
              <w:rPr>
                <w:b/>
                <w:i/>
              </w:rPr>
              <w:t>wzywa zatem do włączenia wszystkich osób, zarówno pracowników, jak i posłów, w obowiązkowe sesje szkoleniowe w dziedzinie zapobiegania przemocy wobec kobiet;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rPr>
                <w:b/>
                <w:i/>
              </w:rPr>
              <w:t>z uznaniem</w:t>
            </w:r>
            <w:r>
              <w:t xml:space="preserve"> odnotowuje </w:t>
            </w:r>
            <w:r>
              <w:rPr>
                <w:b/>
                <w:i/>
              </w:rPr>
              <w:t>różnorodność działań i inicjatyw podejmowanych przez TSUE wśród</w:t>
            </w:r>
            <w:r>
              <w:t xml:space="preserve"> pracowników</w:t>
            </w:r>
            <w:r>
              <w:rPr>
                <w:b/>
                <w:i/>
              </w:rPr>
              <w:t>, także na etapie rekrutacji, na rzecz równości, włączenia, wzajemnego szacunku i różnorodności</w:t>
            </w:r>
            <w:r>
              <w:t xml:space="preserve">; </w:t>
            </w:r>
            <w:r>
              <w:rPr>
                <w:b/>
                <w:i/>
              </w:rPr>
              <w:t>w szczególności</w:t>
            </w:r>
            <w:r>
              <w:t xml:space="preserve"> zauważa </w:t>
            </w:r>
            <w:r>
              <w:rPr>
                <w:b/>
                <w:i/>
              </w:rPr>
              <w:t>uruchomienie w 2024 r. nowego szkolenia z zakresu różnorodności i włączenia, ze szczególnym naciskiem na zapobieganie mikroagresjom oraz – od 2025 r.</w:t>
            </w:r>
            <w:r>
              <w:t xml:space="preserve"> </w:t>
            </w:r>
            <w:r>
              <w:rPr>
                <w:b/>
                <w:i/>
              </w:rPr>
              <w:t>– dwóch nowych szkoleń dotyczących wyznaczania zdrowych granic dla poprawy efektywności oraz tworzenia środowiska wolnego od nękania, organizowanych zgodnie z zaleceniami międzywydziałowej grupy roboczej TSUE ds. konwencji stambulskiej;</w:t>
            </w:r>
            <w:r>
              <w:t xml:space="preserve"> </w:t>
            </w:r>
            <w:r>
              <w:rPr>
                <w:b/>
                <w:i/>
              </w:rPr>
              <w:t>z uznaniem odnotowuje indywidualne</w:t>
            </w:r>
            <w:r>
              <w:t xml:space="preserve"> środki </w:t>
            </w:r>
            <w:r>
              <w:rPr>
                <w:b/>
                <w:i/>
              </w:rPr>
              <w:t>wsparcia (dotyczące zadań, czasu pracy i miejsc pracy) stosowane przez TSUE od 2022 r. wobec pracowników z niepełnosprawnościami, udział instytucji w tygodniu świadomości na temat niepełnosprawności zorganizowanym w 2024 r. oraz opracowanie od 2025 r. pilotażowego programu staży dla osób z niepełnosprawnościami</w:t>
            </w:r>
            <w:r>
              <w:t xml:space="preserve">; </w:t>
            </w:r>
            <w:r>
              <w:rPr>
                <w:b/>
                <w:i/>
              </w:rPr>
              <w:t>zwraca się do TSUE o poinformowanie organu udzielającego absolutorium o wynikach tego programu;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odnotowuje</w:t>
            </w:r>
            <w:r>
              <w:rPr>
                <w:b/>
                <w:i/>
              </w:rPr>
              <w:t>, że w 2024 r. TSUE przeprowadził działania i szkolenia dla swoich</w:t>
            </w:r>
            <w:r>
              <w:t xml:space="preserve"> pracowników; zauważa </w:t>
            </w:r>
            <w:r>
              <w:rPr>
                <w:b/>
                <w:i/>
              </w:rPr>
              <w:t>ponadto, że</w:t>
            </w:r>
            <w:r>
              <w:t xml:space="preserve"> środki </w:t>
            </w:r>
            <w:r>
              <w:rPr>
                <w:b/>
                <w:i/>
              </w:rPr>
              <w:t>te służą rozwojowi personelu wewnętrznego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z zadowoleniem przyjmuje fakt</w:t>
            </w:r>
            <w:r>
              <w:t xml:space="preserve">, że wśród personelu TSUE reprezentowane są wszystkie </w:t>
            </w:r>
            <w:r>
              <w:rPr>
                <w:b/>
                <w:i/>
              </w:rPr>
              <w:t>narodowości Unii</w:t>
            </w:r>
            <w:r>
              <w:t xml:space="preserve">; </w:t>
            </w:r>
            <w:r>
              <w:rPr>
                <w:b/>
                <w:i/>
              </w:rPr>
              <w:t>zauważa jednak, że niektóre narodowości są bardziej reprezentowane niż inne, a część z nich jest zdecydowanie nadmiernie reprezentowana;</w:t>
            </w:r>
            <w:r>
              <w:t xml:space="preserve"> </w:t>
            </w:r>
            <w:r>
              <w:rPr>
                <w:b/>
                <w:i/>
              </w:rPr>
              <w:t>popiera TSUE w działaniach na rzecz jak najszerszego rozpowszechniania ogłoszeń o wolnych stanowiskach przez strony internetowe instytucji, media społecznościowe oraz EPSO;</w:t>
            </w:r>
            <w:r>
              <w:t xml:space="preserve"> </w:t>
            </w:r>
            <w:r>
              <w:rPr>
                <w:b/>
                <w:i/>
              </w:rPr>
              <w:t>odnotowuje, na podstawie sprawozdania uzupełniającego, zobowiązanie TSUE do analizy danych w celu wdrożenia ukierunkowanych działań mających na celu poprawę reprezentacji geograficznej wśród personelu, w tym stażystów;</w:t>
            </w:r>
            <w:r>
              <w:t xml:space="preserve"> </w:t>
            </w:r>
            <w:r>
              <w:rPr>
                <w:b/>
                <w:i/>
              </w:rPr>
              <w:t>z zadowoleniem przyjmuje działania TSUE na rzecz promowania programów stażowych w administracjach krajowych i stałych przedstawicielstwach państw członkowskich o niedostatecznej reprezentacji;</w:t>
            </w:r>
            <w:r>
              <w:t xml:space="preserve"> </w:t>
            </w:r>
            <w:r>
              <w:rPr>
                <w:b/>
                <w:i/>
              </w:rPr>
              <w:t>z zadowoleniem odnotowuje, że w ramach staży w Europejskiej Sieci Szkolenia Kadr Wymiaru Sprawiedliwości (EJTN) TSUE otrzymał w 2024 r. zgłoszenia z trzech nowych państw członkowskich, które po raz pierwszy uczestniczyły w długoterminowym programie szkoleniowym dla krajowych przedstawicieli zawodów związanych z wymiarem sprawiedliwości;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zauważa</w:t>
            </w:r>
            <w:r>
              <w:t xml:space="preserve">, że wśród personelu TSUE reprezentowane są wszystkie </w:t>
            </w:r>
            <w:r>
              <w:rPr>
                <w:b/>
                <w:i/>
              </w:rPr>
              <w:t>państwa członkowskie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docenia działania TSUE mające na celu przeciwdziałanie trudnościom rekrutacyjnym oraz promowanie Luksemburga jako atrakcyjnego miejsca pracy dla młodych absolwentów; z uznaniem odnotowuje wkład TSUE w utworzenie i wdrożenie dodatku mieszkaniowego wypłacanego z mocą wsteczną od 1 stycznia 2025 r. pracownikom na niższych stanowiskach, przygotowanie konkursów EPSO skierowanych specjalnie do osób zatrudnionych w Luksemburgu, a także organizację spotkań informacyjnych i szkół letnich; zauważa, że ze sprawozdania uzupełniającego wynika, iż TSUE, działając w imieniu międzyinstytucjonalnej grupy wysokiego szczebla, przeprowadził pilotażowy projekt/badanie mające na celu ocenę możliwości zawierania umów najmu mieszkań tymczasowych (tj. na okres maksymalnie jednego roku) po cenach rynkowych (lub niższych), opłacanych bezpośrednio przez pracowników; zauważa ponadto, że badanie to zakończyło się powodzeniem, w wyniku czego grupa robocza przedstawiła uczestniczącym instytucjom projekt umowy o gwarantowanym poziomie usług upoważniającej TSUE do prowadzenia negocjacji w zakresie nieruchomości z podmiotami, które złożyły odpowiednie oferty; zwraca się do TSUE o informowanie organu udzielającego absolutorium o działaniach następczych w związku z tą kwestią;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docenia działania TSUE mające na celu przeciwdziałanie trudnościom rekrutacyjnym oraz promowanie Luksemburga jako atrakcyjnego miejsca pracy dla młodych absolwentów; z uznaniem odnotowuje wkład TSUE w utworzenie i wdrożenie dodatku mieszkaniowego wypłacanego z mocą wsteczną od 1 stycznia 2025 r. pracownikom na niższych stanowiskach, przygotowanie konkursów EPSO skierowanych specjalnie do osób zatrudnionych w Luksemburgu, a także organizację spotkań informacyjnych i szkół letnich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zachęca do zacieśnienia współpracy z EPSO i innymi instytucjami, aby poszerzyć pulę wykwalifikowanych kandydatów i wzmocnić konkurencyjne procedury naboru w specjalistycznych dziedzinach</w:t>
            </w:r>
            <w:r>
              <w:t>; zauważa, że ze sprawozdania uzupełniającego wynika, iż TSUE, działając w imieniu międzyinstytucjonalnej grupy wysokiego szczebla, przeprowadził pilotażowy projekt/badanie mające na celu ocenę możliwości zawierania umów najmu mieszkań tymczasowych (tj. na okres maksymalnie jednego roku) po cenach rynkowych (lub niższych), opłacanych bezpośrednio przez pracowników; zauważa ponadto, że badanie to zakończyło się powodzeniem, w wyniku czego grupa robocza przedstawiła uczestniczącym instytucjom projekt umowy o gwarantowanym poziomie usług upoważniającej TSUE do prowadzenia negocjacji w zakresie nieruchomości z podmiotami, które złożyły odpowiednie oferty; zwraca się do TSUE o informowanie organu udzielającego absolutorium o działaniach następczych w związku z tą kwestią;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zauważa, że w 2024 r. zarejestrowano </w:t>
            </w:r>
            <w:r>
              <w:rPr>
                <w:b/>
                <w:i/>
              </w:rPr>
              <w:t>19</w:t>
            </w:r>
            <w:r>
              <w:t xml:space="preserve"> przypadków wypalenia zawodowego, z czego osiem nowych przypadków zgłoszono w 2024 r., a dziewięć przypadków pochodziło z 2023 r.; pracownicy ci otrzymali wsparcie i pomoc specjalistyczną; z uznaniem odnotowuje, że w 2024 r. TSUE pozostawał liderem w zakresie inicjatyw promujących dobrostan fizyczny i psychiczny pracowników oraz przeciwdziałania wypaleniu zawodowemu i ryzyku psychospołecznemu, takich jak konsultacje z pracownikiem socjalnym lub psychologiem, wykłady na temat uważności i równowagi cyfrowej, specjalistyczne warsztaty i działania edukacyjne w zakresie zdrowia, szkolenia z pierwszej pomocy oraz zatrudnienie dwóch psychologów w niepełnym wymiarze czasu pracy; docenia skuteczność stosowanych elastycznych form organizacji pracy, w tym programu pracy zdalnej TSUE, które służą poprawie równowagi między życiem zawodowym a prywatnym personelu;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zauważa, że w 2024 r. zarejestrowano </w:t>
            </w:r>
            <w:r>
              <w:rPr>
                <w:b/>
                <w:i/>
              </w:rPr>
              <w:t>17</w:t>
            </w:r>
            <w:r>
              <w:t xml:space="preserve"> przypadków wypalenia zawodowego, z czego osiem nowych przypadków zgłoszono w 2024 r., a dziewięć przypadków pochodziło z 2023 r.; pracownicy ci otrzymali wsparcie i pomoc specjalistyczną; z uznaniem odnotowuje, że w 2024 r. TSUE pozostawał liderem w zakresie inicjatyw promujących dobrostan fizyczny i psychiczny pracowników oraz przeciwdziałania wypaleniu zawodowemu i ryzyku psychospołecznemu, takich jak konsultacje z pracownikiem socjalnym lub psychologiem, wykłady na temat uważności i równowagi cyfrowej, specjalistyczne warsztaty i działania edukacyjne w zakresie zdrowia, szkolenia z pierwszej pomocy oraz zatrudnienie dwóch psychologów w niepełnym wymiarze czasu pracy; docenia skuteczność stosowanych elastycznych form organizacji pracy, w tym programu pracy zdalnej TSUE, które służą poprawie równowagi między życiem zawodowym a prywatnym personelu;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zauważa, że zgodnie z wcześniejszymi zaleceniami dotyczącymi absolutorium w marcu 2024 r. przyjęto nowe zasady etyki dla urzędników i innych pracowników TSUE, odzwierciedlający wartości instytucji i zobowiązanie do przestrzegania najwyższych standardów etycznych; zauważa, że zasady etyki zawierają przepisy dotyczące konfliktu interesów, obowiązku lojalności, obowiązku zachowania poufności i dyskrecji, działalności zewnętrznej, działalności zawodowej po zakończeniu służby i kwestii publikacji oraz przepisy dotyczące przeciwdziałania nękaniu, a przy tym mają zastosowanie również do oddelegowanych ekspertów krajowych i aplikantów sędziowskich goszczonych w ramach EJTN; z zadowoleniem przyjmuje fakt, że szkolenia z zakresu zasady etyki oraz praw i obowiązków pracowniczych są obowiązkowe dla nowych pracowników i wysoce zalecane wszystkim pracownikom TSUE, przy czym w 2024 r. wzięło w nich udział łącznie 747 osób (tj. 32,80 % ogółu urzędników i pracowników TSUE); odnotowuje ponadto, że podobne szkolenia zaoferowano również nowym członkom TSUE w 2024 r.; z uznaniem przyjmuje działalność sieci „zaufanych doradców” TSUE wspierających pracowników w przypadkach nękania oraz program rozwoju talentów dla wysokiego szczebla administratorów, obejmujący m.in. przywództwo etyczne;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zauważa, że zgodnie z wcześniejszymi zaleceniami dotyczącymi absolutorium w marcu 2024 r. przyjęto nowe zasady etyki dla urzędników i innych pracowników TSUE, odzwierciedlający wartości instytucji i zobowiązanie do przestrzegania najwyższych standardów etycznych; zauważa, że zasady etyki zawierają przepisy dotyczące konfliktu interesów, obowiązku lojalności, obowiązku zachowania poufności i dyskrecji, działalności zewnętrznej, działalności zawodowej po zakończeniu służby i kwestii publikacji oraz przepisy dotyczące przeciwdziałania nękaniu, a przy tym mają zastosowanie również do oddelegowanych ekspertów krajowych i aplikantów sędziowskich goszczonych w ramach EJTN; </w:t>
            </w:r>
            <w:r>
              <w:rPr>
                <w:b/>
                <w:i/>
              </w:rPr>
              <w:t>zauważa, że TSUE wdrożył wszystkie działania informacyjne i szkoleniowe niezbędne do jak najszerszego przedstawienia i wyjaśnienia kodeksu postępowania oraz do pełnego zrozumienia przez pracowników nowych przepisów i szerszych ram prawnych, których są częścią;</w:t>
            </w:r>
            <w:r>
              <w:t xml:space="preserve"> z zadowoleniem przyjmuje fakt, że szkolenia z zakresu zasady etyki oraz praw i obowiązków pracowniczych są obowiązkowe dla nowych pracowników i wysoce zalecane wszystkim pracownikom TSUE, przy czym w 2024 r. wzięło w nich udział łącznie 747 osób (tj. 32,80 % ogółu urzędników i pracowników TSUE); odnotowuje ponadto, że podobne szkolenia zaoferowano również nowym członkom TSUE w 2024 r.; z uznaniem przyjmuje działalność sieci „zaufanych doradców” TSUE wspierających pracowników w przypadkach nękania oraz program rozwoju talentów dla wysokiego szczebla administratorów, obejmujący m.in. przywództwo etyczne;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zauważa, że zgodnie z wcześniejszymi zaleceniami dotyczącymi absolutorium w marcu 2024 r. przyjęto nowe zasady etyki dla urzędników i innych pracowników TSUE, odzwierciedlający wartości instytucji i zobowiązanie do przestrzegania najwyższych standardów etycznych; zauważa, że zasady etyki zawierają przepisy dotyczące konfliktu interesów, obowiązku lojalności, obowiązku zachowania poufności i dyskrecji, działalności zewnętrznej, działalności zawodowej po zakończeniu służby i kwestii publikacji oraz przepisy dotyczące przeciwdziałania nękaniu, a przy tym mają zastosowanie również do oddelegowanych ekspertów krajowych i aplikantów sędziowskich goszczonych w ramach EJTN; z zadowoleniem przyjmuje fakt, że szkolenia z zakresu zasady etyki oraz praw i obowiązków pracowniczych są obowiązkowe dla nowych pracowników i wysoce zalecane wszystkim pracownikom TSUE, przy czym w 2024 r. wzięło w nich udział łącznie 747 osób (tj. 32,80 % ogółu urzędników i pracowników TSUE); odnotowuje ponadto, że podobne szkolenia zaoferowano również nowym członkom TSUE w 2024 r.; z uznaniem przyjmuje działalność sieci „zaufanych doradców” TSUE wspierających pracowników w przypadkach nękania oraz program rozwoju talentów dla wysokiego szczebla administratorów, obejmujący m.in. przywództwo etyczne;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zauważa, że zgodnie z wcześniejszymi zaleceniami dotyczącymi absolutorium w marcu 2024 r. przyjęto nowe zasady etyki dla urzędników i innych pracowników TSUE, odzwierciedlający wartości instytucji i zobowiązanie do przestrzegania najwyższych standardów etycznych; zauważa, że zasady etyki zawierają przepisy dotyczące konfliktu interesów, obowiązku lojalności, obowiązku zachowania poufności i dyskrecji, działalności zewnętrznej, działalności zawodowej po zakończeniu służby i kwestii publikacji oraz przepisy dotyczące przeciwdziałania nękaniu, a przy tym mają zastosowanie również do oddelegowanych ekspertów krajowych i aplikantów sędziowskich goszczonych w ramach EJTN; z zadowoleniem przyjmuje fakt, że szkolenia z zakresu zasady etyki oraz praw i obowiązków pracowniczych są obowiązkowe dla nowych pracowników i wysoce zalecane wszystkim pracownikom TSUE, przy czym w 2024 r. wzięło w nich udział łącznie 747 osób (tj. 32,80 % ogółu urzędników i pracowników TSUE); odnotowuje ponadto, że podobne szkolenia zaoferowano również nowym członkom TSUE w 2024 r.; z uznaniem przyjmuje działalność sieci „zaufanych doradców” TSUE wspierających pracowników w przypadkach nękania oraz program rozwoju talentów dla wysokiego szczebla administratorów, obejmujący m.in. przywództwo etyczne; </w:t>
            </w:r>
            <w:r>
              <w:rPr>
                <w:b/>
                <w:i/>
              </w:rPr>
              <w:t>zachęca Trybunał do stopniowego wzmacniania oferty szkoleń w zakresie kodeksu postępowania dla wszystkich pracowników bez wyjątku, aby zapewnić wspólne zrozumienie norm etycznych w całej instytucji;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zauważa, że zgodnie z wcześniejszymi zaleceniami dotyczącymi absolutorium w marcu 2024 r. przyjęto nowe zasady etyki dla urzędników i innych pracowników TSUE, odzwierciedlający wartości instytucji i zobowiązanie do przestrzegania najwyższych standardów etycznych; zauważa, że zasady etyki zawierają przepisy dotyczące konfliktu interesów, obowiązku lojalności, obowiązku zachowania poufności i dyskrecji, działalności zewnętrznej, działalności zawodowej po zakończeniu służby i kwestii publikacji oraz przepisy dotyczące przeciwdziałania nękaniu, a przy tym mają zastosowanie również do oddelegowanych ekspertów krajowych i aplikantów sędziowskich goszczonych w ramach EJTN; z zadowoleniem przyjmuje fakt, że szkolenia z zakresu zasady etyki oraz praw i obowiązków pracowniczych są obowiązkowe dla nowych pracowników i wysoce zalecane wszystkim pracownikom TSUE, przy czym w 2024 r. wzięło w nich udział łącznie </w:t>
            </w:r>
            <w:r>
              <w:rPr>
                <w:b/>
                <w:i/>
              </w:rPr>
              <w:t>747 osób (tj. 32,80</w:t>
            </w:r>
            <w:r>
              <w:t xml:space="preserve"> % ogółu urzędników i pracowników TSUE); odnotowuje ponadto, że podobne szkolenia zaoferowano również nowym członkom TSUE w 2024 r.; z uznaniem przyjmuje działalność sieci „zaufanych doradców” TSUE wspierających pracowników w przypadkach nękania oraz program rozwoju talentów dla wysokiego szczebla administratorów, obejmujący m.in. przywództwo etyczne;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zauważa, że zgodnie z wcześniejszymi zaleceniami dotyczącymi absolutorium w marcu 2024 r. przyjęto nowe zasady etyki dla urzędników i innych pracowników TSUE, odzwierciedlający wartości instytucji i zobowiązanie do przestrzegania najwyższych standardów etycznych; zauważa, że zasady etyki zawierają przepisy dotyczące konfliktu interesów, obowiązku lojalności, obowiązku zachowania poufności i dyskrecji, działalności zewnętrznej, działalności zawodowej po zakończeniu służby i kwestii publikacji oraz przepisy dotyczące przeciwdziałania nękaniu, a przy tym mają zastosowanie również do oddelegowanych ekspertów krajowych i aplikantów sędziowskich goszczonych w ramach EJTN; z zadowoleniem przyjmuje fakt, że szkolenia z zakresu zasady etyki oraz praw i obowiązków pracowniczych są obowiązkowe dla nowych pracowników i wysoce zalecane wszystkim pracownikom TSUE, przy czym w 2024 r. wzięło w nich udział łącznie </w:t>
            </w:r>
            <w:r>
              <w:rPr>
                <w:b/>
                <w:i/>
              </w:rPr>
              <w:t>561 osób (tj. 24,75</w:t>
            </w:r>
            <w:r>
              <w:t> % ogółu urzędników i pracowników TSUE); odnotowuje ponadto, że podobne szkolenia zaoferowano również nowym członkom TSUE w 2024 r.; z uznaniem przyjmuje działalność sieci „zaufanych doradców” TSUE wspierających pracowników w przypadkach nękania oraz program rozwoju talentów dla wysokiego szczebla administratorów, obejmujący m.in. przywództwo etyczne;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z zadowoleniem przyjmuje zaangażowanie TSUE na rzecz zwiększania przejrzystości, dostępu do wymiaru sprawiedliwości i otwartości wobec obywateli, co przyczynia się do wzrostu zaufania społecznego do instytucji Unii, przy jednoczesnym zachowaniu równowagi wobec innych kluczowych wartości, takich jak spokój sądowy, poufność postępowań i ochrona danych osobowych; zauważa, że w 2024 r. TSUE połączył usługi transmisji strumieniowej na stronie internetowej Curia z rozpraw Trybunału Sprawiedliwości i z rozpraw Sądu, ułatwiając w ten sposób obywatelom zapoznanie się z działalnością sądowniczą TSUE; w tym kontekście z zadowoleniem przyjmuje, że w wyniku reformy sądownictwa przyjętej w 2024 r. zwiększono przejrzystość postępowania w trybie prejudycjalnym, umożliwiając publikację na stronie internetowej TSUE uwag pisemnych w rozsądnym terminie po zakończeniu sprawy;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z zadowoleniem przyjmuje zaangażowanie TSUE na rzecz zwiększania przejrzystości, dostępu do wymiaru sprawiedliwości i otwartości wobec obywateli, co przyczynia się do wzrostu zaufania społecznego do instytucji Unii, przy jednoczesnym zachowaniu równowagi wobec innych kluczowych wartości, takich jak spokój sądowy, poufność postępowań i ochrona danych osobowych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podkreśla, że większa przejrzystość musi również służyć zwiększeniu zaufania publicznego do orzecznictwa Trybunału;</w:t>
            </w:r>
            <w:r>
              <w:t xml:space="preserve"> </w:t>
            </w:r>
            <w:r>
              <w:rPr>
                <w:b/>
                <w:i/>
              </w:rPr>
              <w:t>zachęca Trybunał do kontynuowania wysiłków na rzecz poprawy jasności, dostępności i przewidywalności jego orzecznictwa, zwłaszcza w sprawach o znaczących skutkach konstytucyjnych lub społecznych</w:t>
            </w:r>
            <w:r>
              <w:t>; zauważa, że w 2024 r. TSUE połączył usługi transmisji strumieniowej na stronie internetowej Curia z rozpraw Trybunału Sprawiedliwości i z rozpraw Sądu, ułatwiając w ten sposób obywatelom zapoznanie się z działalnością sądowniczą TSUE; w tym kontekście z zadowoleniem przyjmuje, że w wyniku reformy sądownictwa przyjętej w 2024 r. zwiększono przejrzystość postępowania w trybie prejudycjalnym, umożliwiając publikację na stronie internetowej TSUE uwag pisemnych w rozsądnym terminie po zakończeniu sprawy;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>z zadowoleniem odnotowuje, na podstawie sprawozdania uzupełniającego, że po udanym projekcie pilotażowym uruchomionym w 2022 r. i aktualizacji regulaminu postępowania w 2024 r. Trybunał Sprawiedliwości rozszerzył usługę transmisji na istotne sprawy rozpoznawane przez izby pięcioosobowe, a także umożliwił niemal bezpośrednią transmisję rozpraw, podczas których występowały strony, oraz transmisje na żywo ogłaszania wyroków i opinii rzeczników generalnych; zauważa ponadto, że od 1 września 2024 r. nagrania rozpraw związanych z ogłaszaniem wyroków i opinii pozostają stale dostępne na stronie internetowej TSUE, a nagrania z rozpraw, podczas których występowały strony, są udostępniane miesiąc po ich przeprowadzeniu; z uznaniem przyjmuje, że Sąd przyjął podobne środki w celu poszerzenia dostępu publicznego do swoich postępowań;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z zadowoleniem odnotowuje, na podstawie sprawozdania uzupełniającego, że po udanym projekcie pilotażowym uruchomionym w 2022 r. i aktualizacji regulaminu postępowania w 2024 r. Trybunał Sprawiedliwości rozszerzył usługę transmisji na istotne sprawy rozpoznawane przez izby pięcioosobowe, a także umożliwił niemal bezpośrednią transmisję rozpraw, podczas których występowały strony, oraz transmisje na żywo ogłaszania wyroków i opinii rzeczników generalnych; zauważa ponadto, że od 1 września 2024 r. nagrania rozpraw związanych z ogłaszaniem wyroków i opinii pozostają stale dostępne na stronie internetowej TSUE, a nagrania z rozpraw, podczas których występowały strony, są udostępniane </w:t>
            </w:r>
            <w:r>
              <w:rPr>
                <w:b/>
                <w:i/>
              </w:rPr>
              <w:t>przez</w:t>
            </w:r>
            <w:r>
              <w:t xml:space="preserve"> miesiąc po ich przeprowadzeniu; z uznaniem przyjmuje, że Sąd przyjął podobne środki w celu poszerzenia dostępu publicznego do swoich postępowań;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>z zainteresowaniem odnotowuje uruchomienie w 2024 r. projektu pilotażowego umożliwiającego wszystkim działom TSUE dostęp do asystentów AI; podkreśla konieczność przestrzegania zasad etycznych przy korzystaniu z narzędzi AI, a w szczególności wytycznych TSUE dotyczących AI przyjętych w 2024 r., zapewniając tym samym nadzór przez człowieka w świetle zasady niezależności postępowań sądowych; zwraca uwagę na nadzorczą rolę rady TSUE ds. zarządzania AI; docenia fakt, że w 2024 r. TSUE wdrożył kompleksowy program szkoleniowy, który rozpoczął się od „miesiąca świadomości w zakresie AI”, obejmującego szkolenia, debaty ekspertów AI, webinaria i bootcampy, stanowiąc pierwszy istotny krok w budowaniu świadomości personelu na temat strategii i wytycznych TSUE w zakresie AI oraz AI jako takiej; zauważa, że pracownicy uczestniczą również w szkoleniach z zarządzania zmianą, transferu wiedzy, mentoringu i lotności umysłu w celu wsparcia adaptacji do nowych technologii; zachęca TSUE do dalszego organizowania takich szkoleń i działań edukacyjnych;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>z zainteresowaniem odnotowuje uruchomienie w 2024 r. projektu pilotażowego umożliwiającego wszystkim działom TSUE dostęp do asystentów AI; podkreśla konieczność przestrzegania zasad etycznych przy korzystaniu z narzędzi AI, a w szczególności wytycznych TSUE dotyczących AI przyjętych w 2024 r., zapewniając tym samym nadzór przez człowieka w świetle zasady niezależności postępowań sądowych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podkreśla, że stosowanie narzędzi sztucznej inteligencji w środowisku sądowym nigdy nie może zastępować ludzkiego rozumowania prawnego ani uprawnień dyskrecjonalnych, ani podważać osobistej odpowiedzialności sędziów</w:t>
            </w:r>
            <w:r>
              <w:t>; zwraca uwagę na nadzorczą rolę rady TSUE ds. zarządzania AI; docenia fakt, że w 2024 r. TSUE wdrożył kompleksowy program szkoleniowy, który rozpoczął się od „miesiąca świadomości w zakresie AI”, obejmującego szkolenia, debaty ekspertów AI, webinaria i bootcampy, stanowiąc pierwszy istotny krok w budowaniu świadomości personelu na temat strategii i wytycznych TSUE w zakresie AI oraz AI jako takiej; zauważa, że pracownicy uczestniczą również w szkoleniach z zarządzania zmianą, transferu wiedzy, mentoringu i lotności umysłu w celu wsparcia adaptacji do nowych technologii; zachęca TSUE do dalszego organizowania takich szkoleń i działań edukacyjnych;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>zauważa, że w 2024 r. jeszcze bardziej zwiększono zdolności operacyjne w zakresie cyberbezpieczeństwa w celu zapewnienia zgodności z rozporządzeniem (UE, Euratom) 2023/2841 oraz przeciwdziałania rosnącej liczbie cyberataków; wskazuje, że w 2024 r. nie odnotowano żadnych poważnych cyberataków; z niepokojem zauważa, że miesięcznie rejestrowano i analizowano średnio 142 incydenty bezpieczeństwa, z których niektóre wymagały interwencji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 xml:space="preserve">zauważa, że w 2024 r. jeszcze bardziej zwiększono zdolności operacyjne w zakresie cyberbezpieczeństwa w celu zapewnienia zgodności z rozporządzeniem (UE, Euratom) 2023/2841 oraz przeciwdziałania rosnącej liczbie cyberataków; wskazuje, że w 2024 r. nie odnotowano żadnych poważnych cyberataków; z niepokojem zauważa, że miesięcznie rejestrowano i analizowano średnio 142 incydenty bezpieczeństwa, z których niektóre wymagały interwencji człowieka; </w:t>
            </w:r>
            <w:r>
              <w:rPr>
                <w:b/>
                <w:i/>
              </w:rPr>
              <w:t>podkreśla, że tendencja ta uwypukla potrzebę trwałych i przewidywalnych inwestycji w zdolności w zakresie cyberbezpieczeństwa, szkolenia pracowników i współpracę międzyinstytucjonalną, zgodnie z rozporządzeniem (UE, Euratom) 2023/2841;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>zauważa, że w 2024 r. jeszcze bardziej zwiększono zdolności operacyjne w zakresie cyberbezpieczeństwa w celu zapewnienia zgodności z rozporządzeniem (UE, Euratom) 2023/2841 oraz przeciwdziałania rosnącej liczbie cyberataków; wskazuje, że w 2024 r. nie odnotowano żadnych poważnych cyberataków; z niepokojem zauważa, że miesięcznie rejestrowano i analizowano średnio 142 incydenty bezpieczeństwa, z których niektóre wymagały interwencji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 xml:space="preserve">zauważa, że w 2024 r. jeszcze bardziej zwiększono zdolności operacyjne w zakresie cyberbezpieczeństwa w celu zapewnienia zgodności z rozporządzeniem (UE, Euratom) 2023/2841 oraz przeciwdziałania rosnącej liczbie cyberataków; wskazuje, że w 2024 r. nie odnotowano żadnych poważnych cyberataków; z niepokojem zauważa, że miesięcznie rejestrowano i analizowano średnio 142 incydenty bezpieczeństwa, z których niektóre wymagały interwencji człowieka; </w:t>
            </w:r>
            <w:r>
              <w:rPr>
                <w:b/>
                <w:i/>
              </w:rPr>
              <w:t>podkreśla, że cyberbezpieczeństwo jest inwestycją strategiczną, niezbędną do ochrony niezależności sądów, integralności danych i ciągłości działalności sądowniczej;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docenia nieustające działania TSUE na rzecz ograniczenia śladu środowiskowego oraz znaczące postępy osiągnięte w 2024 r., potwierdzone wynikami względem poziomu odniesienia przyjętego w systemie ekozarządzania i audytu EMAS z 2015 r. – ze spadkiem zużycia i emisji w wielu obszarach w przeliczeniu na ekwiwalent pełnego czasu pracy (ogrzewanie: -37,5 %; energia elektryczna: -29,3 </w:t>
            </w:r>
            <w:r>
              <w:rPr>
                <w:b/>
                <w:i/>
              </w:rPr>
              <w:t>%</w:t>
            </w:r>
            <w:r>
              <w:t>; papier: -64,2 %; odpady biurowe i stołówkowe: -40,4 %; emisja gazów cieplarnianych: -</w:t>
            </w:r>
            <w:r>
              <w:rPr>
                <w:b/>
                <w:i/>
              </w:rPr>
              <w:t>30,20</w:t>
            </w:r>
            <w:r>
              <w:t xml:space="preserve"> %); zauważa ogólną poprawę w porównaniu z wynikami za 2023 r.; przyznaje, że osiągnięte rezultaty w połączeniu z warunkami rynkowymi umożliwiły zmniejszenie wydatków na energię o 18 % względem prognoz; docenia w tym kontekście solidne powiązanie polityki zrównoważonego rozwoju z ramami zarządzania ryzykiem i rozliczalności Trybunału, zgodnie z wymogami certyfikacji EMAS;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>docenia nieustające działania TSUE na rzecz ograniczenia śladu środowiskowego oraz znaczące postępy osiągnięte w 2024 r., potwierdzone wynikami względem poziomu odniesienia przyjętego w systemie ekozarządzania i audytu EMAS z 2015 r. – ze spadkiem zużycia i emisji w wielu obszarach w przeliczeniu na ekwiwalent pełnego czasu pracy (ogrzewanie: -37,5 %; energia elektryczna: -29,3; papier: -64,2 %; odpady biurowe i stołówkowe: -40,4 %; emisja gazów cieplarnianych: -</w:t>
            </w:r>
            <w:r>
              <w:rPr>
                <w:b/>
                <w:i/>
              </w:rPr>
              <w:t>26,7</w:t>
            </w:r>
            <w:r>
              <w:t xml:space="preserve"> %); zauważa ogólną poprawę w porównaniu z wynikami za 2023 r.; przyznaje, że osiągnięte rezultaty w połączeniu z warunkami rynkowymi umożliwiły zmniejszenie wydatków na energię o 18 % względem prognoz; docenia w tym kontekście solidne powiązanie polityki zrównoważonego rozwoju z ramami zarządzania ryzykiem i rozliczalności Trybunału, zgodnie z wymogami certyfikacji EMAS;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52.</w:t>
            </w:r>
            <w:r>
              <w:tab/>
            </w:r>
            <w:r>
              <w:rPr>
                <w:b/>
                <w:i/>
              </w:rPr>
              <w:t>docenia konsekwentne działania TSUE w zakresie zrównoważonych zamówień, polegające na kategoryzacji zaproszeń do składania ofert według wpływu środowiskowego („light green”, „medium green”, „top green”), systematycznym wykorzystywaniu narzędzi takich jak obowiązkowa samoocena „zielonej wydajności” oraz korzystaniu z międzyinstytucjonalnego SPP Helpdesk;</w:t>
            </w:r>
            <w:r>
              <w:t xml:space="preserve"> </w:t>
            </w:r>
            <w:r>
              <w:rPr>
                <w:b/>
                <w:i/>
              </w:rPr>
              <w:t>zauważa, że w 2024 r. jedenaście głównych zamówień o wartości powyżej 60 000 EUR stanowiło tzw. „zielone zakupy”, z czego osiem zawierało istotne klauzule środowiskowe; z uznaniem przyjmuje skuteczną realizację nowego kontraktu cateringowego, który wymaga stosowania zrównoważonych praktyk żywieniowych i posiada certyfikat ISO 14001, a także osiągnięcie celu ograniczenia przetargów „light green” do poziomu znacznie poniżej progu 50 %;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52.</w:t>
            </w:r>
            <w:r>
              <w:tab/>
            </w:r>
            <w:r>
              <w:t xml:space="preserve">docenia konsekwentne działania TSUE w zakresie zrównoważonych zamówień, polegające na kategoryzacji zaproszeń do składania ofert według wpływu środowiskowego („light green”, „medium green”, „top green”), systematycznym wykorzystywaniu narzędzi takich jak obowiązkowa samoocena „zielonej wydajności” oraz korzystaniu z międzyinstytucjonalnego SPP Helpdesk; zauważa, że w 2024 r. </w:t>
            </w:r>
            <w:r>
              <w:rPr>
                <w:b/>
                <w:i/>
              </w:rPr>
              <w:t>jedenaście</w:t>
            </w:r>
            <w:r>
              <w:t xml:space="preserve"> głównych zamówień o wartości powyżej 60 000 EUR stanowiło tzw. „zielone zakupy”, z czego </w:t>
            </w:r>
            <w:r>
              <w:rPr>
                <w:b/>
                <w:i/>
              </w:rPr>
              <w:t>osiem</w:t>
            </w:r>
            <w:r>
              <w:t xml:space="preserve"> zawierało istotne klauzule środowiskowe; z uznaniem przyjmuje skuteczną realizację nowego kontraktu cateringowego, który wymaga stosowania zrównoważonych praktyk żywieniowych i posiada certyfikat ISO 14001, a także osiągnięcie celu ograniczenia przetargów „light green” do poziomu znacznie poniżej progu 50 %;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52.</w:t>
            </w:r>
            <w:r>
              <w:tab/>
            </w:r>
            <w:r>
              <w:t xml:space="preserve">docenia konsekwentne działania TSUE w zakresie zrównoważonych zamówień, polegające na kategoryzacji zaproszeń do składania ofert według wpływu środowiskowego („light green”, „medium green”, „top green”), systematycznym wykorzystywaniu narzędzi takich jak obowiązkowa samoocena „zielonej wydajności” oraz korzystaniu z międzyinstytucjonalnego SPP Helpdesk; zauważa, że w 2024 r. </w:t>
            </w:r>
            <w:r>
              <w:rPr>
                <w:b/>
                <w:i/>
              </w:rPr>
              <w:t>osiem</w:t>
            </w:r>
            <w:r>
              <w:t xml:space="preserve"> głównych zamówień o wartości powyżej 60 000 EUR stanowiło tzw. „zielone zakupy”, z czego </w:t>
            </w:r>
            <w:r>
              <w:rPr>
                <w:b/>
                <w:i/>
              </w:rPr>
              <w:t>sześć</w:t>
            </w:r>
            <w:r>
              <w:t xml:space="preserve"> zawierało istotne klauzule środowiskowe; z uznaniem przyjmuje skuteczną realizację nowego kontraktu cateringowego, który wymaga stosowania zrównoważonych praktyk żywieniowych i posiada certyfikat ISO 14001, a także osiągnięcie celu ograniczenia przetargów „light green” do poziomu znacznie poniżej progu 50 %;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Julien Sanchez,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52 a.</w:t>
            </w:r>
            <w:r>
              <w:tab/>
            </w:r>
            <w:r>
              <w:rPr>
                <w:b/>
                <w:i/>
              </w:rPr>
              <w:t>podkreśla, że inicjatywy środowiskowe w instytucjach Unii muszą pozostać opłacalne i neutralne pod względem technologicznym;</w:t>
            </w:r>
            <w:r>
              <w:t xml:space="preserve"> </w:t>
            </w:r>
            <w:r>
              <w:rPr>
                <w:b/>
                <w:i/>
              </w:rPr>
              <w:t>wzywa Trybunał do przedstawienia przejrzystej oceny kosztów i korzyści swoich zielonych inwestycji i praktyk w zakresie zamówień publicznych oraz do zapewnienia, aby względy środowiskowe nie przeważały nad skutecznością ani dyscypliną budżetową;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60.</w:t>
            </w:r>
            <w:r>
              <w:tab/>
            </w:r>
            <w:r>
              <w:t xml:space="preserve">zauważa, że w 2024 r. TSUE zwiększył starania służące nawiązaniu kontaktu z obywatelami Unii przez zwiększenie swojej obecności w mediach społecznościowych; zauważa, że na koniec 2024 r. liczba subskrybentów konta TSUE na LinkedIn wzrosła o 26 %, liczba obserwujących dwa konta TSUE na X (dawniej Twitter) o 2,5 %, wyświetlenia na kanale YouTube TSUE wzrosły o </w:t>
            </w:r>
            <w:r>
              <w:rPr>
                <w:b/>
                <w:i/>
              </w:rPr>
              <w:t>236</w:t>
            </w:r>
            <w:r>
              <w:t xml:space="preserve"> %, a liczba subskrybentów tego kanału zwiększyła się o ponad </w:t>
            </w:r>
            <w:r>
              <w:rPr>
                <w:b/>
                <w:i/>
              </w:rPr>
              <w:t>400</w:t>
            </w:r>
            <w:r>
              <w:t xml:space="preserve"> % w porównaniu z rokiem poprzednim; zauważa, że gwałtowny wzrost liczby wyświetleń i subskrypcji był częściowo wynikiem kampanii promocyjnej przeprowadzonej przez TSUE;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60.</w:t>
            </w:r>
            <w:r>
              <w:tab/>
            </w:r>
            <w:r>
              <w:t xml:space="preserve">zauważa, że w 2024 r. TSUE zwiększył starania służące nawiązaniu kontaktu z obywatelami Unii przez zwiększenie swojej obecności w mediach społecznościowych; zauważa, że na koniec 2024 r. liczba subskrybentów konta TSUE na LinkedIn wzrosła o 26 %, liczba obserwujących dwa konta TSUE na X (dawniej Twitter) o 2,5 %, wyświetlenia na kanale YouTube TSUE wzrosły o </w:t>
            </w:r>
            <w:r>
              <w:rPr>
                <w:b/>
                <w:i/>
              </w:rPr>
              <w:t>137</w:t>
            </w:r>
            <w:r>
              <w:t xml:space="preserve"> %, a liczba subskrybentów tego kanału zwiększyła się o ponad </w:t>
            </w:r>
            <w:r>
              <w:rPr>
                <w:b/>
                <w:i/>
              </w:rPr>
              <w:t>329</w:t>
            </w:r>
            <w:r>
              <w:t> % w porównaniu z rokiem poprzednim; zauważa, że gwałtowny wzrost liczby wyświetleń i subskrypcji był częściowo wynikiem kampanii promocyjnej przeprowadzonej przez TSUE;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60 a.</w:t>
            </w:r>
            <w:r>
              <w:tab/>
            </w:r>
            <w:r>
              <w:rPr>
                <w:b/>
                <w:i/>
              </w:rPr>
              <w:t>zachęca Trybunał do dalszego rozwijania narzędzi komunikacji ukierunkowanych na obywateli, w szczególności przez przedstawianie jasnych, dostępnych i dokładnych pod względem prawnym wyjaśnień dotyczących przełomowych wyroków mających istotny wpływ na krajowe porządki prawne, przy pełnym poszanowaniu niezależności sądów i zasad poufności;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32</w:t>
    </w:r>
    <w:r>
      <w:fldChar w:fldCharType="end"/>
    </w:r>
    <w:r>
      <w:tab/>
    </w:r>
    <w:r>
      <w:rPr>
        <w:rStyle w:val="HideTWBExt"/>
      </w:rPr>
      <w:t>&lt;PathFdR&gt;</w:t>
    </w:r>
    <w:r>
      <w:t>AM\1336272PL.docx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AM\1336272PL.docx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AM\1336272PL.docx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32</Pages>
  <Words>8367</Words>
  <Characters>55837</Characters>
  <Application>Microsoft Office Word</Application>
  <DocSecurity>0</DocSecurity>
  <Lines>1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1336272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376153</vt:lpwstr>
  </property>
  <property fmtid="{D5CDD505-2E9C-101B-9397-08002B2CF9AE}" pid="7" name="dmxml.render.traceId">
    <vt:lpwstr>698c95b5fc13c290b4ce7acc4faf3807</vt:lpwstr>
  </property>
  <property fmtid="{D5CDD505-2E9C-101B-9397-08002B2CF9AE}" pid="8" name="FooterPath">
    <vt:lpwstr>AM\1336272PL.docx</vt:lpwstr>
  </property>
  <property fmtid="{D5CDD505-2E9C-101B-9397-08002B2CF9AE}" pid="9" name="PE Number">
    <vt:lpwstr>784.145</vt:lpwstr>
  </property>
  <property fmtid="{D5CDD505-2E9C-101B-9397-08002B2CF9AE}" pid="10" name="UID">
    <vt:lpwstr>eu.europa.europarl-DIN1-2026-0000016485_01.00-pl-01.00_text-xml</vt:lpwstr>
  </property>
</Properties>
</file>