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Comisia pentru control bugetar</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Descărcarea de gestiune 2024: bugetul general al UE - Curtea de Justiție a Uniunii Europene</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CJUE ajută la păstrarea valorilor Uniunii și, prin jurisprudența sa, lucrează la construirea Europei;</w:t>
            </w:r>
          </w:p>
        </w:tc>
        <w:tc>
          <w:tcPr>
            <w:tcW w:w="4876" w:type="dxa"/>
            <w:tcBorders>
              <w:top w:val="nil"/>
              <w:left w:val="nil"/>
              <w:bottom w:val="nil"/>
              <w:right w:val="nil"/>
            </w:tcBorders>
          </w:tcPr>
          <w:p>
            <w:pPr>
              <w:pStyle w:val="Normal6a"/>
            </w:pPr>
            <w:r>
              <w:t>C.</w:t>
            </w:r>
            <w:r>
              <w:tab/>
            </w:r>
            <w:r>
              <w:t>întrucât CJUE ajută la păstrarea valorilor Uniunii și, prin jurisprudența sa, lucrează la construirea Europei</w:t>
            </w:r>
            <w:r>
              <w:rPr>
                <w:b/>
                <w:i/>
              </w:rPr>
              <w:t>, răspunzând totodată mai departe în fața cetățenilor prin securitate juridică, coerența jurisprudenței și respectarea limitelor interpretării judiciare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observă că bugetul CJUE se încadrează la rubrica 7 din CFM, „Administrație publică europeană”, care s-a ridicat la 13,3 miliarde EUR în 2023 (reprezentând 6,9 % din bugetul total al Uniunii); constată că bugetul de aproximativ 0,5 miliarde EUR al CJUE reprezintă aproximativ 3,76 % din cheltuielile administrative totale ale Uniunii, care constituie o scădere de la 3,9 % în 2023;</w:t>
            </w:r>
          </w:p>
        </w:tc>
        <w:tc>
          <w:tcPr>
            <w:tcW w:w="4876" w:type="dxa"/>
            <w:tcBorders>
              <w:top w:val="nil"/>
              <w:left w:val="nil"/>
              <w:bottom w:val="nil"/>
              <w:right w:val="nil"/>
            </w:tcBorders>
          </w:tcPr>
          <w:p>
            <w:pPr>
              <w:pStyle w:val="Normal6a"/>
            </w:pPr>
            <w:r>
              <w:t>1.</w:t>
            </w:r>
            <w:r>
              <w:tab/>
            </w:r>
            <w:r>
              <w:t xml:space="preserve">observă că bugetul CJUE se încadrează la rubrica 7 din CFM, „Administrație publică europeană”, care s-a ridicat la 13,3 miliarde EUR în 2023 (reprezentând 6,9 % din bugetul total al Uniunii); constată că bugetul de aproximativ 0,5 miliarde EUR al CJUE reprezintă aproximativ 3,76 % din cheltuielile administrative totale ale Uniunii, care constituie o scădere de la 3,9 % în 2023; </w:t>
            </w:r>
            <w:r>
              <w:rPr>
                <w:b/>
                <w:i/>
              </w:rPr>
              <w:t>subliniază că în cazurile legate de investigarea bugetului Uniunii, toate autoritățile competente trebuie să respecte pe deplin principiile respectării garanțiilor procedurale și a drepturilor fundamentale;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observă că cheltuielile cu personalul reprezintă aproape 80 % din bugetul CJUE și că în 2024 actualizările salariale au depășit previziunile inițiale;</w:t>
            </w:r>
            <w:r>
              <w:t xml:space="preserve"> </w:t>
            </w:r>
            <w:r>
              <w:rPr>
                <w:b/>
                <w:i/>
              </w:rPr>
              <w:t>accentuează că, deși aceste majorări au fost absorbite fără consolidări bugetare suplimentare, caracterul lor recurent pune sub semnul întrebării sustenabilitatea bugetară pe termen mediu în contextul constrângerilor actuale impuse CFM;</w:t>
            </w:r>
            <w:r>
              <w:t xml:space="preserve"> </w:t>
            </w:r>
            <w:r>
              <w:rPr>
                <w:b/>
                <w:i/>
              </w:rPr>
              <w:t>cere o planificare multianuală mai bună a forței de muncă și a cheltuielilor, fără a submina independența justiției;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de acord că capacitatea CJUE de a răspunde unui volum de muncă din ce în ce mai mare a fost îngreunată, pe de o parte, de orientările Comisiei pentru pregătirea bugetului, care limitează creșterea tuturor cheltuielilor nesalariale la maximum 2 % și descurajează cererile de noi posturi și, pe de altă parte, de faptul că EPSO nu a pus la dispoziția instituțiilor Uniunii o rezervă de candidați care au reușit la concursurile în urma cărora urmau să fie recrutați; constată, de asemenea, că efectele inflaționiste ale războiului de agresiune al Rusiei împotriva Ucrainei au continuat să creeze presiune bugetară pentru CJUE, de exemplu prin creșterea costului misiunilor sau prin creșterea prețurilor bunurilor și serviciilor contractate; felicită CJUE pentru măsurile sale de atenuare a acestor efecte prin reducerea numărului de misiuni, prin limitarea cheltuielilor cu energia și, mai presus de toate, prin aplicarea unei ordini de prioritate a proiectelor atunci când se pregătesc estimările bugetare; recunoaște că este necesar ca toate instituțiile Uniunii să își îmbunătățească gestiunea bugetară, ținând seama, de asemenea, de volatilitatea prețurilor, în special în sectorul energetic, atunci când încheie contracte cu furnizorii de servicii;</w:t>
            </w:r>
          </w:p>
        </w:tc>
        <w:tc>
          <w:tcPr>
            <w:tcW w:w="4876" w:type="dxa"/>
            <w:tcBorders>
              <w:top w:val="nil"/>
              <w:left w:val="nil"/>
              <w:bottom w:val="nil"/>
              <w:right w:val="nil"/>
            </w:tcBorders>
          </w:tcPr>
          <w:p>
            <w:pPr>
              <w:pStyle w:val="Normal6a"/>
            </w:pPr>
            <w:r>
              <w:t>6.</w:t>
            </w:r>
            <w:r>
              <w:tab/>
            </w:r>
            <w:r>
              <w:t xml:space="preserve">este de acord că capacitatea CJUE de a răspunde unui volum de muncă din ce în ce mai mare a fost îngreunată, pe de o parte, de orientările Comisiei pentru pregătirea bugetului, care limitează creșterea tuturor cheltuielilor nesalariale la maximum 2 % și descurajează cererile de noi posturi și, pe de altă parte, de faptul că EPSO nu a pus la dispoziția instituțiilor Uniunii o rezervă de candidați </w:t>
            </w:r>
            <w:r>
              <w:rPr>
                <w:b/>
                <w:i/>
              </w:rPr>
              <w:t>de mărime rezonabilă</w:t>
            </w:r>
            <w:r>
              <w:t xml:space="preserve"> care au reușit la concursurile în urma cărora urmau să fie recrutați; constată, de asemenea, că efectele inflaționiste ale războiului </w:t>
            </w:r>
            <w:r>
              <w:rPr>
                <w:b/>
                <w:i/>
              </w:rPr>
              <w:t>ilegal</w:t>
            </w:r>
            <w:r>
              <w:t xml:space="preserve"> de agresiune al Rusiei împotriva Ucrainei au continuat să creeze presiune bugetară pentru CJUE, de exemplu prin creșterea costului misiunilor sau prin creșterea prețurilor bunurilor și serviciilor contractate; felicită CJUE pentru măsurile sale de atenuare a acestor efecte prin reducerea numărului de misiuni, prin limitarea cheltuielilor cu energia și, mai presus de toate, prin aplicarea unei ordini de prioritate a proiectelor atunci când se pregătesc estimările bugetare; recunoaște că este necesar ca toate instituțiile Uniunii să își îmbunătățească gestiunea bugetară, ținând seama, de asemenea, de volatilitatea prețurilor, în special în sectorul energetic, atunci când încheie contracte cu furnizorii de servicii; </w:t>
            </w:r>
            <w:r>
              <w:rPr>
                <w:b/>
                <w:i/>
              </w:rPr>
              <w:t>invită CJUE să continue să îmbunătățească eficiența din punctul de vedere al costurilor și planificarea bugetară proactivă pentru a menține calitatea justiției în limitele resurselor disponibile;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constată cu satisfacție că bugetul său pentru misiuni destinat membrilor și personalului CJUE a scăzut pentru al doilea an consecutiv, de la 638 000 EUR în 2023 la 616 000 EUR în 2024, ceea ce reprezintă o scădere de aproximativ </w:t>
            </w:r>
            <w:r>
              <w:rPr>
                <w:b/>
                <w:i/>
              </w:rPr>
              <w:t>3,3</w:t>
            </w:r>
            <w:r>
              <w:t xml:space="preserve"> %;</w:t>
            </w:r>
          </w:p>
        </w:tc>
        <w:tc>
          <w:tcPr>
            <w:tcW w:w="4876" w:type="dxa"/>
            <w:tcBorders>
              <w:top w:val="nil"/>
              <w:left w:val="nil"/>
              <w:bottom w:val="nil"/>
              <w:right w:val="nil"/>
            </w:tcBorders>
          </w:tcPr>
          <w:p>
            <w:pPr>
              <w:pStyle w:val="Normal6a"/>
            </w:pPr>
            <w:r>
              <w:t>8.</w:t>
            </w:r>
            <w:r>
              <w:tab/>
            </w:r>
            <w:r>
              <w:t xml:space="preserve">constată cu satisfacție că bugetul său pentru misiuni destinat membrilor și personalului CJUE a scăzut pentru al doilea an consecutiv, de la 638 000 EUR în 2023 la 616 000 EUR în 2024, ceea ce reprezintă o scădere de aproximativ </w:t>
            </w:r>
            <w:r>
              <w:rPr>
                <w:b/>
                <w:i/>
              </w:rPr>
              <w:t>3,44</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observă cu satisfacție, din răspunsurile CJUE la chestionarul privind descărcarea de gestiune pentru exercițiul financiar 2024, eforturile depuse de CJUE pentru a finaliza reforma judiciară pentru transferul parțial al competenței de a pronunța hotărâri preliminare de la Curtea de Justiție la Tribunal și pentru a permite punerea în aplicare a noului cadru de reglementare începând cu 1 octombrie 2024; ia act, în acest context, de reorganizarea structurii Tribunalului, de modificarea Regulamentului de procedură al CJUE, de adoptarea unui nou set de norme practice ale Tribunalului pentru punerea în aplicare a Regulamentului de procedură, de adoptarea unei noi decizii privind depunerea și notificarea sau comunicarea actelor de procedură prin intermediul e-Curia, de dezvoltarea unui nou software („ghișeu unic”) pentru analizarea și prelucrarea rapidă a cauzelor și de armonizarea practicilor registrelor celor două instanțe în 2024; constată cu satisfacție că, în primele trei luni de la intrarea în vigoare a reformei, 20 de hotărâri preliminare au fost deja transferate Tribunalului, marcând astfel primele rezultate către o distribuție mai echilibrată a volumului de muncă între cele două instanțe; observă că singurele costuri suplimentare asociate punerii în aplicare a reformei judiciare au fost legate de tehnologia informației, pentru dezvoltarea ghișeului unic, în valoare de aproximativ 805 000 EUR, în timp ce, în ceea ce privește personalul, reforma a fost menținută neutră din punct de vedere bugetar prin redistribuirea posturilor și a sarcinilor în cadrul instituției;</w:t>
            </w:r>
          </w:p>
        </w:tc>
        <w:tc>
          <w:tcPr>
            <w:tcW w:w="4876" w:type="dxa"/>
            <w:tcBorders>
              <w:top w:val="nil"/>
              <w:left w:val="nil"/>
              <w:bottom w:val="nil"/>
              <w:right w:val="nil"/>
            </w:tcBorders>
          </w:tcPr>
          <w:p>
            <w:pPr>
              <w:pStyle w:val="Normal6a"/>
            </w:pPr>
            <w:r>
              <w:t>9.</w:t>
            </w:r>
            <w:r>
              <w:tab/>
            </w:r>
            <w:r>
              <w:t xml:space="preserve">observă cu satisfacție, din răspunsurile CJUE la chestionarul privind descărcarea de gestiune pentru exercițiul financiar 2024, eforturile depuse de CJUE pentru a finaliza reforma judiciară pentru transferul parțial al competenței de a pronunța hotărâri preliminare de la Curtea de Justiție la Tribunal și pentru a permite punerea în aplicare a noului cadru de reglementare începând cu 1 octombrie 2024; ia act, în acest context, de reorganizarea structurii Tribunalului, de modificarea Regulamentului de procedură al CJUE, de adoptarea unui nou set de norme practice ale Tribunalului pentru punerea în aplicare a Regulamentului de procedură, de adoptarea unei noi decizii privind depunerea și notificarea sau comunicarea actelor de procedură prin intermediul e-Curia, de dezvoltarea unui nou software („ghișeu unic”) pentru analizarea și prelucrarea rapidă a cauzelor și de armonizarea practicilor registrelor celor două instanțe în 2024; </w:t>
            </w:r>
            <w:r>
              <w:rPr>
                <w:b/>
                <w:i/>
              </w:rPr>
              <w:t>recunoaște că digitalizarea tratării cauzelor judiciare contribuie la o mai mare eficiență și calitate a rezultatelor judiciare;</w:t>
            </w:r>
            <w:r>
              <w:t xml:space="preserve"> constată cu satisfacție că, în primele trei luni de la intrarea în vigoare a reformei, 20 de hotărâri preliminare au fost deja transferate Tribunalului, marcând astfel primele rezultate către o distribuție mai echilibrată a volumului de muncă între cele două instanțe; observă că singurele costuri suplimentare asociate punerii în aplicare a reformei judiciare au fost legate de tehnologia informației, pentru dezvoltarea ghișeului unic, în valoare de aproximativ 805 000 EUR, în timp ce, în ceea ce privește personalul, reforma a fost menținută neutră din punct de vedere bugetar prin redistribuirea posturilor și a sarcinilor în cadrul instituției; </w:t>
            </w:r>
            <w:r>
              <w:rPr>
                <w:b/>
                <w:i/>
              </w:rPr>
              <w:t>încurajează CJUE să monitorizeze în continuare impactul instrumentelor digitale asupra timpului de prelucrare și a distribuției volumului de muncă și să prezinte în continuare informări cu privire la aceasta;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observă cu satisfacție, din răspunsurile CJUE la chestionarul privind descărcarea de gestiune pentru exercițiul financiar 2024, eforturile depuse de CJUE pentru a finaliza reforma judiciară pentru transferul parțial al competenței de a pronunța hotărâri preliminare de la Curtea de Justiție la Tribunal și pentru a permite punerea în aplicare a noului cadru de reglementare începând cu 1 octombrie 2024; ia act, în acest context, de reorganizarea structurii Tribunalului, de modificarea Regulamentului de procedură al CJUE, de adoptarea unui nou set de norme practice ale Tribunalului pentru punerea în aplicare a Regulamentului de procedură, de adoptarea unei noi decizii privind depunerea și notificarea sau comunicarea actelor de procedură prin intermediul e-Curia, de dezvoltarea unui nou software („ghișeu unic”) pentru analizarea și prelucrarea rapidă a cauzelor și de armonizarea practicilor registrelor celor două instanțe în 2024; constată cu satisfacție că, în primele trei luni de la intrarea în vigoare a reformei, 20 de hotărâri preliminare au fost deja transferate Tribunalului, marcând astfel primele rezultate către o distribuție mai echilibrată a volumului de muncă între cele două instanțe; observă că singurele costuri suplimentare asociate punerii în aplicare a reformei judiciare au fost legate de tehnologia informației, pentru dezvoltarea ghișeului unic, în valoare de aproximativ 805 000 EUR, în timp ce, în ceea ce privește personalul, reforma a fost menținută neutră din punct de vedere bugetar prin redistribuirea posturilor și a sarcinilor în cadrul instituției;</w:t>
            </w:r>
          </w:p>
        </w:tc>
        <w:tc>
          <w:tcPr>
            <w:tcW w:w="4876" w:type="dxa"/>
            <w:tcBorders>
              <w:top w:val="nil"/>
              <w:left w:val="nil"/>
              <w:bottom w:val="nil"/>
              <w:right w:val="nil"/>
            </w:tcBorders>
          </w:tcPr>
          <w:p>
            <w:pPr>
              <w:pStyle w:val="Normal6a"/>
            </w:pPr>
            <w:r>
              <w:t>9.</w:t>
            </w:r>
            <w:r>
              <w:tab/>
            </w:r>
            <w:r>
              <w:t xml:space="preserve">observă cu satisfacție, din răspunsurile CJUE la chestionarul privind descărcarea de gestiune pentru exercițiul financiar 2024, eforturile depuse de CJUE pentru a finaliza reforma judiciară pentru transferul parțial al competenței de a pronunța hotărâri preliminare de la Curtea de Justiție la Tribunal și pentru a permite punerea în aplicare a noului cadru de reglementare începând cu 1 octombrie 2024; ia act, în acest context, de reorganizarea structurii Tribunalului, de modificarea Regulamentului de procedură al CJUE, de adoptarea unui nou set de norme practice ale Tribunalului pentru punerea în aplicare a Regulamentului de procedură, de adoptarea unei noi decizii privind depunerea și notificarea sau comunicarea actelor de procedură prin intermediul e-Curia, de dezvoltarea unui nou software („ghișeu unic”) pentru analizarea și prelucrarea rapidă a cauzelor și de armonizarea practicilor registrelor celor două instanțe în 2024; constată cu satisfacție că, în primele trei luni de la intrarea în vigoare a reformei, 20 de hotărâri preliminare au fost deja transferate Tribunalului, marcând astfel primele rezultate către o distribuție mai echilibrată a volumului de muncă între cele două instanțe; observă că singurele costuri suplimentare asociate punerii în aplicare a reformei judiciare au fost legate de tehnologia informației, pentru dezvoltarea ghișeului unic, în valoare de aproximativ 805 000 EUR, în timp ce, în ceea ce privește personalul, reforma a fost menținută neutră din punct de vedere bugetar prin redistribuirea posturilor și a sarcinilor în cadrul instituției; </w:t>
            </w:r>
            <w:r>
              <w:rPr>
                <w:b/>
                <w:i/>
              </w:rPr>
              <w:t>invită Curtea de Justiție să prezinte, pentru următoarea procedură de descărcare de gestiune, o evaluare ex post exhaustivă a reformei, inclusiv a impactului acesteia asupra duratei procedurilor și a distribuției volumului de muncă între cele două instanțe;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observă cu satisfacție, din răspunsurile CJUE la chestionarul privind descărcarea de gestiune pentru exercițiul financiar 2024, eforturile depuse de CJUE pentru a finaliza reforma judiciară pentru transferul parțial al competenței de a pronunța hotărâri preliminare de la Curtea de Justiție la Tribunal și pentru a permite punerea în aplicare a noului cadru de reglementare începând cu 1 octombrie 2024; ia act, în acest context, de reorganizarea structurii Tribunalului, de modificarea Regulamentului de procedură al CJUE, de adoptarea unui nou set de norme practice ale Tribunalului pentru punerea în aplicare a Regulamentului de procedură, de adoptarea unei noi decizii privind depunerea și notificarea sau comunicarea actelor de procedură prin intermediul e-Curia, de dezvoltarea unui nou software („ghișeu unic”) pentru analizarea și prelucrarea rapidă a cauzelor și de armonizarea practicilor registrelor celor două instanțe în 2024; constată cu satisfacție că, în primele trei luni de la intrarea în vigoare a reformei, 20 de hotărâri preliminare au fost deja transferate Tribunalului, marcând astfel primele rezultate către o distribuție mai echilibrată a volumului de muncă între cele două instanțe; observă că singurele costuri suplimentare asociate punerii în aplicare a reformei judiciare au fost legate de tehnologia informației, pentru dezvoltarea ghișeului unic, în valoare de aproximativ 805 000 EUR, în timp ce, în ceea ce privește personalul, reforma a fost menținută neutră din punct de vedere bugetar prin redistribuirea posturilor și a sarcinilor în cadrul instituției;</w:t>
            </w:r>
          </w:p>
        </w:tc>
        <w:tc>
          <w:tcPr>
            <w:tcW w:w="4876" w:type="dxa"/>
            <w:tcBorders>
              <w:top w:val="nil"/>
              <w:left w:val="nil"/>
              <w:bottom w:val="nil"/>
              <w:right w:val="nil"/>
            </w:tcBorders>
          </w:tcPr>
          <w:p>
            <w:pPr>
              <w:pStyle w:val="Normal6a"/>
            </w:pPr>
            <w:r>
              <w:t>9.</w:t>
            </w:r>
            <w:r>
              <w:tab/>
            </w:r>
            <w:r>
              <w:t xml:space="preserve">observă cu satisfacție, din răspunsurile CJUE la chestionarul privind descărcarea de gestiune pentru exercițiul financiar 2024, eforturile depuse de CJUE pentru a finaliza reforma judiciară pentru transferul parțial al competenței de a pronunța hotărâri preliminare de la Curtea de Justiție la Tribunal și pentru a permite punerea în aplicare a noului cadru de reglementare începând cu 1 octombrie 2024; ia act, în acest context, de reorganizarea structurii Tribunalului, de modificarea Regulamentului de procedură al CJUE, de adoptarea unui nou set de norme practice ale Tribunalului pentru punerea în aplicare a Regulamentului de procedură, de adoptarea unei noi decizii privind depunerea și notificarea sau comunicarea actelor de procedură prin intermediul e-Curia, de dezvoltarea unui nou software („ghișeu unic”) pentru analizarea și prelucrarea rapidă a cauzelor și de armonizarea practicilor registrelor celor două instanțe în 2024; constată cu satisfacție că, în primele trei luni de la intrarea în vigoare a reformei, 20 de hotărâri preliminare au fost deja transferate Tribunalului, marcând astfel primele rezultate către o distribuție mai echilibrată a volumului de muncă între cele două instanțe; observă că singurele costuri suplimentare asociate punerii în aplicare a reformei judiciare au fost legate de tehnologia informației, pentru dezvoltarea ghișeului unic, în valoare de aproximativ 805 000 EUR, în timp ce, în ceea ce privește personalul, reforma a fost menținută neutră din punct de vedere bugetar prin redistribuirea posturilor și a sarcinilor în cadrul instituției; </w:t>
            </w:r>
            <w:r>
              <w:rPr>
                <w:b/>
                <w:i/>
              </w:rPr>
              <w:t>invită CJUE ca în contextul viitoarelor proceduri de descărcare de gestiune să transmită informații despre impactul concret al reformei judiciare asupra eficienței, a duratei procedurilor și a distribuției volumului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observă cu satisfacție, din răspunsurile CJUE la chestionarul privind descărcarea de gestiune pentru exercițiul financiar 2024, eforturile depuse de CJUE pentru a finaliza reforma judiciară pentru transferul parțial al competenței de a pronunța hotărâri preliminare de la Curtea de Justiție la Tribunal și pentru a permite punerea în aplicare a noului cadru de reglementare începând cu 1 octombrie 2024; ia act, în acest context, de reorganizarea structurii Tribunalului, de modificarea Regulamentului de procedură al CJUE, de adoptarea unui nou set de norme practice ale Tribunalului pentru punerea în aplicare a Regulamentului de procedură, de adoptarea unei noi decizii privind depunerea și notificarea sau comunicarea actelor de procedură prin intermediul e-Curia, de dezvoltarea unui nou software („ghișeu unic”) pentru analizarea și prelucrarea rapidă a cauzelor și de armonizarea practicilor registrelor celor două instanțe în 2024; constată cu satisfacție că, în primele trei luni de la intrarea în vigoare a reformei, </w:t>
            </w:r>
            <w:r>
              <w:rPr>
                <w:b/>
                <w:i/>
              </w:rPr>
              <w:t>20 de</w:t>
            </w:r>
            <w:r>
              <w:t xml:space="preserve"> hotărâri preliminare au fost deja transferate Tribunalului, marcând astfel primele rezultate către o distribuție mai echilibrată a volumului de muncă între cele două instanțe; observă că singurele costuri suplimentare asociate punerii în aplicare a reformei judiciare au fost legate de tehnologia informației, pentru dezvoltarea ghișeului unic, în valoare de aproximativ 805 000 EUR, în timp ce, în ceea ce privește personalul, reforma a fost menținută neutră din punct de vedere bugetar prin redistribuirea posturilor și a sarcinilor în cadrul instituției;</w:t>
            </w:r>
          </w:p>
        </w:tc>
        <w:tc>
          <w:tcPr>
            <w:tcW w:w="4876" w:type="dxa"/>
            <w:tcBorders>
              <w:top w:val="nil"/>
              <w:left w:val="nil"/>
              <w:bottom w:val="nil"/>
              <w:right w:val="nil"/>
            </w:tcBorders>
          </w:tcPr>
          <w:p>
            <w:pPr>
              <w:pStyle w:val="Normal6a"/>
            </w:pPr>
            <w:r>
              <w:t>9.</w:t>
            </w:r>
            <w:r>
              <w:tab/>
            </w:r>
            <w:r>
              <w:t xml:space="preserve">observă cu satisfacție, din răspunsurile CJUE la chestionarul privind descărcarea de gestiune pentru exercițiul financiar 2024, eforturile depuse de CJUE pentru a finaliza reforma judiciară pentru transferul parțial al competenței de a pronunța hotărâri preliminare de la Curtea de Justiție la Tribunal și pentru a permite punerea în aplicare a noului cadru de reglementare începând cu 1 octombrie 2024; ia act, în acest context, de reorganizarea structurii Tribunalului, de modificarea Regulamentului de procedură al CJUE, de adoptarea unui nou set de norme practice ale Tribunalului pentru punerea în aplicare a Regulamentului de procedură, de adoptarea unei noi decizii privind depunerea și notificarea sau comunicarea actelor de procedură prin intermediul e-Curia, de dezvoltarea unui nou software („ghișeu unic”) pentru analizarea și prelucrarea rapidă a cauzelor și de armonizarea practicilor registrelor celor două instanțe în 2024; constată cu satisfacție că, în primele trei luni de la intrarea în vigoare a reformei, </w:t>
            </w:r>
            <w:r>
              <w:rPr>
                <w:b/>
                <w:i/>
              </w:rPr>
              <w:t>19</w:t>
            </w:r>
            <w:r>
              <w:t xml:space="preserve"> hotărâri preliminare au fost deja transferate Tribunalului, marcând astfel primele rezultate către o distribuție mai echilibrată a volumului de muncă între cele două instanțe; observă că singurele costuri suplimentare asociate punerii în aplicare a reformei judiciare au fost legate de tehnologia informației, pentru dezvoltarea ghișeului unic, în valoare de aproximativ 805 000 EUR, în timp ce, în ceea ce privește personalul, reforma a fost menținută neutră din punct de vedere bugetar prin redistribuirea posturilor și a sarcinilor în cadrul instituției;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constată că, în 2024, Curtea de Justiție s-a pronunțat în 12 cauze privind principiul supremației dreptului Uniunii, dintre care 10 cauze preliminare și două cauze de constatare a neîndeplinirii obligațiilor; reiterează că principiul supremației dreptului Uniunii, care asigură interpretarea și aplicarea uniformă a dreptului Uniunii în toate statele membre și garantează statul de drept ca valoare de bază a Uniunii, este fundamental; reafirmă cu fermitate că supremația dreptului Uniunii este piatra de temelie a ordinii juridice a Uniunii și subliniază rolul esențial al CJUE în apărarea statului de drept în întreaga Uniune;</w:t>
            </w:r>
          </w:p>
        </w:tc>
        <w:tc>
          <w:tcPr>
            <w:tcW w:w="4876" w:type="dxa"/>
            <w:tcBorders>
              <w:top w:val="nil"/>
              <w:left w:val="nil"/>
              <w:bottom w:val="nil"/>
              <w:right w:val="nil"/>
            </w:tcBorders>
          </w:tcPr>
          <w:p>
            <w:pPr>
              <w:pStyle w:val="Normal6a"/>
            </w:pPr>
            <w:r>
              <w:t>10.</w:t>
            </w:r>
            <w:r>
              <w:tab/>
            </w:r>
            <w:r>
              <w:t xml:space="preserve">constată că, în 2024, Curtea de Justiție s-a pronunțat în 12 cauze privind principiul supremației dreptului Uniunii, dintre care 10 cauze preliminare și două cauze de constatare a neîndeplinirii obligațiilor; reiterează că principiul supremației dreptului Uniunii, care asigură interpretarea și aplicarea uniformă a dreptului Uniunii în toate statele membre și garantează statul de drept ca valoare de bază a Uniunii, este fundamental; reafirmă cu fermitate că supremația dreptului Uniunii este piatra de temelie a ordinii juridice a Uniunii și subliniază rolul esențial al CJUE în apărarea statului de drept în întreaga Uniune; </w:t>
            </w:r>
            <w:r>
              <w:rPr>
                <w:b/>
                <w:i/>
              </w:rPr>
              <w:t>observă în această privință că articolul 4 alineatul (2) din Tratatul privind Uniunea Europeană prevede că „Uniunea respectă egalitatea statelor membre în raport cu tratatele, precum și identitatea lor națională, inerentă structurilor lor fundamentale politice și constituționale, inclusiv în ceea ce privește autonomia locală și regională.</w:t>
            </w:r>
            <w:r>
              <w:t xml:space="preserve"> </w:t>
            </w:r>
            <w:r>
              <w:rPr>
                <w:b/>
                <w:i/>
              </w:rPr>
              <w:t>Aceasta respectă funcțiile esențiale ale statului [...]”;</w:t>
            </w:r>
            <w:r>
              <w:t xml:space="preserve"> </w:t>
            </w:r>
            <w:r>
              <w:rPr>
                <w:b/>
                <w:i/>
              </w:rPr>
              <w:t>accentuează că supremația constituțiilor naționale rămâne principiul absolut care guvernează relația dintre constituțiile statelor membre și dreptul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constată că, în 2024, Curtea de Justiție s-a pronunțat în 12 cauze privind principiul supremației dreptului Uniunii, dintre care 10 cauze preliminare și două cauze de constatare a neîndeplinirii obligațiilor; reiterează că principiul supremației dreptului Uniunii, care asigură interpretarea și aplicarea uniformă a dreptului Uniunii în toate statele membre și garantează statul de drept ca valoare de bază a Uniunii, este fundamental; reafirmă cu fermitate că supremația dreptului Uniunii este piatra de temelie a ordinii juridice a Uniunii și subliniază rolul esențial al CJUE în apărarea statului de drept în întreaga Uniune;</w:t>
            </w:r>
          </w:p>
        </w:tc>
        <w:tc>
          <w:tcPr>
            <w:tcW w:w="4876" w:type="dxa"/>
            <w:tcBorders>
              <w:top w:val="nil"/>
              <w:left w:val="nil"/>
              <w:bottom w:val="nil"/>
              <w:right w:val="nil"/>
            </w:tcBorders>
          </w:tcPr>
          <w:p>
            <w:pPr>
              <w:pStyle w:val="Normal6a"/>
            </w:pPr>
            <w:r>
              <w:t>10.</w:t>
            </w:r>
            <w:r>
              <w:tab/>
            </w:r>
            <w:r>
              <w:t>constată că, în 2024, Curtea de Justiție s-a pronunțat în 12 cauze privind principiul supremației dreptului Uniunii, dintre care 10 cauze preliminare și două cauze de constatare a neîndeplinirii obligațiilor; reiterează că principiul supremației dreptului Uniunii, care asigură interpretarea și aplicarea uniformă a dreptului Uniunii în toate statele membre și garantează statul de drept ca valoare de bază a Uniunii, este fundamental; reafirmă cu fermitate că supremația dreptului Uniunii este piatra de temelie a ordinii juridice a Uniunii și subliniază rolul esențial al CJUE în apărarea statului de drept în întreaga Uniune</w:t>
            </w:r>
            <w:r>
              <w:rPr>
                <w:b/>
                <w:i/>
              </w:rPr>
              <w:t>, reamintind totodată că aplicarea principiului supremației trebuie să se întemeieze în continuare cu fermitate pe tratate și să se exercite cu respectarea cuvenită a identităților constituționale naționale, în conformitate cu articolul 4 alineatul (2) din TUE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este de acord cu CJUE că Comisia, în calitate de gardian al tratatelor, ar trebui să monitorizeze respectarea de către statele membre a hotărârilor CJUE, dar își reiterează apelul adresat Curții de a stabili un mecanism de identificare a celor mai bune și a celor mai slabe practici în rândul statelor membre;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este de acord cu CJUE că Comisia, în calitate de gardian al tratatelor, ar trebui să monitorizeze respectarea de către statele membre a hotărârilor CJUE</w:t>
            </w:r>
            <w:r>
              <w:rPr>
                <w:b/>
                <w:i/>
              </w:rPr>
              <w:t>, dar</w:t>
            </w:r>
            <w:r>
              <w:t xml:space="preserve"> își reiterează apelul adresat Curții de a stabili un mecanism de identificare a celor mai bune și a celor mai slabe practici în rândul statelor membre;</w:t>
            </w:r>
          </w:p>
        </w:tc>
        <w:tc>
          <w:tcPr>
            <w:tcW w:w="4876" w:type="dxa"/>
            <w:tcBorders>
              <w:top w:val="nil"/>
              <w:left w:val="nil"/>
              <w:bottom w:val="nil"/>
              <w:right w:val="nil"/>
            </w:tcBorders>
          </w:tcPr>
          <w:p>
            <w:pPr>
              <w:pStyle w:val="Normal6a"/>
            </w:pPr>
            <w:r>
              <w:t>12.</w:t>
            </w:r>
            <w:r>
              <w:tab/>
            </w:r>
            <w:r>
              <w:t>este de acord cu CJUE că Comisia, în calitate de gardian al tratatelor, ar trebui să monitorizeze respectarea de către statele membre a hotărârilor CJUE</w:t>
            </w:r>
            <w:r>
              <w:rPr>
                <w:b/>
                <w:i/>
              </w:rPr>
              <w:t>;</w:t>
            </w:r>
            <w:r>
              <w:t xml:space="preserve"> își reiterează apelul adresat Curții de a stabili un mecanism de identificare a celor mai bune și a celor mai slabe practici în rândul statelor membre</w:t>
            </w:r>
            <w:r>
              <w:rPr>
                <w:b/>
                <w:i/>
              </w:rPr>
              <w:t>, fără a depăși cu nimic limitele rolului său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observă că durata medie a procedurilor pentru cauzele închise de Curtea de Justiție a fost de 17,7 luni în 2024, comparativ cu 16,1 luni în 2023, în timp ce creșterea respectivă cu aproximativ șase săptămâni s-a datorat complexității și volumului anumitor dosare (cum ar fi acțiunile introduse în 2020 împotriva așa-numitului „pachet privind mobilitatea” al Uniunii și închise în 2024); constată că durata medie a cauzelor închise prin hotărâre sau ordin al Tribunalului a crescut de la 18,2 luni în 2023 la 18,5 luni în 2024;</w:t>
            </w:r>
          </w:p>
        </w:tc>
        <w:tc>
          <w:tcPr>
            <w:tcW w:w="4876" w:type="dxa"/>
            <w:tcBorders>
              <w:top w:val="nil"/>
              <w:left w:val="nil"/>
              <w:bottom w:val="nil"/>
              <w:right w:val="nil"/>
            </w:tcBorders>
          </w:tcPr>
          <w:p>
            <w:pPr>
              <w:pStyle w:val="Normal6a"/>
            </w:pPr>
            <w:r>
              <w:t>14.</w:t>
            </w:r>
            <w:r>
              <w:tab/>
            </w:r>
            <w:r>
              <w:t xml:space="preserve">observă că durata medie a procedurilor pentru cauzele închise de Curtea de Justiție a fost de 17,7 luni în 2024, comparativ cu 16,1 luni în 2023, în timp ce creșterea respectivă cu aproximativ șase săptămâni s-a datorat complexității și volumului anumitor dosare (cum ar fi acțiunile introduse în 2020 împotriva așa-numitului „pachet privind mobilitatea” al Uniunii și închise în 2024); constată că durata medie a cauzelor închise prin hotărâre sau ordin al Tribunalului a crescut de la 18,2 luni în 2023 la 18,5 luni în 2024; </w:t>
            </w:r>
            <w:r>
              <w:rPr>
                <w:b/>
                <w:i/>
              </w:rPr>
              <w:t>subliniază că rapiditatea procedurilor judiciare trebuie să rămână un obiectiv principal de performanță, deoarece durata excesivă influențează direct securitatea juridică pentru cetățeni, instanțele naționale și operatorii economici;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salută abordarea bazată pe performanță elaborată de CJUE, care-i permite CJUE să ia decizii în funcție de nivelul de realizare a obiectivelor sale, măsurat printr-un set de indicatori operaționali și privind volumul de muncă (de exemplu, eficiența din punctul de vedere al costurilor, ratele de finalizare a proiectelor, satisfacția utilizatorilor și optimizarea resurselor) adaptați fiecărui departament;</w:t>
            </w:r>
            <w:r>
              <w:t xml:space="preserve"> </w:t>
            </w:r>
            <w:r>
              <w:rPr>
                <w:b/>
                <w:i/>
              </w:rPr>
              <w:t>constată că indicatorii-cheie de performanță utilizați de CJUE acoperă o gamă largă de domenii specifice în sprijinul celor cinci obiective de gestionare legate de buna funcționare a celor două instanțe, digitalizare și tehnologiile emergente, deschidere și transparență, multilingvism și gestionarea resurselor umane;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salută abordarea bazată pe performanță elaborată de CJUE, care-i permite CJUE să ia decizii în funcție de nivelul de realizare a obiectivelor sale, măsurat printr-un set de indicatori operaționali și privind volumul de muncă (de exemplu, eficiența din punctul de vedere al costurilor, ratele de finalizare a proiectelor, satisfacția utilizatorilor și optimizarea resurselor) adaptați fiecărui departament; constată că indicatorii-cheie de performanță utilizați de CJUE acoperă o gamă largă de domenii specifice în sprijinul celor cinci obiective de gestionare legate de buna funcționare a celor două instanțe, digitalizare și tehnologiile emergente, deschidere și transparență, multilingvism și gestionarea resurselor umane;</w:t>
            </w:r>
          </w:p>
        </w:tc>
        <w:tc>
          <w:tcPr>
            <w:tcW w:w="4876" w:type="dxa"/>
            <w:tcBorders>
              <w:top w:val="nil"/>
              <w:left w:val="nil"/>
              <w:bottom w:val="nil"/>
              <w:right w:val="nil"/>
            </w:tcBorders>
          </w:tcPr>
          <w:p>
            <w:pPr>
              <w:pStyle w:val="Normal6a"/>
            </w:pPr>
            <w:r>
              <w:t>16.</w:t>
            </w:r>
            <w:r>
              <w:tab/>
            </w:r>
            <w:r>
              <w:t xml:space="preserve">salută abordarea bazată pe performanță elaborată de CJUE, care-i permite CJUE să ia decizii în funcție de nivelul de realizare a obiectivelor sale, măsurat printr-un set de indicatori operaționali și privind volumul de muncă (de exemplu, eficiența din punctul de vedere al costurilor, ratele de finalizare a proiectelor, satisfacția utilizatorilor și optimizarea resurselor) adaptați fiecărui departament; constată că indicatorii-cheie de performanță utilizați de CJUE acoperă o gamă largă de domenii specifice în sprijinul celor cinci obiective de gestionare legate de buna funcționare a celor două instanțe, digitalizare și tehnologiile emergente, deschidere și transparență, multilingvism și gestionarea resurselor umane; </w:t>
            </w:r>
            <w:r>
              <w:rPr>
                <w:b/>
                <w:i/>
              </w:rPr>
              <w:t>evidențiază că CJUE trebuie să se asigure că acești indicatori sunt transparenți, orientați spre rezultate și revizuiți periodic, pentru a sprijini gestionarea eficace și asumarea răspunderii;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salută abordarea sa revizuită în 2024 în ceea ce privește randamentul investițiilor în inițiativele de inovare, luând în considerare evaluarea costurilor prin parametri precum eforturile de punere în aplicare și de personal, întreținerea anuală, costurile contractanților și alte tipuri de costuri, precum și evaluarea beneficiilor prin parametri precum câștigurile preconizate, avantajele strategice și numărul de utilizatori afectați;</w:t>
            </w:r>
          </w:p>
        </w:tc>
        <w:tc>
          <w:tcPr>
            <w:tcW w:w="4876" w:type="dxa"/>
            <w:tcBorders>
              <w:top w:val="nil"/>
              <w:left w:val="nil"/>
              <w:bottom w:val="nil"/>
              <w:right w:val="nil"/>
            </w:tcBorders>
          </w:tcPr>
          <w:p>
            <w:pPr>
              <w:pStyle w:val="Normal6a"/>
            </w:pPr>
            <w:r>
              <w:t>17.</w:t>
            </w:r>
            <w:r>
              <w:tab/>
            </w:r>
            <w:r>
              <w:t xml:space="preserve">salută abordarea sa revizuită în 2024 în ceea ce privește randamentul investițiilor în inițiativele de inovare, luând în considerare evaluarea costurilor prin parametri precum eforturile de punere în aplicare și de personal, întreținerea anuală, costurile contractanților și alte tipuri de costuri, precum și evaluarea beneficiilor prin parametri precum câștigurile preconizate, avantajele strategice și numărul de utilizatori afectați; </w:t>
            </w:r>
            <w:r>
              <w:rPr>
                <w:b/>
                <w:i/>
              </w:rPr>
              <w:t>constată că în 2024 CJUE și-a mai revizuit amănunțit sistemul, astfel încât să urmărească gestionarea proiectelor și monitorizarea lor financiară, pentru a se asigura că până în 2025 se transmit rapoarte exhaustive despre serviciile sale de consultanță în domeniul digitalizării bazate pe timp și că acestea se află integral sub controlul său;</w:t>
            </w:r>
            <w:r>
              <w:t xml:space="preserve"> </w:t>
            </w:r>
            <w:r>
              <w:rPr>
                <w:b/>
                <w:i/>
              </w:rPr>
              <w:t>invită CJUE să țină la curent cu această chestiune autoritatea responsabilă cu aprobarea descărcării de gestiune;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observă că Curtea de Justiție este compusă din 27 de judecători și 11 avocați generali și că Tribunalul este format din 54 de judecători; constată, de asemenea, că nouă noi judecători la Curtea de Justiție și doi noi judecători la Tribunal și-au început mandatul ca urmare a înlocuirii parțiale în 2024; regretă că componența de gen a Curții de Justiție și a Tribunalului continuă să fie foarte dezechilibrată; își exprimă aprecierea față de scrisoarea președintelui Tribunalului adresată președintelui Conferinței reprezentanților guvernelor statelor membre în 2024, prin care se solicită statelor membre să țină seama de necesitatea echilibrului de gen atunci când numesc candidați pentru înlocuirea judecătorilor și a avocaților generali; invită din nou statele membre să țină seama de necesitatea echilibrului de gen atunci când numesc candidați pentru înlocuirea judecătorilor;</w:t>
            </w:r>
          </w:p>
        </w:tc>
        <w:tc>
          <w:tcPr>
            <w:tcW w:w="4876" w:type="dxa"/>
            <w:tcBorders>
              <w:top w:val="nil"/>
              <w:left w:val="nil"/>
              <w:bottom w:val="nil"/>
              <w:right w:val="nil"/>
            </w:tcBorders>
          </w:tcPr>
          <w:p>
            <w:pPr>
              <w:pStyle w:val="Normal6a"/>
            </w:pPr>
            <w:r>
              <w:t>20.</w:t>
            </w:r>
            <w:r>
              <w:tab/>
            </w:r>
            <w:r>
              <w:t>observă că Curtea de Justiție este compusă din 27 de judecători și 11 avocați generali și că Tribunalul este format din 54 de judecători; constată, de asemenea, că nouă noi judecători la Curtea de Justiție și doi noi judecători la Tribunal și-au început mandatul ca urmare a înlocuirii parțiale în 2024; regretă că componența de gen a Curții de Justiție și a Tribunalului continuă să fie foarte dezechilibrată; își exprimă aprecierea față de scrisoarea președintelui Tribunalului adresată președintelui Conferinței reprezentanților guvernelor statelor membre în 2024, prin care se solicită statelor membre să țină seama de necesitatea echilibrului de gen atunci când numesc candidați pentru înlocuirea judecătorilor și a avocaților generali; invită din nou statele membre să țină seama de necesitatea echilibrului de gen atunci când numesc candidați pentru înlocuirea judecătorilor</w:t>
            </w:r>
            <w:r>
              <w:rPr>
                <w:b/>
                <w:i/>
              </w:rPr>
              <w:t>, asigurându-se totodată că numirile continuă să se bazeze pe criteriile meritelor, calificărilor și independenței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observă că, în 2024, personalul CJUE a fost compus din 60,70 % femei și 39,30 % bărbați; constată că reprezentarea femeilor a fost cea mai ridicată în gradele de asistenți (69,14 %) și, în mod regretabil, a fost cea mai scăzută în posturile de conducere de nivel superior (35,71 %); constată, de asemenea, o creștere a distribuției femeilor în posturi de conducere de nivel mediu, de la 43,33 % în 2023 la 51,61 % în 2024; observă cu satisfacție, pe baza raportului de gestiune al ordonatorului de credite delegat pentru 2024, o tendință ascendentă a reprezentării femeilor în posturile de conducere în ansamblu, de la 37,50 % în 2018 la 48,70 % în 2024;</w:t>
            </w:r>
          </w:p>
        </w:tc>
        <w:tc>
          <w:tcPr>
            <w:tcW w:w="4876" w:type="dxa"/>
            <w:tcBorders>
              <w:top w:val="nil"/>
              <w:left w:val="nil"/>
              <w:bottom w:val="nil"/>
              <w:right w:val="nil"/>
            </w:tcBorders>
          </w:tcPr>
          <w:p>
            <w:pPr>
              <w:pStyle w:val="Normal6a"/>
            </w:pPr>
            <w:r>
              <w:t>21.</w:t>
            </w:r>
            <w:r>
              <w:tab/>
            </w:r>
            <w:r>
              <w:t xml:space="preserve">observă că, în 2024, personalul CJUE a fost compus din 60,70 % femei și 39,30 % bărbați; constată că reprezentarea femeilor a fost cea mai ridicată în gradele de asistenți (69,14 %) și, în mod regretabil, a fost cea mai scăzută în posturile de conducere de nivel superior (35,71 %); constată, de asemenea, o creștere a distribuției femeilor în posturi de conducere de nivel mediu, de la 43,33 % în 2023 la 51,61 % în 2024; observă cu satisfacție, pe baza raportului de gestiune al ordonatorului de credite delegat pentru 2024, o tendință ascendentă a reprezentării femeilor în posturile de conducere în ansamblu, de la 37,50 % în 2018 la 48,70 % în 2024; </w:t>
            </w:r>
            <w:r>
              <w:rPr>
                <w:b/>
                <w:i/>
              </w:rPr>
              <w:t>accentuează că subreprezentarea persistentă a femeilor în posturile de conducere de nivel superior rămâne un motiv de îngrijorare și încurajează Curtea să continue să adopte mai multe măsuri focalizate menite să susțină evoluția carierelor femeilor și traiectoriile acestora către ocuparea unor posturi de conducere, cu respectarea deplină a principiilor meritelor și transparenței;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consideră binevenită conceperea unui plan de acțiune privind Convenția de la Istanbul, care aliniază acțiuni, formulează recomandări și organizează acțiuni de informare și formare pentru întregul personal, pentru a preveni cazurile de hărțuire;</w:t>
            </w:r>
            <w:r>
              <w:t xml:space="preserve"> </w:t>
            </w:r>
            <w:r>
              <w:rPr>
                <w:b/>
                <w:i/>
              </w:rPr>
              <w:t>ia act de acțiunile suplimentare anunțate, printre care și continuarea colaborării cu organizațiile naționale care se ocupă de prevenirea violenței împotriva femeilor, inițiative suplimentare de informare a populației și sesiuni de formare care pun în evidență mai cu seamă impactul microagresiunilor și al prejudecăților de gen;</w:t>
            </w:r>
            <w:r>
              <w:t xml:space="preserve"> </w:t>
            </w:r>
            <w:r>
              <w:rPr>
                <w:b/>
                <w:i/>
              </w:rPr>
              <w:t>regretă, în acest sens, că nu există cursuri de formare obligatorii pentru membri, așa cum se menționează în răspunsurile CJUE la chestionarul privind descărcarea de gestiune pentru exercițiul financiar 2024;</w:t>
            </w:r>
            <w:r>
              <w:t xml:space="preserve"> </w:t>
            </w:r>
            <w:r>
              <w:rPr>
                <w:b/>
                <w:i/>
              </w:rPr>
              <w:t>cere deci insistent ca toată lumea, atât personalul, cât și membrii să participe la sesiuni de formare obligatorii de prevenire a violenței asupra femeilor;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ia act </w:t>
            </w:r>
            <w:r>
              <w:rPr>
                <w:b/>
                <w:i/>
              </w:rPr>
              <w:t>cu satisfacție de varietatea eforturilor și a acțiunilor desfășurate de CJUE în rândul personalului său, inclusiv în etapa de recrutare, în favoarea egalității, a incluziunii, a respectului reciproc și a diversității;</w:t>
            </w:r>
            <w:r>
              <w:t xml:space="preserve"> </w:t>
            </w:r>
            <w:r>
              <w:rPr>
                <w:b/>
                <w:i/>
              </w:rPr>
              <w:t>constată, în special, lansarea,</w:t>
            </w:r>
            <w:r>
              <w:t xml:space="preserve"> în 2024</w:t>
            </w:r>
            <w:r>
              <w:rPr>
                <w:b/>
                <w:i/>
              </w:rPr>
              <w:t>, a unei noi formări privind diversitatea și incluziunea, cu accent pe prevenirea microagresiunilor și, începând din 2025, a două noi</w:t>
            </w:r>
            <w:r>
              <w:t xml:space="preserve"> cursuri de formare </w:t>
            </w:r>
            <w:r>
              <w:rPr>
                <w:b/>
                <w:i/>
              </w:rPr>
              <w:t>privind stabilirea unor limite sănătoase pentru îmbunătățirea performanței și privind un mediu fără hărțuire, organizate în urma recomandărilor grupului de lucru interdepartamental al CJUE privind Convenția de la Istanbul;</w:t>
            </w:r>
            <w:r>
              <w:t xml:space="preserve"> </w:t>
            </w:r>
            <w:r>
              <w:rPr>
                <w:b/>
                <w:i/>
              </w:rPr>
              <w:t>ia act cu satisfacție de măsurile de sprijin personalizate ale CJUE (privind sarcinile, programul de lucru și spațiile de lucru), începând din 2022,</w:t>
            </w:r>
            <w:r>
              <w:t xml:space="preserve"> pentru personalul </w:t>
            </w:r>
            <w:r>
              <w:rPr>
                <w:b/>
                <w:i/>
              </w:rPr>
              <w:t>cu dizabilități, de participarea instituției la săptămâna de sensibilizare cu privire la dizabilități organizată în 2024 și de dezvoltarea, începând din 2025, a unui program-pilot pentru stagiarii cu dizabilități</w:t>
            </w:r>
            <w:r>
              <w:t xml:space="preserve">; </w:t>
            </w:r>
            <w:r>
              <w:rPr>
                <w:b/>
                <w:i/>
              </w:rPr>
              <w:t>invită CJUE să informeze autoritatea care acordă descărcarea de gestiune despre rezultatul acestui ultim program;</w:t>
            </w:r>
          </w:p>
        </w:tc>
        <w:tc>
          <w:tcPr>
            <w:tcW w:w="4876" w:type="dxa"/>
            <w:tcBorders>
              <w:top w:val="nil"/>
              <w:left w:val="nil"/>
              <w:bottom w:val="nil"/>
              <w:right w:val="nil"/>
            </w:tcBorders>
          </w:tcPr>
          <w:p>
            <w:pPr>
              <w:pStyle w:val="Normal6a"/>
            </w:pPr>
            <w:r>
              <w:t>22.</w:t>
            </w:r>
            <w:r>
              <w:tab/>
            </w:r>
            <w:r>
              <w:t xml:space="preserve">ia act </w:t>
            </w:r>
            <w:r>
              <w:rPr>
                <w:b/>
                <w:i/>
              </w:rPr>
              <w:t>de faptul că</w:t>
            </w:r>
            <w:r>
              <w:t xml:space="preserve"> în 2024 </w:t>
            </w:r>
            <w:r>
              <w:rPr>
                <w:b/>
                <w:i/>
              </w:rPr>
              <w:t>CJUE a aplicat măsuri și a organizat</w:t>
            </w:r>
            <w:r>
              <w:t xml:space="preserve"> cursuri de formare pentru personalul </w:t>
            </w:r>
            <w:r>
              <w:rPr>
                <w:b/>
                <w:i/>
              </w:rPr>
              <w:t>său;</w:t>
            </w:r>
            <w:r>
              <w:t xml:space="preserve"> </w:t>
            </w:r>
            <w:r>
              <w:rPr>
                <w:b/>
                <w:i/>
              </w:rPr>
              <w:t>ia act, de asemenea, de faptul că aceste măsuri servesc perfecționării interne a personalului</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apreciază că toate naționalitățile Uniunii sunt reprezentate în cadrul personalului CJUE;</w:t>
            </w:r>
            <w:r>
              <w:t xml:space="preserve"> </w:t>
            </w:r>
            <w:r>
              <w:rPr>
                <w:b/>
                <w:i/>
              </w:rPr>
              <w:t>constată, cu toate acestea, că anumite naționalități sunt mai bine reprezentate decât altele, în timp ce unele dintre ele sunt în mare măsură suprareprezentate;</w:t>
            </w:r>
            <w:r>
              <w:t xml:space="preserve"> </w:t>
            </w:r>
            <w:r>
              <w:rPr>
                <w:b/>
                <w:i/>
              </w:rPr>
              <w:t>sprijină CJUE în intensificarea eforturilor sale de a face publice anunțurile de posturi vacante pe o scară cât mai largă prin intermediul site-urilor interinstituționale, al rețelelor de socializare și al EPSO;</w:t>
            </w:r>
            <w:r>
              <w:t xml:space="preserve"> ia act</w:t>
            </w:r>
            <w:r>
              <w:rPr>
                <w:b/>
                <w:i/>
              </w:rPr>
              <w:t>, din raportul de monitorizare, de angajamentul CJUE de a analiza datele relevante pentru punerea în aplicare a unor acțiuni specifice menite să îmbunătățească reprezentarea geografică în rândul personalului său, inclusiv în rândul stagiarilor;</w:t>
            </w:r>
            <w:r>
              <w:t xml:space="preserve"> </w:t>
            </w:r>
            <w:r>
              <w:rPr>
                <w:b/>
                <w:i/>
              </w:rPr>
              <w:t>salută eforturile CJUE de a sensibiliza administrațiile naționale și reprezentanțele permanente ale statelor membre subreprezentate cu privire la programele de stagii;</w:t>
            </w:r>
            <w:r>
              <w:t xml:space="preserve"> </w:t>
            </w:r>
            <w:r>
              <w:rPr>
                <w:b/>
                <w:i/>
              </w:rPr>
              <w:t>ia act cu satisfacție</w:t>
            </w:r>
            <w:r>
              <w:t xml:space="preserve"> de faptul că</w:t>
            </w:r>
            <w:r>
              <w:rPr>
                <w:b/>
                <w:i/>
              </w:rPr>
              <w:t>, pentru stagiile din cadrul Rețelei Europene de Formare Judiciară (EJTN), CJUE a primit în 2024 candidaturi din partea a trei noi state</w:t>
            </w:r>
            <w:r>
              <w:t xml:space="preserve"> membre </w:t>
            </w:r>
            <w:r>
              <w:rPr>
                <w:b/>
                <w:i/>
              </w:rPr>
              <w:t>care participă pentru prima dată la programul său de formare pe termen lung pentru profesioniștii din domeniul justiției de la nivel național</w:t>
            </w:r>
            <w:r>
              <w:t>;</w:t>
            </w:r>
          </w:p>
        </w:tc>
        <w:tc>
          <w:tcPr>
            <w:tcW w:w="4876" w:type="dxa"/>
            <w:tcBorders>
              <w:top w:val="nil"/>
              <w:left w:val="nil"/>
              <w:bottom w:val="nil"/>
              <w:right w:val="nil"/>
            </w:tcBorders>
          </w:tcPr>
          <w:p>
            <w:pPr>
              <w:pStyle w:val="Normal6a"/>
            </w:pPr>
            <w:r>
              <w:t>23.</w:t>
            </w:r>
            <w:r>
              <w:tab/>
            </w:r>
            <w:r>
              <w:t xml:space="preserve">ia act de faptul că </w:t>
            </w:r>
            <w:r>
              <w:rPr>
                <w:b/>
                <w:i/>
              </w:rPr>
              <w:t>cetățeni din toate statele</w:t>
            </w:r>
            <w:r>
              <w:t xml:space="preserve"> membre </w:t>
            </w:r>
            <w:r>
              <w:rPr>
                <w:b/>
                <w:i/>
              </w:rPr>
              <w:t>fac parte din personalul CJUE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felicită CJUE pentru acțiunile sale de abordare a provocărilor legate de recrutarea personalului și de promovare a Luxemburgului în rândul tinerilor absolvenți ca loc de muncă; ia act cu satisfacție de contribuția CJUE la instituirea și punerea în aplicare a unei alocații pentru locuință plătite cu efect retroactiv de la 1 ianuarie 2025 personalului cu grade inferioare, la pregătirea concursurilor EPSO care vizează în mod specific personalul care urmează să fie angajat la Luxemburg, precum și la sesiunile de informare și școlile de vară; constată, pe baza raportului de monitorizare, că CJUE a testat, în numele Grupului interinstituțional la nivel înalt, un proiect/sondaj pentru a stabili dacă ar fi fezabil să se contracteze servicii de închiriere pentru locuințe temporare (și anume, pe o perioadă maximă de un an), la prețul pieței (sau mai mic), care ar fi plătit direct de membrii personalului; constată, de asemenea, că sondajul a avut succes și, prin urmare, grupul de lucru a prezentat instituțiilor participante un acord privind nivelul serviciilor pentru a mandata CJUE să desfășoare o procedură de negociere imobiliară cu entitățile care au prezentat proiecte adecvate; invită CJUE să informeze autoritatea care acordă descărcarea de gestiune despre acțiunile ulterioare în această privință;</w:t>
            </w:r>
          </w:p>
        </w:tc>
        <w:tc>
          <w:tcPr>
            <w:tcW w:w="4876" w:type="dxa"/>
            <w:tcBorders>
              <w:top w:val="nil"/>
              <w:left w:val="nil"/>
              <w:bottom w:val="nil"/>
              <w:right w:val="nil"/>
            </w:tcBorders>
          </w:tcPr>
          <w:p>
            <w:pPr>
              <w:pStyle w:val="Normal6a"/>
            </w:pPr>
            <w:r>
              <w:t>25.</w:t>
            </w:r>
            <w:r>
              <w:tab/>
            </w:r>
            <w:r>
              <w:t>felicită CJUE pentru acțiunile sale de abordare a provocărilor legate de recrutarea personalului și de promovare a Luxemburgului în rândul tinerilor absolvenți ca loc de muncă; ia act cu satisfacție de contribuția CJUE la instituirea și punerea în aplicare a unei alocații pentru locuință plătite cu efect retroactiv de la 1 ianuarie 2025 personalului cu grade inferioare, la pregătirea concursurilor EPSO care vizează în mod specific personalul care urmează să fie angajat la Luxemburg, precum și la sesiunile de informare și școlile de vară</w:t>
            </w:r>
            <w:r>
              <w:rPr>
                <w:b/>
                <w:i/>
              </w:rPr>
              <w:t>;</w:t>
            </w:r>
            <w:r>
              <w:t xml:space="preserve"> </w:t>
            </w:r>
            <w:r>
              <w:rPr>
                <w:b/>
                <w:i/>
              </w:rPr>
              <w:t>încurajează intensificarea cooperării cu EPSO și cu alte instituții pentru a lărgi rezerva de candidați calificați și a îmbunătăți procesele de selecție competitive în domenii specializate</w:t>
            </w:r>
            <w:r>
              <w:t>; constată, pe baza raportului de monitorizare, că CJUE a testat, în numele Grupului interinstituțional la nivel înalt, un proiect/sondaj pentru a stabili dacă ar fi fezabil să se contracteze servicii de închiriere pentru locuințe temporare (și anume, pe o perioadă maximă de un an), la prețul pieței (sau mai mic), care ar fi plătit direct de membrii personalului; constată, de asemenea, că sondajul a avut succes și, prin urmare, grupul de lucru a prezentat instituțiilor participante un acord privind nivelul serviciilor pentru a mandata CJUE să desfășoare o procedură de negociere imobiliară cu entitățile care au prezentat proiecte adecvate; invită CJUE să informeze autoritatea care acordă descărcarea de gestiune despre acțiunile ulterioare în această privință;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observă că, în 2024, au fost documentate </w:t>
            </w:r>
            <w:r>
              <w:rPr>
                <w:b/>
                <w:i/>
              </w:rPr>
              <w:t>19</w:t>
            </w:r>
            <w:r>
              <w:t xml:space="preserve"> cazuri de epuizare profesională, dintre care opt cazuri noi au fost raportate în 2024 și nouă cazuri în 2023, în timp ce personalul în cauză a primit sprijin și orientare profesională; constată cu satisfacție că, în 2024, CJUE a rămas lider în ceea ce privește inițiativele care promovează starea de bine fizică și mentală a personalului și abordează epuizarea și riscurile psihosociale, cum ar fi consultările cu un asistent social sau cu un psiholog, conferințele privind conștientizarea stării interioare și echilibrul digital, atelierele specializate și activitățile de sensibilizare cu privire la aspectele legate de sănătate, sesiunile de formare pentru acordarea primului ajutor și recrutarea a doi psihologi cu fracțiune de normă; recunoaște succesul înregistrat în utilizarea formulelor flexibile de lucru, inclusiv a sistemului de telemuncă al CJUE, urmărind, în cele din urmă, un echilibru mai bun între viața profesională și cea privată a personalului;</w:t>
            </w:r>
          </w:p>
        </w:tc>
        <w:tc>
          <w:tcPr>
            <w:tcW w:w="4876" w:type="dxa"/>
            <w:tcBorders>
              <w:top w:val="nil"/>
              <w:left w:val="nil"/>
              <w:bottom w:val="nil"/>
              <w:right w:val="nil"/>
            </w:tcBorders>
          </w:tcPr>
          <w:p>
            <w:pPr>
              <w:pStyle w:val="Normal6a"/>
            </w:pPr>
            <w:r>
              <w:t>27.</w:t>
            </w:r>
            <w:r>
              <w:tab/>
            </w:r>
            <w:r>
              <w:t xml:space="preserve">observă că, în 2024, au fost documentate </w:t>
            </w:r>
            <w:r>
              <w:rPr>
                <w:b/>
                <w:i/>
              </w:rPr>
              <w:t>17</w:t>
            </w:r>
            <w:r>
              <w:t xml:space="preserve"> cazuri de epuizare profesională, dintre care opt cazuri noi au fost raportate în 2024 și nouă cazuri în 2023, în timp ce personalul în cauză a primit sprijin și orientare profesională; constată cu satisfacție că, în 2024, CJUE a rămas lider în ceea ce privește inițiativele care promovează starea de bine fizică și mentală a personalului și abordează epuizarea și riscurile psihosociale, cum ar fi consultările cu un asistent social sau cu un psiholog, conferințele privind conștientizarea stării interioare și echilibrul digital, atelierele specializate și activitățile de sensibilizare cu privire la aspectele legate de sănătate, sesiunile de formare pentru acordarea primului ajutor și recrutarea a doi psihologi cu fracțiune de normă; recunoaște succesul înregistrat în utilizarea formulelor flexibile de lucru, inclusiv a sistemului de telemuncă al CJUE, urmărind, în cele din urmă, un echilibru mai bun între viața profesională și cea privată a personalului;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constată că, astfel cum s-a solicitat în recomandările anterioare privind descărcarea de gestiune, noul cod de conduită pentru funcționari și alți agenți ai CJUE, care reflectă valorile și angajamentul acesteia din urmă față de standarde etice înalte, a fost adoptat în martie 2024; observă că codul de conduită include dispoziții privind conflictele de interese, obligația de loialitate, obligația de confidențialitate și discreție, activitățile externe, activitățile profesionale desfășurate după încetarea raporturilor de muncă și publicațiile, dispozițiile împotriva hărțuirii și se aplică, de asemenea, experților naționali detașați și judecătorilor stagiari găzduiți în cadrul Rețelei Europene de Formare Judiciară; constată cu satisfacție că formarea privind codul de conduită și drepturile și obligațiile personalului sunt obligatorii pentru nou-veniți și recomandate cu fermitate întregului personal al CJUE, și că un total de 747 de persoane (și anume 32,80 % din numărul total de funcționari și agenți ai CJUE) au participat la astfel de cursuri de formare în 2024; constată, de asemenea, că o formare similară a fost oferită și noilor membri ai CJUE în 2024; ia act cu satisfacție de rețeaua CJUE de „consilieri confidențiali” care asistă membrii personalului în caz de hărțuire, precum și de programul de gestionare a talentelor oferit administratorilor cu potențial ridicat, care acoperă, printre altele, conducerea etică;</w:t>
            </w:r>
          </w:p>
        </w:tc>
        <w:tc>
          <w:tcPr>
            <w:tcW w:w="4876" w:type="dxa"/>
            <w:tcBorders>
              <w:top w:val="nil"/>
              <w:left w:val="nil"/>
              <w:bottom w:val="nil"/>
              <w:right w:val="nil"/>
            </w:tcBorders>
          </w:tcPr>
          <w:p>
            <w:pPr>
              <w:pStyle w:val="Normal6a"/>
            </w:pPr>
            <w:r>
              <w:t>29.</w:t>
            </w:r>
            <w:r>
              <w:tab/>
            </w:r>
            <w:r>
              <w:t xml:space="preserve">constată că, astfel cum s-a solicitat în recomandările anterioare privind descărcarea de gestiune, noul cod de conduită pentru funcționari și alți agenți ai CJUE, care reflectă valorile și angajamentul acesteia din urmă față de standarde etice înalte, a fost adoptat în martie 2024; observă că codul de conduită include dispoziții privind conflictele de interese, obligația de loialitate, obligația de confidențialitate și discreție, activitățile externe, activitățile profesionale desfășurate după încetarea raporturilor de muncă și publicațiile, dispozițiile împotriva hărțuirii și se aplică, de asemenea, experților naționali detașați și judecătorilor stagiari găzduiți în cadrul Rețelei Europene de Formare Judiciară; </w:t>
            </w:r>
            <w:r>
              <w:rPr>
                <w:b/>
                <w:i/>
              </w:rPr>
              <w:t>ia cunoștință de faptul că CJUE a realizat toate acțiunile de informare și formare necesare pentru a prezenta și a explica codul de conduită unui public cât mai larg cu putință și pentru ca personalul să înțeleagă pe deplin noile norme și cadrul juridic mai larg de care țin acestea;</w:t>
            </w:r>
            <w:r>
              <w:t xml:space="preserve"> constată cu satisfacție că formarea privind codul de conduită și drepturile și obligațiile personalului sunt obligatorii pentru nou-veniți și recomandate cu fermitate întregului personal al CJUE, și că un total de 747 de persoane (și anume 32,80 % din numărul total de funcționari și agenți ai CJUE) au participat la astfel de cursuri de formare în 2024; constată, de asemenea, că o formare similară a fost oferită și noilor membri ai CJUE în 2024; ia act cu satisfacție de rețeaua CJUE de „consilieri confidențiali” care asistă membrii personalului în caz de hărțuire, precum și de programul de gestionare a talentelor oferit administratorilor cu potențial ridicat, care acoperă, printre altele, conducerea etică;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constată că, astfel cum s-a solicitat în recomandările anterioare privind descărcarea de gestiune, noul cod de conduită pentru funcționari și alți agenți ai CJUE, care reflectă valorile și angajamentul acesteia din urmă față de standarde etice înalte, a fost adoptat în martie 2024; observă că codul de conduită include dispoziții privind conflictele de interese, obligația de loialitate, obligația de confidențialitate și discreție, activitățile externe, activitățile profesionale desfășurate după încetarea raporturilor de muncă și publicațiile, dispozițiile împotriva hărțuirii și se aplică, de asemenea, experților naționali detașați și judecătorilor stagiari găzduiți în cadrul Rețelei Europene de Formare Judiciară; constată cu satisfacție că formarea privind codul de conduită și drepturile și obligațiile personalului sunt obligatorii pentru nou-veniți și recomandate cu fermitate întregului personal al CJUE, și că un total de 747 de persoane (și anume 32,80 % din numărul total de funcționari și agenți ai CJUE) au participat la astfel de cursuri de formare în 2024; constată, de asemenea, că o formare similară a fost oferită și noilor membri ai CJUE în 2024; ia act cu satisfacție de rețeaua CJUE de „consilieri confidențiali” care asistă membrii personalului în caz de hărțuire, precum și de programul de gestionare a talentelor oferit administratorilor cu potențial ridicat, care acoperă, printre altele, conducerea etică;</w:t>
            </w:r>
          </w:p>
        </w:tc>
        <w:tc>
          <w:tcPr>
            <w:tcW w:w="4876" w:type="dxa"/>
            <w:tcBorders>
              <w:top w:val="nil"/>
              <w:left w:val="nil"/>
              <w:bottom w:val="nil"/>
              <w:right w:val="nil"/>
            </w:tcBorders>
          </w:tcPr>
          <w:p>
            <w:pPr>
              <w:pStyle w:val="Normal6a"/>
            </w:pPr>
            <w:r>
              <w:t>29.</w:t>
            </w:r>
            <w:r>
              <w:tab/>
            </w:r>
            <w:r>
              <w:t xml:space="preserve">constată că, astfel cum s-a solicitat în recomandările anterioare privind descărcarea de gestiune, noul cod de conduită pentru funcționari și alți agenți ai CJUE, care reflectă valorile și angajamentul acesteia din urmă față de standarde etice înalte, a fost adoptat în martie 2024; observă că codul de conduită include dispoziții privind conflictele de interese, obligația de loialitate, obligația de confidențialitate și discreție, activitățile externe, activitățile profesionale desfășurate după încetarea raporturilor de muncă și publicațiile, dispozițiile împotriva hărțuirii și se aplică, de asemenea, experților naționali detașați și judecătorilor stagiari găzduiți în cadrul Rețelei Europene de Formare Judiciară; constată cu satisfacție că formarea privind codul de conduită și drepturile și obligațiile personalului sunt obligatorii pentru nou-veniți și recomandate cu fermitate întregului personal al CJUE, și că un total de 747 de persoane (și anume 32,80 % din numărul total de funcționari și agenți ai CJUE) au participat la astfel de cursuri de formare în 2024; constată, de asemenea, că o formare similară a fost oferită și noilor membri ai CJUE în 2024; ia act cu satisfacție de rețeaua CJUE de „consilieri confidențiali” care asistă membrii personalului în caz de hărțuire, precum și de programul de gestionare a talentelor oferit administratorilor cu potențial ridicat, care acoperă, printre altele, conducerea etică; </w:t>
            </w:r>
            <w:r>
              <w:rPr>
                <w:b/>
                <w:i/>
              </w:rPr>
              <w:t>încurajează Curtea să consolideze treptat predarea de cursuri de formare privind codul de conduită pentru toți membrii personalului, fără excepție, astfel încât standardele de etică să fie înțelese la fel în întreaga instituție;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constată că, astfel cum s-a solicitat în recomandările anterioare privind descărcarea de gestiune, noul cod de conduită pentru funcționari și alți agenți ai CJUE, care reflectă valorile și angajamentul acesteia din urmă față de standarde etice înalte, a fost adoptat în martie 2024; observă că codul de conduită include dispoziții privind conflictele de interese, obligația de loialitate, obligația de confidențialitate și discreție, activitățile externe, activitățile profesionale desfășurate după încetarea raporturilor de muncă și publicațiile, dispozițiile împotriva hărțuirii și se aplică, de asemenea, experților naționali detașați și judecătorilor stagiari găzduiți în cadrul Rețelei Europene de Formare Judiciară; constată cu satisfacție că formarea privind codul de conduită și drepturile și obligațiile personalului sunt obligatorii pentru nou-veniți și recomandate cu fermitate întregului personal al CJUE, și că un total de </w:t>
            </w:r>
            <w:r>
              <w:rPr>
                <w:b/>
                <w:i/>
              </w:rPr>
              <w:t>747</w:t>
            </w:r>
            <w:r>
              <w:t xml:space="preserve"> de persoane (și anume </w:t>
            </w:r>
            <w:r>
              <w:rPr>
                <w:b/>
                <w:i/>
              </w:rPr>
              <w:t>32,80</w:t>
            </w:r>
            <w:r>
              <w:t xml:space="preserve"> % din numărul total de funcționari și agenți ai CJUE) au participat la astfel de cursuri de formare în 2024; constată, de asemenea, că o formare similară a fost oferită și noilor membri ai CJUE în 2024; ia act cu satisfacție de rețeaua CJUE de „consilieri confidențiali” care asistă membrii personalului în caz de hărțuire, precum și de programul de gestionare a talentelor oferit administratorilor cu potențial ridicat, care acoperă, printre altele, conducerea etică;</w:t>
            </w:r>
          </w:p>
        </w:tc>
        <w:tc>
          <w:tcPr>
            <w:tcW w:w="4876" w:type="dxa"/>
            <w:tcBorders>
              <w:top w:val="nil"/>
              <w:left w:val="nil"/>
              <w:bottom w:val="nil"/>
              <w:right w:val="nil"/>
            </w:tcBorders>
          </w:tcPr>
          <w:p>
            <w:pPr>
              <w:pStyle w:val="Normal6a"/>
            </w:pPr>
            <w:r>
              <w:t>29.</w:t>
            </w:r>
            <w:r>
              <w:tab/>
            </w:r>
            <w:r>
              <w:t xml:space="preserve">constată că, astfel cum s-a solicitat în recomandările anterioare privind descărcarea de gestiune, noul cod de conduită pentru funcționari și alți agenți ai CJUE, care reflectă valorile și angajamentul acesteia din urmă față de standarde etice înalte, a fost adoptat în martie 2024; observă că codul de conduită include dispoziții privind conflictele de interese, obligația de loialitate, obligația de confidențialitate și discreție, activitățile externe, activitățile profesionale desfășurate după încetarea raporturilor de muncă și publicațiile, dispozițiile împotriva hărțuirii și se aplică, de asemenea, experților naționali detașați și judecătorilor stagiari găzduiți în cadrul Rețelei Europene de Formare Judiciară; constată cu satisfacție că formarea privind codul de conduită și drepturile și obligațiile personalului sunt obligatorii pentru nou-veniți și recomandate cu fermitate întregului personal al CJUE, și că un total de </w:t>
            </w:r>
            <w:r>
              <w:rPr>
                <w:b/>
                <w:i/>
              </w:rPr>
              <w:t>561</w:t>
            </w:r>
            <w:r>
              <w:t xml:space="preserve"> de persoane (și anume </w:t>
            </w:r>
            <w:r>
              <w:rPr>
                <w:b/>
                <w:i/>
              </w:rPr>
              <w:t>24,75</w:t>
            </w:r>
            <w:r>
              <w:t xml:space="preserve"> % din numărul total de funcționari și agenți ai CJUE) au participat la astfel de cursuri de formare în 2024; constată, de asemenea, că o formare similară a fost oferită și noilor membri ai CJUE în 2024; ia act cu satisfacție de rețeaua CJUE de „consilieri confidențiali” care asistă membrii personalului în caz de hărțuire, precum și de programul de gestionare a talentelor oferit administratorilor cu potențial ridicat, care acoperă, printre altele, conducerea etică;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salută angajamentul CJUE de a mări transparența, accesul la justiție și deschiderea publică, contribuind astfel la promovarea încrederii publicului în instituțiile Uniunii, echilibrând în același timp alte preocupări fundamentale, cum ar fi serenitatea judiciară, confidențialitatea procedurilor și protecția datelor cu caracter personal; ia act de faptul că, în 2024, CJUE a consolidat serviciul de streaming pentru audierile Curții de Justiție și ale Tribunalului pe site-ul Curia, facilitând astfel accesul cetățenilor la activitățile judiciare ale CJUE; salută, în acest context, ca urmare a reformei judiciare adoptate în 2024, transparența mai mare a procedurii preliminare, permițând publicarea pe site-ul CJUE a observațiilor scrise într-un termen rezonabil după închiderea cauzei;</w:t>
            </w:r>
          </w:p>
        </w:tc>
        <w:tc>
          <w:tcPr>
            <w:tcW w:w="4876" w:type="dxa"/>
            <w:tcBorders>
              <w:top w:val="nil"/>
              <w:left w:val="nil"/>
              <w:bottom w:val="nil"/>
              <w:right w:val="nil"/>
            </w:tcBorders>
          </w:tcPr>
          <w:p>
            <w:pPr>
              <w:pStyle w:val="Normal6a"/>
            </w:pPr>
            <w:r>
              <w:t>37.</w:t>
            </w:r>
            <w:r>
              <w:tab/>
            </w:r>
            <w:r>
              <w:t>salută angajamentul CJUE de a mări transparența, accesul la justiție și deschiderea publică, contribuind astfel la promovarea încrederii publicului în instituțiile Uniunii, echilibrând în același timp alte preocupări fundamentale, cum ar fi serenitatea judiciară, confidențialitatea procedurilor și protecția datelor cu caracter personal</w:t>
            </w:r>
            <w:r>
              <w:rPr>
                <w:b/>
                <w:i/>
              </w:rPr>
              <w:t>;</w:t>
            </w:r>
            <w:r>
              <w:t xml:space="preserve"> </w:t>
            </w:r>
            <w:r>
              <w:rPr>
                <w:b/>
                <w:i/>
              </w:rPr>
              <w:t>subliniază că o mai mare transparență trebuie să servească și la a mări încrederea populației în jurisprudența Curții;</w:t>
            </w:r>
            <w:r>
              <w:t xml:space="preserve"> </w:t>
            </w:r>
            <w:r>
              <w:rPr>
                <w:b/>
                <w:i/>
              </w:rPr>
              <w:t>încurajează Curtea să își continue eforturile de îmbunătățire a clarității, accesibilității și previzibilității jurisprudenței sale, îndeosebi în cazurile cu un impact constituțional sau societal important</w:t>
            </w:r>
            <w:r>
              <w:t>; ia act de faptul că, în 2024, CJUE a consolidat serviciul de streaming pentru audierile Curții de Justiție și ale Tribunalului pe site-ul Curia, facilitând astfel accesul cetățenilor la activitățile judiciare ale CJUE; salută, în acest context, ca urmare a reformei judiciare adoptate în 2024, transparența mai mare a procedurii preliminare, permițând publicarea pe site-ul CJUE a observațiilor scrise într-un termen rezonabil după închiderea cauzei;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constată cu satisfacție, pe baza raportului de monitorizare, că, în urma unui proiect-pilot de succes lansat în 2022 și a actualizării Regulamentului său de procedură în 2024, Curtea de Justiție a extins serviciul de streaming pentru a include cauze importante audiate de o cameră de cinci judecători, precum și transmiterea aproape în direct a audierilor pledoariilor și transmiterea în direct a pronunțării hotărârilor și a avizelor avocaților generali; constată, de asemenea, că, începând cu 1 septembrie 2024, înregistrările video ale audierilor pentru pronunțarea hotărârilor și a avizelor rămân disponibile permanent pe site-ul CJUE, iar înregistrările video ale pledoariilor sunt accesibile </w:t>
            </w:r>
            <w:r>
              <w:rPr>
                <w:b/>
                <w:i/>
              </w:rPr>
              <w:t>la</w:t>
            </w:r>
            <w:r>
              <w:t xml:space="preserve"> o lună de la audiere; constată cu satisfacție că Tribunalul a luat măsuri similare pentru a asigura accesul extins al publicului la procedurile sale;</w:t>
            </w:r>
          </w:p>
        </w:tc>
        <w:tc>
          <w:tcPr>
            <w:tcW w:w="4876" w:type="dxa"/>
            <w:tcBorders>
              <w:top w:val="nil"/>
              <w:left w:val="nil"/>
              <w:bottom w:val="nil"/>
              <w:right w:val="nil"/>
            </w:tcBorders>
          </w:tcPr>
          <w:p>
            <w:pPr>
              <w:pStyle w:val="Normal6a"/>
            </w:pPr>
            <w:r>
              <w:t>38.</w:t>
            </w:r>
            <w:r>
              <w:tab/>
            </w:r>
            <w:r>
              <w:t xml:space="preserve">constată cu satisfacție, pe baza raportului de monitorizare, că, în urma unui proiect-pilot de succes lansat în 2022 și a actualizării Regulamentului său de procedură în 2024, Curtea de Justiție a extins serviciul de streaming pentru a include cauze importante audiate de o cameră de cinci judecători, precum și transmiterea aproape în direct a audierilor pledoariilor și transmiterea în direct a pronunțării hotărârilor și a avizelor avocaților generali; constată, de asemenea, că, începând cu 1 septembrie 2024, înregistrările video ale audierilor pentru pronunțarea hotărârilor și a avizelor rămân disponibile permanent pe site-ul CJUE, iar înregistrările video ale pledoariilor sunt accesibile </w:t>
            </w:r>
            <w:r>
              <w:rPr>
                <w:b/>
                <w:i/>
              </w:rPr>
              <w:t>timp de</w:t>
            </w:r>
            <w:r>
              <w:t xml:space="preserve"> o lună de la audiere; constată cu satisfacție că Tribunalul a luat măsuri similare pentru a asigura accesul extins al publicului la procedurile 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ia act cu interes de lansarea în 2024 a unui proiect-pilot care oferă tuturor departamentelor CJUE acces la asistenți IA; subliniază că este important să se asigure respectarea principiilor etice atunci când se utilizează instrumente de IA și, în special, a Orientărilor CJUE privind IA adoptate în 2024, asigurând astfel supravegherea umană în ceea ce privește principiul independenței procedurilor judiciare; subliniază, în acest context, rolul de supraveghere al Consiliului de administrație pentru IA al CJUE; felicită CJUE pentru programul cuprinzător de formare pe care l-a instituit în 2024, începând cu o „lună de sensibilizare cu privire la IA”, care a inclus sesiuni de formare, mese rotunde animate de experți în IA, seminare online și cursuri intensive (bootcamps), făcând astfel un prim pas important către sensibilizarea membrilor personalului cu privire la strategia și orientările referitoare la IA ale CJUE și cu privire la IA în general; constată că membrii personalului urmează, de asemenea, cursuri privind gestionarea schimbărilor, transferul de cunoștințe, mentoratul și agilitatea mintală pentru a sprijini adaptarea la tehnologiile emergente; invită CJUE să continue să organizeze astfel de programe de formare și de sensibilizare;</w:t>
            </w:r>
          </w:p>
        </w:tc>
        <w:tc>
          <w:tcPr>
            <w:tcW w:w="4876" w:type="dxa"/>
            <w:tcBorders>
              <w:top w:val="nil"/>
              <w:left w:val="nil"/>
              <w:bottom w:val="nil"/>
              <w:right w:val="nil"/>
            </w:tcBorders>
          </w:tcPr>
          <w:p>
            <w:pPr>
              <w:pStyle w:val="Normal6a"/>
            </w:pPr>
            <w:r>
              <w:t>43.</w:t>
            </w:r>
            <w:r>
              <w:tab/>
            </w:r>
            <w:r>
              <w:t>ia act cu interes de lansarea în 2024 a unui proiect-pilot care oferă tuturor departamentelor CJUE acces la asistenți IA; subliniază că este important să se asigure respectarea principiilor etice atunci când se utilizează instrumente de IA și, în special, a Orientărilor CJUE privind IA adoptate în 2024, asigurând astfel supravegherea umană în ceea ce privește principiul independenței procedurilor judiciare</w:t>
            </w:r>
            <w:r>
              <w:rPr>
                <w:b/>
                <w:i/>
              </w:rPr>
              <w:t>;</w:t>
            </w:r>
            <w:r>
              <w:t xml:space="preserve"> </w:t>
            </w:r>
            <w:r>
              <w:rPr>
                <w:b/>
                <w:i/>
              </w:rPr>
              <w:t>subliniază că utilizarea instrumentelor IA într-un mediu judiciar nu trebuie să înlocuiască niciodată raționamentul juridic uman sau puterea discreționară a instanței și nici să submineze responsabilitatea personală a judecătorilor</w:t>
            </w:r>
            <w:r>
              <w:t>; subliniază, în acest context, rolul de supraveghere al Consiliului de administrație pentru IA al CJUE; felicită CJUE pentru programul cuprinzător de formare pe care l-a instituit în 2024, începând cu o „lună de sensibilizare cu privire la IA”, care a inclus sesiuni de formare, mese rotunde animate de experți în IA, seminare online și cursuri intensive (bootcamps), făcând astfel un prim pas important către sensibilizarea membrilor personalului cu privire la strategia și orientările referitoare la IA ale CJUE și cu privire la IA în general; constată că membrii personalului urmează, de asemenea, cursuri privind gestionarea schimbărilor, transferul de cunoștințe, mentoratul și agilitatea mintală pentru a sprijini adaptarea la tehnologiile emergente; invită CJUE să continue să organizeze astfel de programe de formare și de sensibilizare;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constată că capacitățile operaționale în materie de securitate cibernetică au fost consolidate și mai mult în 2024 pentru a respecta Regulamentul (UE, Euratom) 2023/2841 și pentru a contracara numărul tot mai mare de atacuri cibernetice; observă că în 2024 nu au avut loc atacuri cibernetice majore; constată cu îngrijorare că, în medie, au fost înregistrate și analizate 142 de incidente de securitate pe lună, unele necesitând intervenție umană;</w:t>
            </w:r>
          </w:p>
        </w:tc>
        <w:tc>
          <w:tcPr>
            <w:tcW w:w="4876" w:type="dxa"/>
            <w:tcBorders>
              <w:top w:val="nil"/>
              <w:left w:val="nil"/>
              <w:bottom w:val="nil"/>
              <w:right w:val="nil"/>
            </w:tcBorders>
          </w:tcPr>
          <w:p>
            <w:pPr>
              <w:pStyle w:val="Normal6a"/>
            </w:pPr>
            <w:r>
              <w:t>45.</w:t>
            </w:r>
            <w:r>
              <w:tab/>
            </w:r>
            <w:r>
              <w:t xml:space="preserve">constată că capacitățile operaționale în materie de securitate cibernetică au fost consolidate și mai mult în 2024 pentru a respecta Regulamentul (UE, Euratom) 2023/2841 și pentru a contracara numărul tot mai mare de atacuri cibernetice; observă că în 2024 nu au avut loc atacuri cibernetice majore; constată cu îngrijorare că, în medie, au fost înregistrate și analizate 142 de incidente de securitate pe lună, unele necesitând intervenție umană; </w:t>
            </w:r>
            <w:r>
              <w:rPr>
                <w:b/>
                <w:i/>
              </w:rPr>
              <w:t>reliefează că această tendință evidențiază că este nevoie de investiții susținute și previzibile în capacitățile de securitate cibernetică, în formarea personalului și în cooperarea interinstituțională, în concordanță cu Regulamentul (UE, Euratom) 2023/2841;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constată că capacitățile operaționale în materie de securitate cibernetică au fost consolidate și mai mult în 2024 pentru a respecta Regulamentul (UE, Euratom) 2023/2841 și pentru a contracara numărul tot mai mare de atacuri cibernetice; observă că în 2024 nu au avut loc atacuri cibernetice majore; constată cu îngrijorare că, în medie, au fost înregistrate și analizate 142 de incidente de securitate pe lună, unele necesitând intervenție umană;</w:t>
            </w:r>
          </w:p>
        </w:tc>
        <w:tc>
          <w:tcPr>
            <w:tcW w:w="4876" w:type="dxa"/>
            <w:tcBorders>
              <w:top w:val="nil"/>
              <w:left w:val="nil"/>
              <w:bottom w:val="nil"/>
              <w:right w:val="nil"/>
            </w:tcBorders>
          </w:tcPr>
          <w:p>
            <w:pPr>
              <w:pStyle w:val="Normal6a"/>
            </w:pPr>
            <w:r>
              <w:t>45.</w:t>
            </w:r>
            <w:r>
              <w:tab/>
            </w:r>
            <w:r>
              <w:t xml:space="preserve">constată că capacitățile operaționale în materie de securitate cibernetică au fost consolidate și mai mult în 2024 pentru a respecta Regulamentul (UE, Euratom) 2023/2841 și pentru a contracara numărul tot mai mare de atacuri cibernetice; observă că în 2024 nu au avut loc atacuri cibernetice majore; constată cu îngrijorare că, în medie, au fost înregistrate și analizate 142 de incidente de securitate pe lună, unele necesitând intervenție umană; </w:t>
            </w:r>
            <w:r>
              <w:rPr>
                <w:b/>
                <w:i/>
              </w:rPr>
              <w:t>accentuează că securitatea cibernetică este o investiție strategică, esențială pentru a apăra independența justiției, integritatea datelor și continuitatea activității judiciare;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felicită CJUE pentru eforturile sale continue și pentru progresele semnificative înregistrate în reducerea amprentei sale de mediu în 2024, astfel cum o demonstrează performanța sa în raport cu sistemul de management de mediu și audit (EMAS) de referință din 2015, cu reduceri per echivalent normă întreagă (ENI) realizate în multe tipuri de consumuri/emisii (încălzire: - 37,5 %; energie electrică: -29,3 %; hârtie: -64,2 %, deșeuri de birou și din cantine: -40,4 %; emisii de gaze cu efect de seră: -</w:t>
            </w:r>
            <w:r>
              <w:rPr>
                <w:b/>
                <w:i/>
              </w:rPr>
              <w:t>30,20</w:t>
            </w:r>
            <w:r>
              <w:t xml:space="preserve"> %); constată o îmbunătățire generală în comparație cu reducerile raportate pentru 2023; recunoaște că aceste rezultate, combinate cu condițiile de piață, au condus la o reducere cu 18 % a cheltuielilor cu energia în comparație cu previziunile; salută, în acest context, integrarea solidă a sustenabilității în cadrul de gestionare a riscurilor și de răspundere al Curții, astfel cum se prevede în certificarea sa EMAS;</w:t>
            </w:r>
          </w:p>
        </w:tc>
        <w:tc>
          <w:tcPr>
            <w:tcW w:w="4876" w:type="dxa"/>
            <w:tcBorders>
              <w:top w:val="nil"/>
              <w:left w:val="nil"/>
              <w:bottom w:val="nil"/>
              <w:right w:val="nil"/>
            </w:tcBorders>
          </w:tcPr>
          <w:p>
            <w:pPr>
              <w:pStyle w:val="Normal6a"/>
            </w:pPr>
            <w:r>
              <w:t>50.</w:t>
            </w:r>
            <w:r>
              <w:tab/>
            </w:r>
            <w:r>
              <w:t>felicită CJUE pentru eforturile sale continue și pentru progresele semnificative înregistrate în reducerea amprentei sale de mediu în 2024, astfel cum o demonstrează performanța sa în raport cu sistemul de management de mediu și audit (EMAS) de referință din 2015, cu reduceri per echivalent normă întreagă (ENI) realizate în multe tipuri de consumuri/emisii (încălzire: - 37,5 %; energie electrică: -29,3 %; hârtie: -64,2 %, deșeuri de birou și din cantine: -40,4 %; emisii de gaze cu efect de seră: -</w:t>
            </w:r>
            <w:r>
              <w:rPr>
                <w:b/>
                <w:i/>
              </w:rPr>
              <w:t>26,7</w:t>
            </w:r>
            <w:r>
              <w:t> %); constată o îmbunătățire generală în comparație cu reducerile raportate pentru 2023; recunoaște că aceste rezultate, combinate cu condițiile de piață, au condus la o reducere cu 18 % a cheltuielilor cu energia în comparație cu previziunile; salută, în acest context, integrarea solidă a sustenabilității în cadrul de gestionare a riscurilor și de răspundere al Curții, astfel cum se prevede în certificarea sa 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felicită CJUE pentru abordarea sa riguroasă în ceea ce privește achizițiile publice sustenabile, prin clasificarea cererilor de oferte pe baza impactului („verde deschis”, „verde mediu”, „verde superior”) clauzelor lor de mediu, prin utilizarea sistematică a unor instrumente precum autoevaluarea obligatorie a „performanței verzi” și consultarea serviciului interinstituțional de asistență SPP;</w:t>
            </w:r>
            <w:r>
              <w:t xml:space="preserve"> </w:t>
            </w:r>
            <w:r>
              <w:rPr>
                <w:b/>
                <w:i/>
              </w:rPr>
              <w:t>constată că, în 2024, unsprezece licitații majore de peste 60 000 EUR au fost „achiziții ecologice”, dintre care opt au inclus clauze de mediu semnificative; salută, în special, punerea în aplicare cu succes a noului contract de catering, care necesită practici alimentare sustenabile și deține certificarea ISO 14001, precum și realizarea obiectivului de a limita licitațiile „verde deschis” la mult sub obiectivul de 50 %;</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felicită CJUE pentru abordarea sa riguroasă în ceea ce privește achizițiile publice sustenabile, prin clasificarea cererilor de oferte pe baza impactului („verde deschis”, „verde mediu”, „verde superior”) clauzelor lor de mediu, prin utilizarea sistematică a unor instrumente precum autoevaluarea obligatorie a „performanței verzi” și consultarea serviciului interinstituțional de asistență SPP; constată că, în 2024, </w:t>
            </w:r>
            <w:r>
              <w:rPr>
                <w:b/>
                <w:i/>
              </w:rPr>
              <w:t>unsprezece</w:t>
            </w:r>
            <w:r>
              <w:t xml:space="preserve"> licitații majore de peste 60 000 EUR au fost „achiziții ecologice”, dintre care </w:t>
            </w:r>
            <w:r>
              <w:rPr>
                <w:b/>
                <w:i/>
              </w:rPr>
              <w:t>opt</w:t>
            </w:r>
            <w:r>
              <w:t xml:space="preserve"> au inclus clauze de mediu semnificative; salută, în special, punerea în aplicare cu succes a noului contract de catering, care necesită practici alimentare sustenabile și deține certificarea ISO 14001, precum și realizarea obiectivului de a limita licitațiile „verde deschis” la mult sub obiectivul de 50 %;</w:t>
            </w:r>
          </w:p>
        </w:tc>
        <w:tc>
          <w:tcPr>
            <w:tcW w:w="4876" w:type="dxa"/>
            <w:tcBorders>
              <w:top w:val="nil"/>
              <w:left w:val="nil"/>
              <w:bottom w:val="nil"/>
              <w:right w:val="nil"/>
            </w:tcBorders>
          </w:tcPr>
          <w:p>
            <w:pPr>
              <w:pStyle w:val="Normal6a"/>
            </w:pPr>
            <w:r>
              <w:t>52.</w:t>
            </w:r>
            <w:r>
              <w:tab/>
            </w:r>
            <w:r>
              <w:t xml:space="preserve">felicită CJUE pentru abordarea sa riguroasă în ceea ce privește achizițiile publice sustenabile, prin clasificarea cererilor de oferte pe baza impactului („verde deschis”, „verde mediu”, „verde superior”) clauzelor lor de mediu, prin utilizarea sistematică a unor instrumente precum autoevaluarea obligatorie a „performanței verzi” și consultarea serviciului interinstituțional de asistență SPP; constată că, în 2024, </w:t>
            </w:r>
            <w:r>
              <w:rPr>
                <w:b/>
                <w:i/>
              </w:rPr>
              <w:t>opt</w:t>
            </w:r>
            <w:r>
              <w:t xml:space="preserve"> licitații majore de peste 60 000 EUR au fost „achiziții ecologice”, dintre care </w:t>
            </w:r>
            <w:r>
              <w:rPr>
                <w:b/>
                <w:i/>
              </w:rPr>
              <w:t>șase</w:t>
            </w:r>
            <w:r>
              <w:t xml:space="preserve"> au inclus clauze de mediu semnificative;</w:t>
            </w:r>
            <w:r>
              <w:rPr>
                <w:b/>
                <w:i/>
              </w:rPr>
              <w:t> </w:t>
            </w:r>
            <w:r>
              <w:t xml:space="preserve"> salută, în special, punerea în aplicare cu succes a noului contract de catering, care necesită practici alimentare sustenabile și deține certificarea ISO 14001, precum și realizarea obiectivului de a limita licitațiile „verde deschis” la mult sub obiectivul de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accentuează că inițiativele de mediu din instituțiile Uniunii trebuie să rămână eficiente din punctul de vedere al costurilor și neutre din punct de vedere tehnologic;</w:t>
            </w:r>
            <w:r>
              <w:t xml:space="preserve"> </w:t>
            </w:r>
            <w:r>
              <w:rPr>
                <w:b/>
                <w:i/>
              </w:rPr>
              <w:t>invită Curtea să prezinte o analiză cost-beneficiu transparentă a investițiilor verzi și a practicilor sale de achiziții publice și să se asigure că aspectele de mediu nu prevalează asupra eficienței sau a disciplinei bugetare;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constată că, în 2024, CJUE și-a intensificat eforturile de a colabora cu cetățenii Uniunii, inclusiv prin îmbunătățirea activității sale pe rețelele sociale; observă că, la sfârșitul anului 2024, numărul de abonați la contul LinkedIn al CJUE a crescut cu 26 %, iar numărul de urmăritori ai celor două conturi ale CJUE pe X (fostul Twitter) a crescut cu 2,5 %, în timp ce numărul de vizualizări pe canalul său YouTube a crescut cu </w:t>
            </w:r>
            <w:r>
              <w:rPr>
                <w:b/>
                <w:i/>
              </w:rPr>
              <w:t>236</w:t>
            </w:r>
            <w:r>
              <w:t xml:space="preserve"> %, iar numărul de abonați YouTube a crescut cu </w:t>
            </w:r>
            <w:r>
              <w:rPr>
                <w:b/>
                <w:i/>
              </w:rPr>
              <w:t>peste 400</w:t>
            </w:r>
            <w:r>
              <w:t xml:space="preserve"> % față de anul precedent; constată că creșterea exponențială a vizualizărilor și a abonaților s-a datorat parțial unei campanii promoționale organizate de CJUE;</w:t>
            </w:r>
          </w:p>
        </w:tc>
        <w:tc>
          <w:tcPr>
            <w:tcW w:w="4876" w:type="dxa"/>
            <w:tcBorders>
              <w:top w:val="nil"/>
              <w:left w:val="nil"/>
              <w:bottom w:val="nil"/>
              <w:right w:val="nil"/>
            </w:tcBorders>
          </w:tcPr>
          <w:p>
            <w:pPr>
              <w:pStyle w:val="Normal6a"/>
            </w:pPr>
            <w:r>
              <w:t>60.</w:t>
            </w:r>
            <w:r>
              <w:tab/>
            </w:r>
            <w:r>
              <w:t xml:space="preserve">constată că, în 2024, CJUE și-a intensificat eforturile de a colabora cu cetățenii Uniunii, inclusiv prin îmbunătățirea activității sale pe rețelele sociale; observă că, la sfârșitul anului 2024, numărul de abonați la contul LinkedIn al CJUE a crescut cu 26 %, iar numărul de urmăritori ai celor două conturi ale CJUE pe X (fostul Twitter) a crescut cu 2,5 %, în timp ce numărul de vizualizări pe canalul său YouTube a crescut cu </w:t>
            </w:r>
            <w:r>
              <w:rPr>
                <w:b/>
                <w:i/>
              </w:rPr>
              <w:t>137</w:t>
            </w:r>
            <w:r>
              <w:t xml:space="preserve"> %, iar numărul de abonați YouTube a crescut cu </w:t>
            </w:r>
            <w:r>
              <w:rPr>
                <w:b/>
                <w:i/>
              </w:rPr>
              <w:t>329</w:t>
            </w:r>
            <w:r>
              <w:t xml:space="preserve"> % față de anul precedent; constată că creșterea exponențială a vizualizărilor și a abonaților s-a datorat parțial unei campanii promoționale organizate de CJUE;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încurajează Curtea să dezvolte în continuare instrumente de comunicare orientate către cetățeni, mai cu seamă oferind explicații clare, accesibile și corecte din punct de vedere juridic ale hotărârilor de referință cu implicații semnificative pentru ordinile juridice naționale, respectând totodată pe deplin independența justiției și confidențialitatea procedurilor;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32</w:t>
    </w:r>
    <w:r>
      <w:fldChar w:fldCharType="end"/>
    </w:r>
    <w:r>
      <w:tab/>
    </w:r>
    <w:r>
      <w:rPr>
        <w:rStyle w:val="HideTWBExt"/>
      </w:rPr>
      <w:t>&lt;PathFdR&gt;</w:t>
    </w:r>
    <w:r>
      <w:t>AM\1336272RO.docx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AM\1336272RO.docx</w:t>
    </w:r>
    <w:r>
      <w:rPr>
        <w:rStyle w:val="HideTWBExt"/>
      </w:rPr>
      <w:t>&lt;/PathFdR&gt;</w:t>
    </w:r>
    <w:r>
      <w:tab/>
    </w:r>
    <w:r>
      <w:fldChar w:fldCharType="begin"/>
    </w:r>
    <w:r>
      <w:instrText xml:space="preserve"> PAGE </w:instrText>
    </w:r>
    <w:r>
      <w:fldChar w:fldCharType="separate"/>
    </w:r>
    <w:r>
      <w:t>31</w:t>
    </w:r>
    <w:r>
      <w:fldChar w:fldCharType="end"/>
    </w:r>
    <w:r>
      <w:t>/</w:t>
    </w:r>
    <w:r>
      <w:fldChar w:fldCharType="begin"/>
    </w:r>
    <w:r>
      <w:instrText xml:space="preserve"> NUMPAGES </w:instrText>
    </w:r>
    <w:r>
      <w:fldChar w:fldCharType="separate"/>
    </w:r>
    <w:r>
      <w:t>32</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AM\1336272RO.docx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32</Pages>
  <Words>10104</Words>
  <Characters>59167</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375274</vt:lpwstr>
  </property>
  <property fmtid="{D5CDD505-2E9C-101B-9397-08002B2CF9AE}" pid="7" name="dmxml.render.traceId">
    <vt:lpwstr>698c752006e879f38c1f6fd461f1a09e</vt:lpwstr>
  </property>
  <property fmtid="{D5CDD505-2E9C-101B-9397-08002B2CF9AE}" pid="8" name="FooterPath">
    <vt:lpwstr>AM\1336272RO.docx</vt:lpwstr>
  </property>
  <property fmtid="{D5CDD505-2E9C-101B-9397-08002B2CF9AE}" pid="9" name="PE Number">
    <vt:lpwstr>784.145</vt:lpwstr>
  </property>
  <property fmtid="{D5CDD505-2E9C-101B-9397-08002B2CF9AE}" pid="10" name="UID">
    <vt:lpwstr>eu.europa.europarl-DIN1-2026-0000016485_01.00-ro-02.00_text-xml</vt:lpwstr>
  </property>
</Properties>
</file>