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Výbor pre kontrolu rozpočtu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2025/2148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(DEC)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{28/01/2026}</w:t>
      </w:r>
      <w:r>
        <w:t>28.1.2026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POZMEŇUJÚCE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38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správy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Pasquale Tridico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(PE778.060v01-00)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Absolutórium za rok 2024: všeobecný rozpočet EÚ – Súdny dvor Európskej únie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(2025/2148(DEC))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keďže SDEÚ pomáha zachovávať hodnoty Únie a prostredníctvom svojej judikatúry sa usiluje o budovanie Európy;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keďže SDEÚ pomáha zachovávať hodnoty Únie a prostredníctvom svojej judikatúry sa usiluje o budovanie Európy</w:t>
            </w:r>
            <w:r>
              <w:rPr>
                <w:b/>
                <w:i/>
              </w:rPr>
              <w:t>, pričom sa naďalej zodpovedá občanom prostredníctvom právnej istoty, konzistentnosti judikatúry a dodržiavania obmedzení súdneho výkladu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konštatuje, že rozpočet SDEÚ patrí do okruhu 7 VFR „Európska verejná správa“, ktorý v roku 2023 predstavoval 13,3 miliardy EUR (čo predstavuje 6,9 % celkového rozpočtu Únie); konštatuje, že rozpočet SDEÚ vo výške približne 0,5 miliardy EUR predstavuje približne 3,76 % celkových administratívnych výdavkov Únie, čo je pokles z 3,9 % v roku 2023;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konštatuje, že rozpočet SDEÚ patrí do okruhu 7 VFR „Európska verejná správa“, ktorý v roku 2023 predstavoval 13,3 miliardy EUR (čo predstavuje 6,9 % celkového rozpočtu Únie); konštatuje, že rozpočet SDEÚ vo výške približne 0,5 miliardy EUR predstavuje približne 3,76 % celkových administratívnych výdavkov Únie, čo je pokles z 3,9 % v roku 2023; </w:t>
            </w:r>
            <w:r>
              <w:rPr>
                <w:b/>
                <w:i/>
              </w:rPr>
              <w:t>zdôrazňuje, že v prípadoch vyšetrovania týkajúcich sa rozpočtu Únie musia všetky príslušné orgány v plnej miere dodržiavať zásady riadneho procesu a základné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4a.‏</w:t>
            </w:r>
            <w:r>
              <w:tab/>
            </w:r>
            <w:r>
              <w:rPr>
                <w:b/>
                <w:i/>
              </w:rPr>
              <w:t>konštatuje, že výdavky na zamestnancov predstavujú takmer 80 % rozpočtu SDEÚ a že aktualizácie platov  v roku 2024 prekročili pôvodné prognózy;</w:t>
            </w:r>
            <w:r>
              <w:t xml:space="preserve"> </w:t>
            </w:r>
            <w:r>
              <w:rPr>
                <w:b/>
                <w:i/>
              </w:rPr>
              <w:t>zdôrazňuje, že hoci tieto zvýšenia boli absorbované bez dodatočného zvýšenia rozpočtu, ich opakujúca sa povaha vyvoláva otázky, pokiaľ ide o strednodobú rozpočtovú udržateľnosť v rámci obmedzení súčasného VFR;</w:t>
            </w:r>
            <w:r>
              <w:t xml:space="preserve"> </w:t>
            </w:r>
            <w:r>
              <w:rPr>
                <w:b/>
                <w:i/>
              </w:rPr>
              <w:t>vyzýva na posilnenie viacročného plánovania pracovnej sily a výdavkov bez toho, aby sa narušila nezávislosť súdnictva;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súhlasí s tým, že schopnosť SDEÚ reagovať na čoraz väčšie pracovné zaťaženie prešla ťažkou skúškou na jednej strane v dôsledku usmernení Komisie pre prípravu rozpočtu, ktoré obmedzujú zvýšenie všetkých výdavkov nesúvisiacich s platmi na maximálne 2 % a odrádzajú od žiadostí o nové pracovné miesta, a na druhej strane v dôsledku toho, že úrad EPSO neposkytol inštitúciám Únie primerane veľkú skupinu úspešných uchádzačov z výberových konaní, z ktorých by mohli prijímať zamestnancov; okrem toho konštatuje, že inflačné účinky útočnej vojny Ruska proti Ukrajine naďalej vytvárali na SDEÚ rozpočtový tlak, napríklad prostredníctvom rastúcich nákladov na služobné cesty alebo zvýšenia cien zmluvného tovaru a služieb; vyjadruje SDEÚ uznanie za jeho opatrenia na zmiernenie takýchto účinkov znížením počtu služobných ciest, obmedzením výdavkov na energiu a predovšetkým stanovením priorít projektov pri vypracúvaní rozpočtových odhadov; uznáva, že je potrebné, aby všetky inštitúcie Únie zlepšili svoje rozpočtové riadenie tým, že pri uzatváraní zmlúv s poskytovateľmi služieb zohľadnia aj cenovú volatilitu, najmä v odvetví energetiky;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súhlasí s tým, že schopnosť SDEÚ reagovať na čoraz väčšie pracovné zaťaženie prešla ťažkou skúškou na jednej strane v dôsledku usmernení Komisie pre prípravu rozpočtu, ktoré obmedzujú zvýšenie všetkých výdavkov nesúvisiacich s platmi na maximálne 2 % a odrádzajú od žiadostí o nové pracovné miesta, a na druhej strane v dôsledku toho, že úrad EPSO neposkytol inštitúciám Únie primerane veľkú skupinu úspešných uchádzačov z výberových konaní, z ktorých by mohli prijímať zamestnancov; okrem toho konštatuje, že inflačné účinky </w:t>
            </w:r>
            <w:r>
              <w:rPr>
                <w:b/>
                <w:i/>
              </w:rPr>
              <w:t>nezákonnej</w:t>
            </w:r>
            <w:r>
              <w:t xml:space="preserve"> útočnej vojny Ruska proti Ukrajine naďalej vytvárali na SDEÚ rozpočtový tlak, napríklad prostredníctvom rastúcich nákladov na služobné cesty alebo zvýšenia cien zmluvného tovaru a služieb; vyjadruje SDEÚ uznanie za jeho opatrenia na zmiernenie takýchto účinkov znížením počtu služobných ciest, obmedzením výdavkov na energiu a predovšetkým stanovením priorít projektov pri vypracúvaní rozpočtových odhadov; uznáva, že je potrebné, aby všetky inštitúcie Únie zlepšili svoje rozpočtové riadenie tým, že pri uzatváraní zmlúv s poskytovateľmi služieb zohľadnia aj cenovú volatilitu, najmä v odvetví energetiky; </w:t>
            </w:r>
            <w:r>
              <w:rPr>
                <w:b/>
                <w:i/>
              </w:rPr>
              <w:t>vyzýva SDEÚ, aby pokračoval v zlepšovaní nákladovej efektívnosti a aktívneho rozpočtového plánovania s cieľom zachovať kvalitu súdnictva v rámci dostupných zdrojov;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s uspokojením konštatuje, že jeho rozpočet na služobné cesty členov a zamestnancov SDEÚ sa už druhý rok po sebe znížil zo 638 000 EUR v roku 2023 na 616 000 EUR v roku 2024, čo predstavuje zníženie približne o </w:t>
            </w:r>
            <w:r>
              <w:rPr>
                <w:b/>
                <w:i/>
              </w:rPr>
              <w:t>3,3</w:t>
            </w:r>
            <w:r>
              <w:t xml:space="preserve"> 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s uspokojením konštatuje, že jeho rozpočet na služobné cesty členov a zamestnancov SDEÚ sa už druhý rok po sebe znížil zo 638 000 EUR v roku 2023 na 616 000 EUR v roku 2024, čo predstavuje zníženie približne o </w:t>
            </w:r>
            <w:r>
              <w:rPr>
                <w:b/>
                <w:i/>
              </w:rPr>
              <w:t>3,44</w:t>
            </w:r>
            <w:r>
              <w:t xml:space="preserve"> 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s uznaním berie na vedomie odpovede SDEÚ na dotazník týkajúci sa absolutória za rok 2024, pokiaľ ide o úsilie, ktoré SDEÚ vynaložil na dokončenie reformy súdnictva s cieľom čiastočne presunúť právomoc vydávať prejudiciálne rozhodnutia zo Súdneho dvora na Všeobecný súd a umožniť vykonávanie nového regulačného rámca od 1. októbra 2024; v tejto súvislosti berie na vedomie reorganizáciu štruktúry Všeobecného súdu, zmenu rokovacieho poriadku SDEÚ, prijatie nového súboru praktických pravidiel Všeobecného súdu na vykonávanie rokovacieho poriadku, prijatie nového rozhodnutia o podávaní a doručovaní procesných písomností prostredníctvom aplikácie e-Curia, vývoj nového softvéru („jednotné kontaktné miesto“) na rýchlu analýzu a spracovanie vecí a harmonizáciu postupov registrov oboch súdov v roku 2024; s uznaním konštatuje, že počas prvých troch mesiacov po nadobudnutí účinnosti reformy už bolo na Všeobecný súd prenesených 20 prejudiciálnych rozhodnutí, čo predstavuje prvé výsledky smerom k vyváženejšiemu rozdeleniu pracovného zaťaženia medzi oba súdy; konštatuje, že jedinými dodatočnými nákladmi spojenými s vykonávaním reformy súdnictva boli náklady súvisiace s IT na vytvorenie jednotného kontaktného miesta vo výške približne 805 000 EUR, pričom pokiaľ ide o zamestnancov, reforma zostala rozpočtovo neutrálna vďaka presunu pracovných miest a povinností v rámci inštitúcie;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s uznaním berie na vedomie odpovede SDEÚ na dotazník týkajúci sa absolutória za rok 2024, pokiaľ ide o úsilie, ktoré SDEÚ vynaložil na dokončenie reformy súdnictva s cieľom čiastočne presunúť právomoc vydávať prejudiciálne rozhodnutia zo Súdneho dvora na Všeobecný súd a umožniť vykonávanie nového regulačného rámca od 1. októbra 2024; v tejto súvislosti berie na vedomie reorganizáciu štruktúry Všeobecného súdu, zmenu rokovacieho poriadku SDEÚ, prijatie nového súboru praktických pravidiel Všeobecného súdu na vykonávanie rokovacieho poriadku, prijatie nového rozhodnutia o podávaní a doručovaní procesných písomností prostredníctvom aplikácie e-Curia, vývoj nového softvéru („jednotné kontaktné miesto“) na rýchlu analýzu a spracovanie vecí a harmonizáciu postupov registrov oboch súdov v roku 2024; </w:t>
            </w:r>
            <w:r>
              <w:rPr>
                <w:b/>
                <w:i/>
              </w:rPr>
              <w:t>uznáva, že digitalizácia vybavovania súdnych prípadov prispieva k väčšej efektívnosti a kvalite súdnych výsledkov;</w:t>
            </w:r>
            <w:r>
              <w:t xml:space="preserve"> s uznaním konštatuje, že počas prvých troch mesiacov po nadobudnutí účinnosti reformy už bolo na Všeobecný súd prenesených 20 prejudiciálnych rozhodnutí, čo predstavuje prvé výsledky smerom k vyváženejšiemu rozdeleniu pracovného zaťaženia medzi oba súdy; konštatuje, že jedinými dodatočnými nákladmi spojenými s vykonávaním reformy súdnictva boli náklady súvisiace s IT na vytvorenie jednotného kontaktného miesta vo výške približne 805 000 EUR, pričom pokiaľ ide o zamestnancov, reforma zostala rozpočtovo neutrálna vďaka presunu pracovných miest a povinností v rámci inštitúcie; </w:t>
            </w:r>
            <w:r>
              <w:rPr>
                <w:b/>
                <w:i/>
              </w:rPr>
              <w:t>nabáda SDEÚ, aby ďalej monitoroval vplyv digitálnych nástrojov na čas spracovania a rovnováhu pracovného zaťaženia a podával o ňom správy;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s uznaním berie na vedomie odpovede SDEÚ na dotazník týkajúci sa absolutória za rok 2024, pokiaľ ide o úsilie, ktoré SDEÚ vynaložil na dokončenie reformy súdnictva s cieľom čiastočne presunúť právomoc vydávať prejudiciálne rozhodnutia zo Súdneho dvora na Všeobecný súd a umožniť vykonávanie nového regulačného rámca od 1. októbra 2024; v tejto súvislosti berie na vedomie reorganizáciu štruktúry Všeobecného súdu, zmenu rokovacieho poriadku SDEÚ, prijatie nového súboru praktických pravidiel Všeobecného súdu na vykonávanie rokovacieho poriadku, prijatie nového rozhodnutia o podávaní a doručovaní procesných písomností prostredníctvom aplikácie e-Curia, vývoj nového softvéru („jednotné kontaktné miesto“) na rýchlu analýzu a spracovanie vecí a harmonizáciu postupov registrov oboch súdov v roku 2024; s uznaním konštatuje, že počas prvých troch mesiacov po nadobudnutí účinnosti reformy už bolo na Všeobecný súd prenesených 20 prejudiciálnych rozhodnutí, čo predstavuje prvé výsledky smerom k vyváženejšiemu rozdeleniu pracovného zaťaženia medzi oba súdy; konštatuje, že jedinými dodatočnými nákladmi spojenými s vykonávaním reformy súdnictva boli náklady súvisiace s IT na vytvorenie jednotného kontaktného miesta vo výške približne 805 000 EUR, pričom pokiaľ ide o zamestnancov, reforma zostala rozpočtovo neutrálna vďaka presunu pracovných miest a povinností v rámci inštitúcie;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s uznaním berie na vedomie odpovede SDEÚ na dotazník týkajúci sa absolutória za rok 2024, pokiaľ ide o úsilie, ktoré SDEÚ vynaložil na dokončenie reformy súdnictva s cieľom čiastočne presunúť právomoc vydávať prejudiciálne rozhodnutia zo Súdneho dvora na Všeobecný súd a umožniť vykonávanie nového regulačného rámca od 1. októbra 2024; v tejto súvislosti berie na vedomie reorganizáciu štruktúry Všeobecného súdu, zmenu rokovacieho poriadku SDEÚ, prijatie nového súboru praktických pravidiel Všeobecného súdu na vykonávanie rokovacieho poriadku, prijatie nového rozhodnutia o podávaní a doručovaní procesných písomností prostredníctvom aplikácie e-Curia, vývoj nového softvéru („jednotné kontaktné miesto“) na rýchlu analýzu a spracovanie vecí a harmonizáciu postupov registrov oboch súdov v roku 2024; s uznaním konštatuje, že počas prvých troch mesiacov po nadobudnutí účinnosti reformy už bolo na Všeobecný súd prenesených 20 prejudiciálnych rozhodnutí, čo predstavuje prvé výsledky smerom k vyváženejšiemu rozdeleniu pracovného zaťaženia medzi oba súdy; konštatuje, že jedinými dodatočnými nákladmi spojenými s vykonávaním reformy súdnictva boli náklady súvisiace s IT na vytvorenie jednotného kontaktného miesta vo výške približne 805 000 EUR, pričom pokiaľ ide o zamestnancov, reforma zostala rozpočtovo neutrálna vďaka presunu pracovných miest a povinností v rámci inštitúcie; </w:t>
            </w:r>
            <w:r>
              <w:rPr>
                <w:b/>
                <w:i/>
              </w:rPr>
              <w:t>vyzýva Súdny dvor, aby v súvislosti s ďalším postupom udeľovania absolutória predložil komplexné ex post hodnotenie reformy vrátane jej vplyvu na trvanie konaní a rozdelenie pracovného zaťaženia medzi oba súdy;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s uznaním berie na vedomie odpovede SDEÚ na dotazník týkajúci sa absolutória za rok 2024, pokiaľ ide o úsilie, ktoré SDEÚ vynaložil na dokončenie reformy súdnictva s cieľom čiastočne presunúť právomoc vydávať prejudiciálne rozhodnutia zo Súdneho dvora na Všeobecný súd a umožniť vykonávanie nového regulačného rámca od 1. októbra 2024; v tejto súvislosti berie na vedomie reorganizáciu štruktúry Všeobecného súdu, zmenu rokovacieho poriadku SDEÚ, prijatie nového súboru praktických pravidiel Všeobecného súdu na vykonávanie rokovacieho poriadku, prijatie nového rozhodnutia o podávaní a doručovaní procesných písomností prostredníctvom aplikácie e-Curia, vývoj nového softvéru („jednotné kontaktné miesto“) na rýchlu analýzu a spracovanie vecí a harmonizáciu postupov registrov oboch súdov v roku 2024; s uznaním konštatuje, že počas prvých troch mesiacov po nadobudnutí účinnosti reformy už bolo na Všeobecný súd prenesených 20 prejudiciálnych rozhodnutí, čo predstavuje prvé výsledky smerom k vyváženejšiemu rozdeleniu pracovného zaťaženia medzi oba súdy; konštatuje, že jedinými dodatočnými nákladmi spojenými s vykonávaním reformy súdnictva boli náklady súvisiace s IT na vytvorenie jednotného kontaktného miesta vo výške približne 805 000 EUR, pričom pokiaľ ide o zamestnancov, reforma zostala rozpočtovo neutrálna vďaka presunu pracovných miest a povinností v rámci inštitúcie;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s uznaním berie na vedomie odpovede SDEÚ na dotazník týkajúci sa absolutória za rok 2024, pokiaľ ide o úsilie, ktoré SDEÚ vynaložil na dokončenie reformy súdnictva s cieľom čiastočne presunúť právomoc vydávať prejudiciálne rozhodnutia zo Súdneho dvora na Všeobecný súd a umožniť vykonávanie nového regulačného rámca od 1. októbra 2024; v tejto súvislosti berie na vedomie reorganizáciu štruktúry Všeobecného súdu, zmenu rokovacieho poriadku SDEÚ, prijatie nového súboru praktických pravidiel Všeobecného súdu na vykonávanie rokovacieho poriadku, prijatie nového rozhodnutia o podávaní a doručovaní procesných písomností prostredníctvom aplikácie e-Curia, vývoj nového softvéru („jednotné kontaktné miesto“) na rýchlu analýzu a spracovanie vecí a harmonizáciu postupov registrov oboch súdov v roku 2024; s uznaním konštatuje, že počas prvých troch mesiacov po nadobudnutí účinnosti reformy už bolo na Všeobecný súd prenesených 20 prejudiciálnych rozhodnutí, čo predstavuje prvé výsledky smerom k vyváženejšiemu rozdeleniu pracovného zaťaženia medzi oba súdy; konštatuje, že jedinými dodatočnými nákladmi spojenými s vykonávaním reformy súdnictva boli náklady súvisiace s IT na vytvorenie jednotného kontaktného miesta vo výške približne 805 000 EUR, pričom pokiaľ ide o zamestnancov, reforma zostala rozpočtovo neutrálna vďaka presunu pracovných miest a povinností v rámci inštitúcie; </w:t>
            </w:r>
            <w:r>
              <w:rPr>
                <w:b/>
                <w:i/>
              </w:rPr>
              <w:t>vyzýva SDEÚ, aby v rámci budúcich postupov udeľovania absolutória podal správu o konkrétnom vplyve reformy súdnictva na efektívnosť, trvanie konaní a rozdelenie pracovného zaťaženia;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s uznaním berie na vedomie odpovede SDEÚ na dotazník týkajúci sa absolutória za rok 2024, pokiaľ ide o úsilie, ktoré SDEÚ vynaložil na dokončenie reformy súdnictva s cieľom čiastočne presunúť právomoc vydávať prejudiciálne rozhodnutia zo Súdneho dvora na Všeobecný súd a umožniť vykonávanie nového regulačného rámca od 1. októbra 2024; v tejto súvislosti berie na vedomie reorganizáciu štruktúry Všeobecného súdu, zmenu rokovacieho poriadku SDEÚ, prijatie nového súboru praktických pravidiel Všeobecného súdu na vykonávanie rokovacieho poriadku, prijatie nového rozhodnutia o podávaní a doručovaní procesných písomností prostredníctvom aplikácie e-Curia, vývoj nového softvéru („jednotné kontaktné miesto“) na rýchlu analýzu a spracovanie vecí a harmonizáciu postupov registrov oboch súdov v roku 2024; s uznaním konštatuje, že počas prvých troch mesiacov po nadobudnutí účinnosti reformy už bolo na Všeobecný súd prenesených </w:t>
            </w:r>
            <w:r>
              <w:rPr>
                <w:b/>
                <w:i/>
              </w:rPr>
              <w:t>20</w:t>
            </w:r>
            <w:r>
              <w:t xml:space="preserve"> prejudiciálnych rozhodnutí, čo predstavuje prvé výsledky smerom k vyváženejšiemu rozdeleniu pracovného zaťaženia medzi oba súdy; konštatuje, že jedinými dodatočnými nákladmi spojenými s vykonávaním reformy súdnictva boli náklady súvisiace s IT na vytvorenie jednotného kontaktného miesta vo výške približne 805 000 EUR, pričom pokiaľ ide o zamestnancov, reforma zostala rozpočtovo neutrálna vďaka presunu pracovných miest a povinností v rámci inštitúcie;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s uznaním berie na vedomie odpovede SDEÚ na dotazník týkajúci sa absolutória za rok 2024, pokiaľ ide o úsilie, ktoré SDEÚ vynaložil na dokončenie reformy súdnictva s cieľom čiastočne presunúť právomoc vydávať prejudiciálne rozhodnutia zo Súdneho dvora na Všeobecný súd a umožniť vykonávanie nového regulačného rámca od 1. októbra 2024; v tejto súvislosti berie na vedomie reorganizáciu štruktúry Všeobecného súdu, zmenu rokovacieho poriadku SDEÚ, prijatie nového súboru praktických pravidiel Všeobecného súdu na vykonávanie rokovacieho poriadku, prijatie nového rozhodnutia o podávaní a doručovaní procesných písomností prostredníctvom aplikácie e-Curia, vývoj nového softvéru („jednotné kontaktné miesto“) na rýchlu analýzu a spracovanie vecí a harmonizáciu postupov registrov oboch súdov v roku 2024; s uznaním konštatuje, že počas prvých troch mesiacov po nadobudnutí účinnosti reformy už bolo na Všeobecný súd prenesených </w:t>
            </w:r>
            <w:r>
              <w:rPr>
                <w:b/>
                <w:i/>
              </w:rPr>
              <w:t>19</w:t>
            </w:r>
            <w:r>
              <w:t xml:space="preserve"> prejudiciálnych rozhodnutí, čo predstavuje prvé výsledky smerom k vyváženejšiemu rozdeleniu pracovného zaťaženia medzi oba súdy; konštatuje, že jedinými dodatočnými nákladmi spojenými s vykonávaním reformy súdnictva boli náklady súvisiace s IT na vytvorenie jednotného kontaktného miesta vo výške približne 805 000 EUR, pričom pokiaľ ide o zamestnancov, reforma zostala rozpočtovo neutrálna vďaka presunu pracovných miest a povinností v rámci inštitúcie;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konštatuje, že v roku 2024 Súdny dvor rozhodol v 12 veciach týkajúcich sa zásady prednosti práva Únie, z toho v desiatich veciach šlo o prejudiciálne rozhodnutia a v dvoch veciach o prípady nesplnenia povinnosti; pripomína zásadný význam zásady prednosti práva Únie, ktorá zabezpečuje jednotný výklad a uplatňovanie práva Únie vo všetkých členských štátoch a chráni právny štát ako základnú hodnotu Únie; dôrazne potvrdzuje, že prednosť práva Únie je základným kameňom právneho poriadku Únie, a zdôrazňuje kľúčovú úlohu SDEÚ pri presadzovaní právneho štátu v celej Únii;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konštatuje, že v roku 2024 Súdny dvor rozhodol v 12 veciach týkajúcich sa zásady prednosti práva Únie, z toho v desiatich veciach šlo o prejudiciálne rozhodnutia a v dvoch veciach o prípady nesplnenia povinnosti; pripomína zásadný význam zásady prednosti práva Únie, ktorá zabezpečuje jednotný výklad a uplatňovanie práva Únie vo všetkých členských štátoch a chráni právny štát ako základnú hodnotu Únie; dôrazne potvrdzuje, že prednosť práva Únie je základným kameňom právneho poriadku Únie, a zdôrazňuje kľúčovú úlohu SDEÚ pri presadzovaní právneho štátu v celej Únii; </w:t>
            </w:r>
            <w:r>
              <w:rPr>
                <w:b/>
                <w:i/>
              </w:rPr>
              <w:t>v tejto súvislosti konštatuje, že v článku 4 ods. 2 Zmluvy o Európskej únii sa stanovuje, že „Únia rešpektuje rovnosť členských štátov pred zmluvami, ako aj ich národnú identitu, obsiahnutú v ich základných, politických a ústavných systémoch vrátane regionálnych a miestnych samospráv.</w:t>
            </w:r>
            <w:r>
              <w:t xml:space="preserve"> </w:t>
            </w:r>
            <w:r>
              <w:rPr>
                <w:b/>
                <w:i/>
              </w:rPr>
              <w:t>Rešpektuje ich základné štátne funkcie [...]“;</w:t>
            </w:r>
            <w:r>
              <w:t xml:space="preserve"> </w:t>
            </w:r>
            <w:r>
              <w:rPr>
                <w:b/>
                <w:i/>
              </w:rPr>
              <w:t>zdôrazňuje, že vzťah medzi ústavami členských štátov a právom Únie sa naďalej riadi bezpodmienečne platnou zásadou nadradenosti vnútroštátnych ústav;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konštatuje, že v roku 2024 Súdny dvor rozhodol v 12 veciach týkajúcich sa zásady prednosti práva Únie, z toho v desiatich veciach šlo o prejudiciálne rozhodnutia a v dvoch veciach o prípady nesplnenia povinnosti; pripomína zásadný význam zásady prednosti práva Únie, ktorá zabezpečuje jednotný výklad a uplatňovanie práva Únie vo všetkých členských štátoch a chráni právny štát ako základnú hodnotu Únie; dôrazne potvrdzuje, že prednosť práva Únie je základným kameňom právneho poriadku Únie, a zdôrazňuje kľúčovú úlohu SDEÚ pri presadzovaní právneho štátu v celej Únii;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konštatuje, že v roku 2024 Súdny dvor rozhodol v 12 veciach týkajúcich sa zásady prednosti práva Únie, z toho v desiatich veciach šlo o prejudiciálne rozhodnutia a v dvoch veciach o prípady nesplnenia povinnosti; pripomína zásadný význam zásady prednosti práva Únie, ktorá zabezpečuje jednotný výklad a uplatňovanie práva Únie vo všetkých členských štátoch a chráni právny štát ako základnú hodnotu Únie; dôrazne potvrdzuje, že prednosť práva Únie je základným kameňom právneho poriadku Únie, a zdôrazňuje kľúčovú úlohu SDEÚ pri presadzovaní právneho štátu v celej Únii</w:t>
            </w:r>
            <w:r>
              <w:rPr>
                <w:b/>
                <w:i/>
              </w:rPr>
              <w:t>, pričom pripomína, že uplatňovanie zásady prednosti musí zostať pevne zakotvené v zmluvách a musí sa vykonávať s náležitým ohľadom na národné ústavné identity v súlade s článkom 4 ods. 2 Zmluvy o EÚ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</w:t>
            </w:r>
            <w:r>
              <w:tab/>
            </w:r>
            <w:r>
              <w:rPr>
                <w:b/>
                <w:i/>
              </w:rPr>
              <w:t>súhlasí so SDEÚ, že Komisia ako strážkyňa zmlúv by mala monitorovať, ako členské štáty dodržiavajú rozsudky SDEÚ, ale opakuje svoju výzvu adresovanú Súdnemu dvoru, aby stanovil mechanizmus na identifikáciu najlepších a nesprávnych postupov medzi členskými štátmi;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súhlasí so SDEÚ, že Komisia ako strážkyňa zmlúv by mala monitorovať, ako členské štáty dodržiavajú rozsudky SDEÚ</w:t>
            </w:r>
            <w:r>
              <w:rPr>
                <w:b/>
                <w:i/>
              </w:rPr>
              <w:t>, ale</w:t>
            </w:r>
            <w:r>
              <w:t xml:space="preserve"> opakuje svoju výzvu adresovanú Súdnemu dvoru, aby stanovil mechanizmus na identifikáciu najlepších a nesprávnych postupov </w:t>
            </w:r>
            <w:r>
              <w:rPr>
                <w:b/>
                <w:i/>
              </w:rPr>
              <w:t>medzi členskými štátmi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súhlasí so SDEÚ, že Komisia ako strážkyňa zmlúv by mala monitorovať, ako členské štáty dodržiavajú rozsudky SDEÚ</w:t>
            </w:r>
            <w:r>
              <w:rPr>
                <w:b/>
                <w:i/>
              </w:rPr>
              <w:t>;</w:t>
            </w:r>
            <w:r>
              <w:t xml:space="preserve"> opakuje svoju výzvu adresovanú Súdnemu dvoru, aby </w:t>
            </w:r>
            <w:r>
              <w:rPr>
                <w:b/>
                <w:i/>
              </w:rPr>
              <w:t>prísne v medziach svojej úlohy</w:t>
            </w:r>
            <w:r>
              <w:t xml:space="preserve"> stanovil mechanizmus na identifikáciu najlepších a nesprávnych postupov </w:t>
            </w:r>
            <w:r>
              <w:rPr>
                <w:b/>
                <w:i/>
              </w:rPr>
              <w:t>členských štátov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konštatuje, že priemerná dĺžka konaní vo veciach uzavretých Súdnym dvorom v roku 2024 bola 17,7 mesiaca v porovnaní so 16,1 mesiaca v roku 2023, pričom príslušné zvýšenie približne o šesť týždňov bolo spôsobené zložitosťou a rozsiahlosťou niektorých spisov (ako sú žaloby podané v roku 2020 proti tzv. balíku Únie v oblasti mobility a uzavreté v roku 2024); konštatuje, že priemerná dĺžka konaní vo veciach ukončených rozsudkom alebo uznesením Všeobecného súdu sa zvýšila z 18,2 mesiaca v roku 2023 na 18,5 mesiaca v roku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konštatuje, že priemerná dĺžka konaní vo veciach uzavretých Súdnym dvorom v roku 2024 bola 17,7 mesiaca v porovnaní so 16,1 mesiaca v roku 2023, pričom príslušné zvýšenie približne o šesť týždňov bolo spôsobené zložitosťou a rozsiahlosťou niektorých spisov (ako sú žaloby podané v roku 2020 proti tzv. balíku Únie v oblasti mobility a uzavreté v roku 2024); konštatuje, že priemerná dĺžka konaní vo veciach ukončených rozsudkom alebo uznesením Všeobecného súdu sa zvýšila z 18,2 mesiaca v roku 2023 na 18,5 mesiaca v roku 2024; </w:t>
            </w:r>
            <w:r>
              <w:rPr>
                <w:b/>
                <w:i/>
              </w:rPr>
              <w:t>zdôrazňuje, že včasnosť súdnych konaní musí zostať hlavným cieľom výkonnosti, keďže ich nadmerná dĺžka priamo ovplyvňuje právnu istotu občanov, vnútroštátnych súdov a hospodárskych subjektov;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16.</w:t>
            </w:r>
            <w:r>
              <w:tab/>
            </w:r>
            <w:r>
              <w:rPr>
                <w:b/>
                <w:i/>
              </w:rPr>
              <w:t>víta prístup založený na výkonnosti, ktorý vypracoval SDEÚ a ktorý mu umožňuje prijímať rozhodnutia na základe úrovne dosiahnutia jeho cieľov meraných prostredníctvom súboru ukazovateľov pracovného zaťaženia a operačných ukazovateľov (napr. nákladová efektívnosť, miera dokončenia projektov, spokojnosť používateľov a optimalizácia zdrojov) prispôsobených každému oddeleniu;</w:t>
            </w:r>
            <w:r>
              <w:t xml:space="preserve"> </w:t>
            </w:r>
            <w:r>
              <w:rPr>
                <w:b/>
                <w:i/>
              </w:rPr>
              <w:t>konštatuje, že kľúčové ukazovatele výkonnosti, ktoré používa SDEÚ, sa týkajú širokej škály osobitných oblastí na účel podpory piatich cieľov v oblasti riadenia v súvislosti s riadnym fungovaním oboch súdov, a to digitalizácie a vznikajúcich technológií, otvorenosti a transparentnosti, mnohojazyčnosti a riadenia ľudských zdrojov;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víta prístup založený na výkonnosti, ktorý vypracoval SDEÚ a ktorý mu umožňuje prijímať rozhodnutia na základe úrovne dosiahnutia jeho cieľov meraných prostredníctvom súboru ukazovateľov pracovného zaťaženia a operačných ukazovateľov (napr. nákladová efektívnosť, miera dokončenia projektov, spokojnosť používateľov a optimalizácia zdrojov) prispôsobených každému oddeleniu; konštatuje, že kľúčové ukazovatele výkonnosti, ktoré používa SDEÚ, sa týkajú širokej škály osobitných oblastí na účel podpory piatich cieľov v oblasti riadenia v súvislosti s riadnym fungovaním oboch súdov, a to digitalizácie a vznikajúcich technológií, otvorenosti a transparentnosti, mnohojazyčnosti a riadenia ľudských zdrojov;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víta prístup založený na výkonnosti, ktorý vypracoval SDEÚ a ktorý mu umožňuje prijímať rozhodnutia na základe úrovne dosiahnutia jeho cieľov meraných prostredníctvom súboru ukazovateľov pracovného zaťaženia a operačných ukazovateľov (napr. nákladová efektívnosť, miera dokončenia projektov, spokojnosť používateľov a optimalizácia zdrojov) prispôsobených každému oddeleniu; konštatuje, že kľúčové ukazovatele výkonnosti, ktoré používa SDEÚ, sa týkajú širokej škály osobitných oblastí na účel podpory piatich cieľov v oblasti riadenia v súvislosti s riadnym fungovaním oboch súdov, a to digitalizácie a vznikajúcich technológií, otvorenosti a transparentnosti, mnohojazyčnosti a riadenia ľudských zdrojov; </w:t>
            </w:r>
            <w:r>
              <w:rPr>
                <w:b/>
                <w:i/>
              </w:rPr>
              <w:t>zdôrazňuje, že je potrebné, aby SDEÚ zabezpečil, aby tieto ukazovatele boli transparentné, orientované na výsledky a pravidelne preskúmavané s cieľom podporiť účinné riadenie a zodpovednosť;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víta jeho prístup, ktorý v roku 2024 prešiel revíziou, pokiaľ ide o návratnosť investícií do inovačných iniciatív, a to zohľadnením hodnotenia nákladov prostredníctvom parametrov, ako je vykonávanie a personálne úsilie, ročná údržba, náklady na dodávateľov a iné druhy nákladov, ako aj hodnotenie prínosov prostredníctvom parametrov, ako sú predpokladané zisky, strategické výhody a počet dotknutých používateľov;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víta jeho prístup, ktorý v roku 2024 prešiel revíziou, pokiaľ ide o návratnosť investícií do inovačných iniciatív, a to zohľadnením hodnotenia nákladov prostredníctvom parametrov, ako je vykonávanie a personálne úsilie, ročná údržba, náklady na dodávateľov a iné druhy nákladov, ako aj hodnotenie prínosov prostredníctvom parametrov, ako sú predpokladané zisky, strategické výhody a počet dotknutých používateľov; </w:t>
            </w:r>
            <w:r>
              <w:rPr>
                <w:b/>
                <w:i/>
              </w:rPr>
              <w:t>konštatuje, že SDEÚ v roku 2024 vykonal aj dôkladnú revíziu svojho systému na sledovanie riadenia projektov a finančné sledovanie projektov s cieľom zabezpečiť úplné podávanie správ a kontrolu nad poradenskými službami v oblasti digitalizácie fakturovanými na základe času do roku 2025;</w:t>
            </w:r>
            <w:r>
              <w:t xml:space="preserve"> </w:t>
            </w:r>
            <w:r>
              <w:rPr>
                <w:b/>
                <w:i/>
              </w:rPr>
              <w:t>vyzýva SDEÚ, aby o tejto záležitosti priebežne informoval orgán udeľujúci absolutórium;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konštatuje, že Súdny dvor sa skladá z 27 sudcov a 11 generálnych advokátov a Všeobecný súd sa skladá z 54 sudcov; ďalej konštatuje, že deväť nových sudcov na Súdnom dvore a dvaja noví sudcovia na Všeobecnom súde sa ujali funkcie z dôvodu čiastočnej náhrady v roku 2024; vyjadruje poľutovanie nad tým, že rodové zloženie na Súdnom dvore a Všeobecnom súde je naďalej veľmi nevyvážené; oceňuje list predsedu Všeobecného súdu predsedovi Konferencie zástupcov členských štátov v roku 2024, v ktorom vyzýva členské štáty, aby pri navrhovaní kandidátov na nahradenie sudcov a generálnych advokátov zohľadnili potrebu rodovej rovnováhy; opätovne vyzýva členské štáty, aby pri navrhovaní kandidátov na nahradenie sudcov zohľadnili potrebu rodovej rovnováhy;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konštatuje, že Súdny dvor sa skladá z 27 sudcov a 11 generálnych advokátov a Všeobecný súd sa skladá z 54 sudcov; ďalej konštatuje, že deväť nových sudcov na Súdnom dvore a dvaja noví sudcovia na Všeobecnom súde sa ujali funkcie z dôvodu čiastočnej náhrady v roku 2024; vyjadruje poľutovanie nad tým, že rodové zloženie na Súdnom dvore a Všeobecnom súde je naďalej veľmi nevyvážené; oceňuje list predsedu Všeobecného súdu predsedovi Konferencie zástupcov členských štátov v roku 2024, v ktorom vyzýva členské štáty, aby pri navrhovaní kandidátov na nahradenie sudcov a generálnych advokátov zohľadnili potrebu rodovej rovnováhy; opätovne vyzýva členské štáty, aby pri navrhovaní kandidátov na nahradenie sudcov zohľadnili potrebu rodovej rovnováhy</w:t>
            </w:r>
            <w:r>
              <w:rPr>
                <w:b/>
                <w:i/>
              </w:rPr>
              <w:t> a zároveň zabezpečili, aby nominácie boli naďalej založené na kritériách zásluh, kvalifikácie a nezávislosti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konštatuje, že v roku 2024 personál SDEÚ tvorilo 60,70 % žien a 39,30 % mužov; konštatuje, že zastúpenie žien bolo najvyššie v platových triedach asistentov (69,14 %), zatiaľ čo, bohužiaľ, najnižšie bolo na pozíciách vyššieho manažmentu (35,71 %); ďalej konštatuje zvýšenie podielu žien na pozíciách stredného manažmentu zo 43,33 % v roku 2023 na 51,61 % v roku 2024; na základe správy o riadení povoľujúceho úradníka vymenovaného delegovaním za rok 2024 s uspokojením konštatuje rastúci trend celkového zastúpenia žien na riadiacich pozíciách, a to z 37,50 % v roku 2018 na 48,70 % v roku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konštatuje, že v roku 2024 personál SDEÚ tvorilo 60,70 % žien a 39,30 % mužov; konštatuje, že zastúpenie žien bolo najvyššie v platových triedach asistentov (69,14 %), zatiaľ čo, bohužiaľ, najnižšie bolo na pozíciách vyššieho manažmentu (35,71 %); ďalej konštatuje zvýšenie podielu žien na pozíciách stredného manažmentu zo 43,33 % v roku 2023 na 51,61 % v roku 2024; na základe správy o riadení povoľujúceho úradníka vymenovaného delegovaním za rok 2024 s uspokojením konštatuje rastúci trend celkového zastúpenia žien na riadiacich pozíciách, a to z 37,50 % v roku 2018 na 48,70 % v roku 2024; </w:t>
            </w:r>
            <w:r>
              <w:rPr>
                <w:b/>
                <w:i/>
              </w:rPr>
              <w:t>zdôrazňuje, že pretrvávajúce nedostatočné zastúpenie žien na vyšších riadiacich pozíciách naďalej vyvoláva obavy, a nabáda súd, aby naďalej posilňoval cielené opatrenia zamerané na podporu kariérneho postupu a možností žien dosiahnuť vedúce pozície pri plnom dodržiavaní zásad zásluh a transparentnosti;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21a.‏</w:t>
            </w:r>
            <w:r>
              <w:tab/>
            </w:r>
            <w:r>
              <w:rPr>
                <w:b/>
                <w:i/>
              </w:rPr>
              <w:t>víta vytvorenie akčného plánu pre Istanbulský dohovor, ktorý zosúlaďuje opatrenia, vydáva odporúčania a organizuje informačné a vzdelávacie opatrenia pre všetkých zamestnancov s cieľom predchádzať prípadom obťažovania;</w:t>
            </w:r>
            <w:r>
              <w:t xml:space="preserve"> </w:t>
            </w:r>
            <w:r>
              <w:rPr>
                <w:b/>
                <w:i/>
              </w:rPr>
              <w:t>berie na vedomie ďalšie oznámené opatrenia, ktoré zahŕňajú pokračovanie spolupráce s vnútroštátnymi organizáciami pôsobiacimi v oblasti predchádzania násiliu páchanému na ženách, dodatočné iniciatívy na zvyšovanie informovanosti a školenia, ktoré zdôrazňujú najmä vplyv mikroagresií a rodových predsudkov;</w:t>
            </w:r>
            <w:r>
              <w:t xml:space="preserve"> </w:t>
            </w:r>
            <w:r>
              <w:rPr>
                <w:b/>
                <w:i/>
              </w:rPr>
              <w:t>v tejto súvislosti vyjadruje poľutovanie nad chýbajúcim povinným školením sudcov, ako sa uvádza v odpovediach SDEÚ na dotazník týkajúci sa absolutória za rok 2024;</w:t>
            </w:r>
            <w:r>
              <w:t xml:space="preserve"> </w:t>
            </w:r>
            <w:r>
              <w:rPr>
                <w:b/>
                <w:i/>
              </w:rPr>
              <w:t>naliehavo preto vyzýva na začlenenie všetkých jednotlivcov, zamestnancov aj sudcov, do povinných školení v oblasti predchádzania násiliu páchanému na ženách;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rPr>
                <w:b/>
                <w:i/>
              </w:rPr>
              <w:t>s uznaním</w:t>
            </w:r>
            <w:r>
              <w:t xml:space="preserve"> berie na vedomie </w:t>
            </w:r>
            <w:r>
              <w:rPr>
                <w:b/>
                <w:i/>
              </w:rPr>
              <w:t>rozmanitosť úsilia SDEÚ a jeho opatrení, ktoré zaviedol medzi svojimi zamestnancami, a to aj vo fáze prijímania do zamestnania, a ktoré podporujú rovnosť, začlenenie, vzájomný rešpekt a rozmanitosť;</w:t>
            </w:r>
            <w:r>
              <w:t xml:space="preserve"> </w:t>
            </w:r>
            <w:r>
              <w:rPr>
                <w:b/>
                <w:i/>
              </w:rPr>
              <w:t>predovšetkým</w:t>
            </w:r>
            <w:r>
              <w:t xml:space="preserve"> berie na vedomie </w:t>
            </w:r>
            <w:r>
              <w:rPr>
                <w:b/>
                <w:i/>
              </w:rPr>
              <w:t>začatie novej odbornej prípravy v oblasti rozmanitosti a začlenenia v roku 2024 so zameraním na prevenciu mikroagresie a od roku 2025 dve nové školenia o stanovovaní zdravých hraníc na zlepšenie výkonnosti a o prostredí bez obťažovania, ktoré boli zorganizované na základe odporúčaní medziútvarovej pracovnej skupiny SDEÚ pre Istanbulský dohovor;</w:t>
            </w:r>
            <w:r>
              <w:t xml:space="preserve"> </w:t>
            </w:r>
            <w:r>
              <w:rPr>
                <w:b/>
                <w:i/>
              </w:rPr>
              <w:t>s uznaním berie na vedomie personalizované podporné</w:t>
            </w:r>
            <w:r>
              <w:t xml:space="preserve"> opatrenia </w:t>
            </w:r>
            <w:r>
              <w:rPr>
                <w:b/>
                <w:i/>
              </w:rPr>
              <w:t>SDEÚ (týkajúce sa úloh, pracovného času a pracovných priestorov) zavedené od roku 2022 pre</w:t>
            </w:r>
            <w:r>
              <w:t xml:space="preserve"> zamestnancov </w:t>
            </w:r>
            <w:r>
              <w:rPr>
                <w:b/>
                <w:i/>
              </w:rPr>
              <w:t>so zdravotným postihnutím, zapojenie inštitúcie do Týždňa povedomia o zdravotnom postihnutí, ktorý bol zorganizovaný v roku 2024, a vývoj pilotného programu pre stážistov so zdravotným postihnutím od roku 2025</w:t>
            </w:r>
            <w:r>
              <w:t xml:space="preserve">; </w:t>
            </w:r>
            <w:r>
              <w:rPr>
                <w:b/>
                <w:i/>
              </w:rPr>
              <w:t>vyzýva SDEÚ, aby informoval orgán udeľujúci absolutórium o výsledku tohto programu;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berie na vedomie</w:t>
            </w:r>
            <w:r>
              <w:rPr>
                <w:b/>
                <w:i/>
              </w:rPr>
              <w:t>, že SDEÚ v roku 2024 vykonal opatrenia v prospech svojich zamestnancov a poskytol im školenia;</w:t>
            </w:r>
            <w:r>
              <w:t xml:space="preserve"> </w:t>
            </w:r>
            <w:r>
              <w:rPr>
                <w:b/>
                <w:i/>
              </w:rPr>
              <w:t>ďalej</w:t>
            </w:r>
            <w:r>
              <w:t xml:space="preserve"> berie na vedomie</w:t>
            </w:r>
            <w:r>
              <w:rPr>
                <w:b/>
                <w:i/>
              </w:rPr>
              <w:t>, že tieto</w:t>
            </w:r>
            <w:r>
              <w:t xml:space="preserve"> opatrenia </w:t>
            </w:r>
            <w:r>
              <w:rPr>
                <w:b/>
                <w:i/>
              </w:rPr>
              <w:t>sú určené na rozvoj interných</w:t>
            </w:r>
            <w:r>
              <w:t xml:space="preserve"> zamestnancov;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rPr>
                <w:b/>
                <w:i/>
              </w:rPr>
              <w:t>víta skutočnosť</w:t>
            </w:r>
            <w:r>
              <w:t xml:space="preserve">, že medzi zamestnancami SDEÚ sú zastúpení štátni príslušníci všetkých členských štátov </w:t>
            </w:r>
            <w:r>
              <w:rPr>
                <w:b/>
                <w:i/>
              </w:rPr>
              <w:t>Únie</w:t>
            </w:r>
            <w:r>
              <w:t xml:space="preserve">; </w:t>
            </w:r>
            <w:r>
              <w:rPr>
                <w:b/>
                <w:i/>
              </w:rPr>
              <w:t>konštatuje však, že niektoré štátne príslušnosti sú zastúpené viac než iné, pričom niektoré z nich sú do veľkej miery zastúpené nadmerne;</w:t>
            </w:r>
            <w:r>
              <w:t xml:space="preserve"> </w:t>
            </w:r>
            <w:r>
              <w:rPr>
                <w:b/>
                <w:i/>
              </w:rPr>
              <w:t>podporuje SDEÚ v zintenzívnení jeho úsilia o čo najširšiu propagáciu oznámení o voľných pracovných miestach prostredníctvom medziinštitucionálnych webových sídel, sietí sociálnych médií a úradu EPSO;</w:t>
            </w:r>
            <w:r>
              <w:t xml:space="preserve"> </w:t>
            </w:r>
            <w:r>
              <w:rPr>
                <w:b/>
                <w:i/>
              </w:rPr>
              <w:t>na základe správy o následných opatreniach berie na vedomie záväzok SDEÚ preskúmať relevantné údaje na zavedenie cielených opatrení zameraných na zlepšenie geografického zastúpenia svojich zamestnancov vrátane stážistov;</w:t>
            </w:r>
            <w:r>
              <w:t xml:space="preserve"> </w:t>
            </w:r>
            <w:r>
              <w:rPr>
                <w:b/>
                <w:i/>
              </w:rPr>
              <w:t>víta úsilie SDEÚ o zvýšenie povedomia o programoch stáží medzi vnútroštátnymi správnymi orgánmi a stálymi zastúpeniami nedostatočne zastúpených členských štátov;</w:t>
            </w:r>
            <w:r>
              <w:t xml:space="preserve"> </w:t>
            </w:r>
            <w:r>
              <w:rPr>
                <w:b/>
                <w:i/>
              </w:rPr>
              <w:t>s uspokojením konštatuje, že pokiaľ ide o stáže v rámci Európskej siete odbornej justičnej prípravy (EJTN), SDEÚ dostal v roku 2024 žiadosti od troch nových členských štátov, ktoré sa po prvýkrát zapojili do jeho dlhodobého programu odbornej prípravy pre vnútroštátnych odborníkov v oblasti justície;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rPr>
                <w:b/>
                <w:i/>
              </w:rPr>
              <w:t>berie na vedomie</w:t>
            </w:r>
            <w:r>
              <w:t>, že medzi zamestnancami SDEÚ sú zastúpení štátni príslušníci všetkých členských štátov;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oceňuje SDEÚ za jeho opatrenia na riešenie výziev v oblasti prijímania zamestnancov a na propagáciu Luxemburska ako miesta výkonu práce medzi mladými absolventmi; s uznaním berie na vedomie prínos SDEÚ k vytvoreniu a zavedeniu príspevku na bývanie vyplácaného so spätnou účinnosťou od 1. januára 2025 zamestnancom v nižších platových triedach, k príprave výberových konaní EPSO osobitne zameraných na zamestnancov, ktorí majú byť zamestnaní v Luxembursku, ako aj k informačným stretnutiam a letným školám; na základe správy o následných opatreniach konštatuje, že SDEÚ v mene medziinštitucionálnej skupiny na vysokej úrovni uskutočnil pilotný projekt/prieskum s cieľom zistiť, či by bolo možné uzavrieť zmluvu na služby prenájmu dočasného bývania (t. j. na obdobie najviac jedného roka) za trhovú cenu (alebo nižšiu), ktorú by platili priamo zamestnanci; ďalej konštatuje, že prieskum bol úspešný, a preto pracovná skupina predložila zúčastneným inštitúciám dohodu o úrovni poskytovaných služieb s cieľom poveriť SDEÚ, aby viedol rokovania o nehnuteľnostiach so subjektmi, ktoré predložili vhodné projekty; vyzýva SDEÚ, aby informoval orgán udeľujúci absolutórium o následných opatreniach v tejto veci;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oceňuje SDEÚ za jeho opatrenia na riešenie výziev v oblasti prijímania zamestnancov a na propagáciu Luxemburska ako miesta výkonu práce medzi mladými absolventmi; s uznaním berie na vedomie prínos SDEÚ k vytvoreniu a zavedeniu príspevku na bývanie vyplácaného so spätnou účinnosťou od 1. januára 2025 zamestnancom v nižších platových triedach, k príprave výberových konaní EPSO osobitne zameraných na zamestnancov, ktorí majú byť zamestnaní v Luxembursku, ako aj k informačným stretnutiam a letným školám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nabáda na intenzívnejšiu spoluprácu s úradom EPSO a inými inštitúciami s cieľom rozšíriť skupinu kvalifikovaných uchádzačov a posilniť súťažné výberové konania v špecializovaných oblastiach</w:t>
            </w:r>
            <w:r>
              <w:t>; na základe správy o následných opatreniach konštatuje, že SDEÚ v mene medziinštitucionálnej skupiny na vysokej úrovni uskutočnil pilotný projekt/prieskum s cieľom zistiť, či by bolo možné uzavrieť zmluvu na služby prenájmu dočasného bývania (t. j. na obdobie najviac jedného roka) za trhovú cenu (alebo nižšiu), ktorú by platili priamo zamestnanci; ďalej konštatuje, že prieskum bol úspešný, a preto pracovná skupina predložila zúčastneným inštitúciám dohodu o úrovni poskytovaných služieb s cieľom poveriť SDEÚ, aby viedol rokovania o nehnuteľnostiach so subjektmi, ktoré predložili vhodné projekty; vyzýva SDEÚ, aby informoval orgán udeľujúci absolutórium o následných opatreniach v tejto veci;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konštatuje, že v roku 2024 bolo zdokumentovaných </w:t>
            </w:r>
            <w:r>
              <w:rPr>
                <w:b/>
                <w:i/>
              </w:rPr>
              <w:t>19</w:t>
            </w:r>
            <w:r>
              <w:t xml:space="preserve"> prípadov vyhorenia, z toho osem nových prípadov bolo nahlásených v roku 2024 a deväť prípadov bolo nahlásených v roku 2023, pričom dotknutým zamestnancom bola poskytnutá odborná podpora a usmernenie; s uznaním konštatuje, že v roku 2024 bol SDEÚ naďalej priekopníkom v iniciatívach, ktoré podporujú fyzickú a duševnú pohodu zamestnancov a riešia vyhorenie a psychosociálne riziká a medzi ktoré patria napríklad konzultácie so sociálnym pracovníkom či psychológom, prednášky o bdelej pozornosti (mindfulness) a digitálnej rovnováhe, špecializované semináre a činnosti na zvyšovanie povedomia o zdravotných problémoch, školenia o prvej pomoci a nábor dvoch psychológov na čiastočný úväzok; uznáva úspech, pokiaľ ide o využívanie flexibilných foriem organizácie práce vrátane systému práce na diaľku SDEÚ, ktorý sa v konečnom dôsledku usiluje o lepšiu rovnováhu medzi pracovným a súkromným životom zamestnancov;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konštatuje, že v roku 2024 bolo zdokumentovaných </w:t>
            </w:r>
            <w:r>
              <w:rPr>
                <w:b/>
                <w:i/>
              </w:rPr>
              <w:t>17</w:t>
            </w:r>
            <w:r>
              <w:t xml:space="preserve"> prípadov vyhorenia, z toho osem nových prípadov bolo nahlásených v roku 2024 a deväť prípadov bolo nahlásených v roku 2023, pričom dotknutým zamestnancom bola poskytnutá odborná podpora a usmernenie; s uznaním konštatuje, že v roku 2024 bol SDEÚ naďalej priekopníkom v iniciatívach, ktoré podporujú fyzickú a duševnú pohodu zamestnancov a riešia vyhorenie a psychosociálne riziká a medzi ktoré patria napríklad konzultácie so sociálnym pracovníkom či psychológom, prednášky o bdelej pozornosti (mindfulness) a digitálnej rovnováhe, špecializované semináre a činnosti na zvyšovanie povedomia o zdravotných problémoch, školenia o prvej pomoci a nábor dvoch psychológov na čiastočný úväzok; uznáva úspech, pokiaľ ide o využívanie flexibilných foriem organizácie práce vrátane systému práce na diaľku SDEÚ, ktorý sa v konečnom dôsledku usiluje o lepšiu rovnováhu medzi pracovným a súkromným životom zamestnancov;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berie na vedomie, že v súlade s požiadavkou uvedenou v predchádzajúcich odporúčaniach k absolutóriu bol v marci 2024 prijatý nový kódex správania pre úradníkov a ostatných zamestnancov SDEÚ, ktorý odráža hodnoty a záväzok SDEÚ dodržiavať prísne etické normy; konštatuje, že kódex správania obsahuje ustanovenia o konflikte záujmov, povinnosti lojality, povinnosti zachovávať dôveru a diskrétnosť, externých činnostiach, pracovných činnostiach po odchode zo služby a publikáciách, ako aj ustanovenia zamerané proti obťažovaniu, a že sa vzťahuje aj na vyslaných národných expertov a odborných justičných stážistov v rámci siete EJTN; s uspokojením konštatuje, že odborná príprava týkajúca sa kódexu správania a práv a povinností zamestnancov je povinná pre nových pracovníkov a dôrazne sa odporúča všetkým zamestnancom SDEÚ, pričom v roku 2024 sa na takejto odbornej príprave zúčastnilo celkovo 747 osôb (t. j. 32,80 % celkového počtu úradníkov a zamestnancov SDEÚ); ďalej konštatuje, že podobná odborná príprava bola v roku 2024 ponúknutá aj novým členom SDEÚ; s uznaním berie na vedomie sieť „dôverných poradcov“ SDEÚ, ktorí pomáhajú zamestnancom v prípade obťažovania, ako aj program riadenia talentov ponúkaný administrátorom s vysokým potenciálom, ktorý zahŕňa okrem iného etické líderstvo;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berie na vedomie, že v súlade s požiadavkou uvedenou v predchádzajúcich odporúčaniach k absolutóriu bol v marci 2024 prijatý nový kódex správania pre úradníkov a ostatných zamestnancov SDEÚ, ktorý odráža hodnoty a záväzok SDEÚ dodržiavať prísne etické normy; konštatuje, že kódex správania obsahuje ustanovenia o konflikte záujmov, povinnosti lojality, povinnosti zachovávať dôveru a diskrétnosť, externých činnostiach, pracovných činnostiach po odchode zo služby a publikáciách, ako aj ustanovenia zamerané proti obťažovaniu, a že sa vzťahuje aj na vyslaných národných expertov a odborných justičných stážistov v rámci siete EJTN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konštatuje, že SDEÚ zaviedol všetky informačné a vzdelávacie opatrenia potrebné na čo najširšiu prezentáciu a vysvetlenie kódexu správania a nato, aby zamestnanci plne porozumeli novým pravidlám a širšiemu právnemu rámcu, ktorého sú súčasťou</w:t>
            </w:r>
            <w:r>
              <w:t>; s uspokojením konštatuje, že odborná príprava týkajúca sa kódexu správania a práv a povinností zamestnancov je povinná pre nových pracovníkov a dôrazne sa odporúča všetkým zamestnancom SDEÚ, pričom v roku 2024 sa na takejto odbornej príprave zúčastnilo celkovo 747 osôb (t. j. 32,80 % celkového počtu úradníkov a zamestnancov SDEÚ); ďalej konštatuje, že podobná odborná príprava bola v roku 2024 ponúknutá aj novým členom SDEÚ; s uznaním berie na vedomie sieť „dôverných poradcov“ SDEÚ, ktorí pomáhajú zamestnancom v prípade obťažovania, ako aj program riadenia talentov ponúkaný administrátorom s vysokým potenciálom, ktorý zahŕňa okrem iného etické líderstvo;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berie na vedomie, že v súlade s požiadavkou uvedenou v predchádzajúcich odporúčaniach k absolutóriu bol v marci 2024 prijatý nový kódex správania pre úradníkov a ostatných zamestnancov SDEÚ, ktorý odráža hodnoty a záväzok SDEÚ dodržiavať prísne etické normy; konštatuje, že kódex správania obsahuje ustanovenia o konflikte záujmov, povinnosti lojality, povinnosti zachovávať dôveru a diskrétnosť, externých činnostiach, pracovných činnostiach po odchode zo služby a publikáciách, ako aj ustanovenia zamerané proti obťažovaniu, a že sa vzťahuje aj na vyslaných národných expertov a odborných justičných stážistov v rámci siete EJTN; s uspokojením konštatuje, že odborná príprava týkajúca sa kódexu správania a práv a povinností zamestnancov je povinná pre nových pracovníkov a dôrazne sa odporúča všetkým zamestnancom SDEÚ, pričom v roku 2024 sa na takejto odbornej príprave zúčastnilo celkovo 747 osôb (t. j. 32,80 % celkového počtu úradníkov a zamestnancov SDEÚ); ďalej konštatuje, že podobná odborná príprava bola v roku 2024 ponúknutá aj novým členom SDEÚ; s uznaním berie na vedomie sieť „dôverných poradcov“ SDEÚ, ktorí pomáhajú zamestnancom v prípade obťažovania, ako aj program riadenia talentov ponúkaný administrátorom s vysokým potenciálom, ktorý zahŕňa okrem iného etické líderstvo;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berie na vedomie, že v súlade s požiadavkou uvedenou v predchádzajúcich odporúčaniach k absolutóriu bol v marci 2024 prijatý nový kódex správania pre úradníkov a ostatných zamestnancov SDEÚ, ktorý odráža hodnoty a záväzok SDEÚ dodržiavať prísne etické normy; konštatuje, že kódex správania obsahuje ustanovenia o konflikte záujmov, povinnosti lojality, povinnosti zachovávať dôveru a diskrétnosť, externých činnostiach, pracovných činnostiach po odchode zo služby a publikáciách, ako aj ustanovenia zamerané proti obťažovaniu, a že sa vzťahuje aj na vyslaných národných expertov a odborných justičných stážistov v rámci siete EJTN; s uspokojením konštatuje, že odborná príprava týkajúca sa kódexu správania a práv a povinností zamestnancov je povinná pre nových pracovníkov a dôrazne sa odporúča všetkým zamestnancom SDEÚ, pričom v roku 2024 sa na takejto odbornej príprave zúčastnilo celkovo 747 osôb (t. j. 32,80 % celkového počtu úradníkov a zamestnancov SDEÚ); ďalej konštatuje, že podobná odborná príprava bola v roku 2024 ponúknutá aj novým členom SDEÚ; s uznaním berie na vedomie sieť „dôverných poradcov“ SDEÚ, ktorí pomáhajú zamestnancom v prípade obťažovania, ako aj program riadenia talentov ponúkaný administrátorom s vysokým potenciálom, ktorý zahŕňa okrem iného etické líderstvo; </w:t>
            </w:r>
            <w:r>
              <w:rPr>
                <w:b/>
                <w:i/>
              </w:rPr>
              <w:t>nabáda Súdny dvor, aby postupne posilňoval poskytovanie odbornej prípravy týkajúcej sa kódexu správania všetkým zamestnancom bez výnimky s cieľom zabezpečiť spoločné chápanie etických noriem v celej inštitúcii;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berie na vedomie, že v súlade s požiadavkou uvedenou v predchádzajúcich odporúčaniach k absolutóriu bol v marci 2024 prijatý nový kódex správania pre úradníkov a ostatných zamestnancov SDEÚ, ktorý odráža hodnoty a záväzok SDEÚ dodržiavať prísne etické normy; konštatuje, že kódex správania obsahuje ustanovenia o konflikte záujmov, povinnosti lojality, povinnosti zachovávať dôveru a diskrétnosť, externých činnostiach, pracovných činnostiach po odchode zo služby a publikáciách, ako aj ustanovenia zamerané proti obťažovaniu, a že sa vzťahuje aj na vyslaných národných expertov a odborných justičných stážistov v rámci siete EJTN; s uspokojením konštatuje, že odborná príprava týkajúca sa kódexu správania a práv a povinností zamestnancov je povinná pre nových pracovníkov a dôrazne sa odporúča všetkým zamestnancom SDEÚ, pričom v roku 2024 sa na takejto odbornej príprave zúčastnilo celkovo </w:t>
            </w:r>
            <w:r>
              <w:rPr>
                <w:b/>
                <w:i/>
              </w:rPr>
              <w:t>747</w:t>
            </w:r>
            <w:r>
              <w:t xml:space="preserve"> osôb (t. j. </w:t>
            </w:r>
            <w:r>
              <w:rPr>
                <w:b/>
                <w:i/>
              </w:rPr>
              <w:t>32,80</w:t>
            </w:r>
            <w:r>
              <w:t xml:space="preserve"> % celkového počtu úradníkov a zamestnancov SDEÚ); ďalej konštatuje, že podobná odborná príprava bola v roku 2024 ponúknutá aj novým členom SDEÚ; s uznaním berie na vedomie sieť „dôverných poradcov“ SDEÚ, ktorí pomáhajú zamestnancom v prípade obťažovania, ako aj program riadenia talentov ponúkaný administrátorom s vysokým potenciálom, ktorý zahŕňa okrem iného etické líderstvo;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berie na vedomie, že v súlade s požiadavkou uvedenou v predchádzajúcich odporúčaniach k absolutóriu bol v marci 2024 prijatý nový kódex správania pre úradníkov a ostatných zamestnancov SDEÚ, ktorý odráža hodnoty a záväzok SDEÚ dodržiavať prísne etické normy; konštatuje, že kódex správania obsahuje ustanovenia o konflikte záujmov, povinnosti lojality, povinnosti zachovávať dôveru a diskrétnosť, externých činnostiach, pracovných činnostiach po odchode zo služby a publikáciách, ako aj ustanovenia zamerané proti obťažovaniu, a že sa vzťahuje aj na vyslaných národných expertov a odborných justičných stážistov v rámci siete EJTN; s uspokojením konštatuje, že odborná príprava týkajúca sa kódexu správania a práv a povinností zamestnancov je povinná pre nových pracovníkov a dôrazne sa odporúča všetkým zamestnancom SDEÚ, pričom v roku 2024 sa na takejto odbornej príprave zúčastnilo celkovo </w:t>
            </w:r>
            <w:r>
              <w:rPr>
                <w:b/>
                <w:i/>
              </w:rPr>
              <w:t>561</w:t>
            </w:r>
            <w:r>
              <w:t xml:space="preserve"> osôb (t. j. </w:t>
            </w:r>
            <w:r>
              <w:rPr>
                <w:b/>
                <w:i/>
              </w:rPr>
              <w:t>24,75</w:t>
            </w:r>
            <w:r>
              <w:t xml:space="preserve"> % celkového počtu úradníkov a zamestnancov SDEÚ); ďalej konštatuje, že podobná odborná príprava bola v roku 2024 ponúknutá aj novým členom SDEÚ; s uznaním berie na vedomie sieť „dôverných poradcov“ SDEÚ, ktorí pomáhajú zamestnancom v prípade obťažovania, ako aj program riadenia talentov ponúkaný administrátorom s vysokým potenciálom, ktorý zahŕňa okrem iného etické líderstvo;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>víta zapojenie SDEÚ do zlepšovania transparentnosti, prístupu k spravodlivosti a otvorenosti voči verejnosti, čím prispieva k posilňovaniu dôvery verejnosti v inštitúcie Únie a zároveň vyvažuje iné základné záujmy, ako je pokojný priebeh súdnych konaní, dôvernosť konaní a ochrana osobných údajov; konštatuje, že SDEÚ v roku 2024 posilnil službu strímingu vypočutí na Súdnom dvore a Všeobecnom súde prostredníctvom webového sídla Curia, čím uľahčil prístup občanov k súdnym činnostiam SDEÚ; v tejto súvislosti víta, že vďaka reforme súdnictva prijatej v roku 2024 sa zvýšila transparentnosť prejudiciálneho konania tým, že sa umožnilo uverejňovanie písomných pripomienok na webovom sídle SDEÚ v primeranej lehote po skončení súdneho konania;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>víta zapojenie SDEÚ do zlepšovania transparentnosti, prístupu k spravodlivosti a otvorenosti voči verejnosti, čím prispieva k posilňovaniu dôvery verejnosti v inštitúcie Únie a zároveň vyvažuje iné základné záujmy, ako je pokojný priebeh súdnych konaní, dôvernosť konaní a ochrana osobných údajov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zdôrazňuje, že zvýšená transparentnosť musí slúžiť aj na posilnenie dôvery verejnosti v judikatúru Súdneho dvora;</w:t>
            </w:r>
            <w:r>
              <w:t xml:space="preserve"> </w:t>
            </w:r>
            <w:r>
              <w:rPr>
                <w:b/>
                <w:i/>
              </w:rPr>
              <w:t>nabáda Súdny dvor, aby pokračoval v úsilí o zlepšenie zrozumiteľnosti, prístupnosti a predvídateľnosti svojej judikatúry, najmä v prípadoch s významným ústavným alebo spoločenským vplyvom</w:t>
            </w:r>
            <w:r>
              <w:t>; konštatuje, že SDEÚ v roku 2024 posilnil službu strímingu vypočutí na Súdnom dvore a Všeobecnom súde prostredníctvom webového sídla Curia, čím uľahčil prístup občanov k súdnym činnostiam SDEÚ; v tejto súvislosti víta, že vďaka reforme súdnictva prijatej v roku 2024 sa zvýšila transparentnosť prejudiciálneho konania tým, že sa umožnilo uverejňovanie písomných pripomienok na webovom sídle SDEÚ v primeranej lehote po skončení súdneho konania;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>na základe správy o následných opatreniach s uspokojením konštatuje, že v nadväznosti na úspešný pilotný projekt, ktorý sa začal v roku 2022, a na aktualizáciu svojho rokovacieho poriadku v roku 2024 Súdny dvor rozšíril strímingovú službu tak, aby zahŕňala dôležité veci prejednávané päťčlennou komorou, ako aj takmer živý stríming vypočutí prednesov a priamy prenos vyhlásení rozsudkov a návrhov generálnych advokátov; ďalej konštatuje, že od 1. septembra 2024 zostávajú videozáznamy vypočutí s vyhlásením rozsudkov a prednesom návrhov trvalo dostupné na webovom sídle SDEÚ a videozáznamy prednesov sú prístupné jeden mesiac po vypočutí; s uznaním konštatuje, že Všeobecný súd prijal podobné opatrenia na zabezpečenie rozšíreného prístupu verejnosti k svojim konaniam;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 xml:space="preserve">na základe správy o následných opatreniach s uspokojením konštatuje, že v nadväznosti na úspešný pilotný projekt, ktorý sa začal v roku 2022, a na aktualizáciu svojho rokovacieho poriadku v roku 2024 Súdny dvor rozšíril strímingovú službu tak, aby zahŕňala dôležité veci prejednávané päťčlennou komorou, ako aj takmer živý stríming vypočutí prednesov a priamy prenos vyhlásení rozsudkov a návrhov generálnych advokátov; ďalej konštatuje, že od 1. septembra 2024 zostávajú videozáznamy vypočutí s vyhlásením rozsudkov a prednesom návrhov trvalo dostupné na webovom sídle SDEÚ a videozáznamy prednesov sú prístupné </w:t>
            </w:r>
            <w:r>
              <w:rPr>
                <w:b/>
                <w:i/>
              </w:rPr>
              <w:t>ešte</w:t>
            </w:r>
            <w:r>
              <w:t xml:space="preserve"> jeden mesiac po vypočutí; s uznaním konštatuje, že Všeobecný súd prijal podobné opatrenia na zabezpečenie rozšíreného prístupu verejnosti k svojim konaniam;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43.</w:t>
            </w:r>
            <w:r>
              <w:tab/>
            </w:r>
            <w:r>
              <w:t>so záujmom berie na vedomie, že v roku 2024 bol spustený pilotný projekt, ktorý všetkým oddeleniam SDEÚ poskytne prístup k virtuálnym asistentom; zdôrazňuje, že pri používaní nástrojov umelej inteligencie je dôležité zabezpečiť dodržiavanie etických zásad, a najmä usmernení SDEÚ v oblasti umelej inteligencie prijatých v roku 2024, čím sa zabezpečí ľudský dohľad nad zásadou nezávislosti súdnych konaní; v tejto súvislosti zdôrazňuje dozornú úlohu správnej rady SDEÚ pre umelú inteligenciu; oceňuje SDEÚ za komplexný program odbornej prípravy, ktorý zaviedol v roku 2024, počnúc Mesiacom informovanosti o umelej inteligencii, ktorý zahŕňal školenia, okrúhle stoly s odborníkmi na umelú inteligenciu, webináre a sústredenia, čím urobil prvý a dôležitý krok k vytváraniu povedomia zamestnancov o stratégii a usmerneniach SDEÚ v oblasti umelej inteligencie, ako aj o umelej inteligencii vo všeobecnosti; berie na vedomie, že zamestnanci takisto absolvujú kurzy o manažmente zmien, prenose znalostí, mentorstve a duševnej agilnosti, ktoré im pomáhajú prispôsobiť sa novým technológiám; vyzýva SDEÚ, aby pokračoval v organizovaní takýchto programov odbornej prípravy a zvyšovania povedomia;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43.</w:t>
            </w:r>
            <w:r>
              <w:tab/>
            </w:r>
            <w:r>
              <w:t>so záujmom berie na vedomie, že v roku 2024 bol spustený pilotný projekt, ktorý všetkým oddeleniam SDEÚ poskytne prístup k virtuálnym asistentom; zdôrazňuje, že pri používaní nástrojov umelej inteligencie je dôležité zabezpečiť dodržiavanie etických zásad, a najmä usmernení SDEÚ v oblasti umelej inteligencie prijatých v roku 2024, čím sa zabezpečí ľudský dohľad nad zásadou nezávislosti súdnych konaní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zdôrazňuje, že používanie nástrojov umelej inteligencie v justičnom prostredí nikdy nesmie nahradiť ľudskú právnu argumentáciu alebo diskrečnú právomoc súdu, ani oslabiť osobnú zodpovednosť sudcov</w:t>
            </w:r>
            <w:r>
              <w:t>; v tejto súvislosti zdôrazňuje dozornú úlohu správnej rady SDEÚ pre umelú inteligenciu; oceňuje SDEÚ za komplexný program odbornej prípravy, ktorý zaviedol v roku 2024, počnúc Mesiacom informovanosti o umelej inteligencii, ktorý zahŕňal školenia, okrúhle stoly s odborníkmi na umelú inteligenciu, webináre a sústredenia, čím urobil prvý a dôležitý krok k vytváraniu povedomia zamestnancov o stratégii a usmerneniach SDEÚ v oblasti umelej inteligencie, ako aj o umelej inteligencii vo všeobecnosti; berie na vedomie, že zamestnanci takisto absolvujú kurzy o manažmente zmien, prenose znalostí, mentorstve a duševnej agilnosti, ktoré im pomáhajú prispôsobiť sa novým technológiám; vyzýva SDEÚ, aby pokračoval v organizovaní takýchto programov odbornej prípravy a zvyšovania povedomia;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45.</w:t>
            </w:r>
            <w:r>
              <w:tab/>
            </w:r>
            <w:r>
              <w:t>konštatuje, že operatívne spôsobilosti v oblasti kybernetickej bezpečnosti sa v roku 2024 ešte viac posilnili s cieľom dosiahnuť súlad s nariadením (EÚ, Euratom) 2023/2841 a riešiť rastúci počet kybernetických útokov; konštatuje, že v roku 2024 nedošlo k žiadnym závažným kybernetickým útokom; so znepokojením konštatuje, že mesačne bolo zaznamenaných a analyzovaných v priemere 142 bezpečnostných incidentov, z ktorých niektoré si vyžadovali ľudský zásah;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45.</w:t>
            </w:r>
            <w:r>
              <w:tab/>
            </w:r>
            <w:r>
              <w:t xml:space="preserve">konštatuje, že operatívne spôsobilosti v oblasti kybernetickej bezpečnosti sa v roku 2024 ešte viac posilnili s cieľom dosiahnuť súlad s nariadením (EÚ, Euratom) 2023/2841 a riešiť rastúci počet kybernetických útokov; konštatuje, že v roku 2024 nedošlo k žiadnym závažným kybernetickým útokom; so znepokojením konštatuje, že mesačne bolo zaznamenaných a analyzovaných v priemere 142 bezpečnostných incidentov, z ktorých niektoré si vyžadovali ľudský zásah; </w:t>
            </w:r>
            <w:r>
              <w:rPr>
                <w:b/>
                <w:i/>
              </w:rPr>
              <w:t>zdôrazňuje, že tento trend zdôrazňuje potrebu trvalých a predvídateľných investícií do spôsobilostí, odbornej prípravy zamestnancov a medziinštitucionálnej spolupráce v oblasti kybernetickej bezpečnosti v súlade s nariadením (EÚ, Euratom) 2023/2841;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45.</w:t>
            </w:r>
            <w:r>
              <w:tab/>
            </w:r>
            <w:r>
              <w:t>konštatuje, že operatívne spôsobilosti v oblasti kybernetickej bezpečnosti sa v roku 2024 ešte viac posilnili s cieľom dosiahnuť súlad s nariadením (EÚ, Euratom) 2023/2841 a riešiť rastúci počet kybernetických útokov; konštatuje, že v roku 2024 nedošlo k žiadnym závažným kybernetickým útokom; so znepokojením konštatuje, že mesačne bolo zaznamenaných a analyzovaných v priemere 142 bezpečnostných incidentov, z ktorých niektoré si vyžadovali ľudský zásah;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45.</w:t>
            </w:r>
            <w:r>
              <w:tab/>
            </w:r>
            <w:r>
              <w:t xml:space="preserve">konštatuje, že operatívne spôsobilosti v oblasti kybernetickej bezpečnosti sa v roku 2024 ešte viac posilnili s cieľom dosiahnuť súlad s nariadením (EÚ, Euratom) 2023/2841 a riešiť rastúci počet kybernetických útokov; konštatuje, že v roku 2024 nedošlo k žiadnym závažným kybernetickým útokom; so znepokojením konštatuje, že mesačne bolo zaznamenaných a analyzovaných v priemere 142 bezpečnostných incidentov, z ktorých niektoré si vyžadovali ľudský zásah; </w:t>
            </w:r>
            <w:r>
              <w:rPr>
                <w:b/>
                <w:i/>
              </w:rPr>
              <w:t>zdôrazňuje, že kybernetická bezpečnosť je strategickou investíciou, ktorá je nevyhnutná na zabezpečenie nezávislosti súdnictva, integrity údajov a kontinuity súdnej činnosti;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>vyjadruje SDEÚ uznanie za jeho pokračujúce úsilie a významný pokrok pri znižovaní jeho environmentálnej stopy v roku 2024, o čom svedčí jeho výkonnosť v porovnaní s východiskovými hodnotami podľa schémy pre environmentálne manažérstvo a audit (EMAS) z roku 2015, pričom k zníženiu v prepočte na ekvivalent plného pracovného času došlo pri mnohých druhoch spotreby/emisií (vykurovanie: –37,5 %; elektrina: –29,3 %; papier: –64,2 %; odpad z kancelárií a jedální: –40,4 %; emisie skleníkových plynov: –</w:t>
            </w:r>
            <w:r>
              <w:rPr>
                <w:b/>
                <w:i/>
              </w:rPr>
              <w:t>30,20</w:t>
            </w:r>
            <w:r>
              <w:t xml:space="preserve"> %); konštatuje celkové zlepšenie v porovnaní so zníženiami nahlásenými za rok 2023; uznáva, že tieto výsledky spolu s podmienkami na trhu viedli k zníženiu výdavkov na energiu o 18 % v porovnaní s prognózami; v tejto súvislosti oceňuje pevné začlenenie udržateľnosti do rámca pre riadenie rizík a zodpovednosť SDEÚ, ako sa vyžaduje v jeho certifikácii EMAS;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>vyjadruje SDEÚ uznanie za jeho pokračujúce úsilie a významný pokrok pri znižovaní jeho environmentálnej stopy v roku 2024, o čom svedčí jeho výkonnosť v porovnaní s východiskovými hodnotami podľa schémy pre environmentálne manažérstvo a audit (EMAS) z roku 2015, pričom k zníženiu v prepočte na ekvivalent plného pracovného času došlo pri mnohých druhoch spotreby/emisií (vykurovanie: –37,5 %; elektrina: –29,3 %; papier: –64,2 %; odpad z kancelárií a jedální: –40,4 %; emisie skleníkových plynov: –</w:t>
            </w:r>
            <w:r>
              <w:rPr>
                <w:b/>
                <w:i/>
              </w:rPr>
              <w:t>26,7</w:t>
            </w:r>
            <w:r>
              <w:t> %); konštatuje celkové zlepšenie v porovnaní so zníženiami nahlásenými za rok 2023; uznáva, že tieto výsledky spolu s podmienkami na trhu viedli k zníženiu výdavkov na energiu o 18 % v porovnaní s prognózami; v tejto súvislosti oceňuje pevné začlenenie udržateľnosti do rámca pre riadenie rizík a zodpovednosť SDEÚ, ako sa vyžaduje v jeho certifikácii EMAS;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52.</w:t>
            </w:r>
            <w:r>
              <w:tab/>
            </w:r>
            <w:r>
              <w:rPr>
                <w:b/>
                <w:i/>
              </w:rPr>
              <w:t>oceňuje SDEÚ za jeho nekompromisný prístup k udržateľnému obstarávaniu prostredníctvom kategorizácie výziev na predkladanie ponúk („mierne zelená“, „stredne zelená“, „vysoko zelená“) na základe vplyvu ich environmentálnych doložiek, systematického využívania nástrojov, ako je povinné sebahodnotenie „ekologickej výkonnosti“, a konzultácie s medziinštitucionálnym asistenčným pracoviskom pre udržateľné verejné obstarávanie;</w:t>
            </w:r>
            <w:r>
              <w:t xml:space="preserve"> </w:t>
            </w:r>
            <w:r>
              <w:rPr>
                <w:b/>
                <w:i/>
              </w:rPr>
              <w:t>konštatuje, že v roku 2024 predstavovalo jedenásť veľkých verejných súťaží s hodnotou nad 60 000 EUR „zelené nákupy“, z ktorých osem obsahovalo významné environmentálne doložky; víta najmä úspešné vykonávanie novej zmluvy o poskytovaní stravovacích služieb, ktorá si vyžaduje udržateľné postupy týkajúce sa potravín a má certifikáciu ISO 14001, a dosiahnutie cieľa obmedziť „mierne zelené“ verejné súťaže na úroveň výrazne nižšiu než cieľových 50 %;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52.</w:t>
            </w:r>
            <w:r>
              <w:tab/>
            </w:r>
            <w:r>
              <w:t xml:space="preserve">oceňuje SDEÚ za jeho nekompromisný prístup k udržateľnému obstarávaniu prostredníctvom kategorizácie výziev na predkladanie ponúk („mierne zelená“, „stredne zelená“, „vysoko zelená“) na základe vplyvu ich environmentálnych doložiek, systematického využívania nástrojov, ako je povinné sebahodnotenie „ekologickej výkonnosti“, a konzultácie s medziinštitucionálnym asistenčným pracoviskom pre udržateľné verejné obstarávanie; konštatuje, že v roku 2024 predstavovalo </w:t>
            </w:r>
            <w:r>
              <w:rPr>
                <w:b/>
                <w:i/>
              </w:rPr>
              <w:t>jedenásť</w:t>
            </w:r>
            <w:r>
              <w:t xml:space="preserve"> veľkých verejných súťaží s hodnotou nad 60 000 EUR „zelené nákupy“, z ktorých </w:t>
            </w:r>
            <w:r>
              <w:rPr>
                <w:b/>
                <w:i/>
              </w:rPr>
              <w:t>osem</w:t>
            </w:r>
            <w:r>
              <w:t xml:space="preserve"> obsahovalo významné environmentálne doložky; víta najmä úspešné vykonávanie novej zmluvy o poskytovaní stravovacích služieb, ktorá si vyžaduje udržateľné postupy týkajúce sa potravín a má certifikáciu ISO 14001, a dosiahnutie cieľa obmedziť „mierne zelené“ verejné súťaže na úroveň výrazne nižšiu než cieľových 50 %;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52.</w:t>
            </w:r>
            <w:r>
              <w:tab/>
            </w:r>
            <w:r>
              <w:t xml:space="preserve">oceňuje SDEÚ za jeho nekompromisný prístup k udržateľnému obstarávaniu prostredníctvom kategorizácie výziev na predkladanie ponúk („mierne zelená“, „stredne zelená“, „vysoko zelená“) na základe vplyvu ich environmentálnych doložiek, systematického využívania nástrojov, ako je povinné sebahodnotenie „ekologickej výkonnosti“, a konzultácie s medziinštitucionálnym asistenčným pracoviskom pre udržateľné verejné obstarávanie; konštatuje, že v roku 2024 predstavovalo </w:t>
            </w:r>
            <w:r>
              <w:rPr>
                <w:b/>
                <w:i/>
              </w:rPr>
              <w:t>osem</w:t>
            </w:r>
            <w:r>
              <w:t xml:space="preserve"> veľkých verejných súťaží s hodnotou nad 60 000 EUR „zelené nákupy“, z ktorých </w:t>
            </w:r>
            <w:r>
              <w:rPr>
                <w:b/>
                <w:i/>
              </w:rPr>
              <w:t>šesť</w:t>
            </w:r>
            <w:r>
              <w:t xml:space="preserve"> obsahovalo významné environmentálne doložky; víta najmä úspešné vykonávanie novej zmluvy o poskytovaní stravovacích služieb, ktorá si vyžaduje udržateľné postupy týkajúce sa potravín a má certifikáciu ISO 14001, a dosiahnutie cieľa obmedziť „mierne zelené“ verejné súťaže na úroveň výrazne nižšiu než cieľových 50 %;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Julien Sanchez, Virginie Joron,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52a.</w:t>
            </w:r>
            <w:r>
              <w:tab/>
            </w:r>
            <w:r>
              <w:rPr>
                <w:b/>
                <w:i/>
              </w:rPr>
              <w:t>zdôrazňuje, že environmentálne iniciatívy v rámci inštitúcií Únie musia byť nákladovo efektívne a technologicky neutrálne;</w:t>
            </w:r>
            <w:r>
              <w:t xml:space="preserve"> </w:t>
            </w:r>
            <w:r>
              <w:rPr>
                <w:b/>
                <w:i/>
              </w:rPr>
              <w:t>vyzýva Súdny dvor, aby poskytol transparentnú analýzu nákladov a prínosov svojich ekologických investícií a postupov verejného obstarávania a zabezpečil, aby environmentálne aspekty nemali prednosť pred efektívnosťou alebo rozpočtovou disciplínou;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60.</w:t>
            </w:r>
            <w:r>
              <w:tab/>
            </w:r>
            <w:r>
              <w:t xml:space="preserve">konštatuje, že v roku 2024 SDEÚ posilnil svoje úsilie o komunikáciu s občanmi Únie tým, že zvýšil svoj dosah v sociálnych médiách; konštatuje, že na konci roka 2024 sa počet odberateľov účtu SDEÚ na LinkedIn zvýšil o 26 % a počet sledovateľov dvoch účtov SDEÚ na sieti X (bývalý Twitter) sa zvýšil o 2,5 %, zatiaľ čo počet pozretí na jeho kanáli YouTube sa zvýšil o </w:t>
            </w:r>
            <w:r>
              <w:rPr>
                <w:b/>
                <w:i/>
              </w:rPr>
              <w:t>236</w:t>
            </w:r>
            <w:r>
              <w:t xml:space="preserve"> % a počet jeho odberateľov na YouTube sa v porovnaní s predchádzajúcim rokom zvýšil o </w:t>
            </w:r>
            <w:r>
              <w:rPr>
                <w:b/>
                <w:i/>
              </w:rPr>
              <w:t>viac ako 400</w:t>
            </w:r>
            <w:r>
              <w:t xml:space="preserve"> %; konštatuje, že prudký nárast počtu pozretí a počtu odberateľov bol čiastočne spôsobený propagačnou kampaňou, ktorú zorganizoval SDEÚ;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60.</w:t>
            </w:r>
            <w:r>
              <w:tab/>
            </w:r>
            <w:r>
              <w:t xml:space="preserve">konštatuje, že v roku 2024 SDEÚ posilnil svoje úsilie o komunikáciu s občanmi Únie tým, že zvýšil svoj dosah v sociálnych médiách; konštatuje, že na konci roka 2024 sa počet odberateľov účtu SDEÚ na LinkedIn zvýšil o 26 % a počet sledovateľov dvoch účtov SDEÚ na sieti X (bývalý Twitter) sa zvýšil o 2,5 %, zatiaľ čo počet pozretí na jeho kanáli YouTube sa zvýšil o </w:t>
            </w:r>
            <w:r>
              <w:rPr>
                <w:b/>
                <w:i/>
              </w:rPr>
              <w:t>137</w:t>
            </w:r>
            <w:r>
              <w:t xml:space="preserve"> % a počet jeho odberateľov na YouTube sa v porovnaní s predchádzajúcim rokom zvýšil o </w:t>
            </w:r>
            <w:r>
              <w:rPr>
                <w:b/>
                <w:i/>
              </w:rPr>
              <w:t>329</w:t>
            </w:r>
            <w:r>
              <w:t xml:space="preserve"> %; konštatuje, že prudký nárast počtu pozretí a počtu odberateľov bol čiastočne spôsobený propagačnou kampaňou, ktorú zorganizoval SDEÚ;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60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60a.</w:t>
            </w:r>
            <w:r>
              <w:tab/>
            </w:r>
            <w:r>
              <w:rPr>
                <w:b/>
                <w:i/>
              </w:rPr>
              <w:t>nabáda Súdny dvor, aby ďalej rozvíjal komunikačné nástroje zamerané na občanov, najmä poskytovaním jasných, prístupných a právne presných vysvetlení prelomových rozsudkov s významnými dôsledkami pre vnútroštátne právne poriadky, a to pri plnom rešpektovaní nezávislosti súdnictva a procesnej dôvernosti;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784.145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31</w:t>
    </w:r>
    <w:r>
      <w:fldChar w:fldCharType="end"/>
    </w:r>
    <w:r>
      <w:tab/>
    </w:r>
    <w:r>
      <w:rPr>
        <w:rStyle w:val="HideTWBExt"/>
      </w:rPr>
      <w:t>&lt;PathFdR&gt;</w:t>
    </w:r>
    <w:r>
      <w:t>AM\1336272SK.docx</w:t>
    </w:r>
    <w:r>
      <w:rPr>
        <w:rStyle w:val="HideTWBExt"/>
      </w:rPr>
      <w:t>&lt;/PathFdR&gt;</w:t>
    </w:r>
  </w:p>
  <w:p>
    <w:pPr>
      <w:pStyle w:val="EPFooter2"/>
    </w:pPr>
    <w:r>
      <w:t>SK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AM\1336272SK.docx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31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784.145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SK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AM\1336272SK.docx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784.145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SK</w:t>
    </w:r>
    <w:r>
      <w:tab/>
    </w:r>
    <w:r>
      <w:rPr>
        <w:rStyle w:val="EPFooter2Motto"/>
      </w:rPr>
      <w:t>Zjednotení v rozmanitosti</w:t>
    </w:r>
    <w:r>
      <w:tab/>
    </w:r>
    <w:r>
      <w:t>SK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31</Pages>
  <Words>8860</Words>
  <Characters>54562</Characters>
  <Application>Microsoft Office Word</Application>
  <DocSecurity>0</DocSecurity>
  <Lines>1</Lines>
  <Paragraphs>351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1336272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376378</vt:lpwstr>
  </property>
  <property fmtid="{D5CDD505-2E9C-101B-9397-08002B2CF9AE}" pid="7" name="dmxml.render.traceId">
    <vt:lpwstr>698c9de82292673757a4aa292831f589</vt:lpwstr>
  </property>
  <property fmtid="{D5CDD505-2E9C-101B-9397-08002B2CF9AE}" pid="8" name="FooterPath">
    <vt:lpwstr>AM\1336272SK.docx</vt:lpwstr>
  </property>
  <property fmtid="{D5CDD505-2E9C-101B-9397-08002B2CF9AE}" pid="9" name="PE Number">
    <vt:lpwstr>784.145</vt:lpwstr>
  </property>
  <property fmtid="{D5CDD505-2E9C-101B-9397-08002B2CF9AE}" pid="10" name="UID">
    <vt:lpwstr>eu.europa.europarl-DIN1-2026-0000016485_01.00-sk-01.00_text-xml</vt:lpwstr>
  </property>
</Properties>
</file>