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Europaparlamentet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Budgetkontrollutskottet</w:t>
      </w:r>
      <w:r>
        <w:rPr>
          <w:rStyle w:val="HideTWBExt"/>
        </w:rPr>
        <w:t>&lt;/Commission&gt;</w:t>
      </w:r>
    </w:p>
    <w:p>
      <w:pPr>
        <w:pStyle w:val="LineBottom"/>
      </w:pPr>
      <w:r>
        <w:t xml:space="preserve"> </w:t>
      </w:r>
    </w:p>
    <w:p>
      <w:pPr>
        <w:pStyle w:val="CoverReference"/>
      </w:pPr>
      <w:r>
        <w:rPr>
          <w:rStyle w:val="HideTWBExt"/>
        </w:rPr>
        <w:t>&lt;RefProc&gt;</w:t>
      </w:r>
      <w:r>
        <w:t>2025/2148</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{28/01/2026}</w:t>
      </w:r>
      <w:r>
        <w:t>28.1.2026</w:t>
      </w:r>
      <w:r>
        <w:rPr>
          <w:rStyle w:val="HideTWBExt"/>
        </w:rPr>
        <w:t>&lt;/Date&gt;</w:t>
      </w:r>
    </w:p>
    <w:p>
      <w:pPr>
        <w:pStyle w:val="CoverDocType"/>
      </w:pPr>
      <w:r>
        <w:rPr>
          <w:rStyle w:val="HideTWBExt"/>
        </w:rPr>
        <w:t>&lt;TypeAM&gt;</w:t>
      </w:r>
      <w:r>
        <w:t>ÄNDRINGSFÖRSLAG</w:t>
      </w:r>
      <w:r>
        <w:rPr>
          <w:rStyle w:val="HideTWBExt"/>
        </w:rPr>
        <w:t>&lt;/TypeAM&gt;</w:t>
      </w:r>
    </w:p>
    <w:p>
      <w:pPr>
        <w:pStyle w:val="CoverDocType24a"/>
      </w:pPr>
      <w:r>
        <w:rPr>
          <w:rStyle w:val="HideTWBExt"/>
        </w:rPr>
        <w:t>&lt;RangeAM&gt;</w:t>
      </w:r>
      <w:r>
        <w:t>1</w:t>
      </w:r>
      <w:r>
        <w:t xml:space="preserve"> - </w:t>
      </w:r>
      <w:r>
        <w:t>38</w:t>
      </w:r>
      <w:r>
        <w:rPr>
          <w:rStyle w:val="HideTWBExt"/>
        </w:rPr>
        <w:t>&lt;/RangeAM&gt;</w:t>
      </w:r>
    </w:p>
    <w:p>
      <w:pPr>
        <w:pStyle w:val="CoverBold"/>
      </w:pPr>
      <w:r>
        <w:rPr>
          <w:rStyle w:val="HideTWBExt"/>
        </w:rPr>
        <w:t>&lt;TitreType&gt;</w:t>
      </w:r>
      <w:r>
        <w:t>Förslag till betänkande</w:t>
      </w:r>
      <w:r>
        <w:rPr>
          <w:rStyle w:val="HideTWBExt"/>
        </w:rPr>
        <w:t>&lt;/TitreType&gt;</w:t>
      </w:r>
    </w:p>
    <w:p>
      <w:pPr>
        <w:pStyle w:val="CoverBold"/>
      </w:pPr>
      <w:r>
        <w:rPr>
          <w:rStyle w:val="HideTWBExt"/>
        </w:rPr>
        <w:t>&lt;Rapporteur&gt;</w:t>
      </w:r>
      <w:r>
        <w:t>Pasquale Tridico</w:t>
      </w:r>
      <w:r>
        <w:rPr>
          <w:rStyle w:val="HideTWBExt"/>
        </w:rPr>
        <w:t>&lt;/Rapporteur&gt;</w:t>
      </w:r>
    </w:p>
    <w:p>
      <w:pPr>
        <w:pStyle w:val="CoverNormal24a"/>
      </w:pPr>
      <w:r>
        <w:rPr>
          <w:rStyle w:val="HideTWBExt"/>
        </w:rPr>
        <w:t>&lt;DocRefPE&gt;</w:t>
      </w:r>
      <w:r>
        <w:t>(PE778.060v01-00)</w:t>
      </w:r>
      <w:r>
        <w:rPr>
          <w:rStyle w:val="HideTWBExt"/>
        </w:rPr>
        <w:t>&lt;/DocRefPE&gt;</w:t>
      </w:r>
    </w:p>
    <w:p>
      <w:pPr>
        <w:pStyle w:val="CoverNormal"/>
      </w:pPr>
      <w:r>
        <w:rPr>
          <w:rStyle w:val="HideTWBExt"/>
        </w:rPr>
        <w:t>&lt;Titre&gt;</w:t>
      </w:r>
      <w:r>
        <w:t>Ansvarsfrihet 2024: EU:s allmänna budget – Europeiska unionens domstol</w:t>
      </w:r>
      <w:r>
        <w:rPr>
          <w:rStyle w:val="HideTWBExt"/>
        </w:rPr>
        <w:t>&lt;/Titre&gt;</w:t>
      </w:r>
    </w:p>
    <w:p>
      <w:pPr>
        <w:pStyle w:val="CoverNormal24a"/>
      </w:pPr>
      <w:r>
        <w:rPr>
          <w:rStyle w:val="HideTWBExt"/>
        </w:rPr>
        <w:t>&lt;DocRef&gt;</w:t>
      </w:r>
      <w:r>
        <w:t>(2025/2148(DEC))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Ändringsförslag</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Domstolen bidrar till att upprätthålla unionens värden och arbetar genom sin rättspraxis för uppbyggnaden av Europa.</w:t>
            </w:r>
          </w:p>
        </w:tc>
        <w:tc>
          <w:tcPr>
            <w:tcW w:w="4876" w:type="dxa"/>
            <w:tcBorders>
              <w:top w:val="nil"/>
              <w:left w:val="nil"/>
              <w:bottom w:val="nil"/>
              <w:right w:val="nil"/>
            </w:tcBorders>
          </w:tcPr>
          <w:p>
            <w:pPr>
              <w:pStyle w:val="Normal6a"/>
            </w:pPr>
            <w:r>
              <w:t>C.</w:t>
            </w:r>
            <w:r>
              <w:tab/>
            </w:r>
            <w:r>
              <w:t>Domstolen bidrar till att upprätthålla unionens värden och arbetar genom sin rättspraxis för uppbyggnaden av Europa</w:t>
            </w:r>
            <w:r>
              <w:rPr>
                <w:b/>
                <w:i/>
              </w:rPr>
              <w:t> samtidigt som den är fortsatt ansvarig inför medborgarna när det gäller att säkerställa rättslig förutsebarhet, konsekvent rättspraxis och respekt för gränserna för rättslig tolkning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Europaparlamentet noterar att domstolens budget inordnas under rubrik 7 i den fleråriga budgetramen, ”Europeisk offentlig förvaltning”, som uppgick till 13,3 miljarder EUR 2023 (vilket motsvarar 6,9 % av EU:s totala budget). Parlamentet noterar att domstolens budget på cirka 0,5 miljarder EUR motsvarar cirka 3,76 % av unionens totala administrativa utgifter, vilket är en minskning från 3,9 % 2023.</w:t>
            </w:r>
          </w:p>
        </w:tc>
        <w:tc>
          <w:tcPr>
            <w:tcW w:w="4876" w:type="dxa"/>
            <w:tcBorders>
              <w:top w:val="nil"/>
              <w:left w:val="nil"/>
              <w:bottom w:val="nil"/>
              <w:right w:val="nil"/>
            </w:tcBorders>
          </w:tcPr>
          <w:p>
            <w:pPr>
              <w:pStyle w:val="Normal6a"/>
            </w:pPr>
            <w:r>
              <w:t>1.</w:t>
            </w:r>
            <w:r>
              <w:tab/>
            </w:r>
            <w:r>
              <w:t xml:space="preserve">Europaparlamentet noterar att domstolens budget inordnas under rubrik 7 i den fleråriga budgetramen, ”Europeisk offentlig förvaltning”, som uppgick till 13,3 miljarder EUR 2023 (vilket motsvarar 6,9 % av EU:s totala budget). Parlamentet noterar att domstolens budget på cirka 0,5 miljarder EUR motsvarar cirka 3,76 % av unionens totala administrativa utgifter, vilket är en minskning från 3,9 % 2023. </w:t>
            </w:r>
            <w:r>
              <w:rPr>
                <w:b/>
                <w:i/>
              </w:rPr>
              <w:t>Parlamentet framhåller att principerna om ett korrekt rättsförfarande och grundläggande rättigheter måste respekteras till fullo av alla behöriga myndigheter i fall som rör utredningar om unionsbudgeten.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Europaparlamentet noterar att personalutgifterna står för nästan 80 % av domstolens budget och att löneuppdateringarna under 2024 översteg de ursprungliga prognoserna.</w:t>
            </w:r>
            <w:r>
              <w:t xml:space="preserve"> </w:t>
            </w:r>
            <w:r>
              <w:rPr>
                <w:b/>
                <w:i/>
              </w:rPr>
              <w:t>Parlamentet betonar att dessa ökningar absorberades utan ytterligare budgetförstärkningar men att deras återkommande karaktär ger upphov till frågor när det gäller budgetmässig hållbarhet på medellång sikt under de nuvarande begränsningarna i den fleråriga budgetramen.</w:t>
            </w:r>
            <w:r>
              <w:t xml:space="preserve"> </w:t>
            </w:r>
            <w:r>
              <w:rPr>
                <w:b/>
                <w:i/>
              </w:rPr>
              <w:t>Parlamentet efterlyser en bättre flerårig personal- och utgiftsplanering, utan att rättsväsendets oberoende undergrävs.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Europaparlamentet håller med om att domstolens förmåga att reagera på en ständigt växande arbetsbörda har påverkats av å ena sidan kommissionens riktlinjer för utarbetandet av budgeten, som begränsar ökningen av alla icke lönerelaterade utgifter till högst 2 % och avråder begäranden om nya tjänster, och å andra sidan Epsos underlåtenhet att förse unionens institutioner med en rimligt stor reserv av godkända sökande från uttagningsprov att rekrytera från. Parlamentet noterar dessutom att inflationseffekterna av Rysslands anfallskrig mot Ukraina fortsatte att skapa budgettryck på domstolen genom t.ex. stigande kostnader för tjänsteresor eller en ökning av priserna på avtalade varor och tjänster. Parlamentet lovordar domstolen för de åtgärder den vidtagit för att mildra dessa effekter, nämligen att minska antalet uppdrag, begränsa energiutgifterna och framför allt införa prioriteringar för projekt vid utarbetandet av budgetberäkningar. Parlamentet erkänner behovet av att alla EU‑institutioner förbättrar sin budgetförvaltning genom att även ta hänsyn till prisvolatilitet, särskilt inom energisektorn, när de ingår avtal med tjänsteleverantörer.</w:t>
            </w:r>
          </w:p>
        </w:tc>
        <w:tc>
          <w:tcPr>
            <w:tcW w:w="4876" w:type="dxa"/>
            <w:tcBorders>
              <w:top w:val="nil"/>
              <w:left w:val="nil"/>
              <w:bottom w:val="nil"/>
              <w:right w:val="nil"/>
            </w:tcBorders>
          </w:tcPr>
          <w:p>
            <w:pPr>
              <w:pStyle w:val="Normal6a"/>
            </w:pPr>
            <w:r>
              <w:t>6.</w:t>
            </w:r>
            <w:r>
              <w:tab/>
            </w:r>
            <w:r>
              <w:t xml:space="preserve">Europaparlamentet håller med om att domstolens förmåga att reagera på en ständigt växande arbetsbörda har påverkats av å ena sidan kommissionens riktlinjer för utarbetandet av budgeten, som begränsar ökningen av alla icke lönerelaterade utgifter till högst 2 % och avråder begäranden om nya tjänster, och å andra sidan Epsos underlåtenhet att förse unionens institutioner med en rimligt stor reserv av godkända sökande från uttagningsprov att rekrytera från. Parlamentet noterar dessutom att inflationseffekterna av Rysslands </w:t>
            </w:r>
            <w:r>
              <w:rPr>
                <w:b/>
                <w:i/>
              </w:rPr>
              <w:t>olagliga</w:t>
            </w:r>
            <w:r>
              <w:t xml:space="preserve"> anfallskrig mot Ukraina fortsatte att skapa budgettryck på domstolen genom t.ex. stigande kostnader för tjänsteresor eller en ökning av priserna på avtalade varor och tjänster. Parlamentet lovordar domstolen för de åtgärder den vidtagit för att mildra dessa effekter, nämligen att minska antalet uppdrag, begränsa energiutgifterna och framför allt införa prioriteringar för projekt vid utarbetandet av budgetberäkningar. Parlamentet erkänner behovet av att alla EU‑institutioner förbättrar sin budgetförvaltning genom att även ta hänsyn till prisvolatilitet, särskilt inom energisektorn, när de ingår avtal med tjänsteleverantörer. </w:t>
            </w:r>
            <w:r>
              <w:rPr>
                <w:b/>
                <w:i/>
              </w:rPr>
              <w:t>Parlamentet uppmanar domstolen att fortsätta att förbättra kostnadseffektiviteten och den proaktiva budgetplaneringen för att upprätthålla den rättsliga kvaliteten inom ramen för tillgängliga resurser.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Europaparlamentet noterar med tillfredsställelse att domstolens budget för tjänsteresor för ledamöter och personal minskade för andra året i rad, från 638 000 EUR 2023 till 616 000 EUR 2024, vilket motsvarar en minskning på cirka </w:t>
            </w:r>
            <w:r>
              <w:rPr>
                <w:b/>
                <w:i/>
              </w:rPr>
              <w:t>3,3</w:t>
            </w:r>
            <w:r>
              <w:t xml:space="preserve"> %.</w:t>
            </w:r>
          </w:p>
        </w:tc>
        <w:tc>
          <w:tcPr>
            <w:tcW w:w="4876" w:type="dxa"/>
            <w:tcBorders>
              <w:top w:val="nil"/>
              <w:left w:val="nil"/>
              <w:bottom w:val="nil"/>
              <w:right w:val="nil"/>
            </w:tcBorders>
          </w:tcPr>
          <w:p>
            <w:pPr>
              <w:pStyle w:val="Normal6a"/>
            </w:pPr>
            <w:r>
              <w:t>8.</w:t>
            </w:r>
            <w:r>
              <w:tab/>
            </w:r>
            <w:r>
              <w:t xml:space="preserve">Europaparlamentet noterar med tillfredsställelse att domstolens budget för tjänsteresor för ledamöter och personal minskade för andra året i rad, från 638 000 EUR 2023 till 616 000 EUR 2024, vilket motsvarar en minskning på cirka </w:t>
            </w:r>
            <w:r>
              <w:rPr>
                <w:b/>
                <w:i/>
              </w:rPr>
              <w:t>3,44</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Europaparlamentet noterar med uppskattning från domstolens svar på frågeformuläret för ansvarsfriheten för 2024 de ansträngningar som domstolen gjort för att slutföra reformen av rättsväsendet i syfte att delvis överföra behörigheten att meddela förhandsavgöranden från domstolen till tribunalen och möjliggöra genomförandet av det nya regelverket från och med den 1 oktober 2024. Parlamentet noterar i detta sammanhang omorganisationen av tribunalens struktur, ändringen av domstolens arbetsordning, antagandet av en ny uppsättning praktiska regler för tribunalen för genomförandet av arbetsordningen, antagandet av ett nytt beslut om ingivande och delgivning av rättegångshandlingar via e-Curia, utvecklingen av en ny applikation (en gemensam kontaktpunkt eller en så kallad one-stop shop) för snabb analys och handläggning av mål och harmonisering av praxis inom de två rättsinstansernas kanslier under 2024. Parlamentet noterar med tillfredsställelse att under de första tre månaderna efter reformens ikraftträdande överfördes redan 20 förhandsavgöranden till tribunalen, vilket markerar de första resultaten mot en mer balanserad fördelning av arbetsbördan mellan de två rättsinstanserna. Parlamentet noterar att de enda merkostnaderna i samband med genomförandet av reformen av rättsväsendet var it-relaterade kostnader för utvecklingen av den gemensamma kontaktpunkten, som uppgick till cirka 805 000 EUR, medan reformen när det gäller personal hölls budgetneutral genom omfördelning av tjänster och uppgifter inom institutionen.</w:t>
            </w:r>
          </w:p>
        </w:tc>
        <w:tc>
          <w:tcPr>
            <w:tcW w:w="4876" w:type="dxa"/>
            <w:tcBorders>
              <w:top w:val="nil"/>
              <w:left w:val="nil"/>
              <w:bottom w:val="nil"/>
              <w:right w:val="nil"/>
            </w:tcBorders>
          </w:tcPr>
          <w:p>
            <w:pPr>
              <w:pStyle w:val="Normal6a"/>
            </w:pPr>
            <w:r>
              <w:t>9.</w:t>
            </w:r>
            <w:r>
              <w:tab/>
            </w:r>
            <w:r>
              <w:t xml:space="preserve">Europaparlamentet noterar med uppskattning från domstolens svar på frågeformuläret för ansvarsfriheten för 2024 de ansträngningar som domstolen gjort för att slutföra reformen av rättsväsendet i syfte att delvis överföra behörigheten att meddela förhandsavgöranden från domstolen till tribunalen och möjliggöra genomförandet av det nya regelverket från och med den 1 oktober 2024. Parlamentet noterar i detta sammanhang omorganisationen av tribunalens struktur, ändringen av domstolens arbetsordning, antagandet av en ny uppsättning praktiska regler för tribunalen för genomförandet av arbetsordningen, antagandet av ett nytt beslut om ingivande och delgivning av rättegångshandlingar via e-Curia, utvecklingen av en ny applikation (en gemensam kontaktpunkt eller en så kallad one-stop shop) för snabb analys och handläggning av mål och harmonisering av praxis inom de två rättsinstansernas kanslier under 2024. Parlamentet </w:t>
            </w:r>
            <w:r>
              <w:rPr>
                <w:b/>
                <w:i/>
              </w:rPr>
              <w:t>erkänner att den digitaliserade handläggningen av rättsliga ärenden bidrar till ökad effektivitet och högre kvalitet på de rättsliga avgörandena.</w:t>
            </w:r>
            <w:r>
              <w:t xml:space="preserve"> </w:t>
            </w:r>
            <w:r>
              <w:rPr>
                <w:b/>
                <w:i/>
              </w:rPr>
              <w:t>Parlamentet</w:t>
            </w:r>
            <w:r>
              <w:t xml:space="preserve"> noterar med tillfredsställelse att under de första tre månaderna efter reformens ikraftträdande överfördes redan 20 förhandsavgöranden till tribunalen, vilket markerar de första resultaten mot en mer balanserad fördelning av arbetsbördan mellan de två rättsinstanserna. Parlamentet noterar att de enda merkostnaderna i samband med genomförandet av reformen av rättsväsendet var it-relaterade kostnader för utvecklingen av den gemensamma kontaktpunkten, som uppgick till cirka 805 000 EUR, medan reformen när det gäller personal hölls budgetneutral genom omfördelning av tjänster och uppgifter inom institutionen. </w:t>
            </w:r>
            <w:r>
              <w:rPr>
                <w:b/>
                <w:i/>
              </w:rPr>
              <w:t>Parlamentet uppmuntrar domstolen att i ytterligare utsträckning övervaka och rapportera om de digitala verktygens inverkan på handläggningstiderna och balansen i arbetsbördan.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Europaparlamentet noterar med uppskattning från domstolens svar på frågeformuläret för ansvarsfriheten för 2024 de ansträngningar som domstolen gjort för att slutföra reformen av rättsväsendet i syfte att delvis överföra behörigheten att meddela förhandsavgöranden från domstolen till tribunalen och möjliggöra genomförandet av det nya regelverket från och med den 1 oktober 2024. Parlamentet noterar i detta sammanhang omorganisationen av tribunalens struktur, ändringen av domstolens arbetsordning, antagandet av en ny uppsättning praktiska regler för tribunalen för genomförandet av arbetsordningen, antagandet av ett nytt beslut om ingivande och delgivning av rättegångshandlingar via e-Curia, utvecklingen av en ny applikation (en gemensam kontaktpunkt eller en så kallad one-stop shop) för snabb analys och handläggning av mål och harmonisering av praxis inom de två rättsinstansernas kanslier under 2024. Parlamentet noterar med tillfredsställelse att under de första tre månaderna efter reformens ikraftträdande överfördes redan 20 förhandsavgöranden till tribunalen, vilket markerar de första resultaten mot en mer balanserad fördelning av arbetsbördan mellan de två rättsinstanserna. Parlamentet noterar att de enda merkostnaderna i samband med genomförandet av reformen av rättsväsendet var it-relaterade kostnader för utvecklingen av den gemensamma kontaktpunkten, som uppgick till cirka 805 000 EUR, medan reformen när det gäller personal hölls budgetneutral genom omfördelning av tjänster och uppgifter inom institutionen.</w:t>
            </w:r>
          </w:p>
        </w:tc>
        <w:tc>
          <w:tcPr>
            <w:tcW w:w="4876" w:type="dxa"/>
            <w:tcBorders>
              <w:top w:val="nil"/>
              <w:left w:val="nil"/>
              <w:bottom w:val="nil"/>
              <w:right w:val="nil"/>
            </w:tcBorders>
          </w:tcPr>
          <w:p>
            <w:pPr>
              <w:pStyle w:val="Normal6a"/>
            </w:pPr>
            <w:r>
              <w:t>9.</w:t>
            </w:r>
            <w:r>
              <w:tab/>
            </w:r>
            <w:r>
              <w:t xml:space="preserve">Europaparlamentet noterar med uppskattning från domstolens svar på frågeformuläret för ansvarsfriheten för 2024 de ansträngningar som domstolen gjort för att slutföra reformen av rättsväsendet i syfte att delvis överföra behörigheten att meddela förhandsavgöranden från domstolen till tribunalen och möjliggöra genomförandet av det nya regelverket från och med den 1 oktober 2024. Parlamentet noterar i detta sammanhang omorganisationen av tribunalens struktur, ändringen av domstolens arbetsordning, antagandet av en ny uppsättning praktiska regler för tribunalen för genomförandet av arbetsordningen, antagandet av ett nytt beslut om ingivande och delgivning av rättegångshandlingar via e-Curia, utvecklingen av en ny applikation (en gemensam kontaktpunkt eller en så kallad one-stop shop) för snabb analys och handläggning av mål och harmonisering av praxis inom de två rättsinstansernas kanslier under 2024. Parlamentet noterar med tillfredsställelse att under de första tre månaderna efter reformens ikraftträdande överfördes redan 20 förhandsavgöranden till tribunalen, vilket markerar de första resultaten mot en mer balanserad fördelning av arbetsbördan mellan de två rättsinstanserna. Parlamentet noterar att de enda merkostnaderna i samband med genomförandet av reformen av rättsväsendet var it-relaterade kostnader för utvecklingen av den gemensamma kontaktpunkten, som uppgick till cirka 805 000 EUR, medan reformen när det gäller personal hölls budgetneutral genom omfördelning av tjänster och uppgifter inom institutionen. </w:t>
            </w:r>
            <w:r>
              <w:rPr>
                <w:b/>
                <w:i/>
              </w:rPr>
              <w:t>Parlamentet uppmanar domstolen att inför nästa ansvarsfrihetsförfarande presentera en heltäckande efterhandsutvärdering av reformen, inbegripet dess inverkan på handläggningstiden för förfarandena och fördelningen av arbetsbördan mellan de två rättsinstanserna.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Europaparlamentet noterar med uppskattning från domstolens svar på frågeformuläret för ansvarsfriheten för 2024 de ansträngningar som domstolen gjort för att slutföra reformen av rättsväsendet i syfte att delvis överföra behörigheten att meddela förhandsavgöranden från domstolen till tribunalen och möjliggöra genomförandet av det nya regelverket från och med den 1 oktober 2024. Parlamentet noterar i detta sammanhang omorganisationen av tribunalens struktur, ändringen av domstolens arbetsordning, antagandet av en ny uppsättning praktiska regler för tribunalen för genomförandet av arbetsordningen, antagandet av ett nytt beslut om ingivande och delgivning av rättegångshandlingar via e-Curia, utvecklingen av en ny applikation (en gemensam kontaktpunkt eller en så kallad one-stop shop) för snabb analys och handläggning av mål och harmonisering av praxis inom de två rättsinstansernas kanslier under 2024. Parlamentet noterar med tillfredsställelse att under de första tre månaderna efter reformens ikraftträdande överfördes redan 20 förhandsavgöranden till tribunalen, vilket markerar de första resultaten mot en mer balanserad fördelning av arbetsbördan mellan de två rättsinstanserna. Parlamentet noterar att de enda merkostnaderna i samband med genomförandet av reformen av rättsväsendet var it-relaterade kostnader för utvecklingen av den gemensamma kontaktpunkten, som uppgick till cirka 805 000 EUR, medan reformen när det gäller personal hölls budgetneutral genom omfördelning av tjänster och uppgifter inom institutionen.</w:t>
            </w:r>
          </w:p>
        </w:tc>
        <w:tc>
          <w:tcPr>
            <w:tcW w:w="4876" w:type="dxa"/>
            <w:tcBorders>
              <w:top w:val="nil"/>
              <w:left w:val="nil"/>
              <w:bottom w:val="nil"/>
              <w:right w:val="nil"/>
            </w:tcBorders>
          </w:tcPr>
          <w:p>
            <w:pPr>
              <w:pStyle w:val="Normal6a"/>
            </w:pPr>
            <w:r>
              <w:t>9.</w:t>
            </w:r>
            <w:r>
              <w:tab/>
            </w:r>
            <w:r>
              <w:t xml:space="preserve">Europaparlamentet noterar med uppskattning från domstolens svar på frågeformuläret för ansvarsfriheten för 2024 de ansträngningar som domstolen gjort för att slutföra reformen av rättsväsendet i syfte att delvis överföra behörigheten att meddela förhandsavgöranden från domstolen till tribunalen och möjliggöra genomförandet av det nya regelverket från och med den 1 oktober 2024. Parlamentet noterar i detta sammanhang omorganisationen av tribunalens struktur, ändringen av domstolens arbetsordning, antagandet av en ny uppsättning praktiska regler för tribunalen för genomförandet av arbetsordningen, antagandet av ett nytt beslut om ingivande och delgivning av rättegångshandlingar via e-Curia, utvecklingen av en ny applikation (en gemensam kontaktpunkt eller en så kallad one-stop shop) för snabb analys och handläggning av mål och harmonisering av praxis inom de två rättsinstansernas kanslier under 2024. Parlamentet noterar med tillfredsställelse att under de första tre månaderna efter reformens ikraftträdande överfördes redan 20 förhandsavgöranden till tribunalen, vilket markerar de första resultaten mot en mer balanserad fördelning av arbetsbördan mellan de två rättsinstanserna. Parlamentet noterar att de enda merkostnaderna i samband med genomförandet av reformen av rättsväsendet var it-relaterade kostnader för utvecklingen av den gemensamma kontaktpunkten, som uppgick till cirka 805 000 EUR, medan reformen när det gäller personal hölls budgetneutral genom omfördelning av tjänster och uppgifter inom institutionen. </w:t>
            </w:r>
            <w:r>
              <w:rPr>
                <w:b/>
                <w:i/>
              </w:rPr>
              <w:t>Parlamentet uppmanar domstolen att i samband med framtida ansvarsfrihetsförfaranden rapportera om den rättsliga reformens konkreta inverkan på effektiviteten, handläggningstiden för förfarandena och fördelningen av arbetsbördan.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Europaparlamentet noterar med uppskattning från domstolens svar på frågeformuläret för ansvarsfriheten för 2024 de ansträngningar som domstolen gjort för att slutföra reformen av rättsväsendet i syfte att delvis överföra behörigheten att meddela förhandsavgöranden från domstolen till tribunalen och möjliggöra genomförandet av det nya regelverket från och med den 1 oktober 2024. Parlamentet noterar i detta sammanhang omorganisationen av tribunalens struktur, ändringen av domstolens arbetsordning, antagandet av en ny uppsättning praktiska regler för tribunalen för genomförandet av arbetsordningen, antagandet av ett nytt beslut om ingivande och delgivning av rättegångshandlingar via e-Curia, utvecklingen av en ny applikation (en gemensam kontaktpunkt eller en så kallad one-stop shop) för snabb analys och handläggning av mål och harmonisering av praxis inom de två rättsinstansernas kanslier under 2024. Parlamentet noterar med tillfredsställelse att under de första tre månaderna efter reformens ikraftträdande överfördes redan </w:t>
            </w:r>
            <w:r>
              <w:rPr>
                <w:b/>
                <w:i/>
              </w:rPr>
              <w:t>20</w:t>
            </w:r>
            <w:r>
              <w:t xml:space="preserve"> förhandsavgöranden till tribunalen, vilket markerar de första resultaten mot en mer balanserad fördelning av arbetsbördan mellan de två rättsinstanserna. Parlamentet noterar att de enda merkostnaderna i samband med genomförandet av reformen av rättsväsendet var it-relaterade kostnader för utvecklingen av den gemensamma kontaktpunkten, som uppgick till cirka 805 000 EUR, medan reformen när det gäller personal hölls budgetneutral genom omfördelning av tjänster och uppgifter inom institutionen.</w:t>
            </w:r>
          </w:p>
        </w:tc>
        <w:tc>
          <w:tcPr>
            <w:tcW w:w="4876" w:type="dxa"/>
            <w:tcBorders>
              <w:top w:val="nil"/>
              <w:left w:val="nil"/>
              <w:bottom w:val="nil"/>
              <w:right w:val="nil"/>
            </w:tcBorders>
          </w:tcPr>
          <w:p>
            <w:pPr>
              <w:pStyle w:val="Normal6a"/>
            </w:pPr>
            <w:r>
              <w:t>9.</w:t>
            </w:r>
            <w:r>
              <w:tab/>
            </w:r>
            <w:r>
              <w:t xml:space="preserve">Europaparlamentet noterar med uppskattning från domstolens svar på frågeformuläret för ansvarsfriheten för 2024 de ansträngningar som domstolen gjort för att slutföra reformen av rättsväsendet i syfte att delvis överföra behörigheten att meddela förhandsavgöranden från domstolen till tribunalen och möjliggöra genomförandet av det nya regelverket från och med den 1 oktober 2024. Parlamentet noterar i detta sammanhang omorganisationen av tribunalens struktur, ändringen av domstolens arbetsordning, antagandet av en ny uppsättning praktiska regler för tribunalen för genomförandet av arbetsordningen, antagandet av ett nytt beslut om ingivande och delgivning av rättegångshandlingar via e-Curia, utvecklingen av en ny applikation (en gemensam kontaktpunkt eller en så kallad one-stop shop) för snabb analys och handläggning av mål och harmonisering av praxis inom de två rättsinstansernas kanslier under 2024. Parlamentet noterar med tillfredsställelse att under de första tre månaderna efter reformens ikraftträdande överfördes redan </w:t>
            </w:r>
            <w:r>
              <w:rPr>
                <w:b/>
                <w:i/>
              </w:rPr>
              <w:t>19</w:t>
            </w:r>
            <w:r>
              <w:t xml:space="preserve"> förhandsavgöranden till tribunalen, vilket markerar de första resultaten mot en mer balanserad fördelning av arbetsbördan mellan de två rättsinstanserna. Parlamentet noterar att de enda merkostnaderna i samband med genomförandet av reformen av rättsväsendet var it-relaterade kostnader för utvecklingen av den gemensamma kontaktpunkten, som uppgick till cirka 805 000 EUR, medan reformen när det gäller personal hölls budgetneutral genom omfördelning av tjänster och uppgifter inom institutionen.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Europaparlamentet noterar att domstolen under 2024 avgjorde 12 mål om principen om unionsrättens företräde, varav 10 mål om förhandsavgöranden och två mål om överträdelser. Parlamentet upprepar att principen om unionsrättens företräde, som säkerställer en enhetlig tolkning och tillämpning av unionsrätten i alla medlemsstater och slår vakt om rättsstatsprincipen som ett av unionens kärnvärden, är av avgörande betydelse. Parlamentet upprepar med eftertryck att unionsrättens företräde är hörnstenen i unionens rättsordning, och framhåller domstolens centrala roll i upprätthållandet av rättsstatsprincipen i unionen.</w:t>
            </w:r>
          </w:p>
        </w:tc>
        <w:tc>
          <w:tcPr>
            <w:tcW w:w="4876" w:type="dxa"/>
            <w:tcBorders>
              <w:top w:val="nil"/>
              <w:left w:val="nil"/>
              <w:bottom w:val="nil"/>
              <w:right w:val="nil"/>
            </w:tcBorders>
          </w:tcPr>
          <w:p>
            <w:pPr>
              <w:pStyle w:val="Normal6a"/>
            </w:pPr>
            <w:r>
              <w:t>10.</w:t>
            </w:r>
            <w:r>
              <w:tab/>
            </w:r>
            <w:r>
              <w:t xml:space="preserve">Europaparlamentet noterar att domstolen under 2024 avgjorde 12 mål om principen om unionsrättens företräde, varav 10 mål om förhandsavgöranden och två mål om överträdelser. Parlamentet upprepar att principen om unionsrättens företräde, som säkerställer en enhetlig tolkning och tillämpning av unionsrätten i alla medlemsstater och slår vakt om rättsstatsprincipen som ett av unionens kärnvärden, är av avgörande betydelse. Parlamentet upprepar med eftertryck att unionsrättens företräde är hörnstenen i unionens rättsordning, och framhåller domstolens centrala roll i upprätthållandet av rättsstatsprincipen i unionen. </w:t>
            </w:r>
            <w:r>
              <w:rPr>
                <w:b/>
                <w:i/>
              </w:rPr>
              <w:t>Parlamentet noterar i detta sammanhang att det i artikel 4.2 i fördraget om Europeiska unionen föreskrivs följande: ”Unionen ska respektera medlemsstaternas likhet inför fördragen samt deras nationella identitet, som kommer till uttryck i deras politiska och konstitutionella grundstrukturer, inbegripet det lokala och regionala självstyret.</w:t>
            </w:r>
            <w:r>
              <w:t xml:space="preserve"> </w:t>
            </w:r>
            <w:r>
              <w:rPr>
                <w:b/>
                <w:i/>
              </w:rPr>
              <w:t>Den ska respektera deras väsentliga statliga funktioner [...].”</w:t>
            </w:r>
            <w:r>
              <w:t xml:space="preserve"> </w:t>
            </w:r>
            <w:r>
              <w:rPr>
                <w:b/>
                <w:i/>
              </w:rPr>
              <w:t>Parlamentet betonar att de nationella konstitutionernas företräde fortfarande är den absoluta princip som styr förhållandet mellan medlemsstaternas konstitutioner och unionsrätten.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Europaparlamentet noterar att domstolen under 2024 avgjorde 12 mål om principen om unionsrättens företräde, varav 10 mål om förhandsavgöranden och två mål om överträdelser. Parlamentet upprepar att principen om unionsrättens företräde, som säkerställer en enhetlig tolkning och tillämpning av unionsrätten i alla medlemsstater och slår vakt om rättsstatsprincipen som ett av unionens kärnvärden, är av avgörande betydelse. Parlamentet upprepar med eftertryck att unionsrättens företräde är hörnstenen i unionens rättsordning, och framhåller domstolens centrala roll i upprätthållandet av rättsstatsprincipen i unionen.</w:t>
            </w:r>
          </w:p>
        </w:tc>
        <w:tc>
          <w:tcPr>
            <w:tcW w:w="4876" w:type="dxa"/>
            <w:tcBorders>
              <w:top w:val="nil"/>
              <w:left w:val="nil"/>
              <w:bottom w:val="nil"/>
              <w:right w:val="nil"/>
            </w:tcBorders>
          </w:tcPr>
          <w:p>
            <w:pPr>
              <w:pStyle w:val="Normal6a"/>
            </w:pPr>
            <w:r>
              <w:t>10.</w:t>
            </w:r>
            <w:r>
              <w:tab/>
            </w:r>
            <w:r>
              <w:t>Europaparlamentet noterar att domstolen under 2024 avgjorde 12 mål om principen om unionsrättens företräde, varav 10 mål om förhandsavgöranden och två mål om överträdelser. Parlamentet upprepar att principen om unionsrättens företräde, som säkerställer en enhetlig tolkning och tillämpning av unionsrätten i alla medlemsstater och slår vakt om rättsstatsprincipen som ett av unionens kärnvärden, är av avgörande betydelse. Parlamentet upprepar med eftertryck att unionsrättens företräde är hörnstenen i unionens rättsordning, och framhåller domstolens centrala roll i upprätthållandet av rättsstatsprincipen i unionen</w:t>
            </w:r>
            <w:r>
              <w:rPr>
                <w:b/>
                <w:i/>
              </w:rPr>
              <w:t>, samtidigt som det påminner om att tillämpningen av principen om företräde måste förbli fast förankrad i fördragen och utövas med vederbörlig respekt för nationella konstitutionella identiteter, i enlighet med artikel 4.2 i EU-fördraget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Europaparlamentet delar domstolens åsikt att kommissionen, i egenskap av fördragens väktare, bör kontrollera medlemsstaternas efterlevnad av domstolens beslut, men upprepar sin uppmaning till domstolen att inrätta en mekanism för att identifiera bra och dålig praxis bland medlemsstaterna.</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Europaparlamentet delar domstolens åsikt att kommissionen, i egenskap av fördragens väktare, bör kontrollera medlemsstaternas efterlevnad av domstolens beslut</w:t>
            </w:r>
            <w:r>
              <w:rPr>
                <w:b/>
                <w:i/>
              </w:rPr>
              <w:t>, men</w:t>
            </w:r>
            <w:r>
              <w:t xml:space="preserve"> upprepar sin uppmaning till domstolen att inrätta en mekanism för att identifiera bra och dålig praxis bland medlemsstaterna.</w:t>
            </w:r>
          </w:p>
        </w:tc>
        <w:tc>
          <w:tcPr>
            <w:tcW w:w="4876" w:type="dxa"/>
            <w:tcBorders>
              <w:top w:val="nil"/>
              <w:left w:val="nil"/>
              <w:bottom w:val="nil"/>
              <w:right w:val="nil"/>
            </w:tcBorders>
          </w:tcPr>
          <w:p>
            <w:pPr>
              <w:pStyle w:val="Normal6a"/>
            </w:pPr>
            <w:r>
              <w:t>12.</w:t>
            </w:r>
            <w:r>
              <w:tab/>
            </w:r>
            <w:r>
              <w:t>Europaparlamentet delar domstolens åsikt att kommissionen, i egenskap av fördragens väktare, bör kontrollera medlemsstaternas efterlevnad av domstolens beslut</w:t>
            </w:r>
            <w:r>
              <w:rPr>
                <w:b/>
                <w:i/>
              </w:rPr>
              <w:t>.</w:t>
            </w:r>
            <w:r>
              <w:t xml:space="preserve"> </w:t>
            </w:r>
            <w:r>
              <w:rPr>
                <w:b/>
                <w:i/>
              </w:rPr>
              <w:t>Parlamentet</w:t>
            </w:r>
            <w:r>
              <w:t xml:space="preserve"> upprepar sin uppmaning till domstolen att</w:t>
            </w:r>
            <w:r>
              <w:rPr>
                <w:b/>
                <w:i/>
              </w:rPr>
              <w:t>, strikt inom ramen för sin roll,</w:t>
            </w:r>
            <w:r>
              <w:t xml:space="preserve"> inrätta en mekanism för att identifiera bra och dålig praxis bland medlemsstaterna.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Europaparlamentet noterar att den genomsnittliga handläggningstiden för de mål som avslutades av domstolen var 17,7 månader 2024 jämfört med 16,1 månader 2023, och att denna ökning med cirka sex veckor berodde på komplexiteten och volymerna för vissa ärenden (såsom talan som väcktes 2020 mot unionens så kallade mobilitetspaket och avslutades 2024). Parlamentet noterar att den genomsnittliga handläggningstiden för de mål som avslutades genom dom eller beslut av tribunalen ökade från 18,2 månader 2023 till 18,5 månader 2024.</w:t>
            </w:r>
          </w:p>
        </w:tc>
        <w:tc>
          <w:tcPr>
            <w:tcW w:w="4876" w:type="dxa"/>
            <w:tcBorders>
              <w:top w:val="nil"/>
              <w:left w:val="nil"/>
              <w:bottom w:val="nil"/>
              <w:right w:val="nil"/>
            </w:tcBorders>
          </w:tcPr>
          <w:p>
            <w:pPr>
              <w:pStyle w:val="Normal6a"/>
            </w:pPr>
            <w:r>
              <w:t>14.</w:t>
            </w:r>
            <w:r>
              <w:tab/>
            </w:r>
            <w:r>
              <w:t xml:space="preserve">Europaparlamentet noterar att den genomsnittliga handläggningstiden för de mål som avslutades av domstolen var 17,7 månader 2024 jämfört med 16,1 månader 2023, och att denna ökning med cirka sex veckor berodde på komplexiteten och volymerna för vissa ärenden (såsom talan som väcktes 2020 mot unionens så kallade mobilitetspaket och avslutades 2024). Parlamentet noterar att den genomsnittliga handläggningstiden för de mål som avslutades genom dom eller beslut av tribunalen ökade från 18,2 månader 2023 till 18,5 månader 2024. </w:t>
            </w:r>
            <w:r>
              <w:rPr>
                <w:b/>
                <w:i/>
              </w:rPr>
              <w:t>Parlamentet betonar att snabba rättsliga förfaranden måste förbli ett centralt prestationsmål, eftersom alltför långa handläggningstider direkt påverkar den rättsliga förutsebarheten för medborgare, nationella domstolar och ekonomiska aktörer.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Europaparlamentet välkomnar den prestationsbaserade strategi som utvecklats av domstolen och som gör det möjligt för domstolen att fatta beslut på grundval av i vilken utsträckning dess mål har uppnåtts, mätt genom en uppsättning arbetsbelastningsindikatorer och operativa indikatorer (t.ex. kostnadseffektivitet, andel slutförda projekt, användartillfredsställelse och resursoptimering) som är skräddarsydda för varje avdelning.</w:t>
            </w:r>
            <w:r>
              <w:t xml:space="preserve"> </w:t>
            </w:r>
            <w:r>
              <w:rPr>
                <w:b/>
                <w:i/>
              </w:rPr>
              <w:t>Parlamentet noterar att de nyckelprestationsindikatorer som används av domstolen omfattar en rad olika specifika områden till stöd för de fem förvaltningsmålen rörande de två rättsinstansernas korrekta funktionssätt, digitalisering och ny teknik, öppenhet och insyn, flerspråkighet och personalförvaltning.</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Europaparlamentet välkomnar den prestationsbaserade strategi som utvecklats av domstolen och som gör det möjligt för domstolen att fatta beslut på grundval av i vilken utsträckning dess mål har uppnåtts, mätt genom en uppsättning arbetsbelastningsindikatorer och operativa indikatorer (t.ex. kostnadseffektivitet, andel slutförda projekt, användartillfredsställelse och resursoptimering) som är skräddarsydda för varje avdelning. Parlamentet noterar att de nyckelprestationsindikatorer som används av domstolen omfattar en rad olika specifika områden till stöd för de fem förvaltningsmålen rörande de två rättsinstansernas korrekta funktionssätt, digitalisering och ny teknik, öppenhet och insyn, flerspråkighet och personalförvaltning.</w:t>
            </w:r>
          </w:p>
        </w:tc>
        <w:tc>
          <w:tcPr>
            <w:tcW w:w="4876" w:type="dxa"/>
            <w:tcBorders>
              <w:top w:val="nil"/>
              <w:left w:val="nil"/>
              <w:bottom w:val="nil"/>
              <w:right w:val="nil"/>
            </w:tcBorders>
          </w:tcPr>
          <w:p>
            <w:pPr>
              <w:pStyle w:val="Normal6a"/>
            </w:pPr>
            <w:r>
              <w:t>16.</w:t>
            </w:r>
            <w:r>
              <w:tab/>
            </w:r>
            <w:r>
              <w:t xml:space="preserve">Europaparlamentet välkomnar den prestationsbaserade strategi som utvecklats av domstolen och som gör det möjligt för domstolen att fatta beslut på grundval av i vilken utsträckning dess mål har uppnåtts, mätt genom en uppsättning arbetsbelastningsindikatorer och operativa indikatorer (t.ex. kostnadseffektivitet, andel slutförda projekt, användartillfredsställelse och resursoptimering) som är skräddarsydda för varje avdelning. Parlamentet noterar att de nyckelprestationsindikatorer som används av domstolen omfattar en rad olika specifika områden till stöd för de fem förvaltningsmålen rörande de två rättsinstansernas korrekta funktionssätt, digitalisering och ny teknik, öppenhet och insyn, flerspråkighet och personalförvaltning. </w:t>
            </w:r>
            <w:r>
              <w:rPr>
                <w:b/>
                <w:i/>
              </w:rPr>
              <w:t>Parlamentet betonar att domstolen måste se till att dessa indikatorer är transparenta, resultatinriktade och regelbundet ses över så att man får till stånd en effektiv förvaltning och ansvarsskyldighet.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Europaparlamentet välkomnar dess strategi, som reviderades 2024, avseende avkastningen på investeringar i innovationsinitiativ, genom att ta hänsyn till kostnadsutvärdering med hjälp av parametrar såsom genomförande och personalinsatser, årligt underhåll, entreprenörskostnader och andra typer av kostnader, samt utvärdering av fördelar med hjälp av parametrar såsom förväntade vinster, strategiska fördelar och antalet användare som påverkas.</w:t>
            </w:r>
          </w:p>
        </w:tc>
        <w:tc>
          <w:tcPr>
            <w:tcW w:w="4876" w:type="dxa"/>
            <w:tcBorders>
              <w:top w:val="nil"/>
              <w:left w:val="nil"/>
              <w:bottom w:val="nil"/>
              <w:right w:val="nil"/>
            </w:tcBorders>
          </w:tcPr>
          <w:p>
            <w:pPr>
              <w:pStyle w:val="Normal6a"/>
            </w:pPr>
            <w:r>
              <w:t>17.</w:t>
            </w:r>
            <w:r>
              <w:tab/>
            </w:r>
            <w:r>
              <w:t xml:space="preserve">Europaparlamentet välkomnar dess strategi, som reviderades 2024, avseende avkastningen på investeringar i innovationsinitiativ, genom att ta hänsyn till kostnadsutvärdering med hjälp av parametrar såsom genomförande och personalinsatser, årligt underhåll, entreprenörskostnader och andra typer av kostnader, samt utvärdering av fördelar med hjälp av parametrar såsom förväntade vinster, strategiska fördelar och antalet användare som påverkas. </w:t>
            </w:r>
            <w:r>
              <w:rPr>
                <w:b/>
                <w:i/>
              </w:rPr>
              <w:t>Parlamentet noterar att domstolen under 2024 också gjorde en grundlig översyn av sitt system för att följa projektförvaltning och finansiell spårning av projekt, i syfte att säkerställa fullständig rapportering och kontroll över sina tidsbaserade digitaliseringskonsulttjänster senast 2025.</w:t>
            </w:r>
            <w:r>
              <w:t xml:space="preserve"> </w:t>
            </w:r>
            <w:r>
              <w:rPr>
                <w:b/>
                <w:i/>
              </w:rPr>
              <w:t>Parlamentet uppmanar domstolen att hålla den ansvarsfrihetsbeviljande myndigheten uppdaterad i denna fråga.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Europaparlamentet noterar att domstolen har 27 domare och 11 generaladvokater och att tribunalen har 54 domare. Parlamentet noterar vidare att nio nya domare vid domstolen och två nya domare vid tribunalen tillträdde vid den partiella nytillsättningen 2024. Parlamentet beklagar att könsfördelningen inom domstolen och tribunalen alltjämt är mycket ojämn. Parlamentet uttrycker sin uppskattning över skrivelsen från tribunalens ordförande till regeringskonferensens ordförande 2024, där medlemsstaterna uppmanas att ta hänsyn till behovet av en jämn könsfördelning när de nominerar kandidater i samband med utnämningen av nya domare och generaladvokater. Parlamentet uppmanar på nytt medlemsstaterna att beakta behovet av en jämn könsfördelning när de nominerar kandidater i samband med nytillsättning av domare.</w:t>
            </w:r>
          </w:p>
        </w:tc>
        <w:tc>
          <w:tcPr>
            <w:tcW w:w="4876" w:type="dxa"/>
            <w:tcBorders>
              <w:top w:val="nil"/>
              <w:left w:val="nil"/>
              <w:bottom w:val="nil"/>
              <w:right w:val="nil"/>
            </w:tcBorders>
          </w:tcPr>
          <w:p>
            <w:pPr>
              <w:pStyle w:val="Normal6a"/>
            </w:pPr>
            <w:r>
              <w:t>20.</w:t>
            </w:r>
            <w:r>
              <w:tab/>
            </w:r>
            <w:r>
              <w:t>Europaparlamentet noterar att domstolen har 27 domare och 11 generaladvokater och att tribunalen har 54 domare. Parlamentet noterar vidare att nio nya domare vid domstolen och två nya domare vid tribunalen tillträdde vid den partiella nytillsättningen 2024. Parlamentet beklagar att könsfördelningen inom domstolen och tribunalen alltjämt är mycket ojämn. Parlamentet uttrycker sin uppskattning över skrivelsen från tribunalens ordförande till regeringskonferensens ordförande 2024, där medlemsstaterna uppmanas att ta hänsyn till behovet av en jämn könsfördelning när de nominerar kandidater i samband med utnämningen av nya domare och generaladvokater. Parlamentet uppmanar på nytt medlemsstaterna att beakta behovet av en jämn könsfördelning när de nominerar kandidater i samband med nytillsättning av domare</w:t>
            </w:r>
            <w:r>
              <w:rPr>
                <w:b/>
                <w:i/>
              </w:rPr>
              <w:t>, samtidigt som man säkerställer att nomineringarna fortsatt baseras på kriterier som omfattar meriter, kvalifikationer och oberoende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Europaparlamentet noterar att domstolen 2024 utgjordes av 60,70 % kvinnor och 39,30 % män. Parlamentet noterar att den kvinnliga representationen var högst bland assistenter (69,14 %) och tyvärr lägst på högre ledningspositioner (35,71 %). Parlamentet noterar vidare en ökning av andelen kvinnor på mellanchefsnivå från 43,33 % 2023 till 51,61 % 2024. Parlamentet noterar med tillfredsställelse från den delegerade utanordnarens förvaltningsrapport för 2024 att andelen kvinnor i ledande befattningar totalt sett har ökat, från 37,50 % 2018 till 48,70 % 2024.</w:t>
            </w:r>
          </w:p>
        </w:tc>
        <w:tc>
          <w:tcPr>
            <w:tcW w:w="4876" w:type="dxa"/>
            <w:tcBorders>
              <w:top w:val="nil"/>
              <w:left w:val="nil"/>
              <w:bottom w:val="nil"/>
              <w:right w:val="nil"/>
            </w:tcBorders>
          </w:tcPr>
          <w:p>
            <w:pPr>
              <w:pStyle w:val="Normal6a"/>
            </w:pPr>
            <w:r>
              <w:t>21.</w:t>
            </w:r>
            <w:r>
              <w:tab/>
            </w:r>
            <w:r>
              <w:t xml:space="preserve">Europaparlamentet noterar att domstolen 2024 utgjordes av 60,70 % kvinnor och 39,30 % män. Parlamentet noterar att den kvinnliga representationen var högst bland assistenter (69,14 %) och tyvärr lägst på högre ledningspositioner (35,71 %). Parlamentet noterar vidare en ökning av andelen kvinnor på mellanchefsnivå från 43,33 % 2023 till 51,61 % 2024. Parlamentet noterar med tillfredsställelse från den delegerade utanordnarens förvaltningsrapport för 2024 att andelen kvinnor i ledande befattningar totalt sett har ökat, från 37,50 % 2018 till 48,70 % 2024. </w:t>
            </w:r>
            <w:r>
              <w:rPr>
                <w:b/>
                <w:i/>
              </w:rPr>
              <w:t>Parlamentet betonar att den ihållande underrepresentationen av kvinnor på högre ledningspositioner fortfarande är ett problem, och uppmuntrar domstolen att fortsätta att stärka de riktade åtgärder som syftar till att stödja kvinnors karriärutveckling och karriärvägar med ledarskapsfokus, samtidigt som principerna om meriter och transparens respekteras till fullo.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21a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Europaparlamentet välkomnar inrättandet av en handlingsplan för Istanbulkonventionen som innebär att man anpassar åtgärder, utfärdar rekommendationer och organiserar informations- och utbildningsåtgärder för all personal för att förebygga fall av trakasserier.</w:t>
            </w:r>
            <w:r>
              <w:t xml:space="preserve"> </w:t>
            </w:r>
            <w:r>
              <w:rPr>
                <w:b/>
                <w:i/>
              </w:rPr>
              <w:t>Parlamentet noterar ytterligare åtgärder som aviserats, bland annat fortsatt samarbete med nationella organisationer som arbetar med att förebygga våld mot kvinnor, ytterligare initiativ för att öka medvetenheten och utbildningstillfällen som särskilt belyser effekterna av mikroaggressioner och könsbaserade fördomar.</w:t>
            </w:r>
            <w:r>
              <w:t xml:space="preserve"> </w:t>
            </w:r>
            <w:r>
              <w:rPr>
                <w:b/>
                <w:i/>
              </w:rPr>
              <w:t>Parlamentet beklagar i detta avseende avsaknaden av obligatorisk utbildning för ledamöterna, såsom anges i domstolens svar på frågeformuläret för ansvarsfriheten 2024.</w:t>
            </w:r>
            <w:r>
              <w:t xml:space="preserve"> </w:t>
            </w:r>
            <w:r>
              <w:rPr>
                <w:b/>
                <w:i/>
              </w:rPr>
              <w:t>Parlamentet kräver därför att alla – både personal och ledamöter – inkluderas i obligatoriska utbildningstillfällen på området för förebyggande av våld mot kvinnor.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Europaparlamentet noterar </w:t>
            </w:r>
            <w:r>
              <w:rPr>
                <w:b/>
                <w:i/>
              </w:rPr>
              <w:t>med uppskattning de olika insatser och åtgärder som</w:t>
            </w:r>
            <w:r>
              <w:t xml:space="preserve"> domstolen </w:t>
            </w:r>
            <w:r>
              <w:rPr>
                <w:b/>
                <w:i/>
              </w:rPr>
              <w:t>gjort med avseende på dess</w:t>
            </w:r>
            <w:r>
              <w:t xml:space="preserve"> personal</w:t>
            </w:r>
            <w:r>
              <w:rPr>
                <w:b/>
                <w:i/>
              </w:rPr>
              <w:t>, även i rekryteringsskedet, till förmån för jämlikhet, inkludering, ömsesidig respekt och mångfald</w:t>
            </w:r>
            <w:r>
              <w:t xml:space="preserve">. Parlamentet noterar </w:t>
            </w:r>
            <w:r>
              <w:rPr>
                <w:b/>
                <w:i/>
              </w:rPr>
              <w:t>särskilt lanseringen 2024 av en ny utbildning om mångfald och inkludering med fokus på förebyggande av mikroangrepp och, från och med 2025, två nya utbildningar om fastställande av sunda gränser för att förbättra prestationerna och om en miljö utan trakasserier, som anordnas till följd av rekommendationerna från domstolens avdelningsövergripande arbetsgrupp om Istanbulkonventionen</w:t>
            </w:r>
            <w:r>
              <w:t xml:space="preserve">. </w:t>
            </w:r>
            <w:r>
              <w:rPr>
                <w:b/>
                <w:i/>
              </w:rPr>
              <w:t>Parlamentet noterar med uppskattning domstolens individanpassade stödåtgärder (avseende uppgifter, arbetstider och arbetsutrymmen) sedan 2022, för personal med funktionsnedsättning, institutionens deltagande i den temavecka om funktionsnedsättningar som anordnades 2024 och utvecklingen från och med 2025 av ett pilotprogram för praktikanter med funktionsnedsättning.</w:t>
            </w:r>
            <w:r>
              <w:t xml:space="preserve"> </w:t>
            </w:r>
            <w:r>
              <w:rPr>
                <w:b/>
                <w:i/>
              </w:rPr>
              <w:t>Parlamentet uppmanar domstolen att informera den ansvarsfrihetsbeviljande myndigheten om resultatet av detta program.</w:t>
            </w:r>
          </w:p>
        </w:tc>
        <w:tc>
          <w:tcPr>
            <w:tcW w:w="4876" w:type="dxa"/>
            <w:tcBorders>
              <w:top w:val="nil"/>
              <w:left w:val="nil"/>
              <w:bottom w:val="nil"/>
              <w:right w:val="nil"/>
            </w:tcBorders>
          </w:tcPr>
          <w:p>
            <w:pPr>
              <w:pStyle w:val="Normal6a"/>
            </w:pPr>
            <w:r>
              <w:t>22.</w:t>
            </w:r>
            <w:r>
              <w:tab/>
            </w:r>
            <w:r>
              <w:t xml:space="preserve">Europaparlamentet noterar </w:t>
            </w:r>
            <w:r>
              <w:rPr>
                <w:b/>
                <w:i/>
              </w:rPr>
              <w:t>att</w:t>
            </w:r>
            <w:r>
              <w:t xml:space="preserve"> domstolen </w:t>
            </w:r>
            <w:r>
              <w:rPr>
                <w:b/>
                <w:i/>
              </w:rPr>
              <w:t>genomförde åtgärder och utbildning för sin</w:t>
            </w:r>
            <w:r>
              <w:t xml:space="preserve"> personal </w:t>
            </w:r>
            <w:r>
              <w:rPr>
                <w:b/>
                <w:i/>
              </w:rPr>
              <w:t>under 2024</w:t>
            </w:r>
            <w:r>
              <w:t xml:space="preserve">. Parlamentet noterar </w:t>
            </w:r>
            <w:r>
              <w:rPr>
                <w:b/>
                <w:i/>
              </w:rPr>
              <w:t>vidare att dessa åtgärder är avsedda för intern personalutveckling</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rPr>
                <w:b/>
                <w:i/>
              </w:rPr>
              <w:t>.</w:t>
            </w:r>
            <w:r>
              <w:tab/>
            </w:r>
            <w:r>
              <w:rPr>
                <w:b/>
                <w:i/>
              </w:rPr>
              <w:t>Europaparlamentet välkomnar att alla EU-nationaliteter är representerade bland domstolens personal</w:t>
            </w:r>
            <w:r>
              <w:t xml:space="preserve">. Parlamentet noterar </w:t>
            </w:r>
            <w:r>
              <w:rPr>
                <w:b/>
                <w:i/>
              </w:rPr>
              <w:t>dock att vissa nationaliteter är mer representerade än andra, och att vissa av dem till stor del är överrepresenterade.</w:t>
            </w:r>
            <w:r>
              <w:t xml:space="preserve"> </w:t>
            </w:r>
            <w:r>
              <w:rPr>
                <w:b/>
                <w:i/>
              </w:rPr>
              <w:t>Parlamentet stöder</w:t>
            </w:r>
            <w:r>
              <w:t xml:space="preserve"> domstolens </w:t>
            </w:r>
            <w:r>
              <w:rPr>
                <w:b/>
                <w:i/>
              </w:rPr>
              <w:t>intensifierade insatser för att utlysa lediga tjänster så brett som möjligt via interinstitutionella webbplatser, sociala medier och Epso.</w:t>
            </w:r>
            <w:r>
              <w:t xml:space="preserve"> </w:t>
            </w:r>
            <w:r>
              <w:rPr>
                <w:b/>
                <w:i/>
              </w:rPr>
              <w:t>Parlamentet noterar utifrån uppföljningsrapporten domstolens åtagande att analysera relevanta uppgifter för genomförandet av riktade åtgärder för att förbättra den geografiska representationen bland dess</w:t>
            </w:r>
            <w:r>
              <w:t xml:space="preserve"> personal</w:t>
            </w:r>
            <w:r>
              <w:rPr>
                <w:b/>
                <w:i/>
              </w:rPr>
              <w:t>, inbegripet praktikanter.</w:t>
            </w:r>
            <w:r>
              <w:t xml:space="preserve"> </w:t>
            </w:r>
            <w:r>
              <w:rPr>
                <w:b/>
                <w:i/>
              </w:rPr>
              <w:t>Parlamentet välkomnar domstolens insatser för att öka medvetenheten om praktikprogrammen bland nationella förvaltningar och underrepresenterade medlemsstaters ständiga representationer.</w:t>
            </w:r>
            <w:r>
              <w:t xml:space="preserve"> </w:t>
            </w:r>
            <w:r>
              <w:rPr>
                <w:b/>
                <w:i/>
              </w:rPr>
              <w:t>Parlamentet noterar med tillfredsställelse att när det gäller praktik inom ramen för det europeiska nätverket för rättslig utbildning (EJTN) mottog domstolen under 2024 ansökningar från tre nya</w:t>
            </w:r>
            <w:r>
              <w:t xml:space="preserve"> medlemsstater </w:t>
            </w:r>
            <w:r>
              <w:rPr>
                <w:b/>
                <w:i/>
              </w:rPr>
              <w:t>som för första gången deltog i dess långsiktiga utbildningsprogram för nationella rättstillämpare</w:t>
            </w:r>
            <w:r>
              <w:t>.</w:t>
            </w:r>
          </w:p>
        </w:tc>
        <w:tc>
          <w:tcPr>
            <w:tcW w:w="4876" w:type="dxa"/>
            <w:tcBorders>
              <w:top w:val="nil"/>
              <w:left w:val="nil"/>
              <w:bottom w:val="nil"/>
              <w:right w:val="nil"/>
            </w:tcBorders>
          </w:tcPr>
          <w:p>
            <w:pPr>
              <w:pStyle w:val="Normal6a"/>
            </w:pPr>
            <w:r>
              <w:t>23.</w:t>
            </w:r>
            <w:r>
              <w:tab/>
            </w:r>
            <w:r>
              <w:t xml:space="preserve">Parlamentet noterar </w:t>
            </w:r>
            <w:r>
              <w:rPr>
                <w:b/>
                <w:i/>
              </w:rPr>
              <w:t>att</w:t>
            </w:r>
            <w:r>
              <w:t xml:space="preserve"> domstolens personal </w:t>
            </w:r>
            <w:r>
              <w:rPr>
                <w:b/>
                <w:i/>
              </w:rPr>
              <w:t>omfattar medborgare från samtliga</w:t>
            </w:r>
            <w:r>
              <w:t xml:space="preserve"> medlemsstater.</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Europaparlamentet lovordar domstolen för dess åtgärder för att avhjälpa svårigheterna att rekrytera personal och främja Luxemburg bland unga utexaminerade som en arbetsplats. Parlamentet noterar med tillfredsställelse domstolens bidrag till inrättandet och genomförandet av ett bostadsbidrag som betalas ut retroaktivt från och med den 1 januari 2025 till personal i lägre lönegrader, förberedelserna av Epsos uttagningsprov som särskilt riktar sig till personal som ska anställas i Luxemburg samt informationsmöten och sommarskolor. Parlamentet noterar utifrån uppföljningsrapporten att domstolen på uppdrag av den interinstitutionella högnivågruppen genomförde ett projekt/en undersökning för att fastställa om det skulle vara möjligt att teckna hyresavtal för tillfälliga bostäder (dvs. för en period på högst ett år) till marknadspris (eller lägre) som skulle betalas direkt av personalen. Parlamentet noterar vidare att undersökningen var framgångsrik och att arbetsgruppen följaktligen har lämnat in ett servicenivåavtal till de deltagande institutionerna för att ge domstolen i uppdrag att genomföra ett förfarandet för att förhandla om fastigheter med enheter som har presenterat lämpliga projekt. Parlamentet uppmanar domstolen att hålla den ansvarsfrihetsbeviljande myndigheten informerad om uppföljningen av dessa ärenden.</w:t>
            </w:r>
          </w:p>
        </w:tc>
        <w:tc>
          <w:tcPr>
            <w:tcW w:w="4876" w:type="dxa"/>
            <w:tcBorders>
              <w:top w:val="nil"/>
              <w:left w:val="nil"/>
              <w:bottom w:val="nil"/>
              <w:right w:val="nil"/>
            </w:tcBorders>
          </w:tcPr>
          <w:p>
            <w:pPr>
              <w:pStyle w:val="Normal6a"/>
            </w:pPr>
            <w:r>
              <w:t>25.</w:t>
            </w:r>
            <w:r>
              <w:tab/>
            </w:r>
            <w:r>
              <w:t>Europaparlamentet lovordar domstolen för dess åtgärder för att avhjälpa svårigheterna att rekrytera personal och främja Luxemburg bland unga utexaminerade som en arbetsplats. Parlamentet noterar med tillfredsställelse domstolens bidrag till inrättandet och genomförandet av ett bostadsbidrag som betalas ut retroaktivt från och med den 1 januari 2025 till personal i lägre lönegrader, förberedelserna av Epsos uttagningsprov som särskilt riktar sig till personal som ska anställas i Luxemburg samt informationsmöten och sommarskolor</w:t>
            </w:r>
            <w:r>
              <w:rPr>
                <w:b/>
                <w:i/>
              </w:rPr>
              <w:t>.</w:t>
            </w:r>
            <w:r>
              <w:t xml:space="preserve"> </w:t>
            </w:r>
            <w:r>
              <w:rPr>
                <w:b/>
                <w:i/>
              </w:rPr>
              <w:t>Parlamentet uppmuntrar till ett närmare samarbete med Epso och andra institutioner för att bredda reserven av kvalificerade sökande och bidra till i högre grad konkurrensutsatta urvalsprocesser inom specialiserade områden</w:t>
            </w:r>
            <w:r>
              <w:t>. Parlamentet noterar utifrån uppföljningsrapporten att domstolen på uppdrag av den interinstitutionella högnivågruppen genomförde ett projekt/en undersökning för att fastställa om det skulle vara möjligt att teckna hyresavtal för tillfälliga bostäder (dvs. för en period på högst ett år) till marknadspris (eller lägre) som skulle betalas direkt av personalen. Parlamentet noterar vidare att undersökningen var framgångsrik och att arbetsgruppen följaktligen har lämnat in ett servicenivåavtal till de deltagande institutionerna för att ge domstolen i uppdrag att genomföra ett förfarandet för att förhandla om fastigheter med enheter som har presenterat lämpliga projekt. Parlamentet uppmanar domstolen att hålla den ansvarsfrihetsbeviljande myndigheten informerad om uppföljningen av dessa ärenden.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Europaparlamentet noterar att det under 2024 dokumenterades </w:t>
            </w:r>
            <w:r>
              <w:rPr>
                <w:b/>
                <w:i/>
              </w:rPr>
              <w:t>19</w:t>
            </w:r>
            <w:r>
              <w:t xml:space="preserve"> fall av utbrändhet, varav åtta nya fall rapporterades 2024 och nio fall rapporterades 2023, och att den berörda personalen fick professionellt stöd och vägledning. Parlamentet noterar med tillfredsställelse att domstolen under 2024 förblev en föregångare när det gäller initiativ som främjar personalens fysiska och psykiska välbefinnande och att den behandlar utbrändhet och psykosociala risker, t.ex. genom konsultation med en socialarbetare eller en psykolog, konferenser om mindfulness och digital balans, specialiserade workshoppar och medvetandehöjande åtgärder om hälsofrågor, utbildning i första hjälpen och rekrytering av två deltidsanställda psykologer. Parlamentet erkänner framgången med användningen av flexibla arbetsformer, däribland domstolens system för distansarbete, som i slutändan strävar efter en bättre balans mellan arbete och privatliv för personalen.</w:t>
            </w:r>
          </w:p>
        </w:tc>
        <w:tc>
          <w:tcPr>
            <w:tcW w:w="4876" w:type="dxa"/>
            <w:tcBorders>
              <w:top w:val="nil"/>
              <w:left w:val="nil"/>
              <w:bottom w:val="nil"/>
              <w:right w:val="nil"/>
            </w:tcBorders>
          </w:tcPr>
          <w:p>
            <w:pPr>
              <w:pStyle w:val="Normal6a"/>
            </w:pPr>
            <w:r>
              <w:t>27.</w:t>
            </w:r>
            <w:r>
              <w:tab/>
            </w:r>
            <w:r>
              <w:t xml:space="preserve">Europaparlamentet noterar att det under 2024 dokumenterades </w:t>
            </w:r>
            <w:r>
              <w:rPr>
                <w:b/>
                <w:i/>
              </w:rPr>
              <w:t>17</w:t>
            </w:r>
            <w:r>
              <w:t xml:space="preserve"> fall av utbrändhet, varav åtta nya fall rapporterades 2024 och nio fall rapporterades 2023, och att den berörda personalen fick professionellt stöd och vägledning. Parlamentet noterar med tillfredsställelse att domstolen under 2024 förblev en föregångare när det gäller initiativ som främjar personalens fysiska och psykiska välbefinnande och att den behandlar utbrändhet och psykosociala risker, t.ex. genom konsultation med en socialarbetare eller en psykolog, konferenser om mindfulness och digital balans, specialiserade workshoppar och medvetandehöjande åtgärder om hälsofrågor, utbildning i första hjälpen och rekrytering av två deltidsanställda psykologer. Parlamentet erkänner framgången med användningen av flexibla arbetsformer, däribland domstolens system för distansarbete, som i slutändan strävar efter en bättre balans mellan arbete och privatliv för personalen.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Europaparlamentet noterar att den nya uppförandekoden för tjänstemän och övriga anställda vid domstolen, som återspeglar domstolens värderingar och engagemang för höga etiska normer, antogs i mars 2024, vilket begärdes i tidigare rekommendationer om ansvarsfrihet. Parlamentet noterar att uppförandekoden innehåller bestämmelser om intressekonflikter, lojalitetsplikt, skyldighet att iaktta konfidentialitet och diskretion, bisysslor, yrkesverksamhet efter avslutad tjänstgöring, publikationer, bestämmelser mot trakasserier och att den även gäller för utstationerade nationella experter och för biträdande domare inom ramen för EJTN. Parlamentet noterar med tillfredsställelse att utbildning om uppförandekoden och personalens rättigheter och skyldigheter är obligatorisk för nyanställda och starkt rekommenderad för all personal vid domstolen, och att totalt 747 personer (dvs. 32,80 % av domstolens totala antal tjänstemän och anställda) deltog i sådan utbildning under 2024. Parlamentet noterar vidare att liknande utbildning också hade erbjudits nya ledamöter av domstolen under 2024. Parlamentet noterar med tillfredsställelse domstolens nätverk av ”konfidentiella rådgivare” som bistår personalen i händelse av trakasserier, samt det program för talanghantering som erbjuds handläggare med hög potential och som bland annat omfattar etiskt ledarskap.</w:t>
            </w:r>
          </w:p>
        </w:tc>
        <w:tc>
          <w:tcPr>
            <w:tcW w:w="4876" w:type="dxa"/>
            <w:tcBorders>
              <w:top w:val="nil"/>
              <w:left w:val="nil"/>
              <w:bottom w:val="nil"/>
              <w:right w:val="nil"/>
            </w:tcBorders>
          </w:tcPr>
          <w:p>
            <w:pPr>
              <w:pStyle w:val="Normal6a"/>
            </w:pPr>
            <w:r>
              <w:t>29.</w:t>
            </w:r>
            <w:r>
              <w:tab/>
            </w:r>
            <w:r>
              <w:t>Europaparlamentet noterar att den nya uppförandekoden för tjänstemän och övriga anställda vid domstolen, som återspeglar domstolens värderingar och engagemang för höga etiska normer, antogs i mars 2024, vilket begärdes i tidigare rekommendationer om ansvarsfrihet. Parlamentet noterar att uppförandekoden innehåller bestämmelser om intressekonflikter, lojalitetsplikt, skyldighet att iaktta konfidentialitet och diskretion, bisysslor, yrkesverksamhet efter avslutad tjänstgöring, publikationer, bestämmelser mot trakasserier och att den även gäller för utstationerade nationella experter och för biträdande domare inom ramen för EJTN</w:t>
            </w:r>
            <w:r>
              <w:rPr>
                <w:b/>
                <w:i/>
              </w:rPr>
              <w:t>.</w:t>
            </w:r>
            <w:r>
              <w:t xml:space="preserve"> </w:t>
            </w:r>
            <w:r>
              <w:rPr>
                <w:b/>
                <w:i/>
              </w:rPr>
              <w:t>Parlamentet noterar att domstolen har vidtagit alla de informations- och utbildningsåtgärder som är nödvändiga för att presentera och förklara uppförandekoden så brett som möjligt och för att göra personalen fullt medveten om de nya reglerna och den bredare rättsliga ram som de ingår i</w:t>
            </w:r>
            <w:r>
              <w:t>. Parlamentet noterar med tillfredsställelse att utbildning om uppförandekoden och personalens rättigheter och skyldigheter är obligatorisk för nyanställda och starkt rekommenderad för all personal vid domstolen, och att totalt 747 personer (dvs. 32,80 % av domstolens totala antal tjänstemän och anställda) deltog i sådan utbildning under 2024. Parlamentet noterar vidare att liknande utbildning också hade erbjudits nya ledamöter av domstolen under 2024. Parlamentet noterar med tillfredsställelse domstolens nätverk av ”konfidentiella rådgivare” som bistår personalen i händelse av trakasserier, samt det program för talanghantering som erbjuds handläggare med hög potential och som bland annat omfattar etiskt ledarskap.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Europaparlamentet noterar att den nya uppförandekoden för tjänstemän och övriga anställda vid domstolen, som återspeglar domstolens värderingar och engagemang för höga etiska normer, antogs i mars 2024, vilket begärdes i tidigare rekommendationer om ansvarsfrihet. Parlamentet noterar att uppförandekoden innehåller bestämmelser om intressekonflikter, lojalitetsplikt, skyldighet att iaktta konfidentialitet och diskretion, bisysslor, yrkesverksamhet efter avslutad tjänstgöring, publikationer, bestämmelser mot trakasserier och att den även gäller för utstationerade nationella experter och för biträdande domare inom ramen för EJTN. Parlamentet noterar med tillfredsställelse att utbildning om uppförandekoden och personalens rättigheter och skyldigheter är obligatorisk för nyanställda och starkt rekommenderad för all personal vid domstolen, och att totalt 747 personer (dvs. 32,80 % av domstolens totala antal tjänstemän och anställda) deltog i sådan utbildning under 2024. Parlamentet noterar vidare att liknande utbildning också hade erbjudits nya ledamöter av domstolen under 2024. Parlamentet noterar med tillfredsställelse domstolens nätverk av ”konfidentiella rådgivare” som bistår personalen i händelse av trakasserier, samt det program för talanghantering som erbjuds handläggare med hög potential och som bland annat omfattar etiskt ledarskap.</w:t>
            </w:r>
          </w:p>
        </w:tc>
        <w:tc>
          <w:tcPr>
            <w:tcW w:w="4876" w:type="dxa"/>
            <w:tcBorders>
              <w:top w:val="nil"/>
              <w:left w:val="nil"/>
              <w:bottom w:val="nil"/>
              <w:right w:val="nil"/>
            </w:tcBorders>
          </w:tcPr>
          <w:p>
            <w:pPr>
              <w:pStyle w:val="Normal6a"/>
            </w:pPr>
            <w:r>
              <w:t>29.</w:t>
            </w:r>
            <w:r>
              <w:tab/>
            </w:r>
            <w:r>
              <w:t xml:space="preserve">Europaparlamentet noterar att den nya uppförandekoden för tjänstemän och övriga anställda vid domstolen, som återspeglar domstolens värderingar och engagemang för höga etiska normer, antogs i mars 2024, vilket begärdes i tidigare rekommendationer om ansvarsfrihet. Parlamentet noterar att uppförandekoden innehåller bestämmelser om intressekonflikter, lojalitetsplikt, skyldighet att iaktta konfidentialitet och diskretion, bisysslor, yrkesverksamhet efter avslutad tjänstgöring, publikationer, bestämmelser mot trakasserier och att den även gäller för utstationerade nationella experter och för biträdande domare inom ramen för EJTN. Parlamentet noterar med tillfredsställelse att utbildning om uppförandekoden och personalens rättigheter och skyldigheter är obligatorisk för nyanställda och starkt rekommenderad för all personal vid domstolen, och att totalt 747 personer (dvs. 32,80 % av domstolens totala antal tjänstemän och anställda) deltog i sådan utbildning under 2024. Parlamentet noterar vidare att liknande utbildning också hade erbjudits nya ledamöter av domstolen under 2024. Parlamentet noterar med tillfredsställelse domstolens nätverk av ”konfidentiella rådgivare” som bistår personalen i händelse av trakasserier, samt det program för talanghantering som erbjuds handläggare med hög potential och som bland annat omfattar etiskt ledarskap. </w:t>
            </w:r>
            <w:r>
              <w:rPr>
                <w:b/>
                <w:i/>
              </w:rPr>
              <w:t>Parlamentet uppmuntrar domstolen att gradvis stärka tillhandahållandet av utbildning om uppförandekoden för all personal utan undantag, för att säkerställa en gemensam förståelse av etiska normer inom hela institutionen.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Europaparlamentet noterar att den nya uppförandekoden för tjänstemän och övriga anställda vid domstolen, som återspeglar domstolens värderingar och engagemang för höga etiska normer, antogs i mars 2024, vilket begärdes i tidigare rekommendationer om ansvarsfrihet. Parlamentet noterar att uppförandekoden innehåller bestämmelser om intressekonflikter, lojalitetsplikt, skyldighet att iaktta konfidentialitet och diskretion, bisysslor, yrkesverksamhet efter avslutad tjänstgöring, publikationer, bestämmelser mot trakasserier och att den även gäller för utstationerade nationella experter och för biträdande domare inom ramen för EJTN. Parlamentet noterar med tillfredsställelse att utbildning om uppförandekoden och personalens rättigheter och skyldigheter är obligatorisk för nyanställda och starkt rekommenderad för all personal vid domstolen, och att totalt </w:t>
            </w:r>
            <w:r>
              <w:rPr>
                <w:b/>
                <w:i/>
              </w:rPr>
              <w:t>747</w:t>
            </w:r>
            <w:r>
              <w:t xml:space="preserve"> personer (dvs. </w:t>
            </w:r>
            <w:r>
              <w:rPr>
                <w:b/>
                <w:i/>
              </w:rPr>
              <w:t>32,80</w:t>
            </w:r>
            <w:r>
              <w:t xml:space="preserve"> % av domstolens totala antal tjänstemän och anställda) deltog i sådan utbildning under 2024. Parlamentet noterar vidare att liknande utbildning också hade erbjudits nya ledamöter av domstolen under 2024. Parlamentet noterar med tillfredsställelse domstolens nätverk av ”konfidentiella rådgivare” som bistår personalen i händelse av trakasserier, samt det program för talanghantering som erbjuds handläggare med hög potential och som bland annat omfattar etiskt ledarskap.</w:t>
            </w:r>
          </w:p>
        </w:tc>
        <w:tc>
          <w:tcPr>
            <w:tcW w:w="4876" w:type="dxa"/>
            <w:tcBorders>
              <w:top w:val="nil"/>
              <w:left w:val="nil"/>
              <w:bottom w:val="nil"/>
              <w:right w:val="nil"/>
            </w:tcBorders>
          </w:tcPr>
          <w:p>
            <w:pPr>
              <w:pStyle w:val="Normal6a"/>
            </w:pPr>
            <w:r>
              <w:t>29.</w:t>
            </w:r>
            <w:r>
              <w:tab/>
            </w:r>
            <w:r>
              <w:t xml:space="preserve">Europaparlamentet noterar att den nya uppförandekoden för tjänstemän och övriga anställda vid domstolen, som återspeglar domstolens värderingar och engagemang för höga etiska normer, antogs i mars 2024, vilket begärdes i tidigare rekommendationer om ansvarsfrihet. Parlamentet noterar att uppförandekoden innehåller bestämmelser om intressekonflikter, lojalitetsplikt, skyldighet att iaktta konfidentialitet och diskretion, bisysslor, yrkesverksamhet efter avslutad tjänstgöring, publikationer, bestämmelser mot trakasserier och att den även gäller för utstationerade nationella experter och för biträdande domare inom ramen för EJTN. Parlamentet noterar med tillfredsställelse att utbildning om uppförandekoden och personalens rättigheter och skyldigheter är obligatorisk för nyanställda och starkt rekommenderad för all personal vid domstolen, och att totalt </w:t>
            </w:r>
            <w:r>
              <w:rPr>
                <w:b/>
                <w:i/>
              </w:rPr>
              <w:t>561</w:t>
            </w:r>
            <w:r>
              <w:t xml:space="preserve"> personer (dvs. </w:t>
            </w:r>
            <w:r>
              <w:rPr>
                <w:b/>
                <w:i/>
              </w:rPr>
              <w:t>24,75</w:t>
            </w:r>
            <w:r>
              <w:t xml:space="preserve"> % av domstolens totala antal tjänstemän och anställda) deltog i sådan utbildning under 2024. Parlamentet noterar vidare att liknande utbildning också hade erbjudits nya ledamöter av domstolen under 2024. Parlamentet noterar med tillfredsställelse domstolens nätverk av ”konfidentiella rådgivare” som bistår personalen i händelse av trakasserier, samt det program för talanghantering som erbjuds handläggare med hög potential och som bland annat omfattar etiskt ledarskap.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Europaparlamentet välkomnar domstolens åtagande att öka transparensen, tillgången till rättslig prövning och den offentliga öppenheten, och därmed bidra till att främja allmänhetens förtroende för unionens institutioner, samtidigt som man väger detta mot andra grundläggande frågor såsom rättsväsendets ostördhet, förfarandenas konfidentialitet och skyddet av personuppgifter. Parlamentet noterar att domstolen under 2024 befäste strömningen av förhandlingar i domstolen och tribunalen på webbplatsen Curia för att på så vis underlätta allmänhetens tillgång till domstolsverksamheten i Europeiska unionens domstol. Parlamentet välkomnar i detta sammanhang, till följd av den reform av rättsväsendet som antogs 2024, den ökade transparensen i förfarandet för förhandsavgörande genom att göra det möjligt att offentliggöra skriftliga synpunkter på domstolens webbplats inom rimlig tid efter det att målet har avslutats.</w:t>
            </w:r>
          </w:p>
        </w:tc>
        <w:tc>
          <w:tcPr>
            <w:tcW w:w="4876" w:type="dxa"/>
            <w:tcBorders>
              <w:top w:val="nil"/>
              <w:left w:val="nil"/>
              <w:bottom w:val="nil"/>
              <w:right w:val="nil"/>
            </w:tcBorders>
          </w:tcPr>
          <w:p>
            <w:pPr>
              <w:pStyle w:val="Normal6a"/>
            </w:pPr>
            <w:r>
              <w:t>37.</w:t>
            </w:r>
            <w:r>
              <w:tab/>
            </w:r>
            <w:r>
              <w:t>Europaparlamentet välkomnar domstolens åtagande att öka transparensen, tillgången till rättslig prövning och den offentliga öppenheten, och därmed bidra till att främja allmänhetens förtroende för unionens institutioner, samtidigt som man väger detta mot andra grundläggande frågor såsom rättsväsendets ostördhet, förfarandenas konfidentialitet och skyddet av personuppgifter</w:t>
            </w:r>
            <w:r>
              <w:rPr>
                <w:b/>
                <w:i/>
              </w:rPr>
              <w:t>.</w:t>
            </w:r>
            <w:r>
              <w:t xml:space="preserve"> </w:t>
            </w:r>
            <w:r>
              <w:rPr>
                <w:b/>
                <w:i/>
              </w:rPr>
              <w:t>Parlamentet betonar att ökad transparens också måste bidra till att stärka allmänhetens förtroende för domstolens rättspraxis.</w:t>
            </w:r>
            <w:r>
              <w:t xml:space="preserve"> </w:t>
            </w:r>
            <w:r>
              <w:rPr>
                <w:b/>
                <w:i/>
              </w:rPr>
              <w:t>Parlamentet uppmuntrar domstolen att fortsätta sina ansträngningar för att förbättra tydligheten, tillgängligheten och förutsebarheten i sin rättspraxis, särskilt i mål med betydande konstitutionella eller samhälleliga konsekvenser</w:t>
            </w:r>
            <w:r>
              <w:t>. Parlamentet noterar att domstolen under 2024 befäste strömningen av förhandlingar i domstolen och tribunalen på webbplatsen Curia för att på så vis underlätta allmänhetens tillgång till domstolsverksamheten i Europeiska unionens domstol. Parlamentet välkomnar i detta sammanhang, till följd av den reform av rättsväsendet som antogs 2024, den ökade transparensen i förfarandet för förhandsavgörande genom att göra det möjligt att offentliggöra skriftliga synpunkter på domstolens webbplats inom rimlig tid efter det att målet har avslutats.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Europaparlamentet noterar med tillfredsställelse utifrån uppföljningsrapporten att domstolen, efter ett framgångsrikt pilotprojekt som inleddes 2022 och uppdateringen av dess arbetsordning 2024, utvidgade strömningstjänsten till att inkludera viktiga mål som prövas av en avdelning med fem domare, samt i det närmaste direktsändning av muntliga anföranden och direktsändningar av avkunnande av domar och generaladvokaternas förslag till avgörande. Parlamentet noterar vidare att sedan den 1 september 2024 är videoinspelningar av förhandlingar för avkunnande av domar och förslag till avgöranden ständigt tillgängliga på domstolens webbplats, och videoinspelningar av muntliga anföranden är tillgängliga en månad efter förhandlingen. Parlamentet noterar med tillfredsställelse att tribunalen har vidtagit liknande åtgärder för att säkerställa en utökad tillgång för allmänheten till dess förfaranden.</w:t>
            </w:r>
          </w:p>
        </w:tc>
        <w:tc>
          <w:tcPr>
            <w:tcW w:w="4876" w:type="dxa"/>
            <w:tcBorders>
              <w:top w:val="nil"/>
              <w:left w:val="nil"/>
              <w:bottom w:val="nil"/>
              <w:right w:val="nil"/>
            </w:tcBorders>
          </w:tcPr>
          <w:p>
            <w:pPr>
              <w:pStyle w:val="Normal6a"/>
            </w:pPr>
            <w:r>
              <w:t>38.</w:t>
            </w:r>
            <w:r>
              <w:tab/>
            </w:r>
            <w:r>
              <w:t xml:space="preserve">Europaparlamentet noterar med tillfredsställelse utifrån uppföljningsrapporten att domstolen, efter ett framgångsrikt pilotprojekt som inleddes 2022 och uppdateringen av dess arbetsordning 2024, utvidgade strömningstjänsten till att inkludera viktiga mål som prövas av en avdelning med fem domare, samt i det närmaste direktsändning av muntliga anföranden och direktsändningar av avkunnande av domar och generaladvokaternas förslag till avgörande. Parlamentet noterar vidare att sedan den 1 september 2024 är videoinspelningar av förhandlingar för avkunnande av domar och förslag till avgöranden ständigt tillgängliga på domstolens webbplats, och videoinspelningar av muntliga anföranden är tillgängliga </w:t>
            </w:r>
            <w:r>
              <w:rPr>
                <w:b/>
                <w:i/>
              </w:rPr>
              <w:t>under</w:t>
            </w:r>
            <w:r>
              <w:t xml:space="preserve"> en månad efter förhandlingen. Parlamentet noterar med tillfredsställelse att tribunalen har vidtagit liknande åtgärder för att säkerställa en utökad tillgång för allmänheten till dess förfaranden.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Europaparlamentet noterar med intresse lanseringen 2024 av ett pilotprojekt som ger alla domstolens avdelningar tillgång till AI-assistenter. Parlamentet understryker vikten av att säkerställa efterlevnad av etiska principer vid användning av AI-verktyg och i synnerhet av domstolens AI-riktlinjer som antogs 2024, för att på så sätt säkerställa mänsklig tillsyn när det gäller principen om rättsliga förfarandens oberoende. Parlamentet framhåller i detta sammanhang den tillsynsroll som domstolens styrelse har när det gäller AI. Parlamentet lovordar domstolen för det omfattande utbildningsprogram som den införde 2024, med början i en ”månad för AI‑medvetenhet” som omfattade utbildningstillfällen, rundabordssamtal som leddes av AI-experter, webbinarier och ”bootcamps”, och därmed tog ett första och viktigt steg mot att skapa medvetenhet bland personalen om domstolens AI-strategi, AI-riktlinjer och AI i allmänhet. Parlamentet noterar att personalen också deltar i kurser om förändringsledning, kunskapsöverföring, mentorskap och mental flexibilitet för att stödja anpassning till ny teknik. Parlamentet uppmanar domstolen att fortsätta att anordna sådana utbildnings- och informationsprogram.</w:t>
            </w:r>
          </w:p>
        </w:tc>
        <w:tc>
          <w:tcPr>
            <w:tcW w:w="4876" w:type="dxa"/>
            <w:tcBorders>
              <w:top w:val="nil"/>
              <w:left w:val="nil"/>
              <w:bottom w:val="nil"/>
              <w:right w:val="nil"/>
            </w:tcBorders>
          </w:tcPr>
          <w:p>
            <w:pPr>
              <w:pStyle w:val="Normal6a"/>
            </w:pPr>
            <w:r>
              <w:t>43.</w:t>
            </w:r>
            <w:r>
              <w:tab/>
            </w:r>
            <w:r>
              <w:t>Europaparlamentet noterar med intresse lanseringen 2024 av ett pilotprojekt som ger alla domstolens avdelningar tillgång till AI-assistenter. Parlamentet understryker vikten av att säkerställa efterlevnad av etiska principer vid användning av AI-verktyg och i synnerhet av domstolens AI-riktlinjer som antogs 2024, för att på så sätt säkerställa mänsklig tillsyn när det gäller principen om rättsliga förfarandens oberoende</w:t>
            </w:r>
            <w:r>
              <w:rPr>
                <w:b/>
                <w:i/>
              </w:rPr>
              <w:t>.</w:t>
            </w:r>
            <w:r>
              <w:t xml:space="preserve"> </w:t>
            </w:r>
            <w:r>
              <w:rPr>
                <w:b/>
                <w:i/>
              </w:rPr>
              <w:t>Parlamentet understryker att användningen av AI-verktyg i en rättslig miljö under inga omständigheter får vare sig ersätta mänskliga rättsutlåtanden eller det mänskliga utrymmet för skönsmässig bedömning från rättsinstansens sida eller undergräva domarnas personliga ansvar</w:t>
            </w:r>
            <w:r>
              <w:t>. Parlamentet framhåller i detta sammanhang den tillsynsroll som domstolens styrelse har när det gäller AI. Parlamentet lovordar domstolen för det omfattande utbildningsprogram som den införde 2024, med början i en ”månad för AI‑medvetenhet” som omfattade utbildningstillfällen, rundabordssamtal som leddes av AI-experter, webbinarier och ”bootcamps”, och därmed tog ett första och viktigt steg mot att skapa medvetenhet bland personalen om domstolens AI-strategi, AI-riktlinjer och AI i allmänhet. Parlamentet noterar att personalen också deltar i kurser om förändringsledning, kunskapsöverföring, mentorskap och mental flexibilitet för att stödja anpassning till ny teknik. Parlamentet uppmanar domstolen att fortsätta att anordna sådana utbildnings- och informationsprogram.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Europaparlamentet noterar att den operativa kapaciteten för cybersäkerhet stärktes ytterligare under 2024 för att uppfylla kraven i förordning (EU, Euratom) 2023/2841 och för att hantera det ökande antalet cyberattacker. Parlamentet konstaterar att inga större cyberattacker ägde rum under 2024. Parlamentet noterar med oro att i genomsnitt 142 säkerhetsincidenter per månad registrerades och analyserades, varav vissa krävde mänskligt ingripande.</w:t>
            </w:r>
          </w:p>
        </w:tc>
        <w:tc>
          <w:tcPr>
            <w:tcW w:w="4876" w:type="dxa"/>
            <w:tcBorders>
              <w:top w:val="nil"/>
              <w:left w:val="nil"/>
              <w:bottom w:val="nil"/>
              <w:right w:val="nil"/>
            </w:tcBorders>
          </w:tcPr>
          <w:p>
            <w:pPr>
              <w:pStyle w:val="Normal6a"/>
            </w:pPr>
            <w:r>
              <w:t>45.</w:t>
            </w:r>
            <w:r>
              <w:tab/>
            </w:r>
            <w:r>
              <w:t xml:space="preserve">Europaparlamentet noterar att den operativa kapaciteten för cybersäkerhet stärktes ytterligare under 2024 för att uppfylla kraven i förordning (EU, Euratom) 2023/2841 och för att hantera det ökande antalet cyberattacker. Parlamentet konstaterar att inga större cyberattacker ägde rum under 2024. Parlamentet noterar med oro att i genomsnitt 142 säkerhetsincidenter per månad registrerades och analyserades, varav vissa krävde mänskligt ingripande. </w:t>
            </w:r>
            <w:r>
              <w:rPr>
                <w:b/>
                <w:i/>
              </w:rPr>
              <w:t>Parlamentet understryker att denna trend belyser behovet av varaktiga och förutsebara investeringar i cybersäkerhetskapacitet, personalutbildning och interinstitutionellt samarbete, i linje med förordning (EU, Euratom) 2023/2841.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Europaparlamentet noterar att den operativa kapaciteten för cybersäkerhet stärktes ytterligare under 2024 för att uppfylla kraven i förordning (EU, Euratom) 2023/2841 och för att hantera det ökande antalet cyberattacker. Parlamentet konstaterar att inga större cyberattacker ägde rum under 2024. Parlamentet noterar med oro att i genomsnitt 142 säkerhetsincidenter per månad registrerades och analyserades, varav vissa krävde mänskligt ingripande.</w:t>
            </w:r>
          </w:p>
        </w:tc>
        <w:tc>
          <w:tcPr>
            <w:tcW w:w="4876" w:type="dxa"/>
            <w:tcBorders>
              <w:top w:val="nil"/>
              <w:left w:val="nil"/>
              <w:bottom w:val="nil"/>
              <w:right w:val="nil"/>
            </w:tcBorders>
          </w:tcPr>
          <w:p>
            <w:pPr>
              <w:pStyle w:val="Normal6a"/>
            </w:pPr>
            <w:r>
              <w:t>45.</w:t>
            </w:r>
            <w:r>
              <w:tab/>
            </w:r>
            <w:r>
              <w:t xml:space="preserve">Europaparlamentet noterar att den operativa kapaciteten för cybersäkerhet stärktes ytterligare under 2024 för att uppfylla kraven i förordning (EU, Euratom) 2023/2841 och för att hantera det ökande antalet cyberattacker. Parlamentet konstaterar att inga större cyberattacker ägde rum under 2024. Parlamentet noterar med oro att i genomsnitt 142 säkerhetsincidenter per månad registrerades och analyserades, varav vissa krävde mänskligt ingripande. </w:t>
            </w:r>
            <w:r>
              <w:rPr>
                <w:b/>
                <w:i/>
              </w:rPr>
              <w:t>Parlamentet betonar att cybersäkerhet är en strategisk investering som är avgörande för att värna rättsväsendets oberoende, dataintegriteten och kontinuiteten i den dömande verksamheten.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Europaparlamentet lovordar domstolen för dess fortsatta insatser och betydande framsteg med att minska sitt miljöavtryck under 2024, vilket framgår av dess resultat i förhållande till grundscenariot i miljölednings- och miljörevisionsordningen (Emas) från 2015 med minskningar per heltidsekvivalent som uppnåtts för många typer av förbrukning/utsläpp (uppvärmning: - 37,5 %</w:t>
            </w:r>
            <w:r>
              <w:rPr>
                <w:b/>
                <w:i/>
              </w:rPr>
              <w:t>,</w:t>
            </w:r>
            <w:r>
              <w:t xml:space="preserve"> elektricitet: -29,3 %, papper: -64,2 %, kontors- och matsalsavfall: -40,4 %, växthusgasutsläpp: -</w:t>
            </w:r>
            <w:r>
              <w:rPr>
                <w:b/>
                <w:i/>
              </w:rPr>
              <w:t>30,20</w:t>
            </w:r>
            <w:r>
              <w:t xml:space="preserve"> %). Parlamentet noterar en övergripande förbättring jämfört med de minskningar som rapporterades för 2023. Parlamentet konstaterar att dessa resultat, i kombination med marknadsvillkoren, ledde till en minskning av energiutgifterna med 18 % jämfört med prognoserna. Parlamentet lovordar i detta sammanhang den robusta integreringen av hållbarhet i domstolens ram för riskhantering och ansvarsskyldighet, i enlighet med dess Emas-certifiering.</w:t>
            </w:r>
          </w:p>
        </w:tc>
        <w:tc>
          <w:tcPr>
            <w:tcW w:w="4876" w:type="dxa"/>
            <w:tcBorders>
              <w:top w:val="nil"/>
              <w:left w:val="nil"/>
              <w:bottom w:val="nil"/>
              <w:right w:val="nil"/>
            </w:tcBorders>
          </w:tcPr>
          <w:p>
            <w:pPr>
              <w:pStyle w:val="Normal6a"/>
            </w:pPr>
            <w:r>
              <w:t>50.</w:t>
            </w:r>
            <w:r>
              <w:tab/>
            </w:r>
            <w:r>
              <w:t>Europaparlamentet lovordar domstolen för dess fortsatta insatser och betydande framsteg med att minska sitt miljöavtryck under 2024, vilket framgår av dess resultat i förhållande till grundscenariot i miljölednings- och miljörevisionsordningen (Emas) från 2015 med minskningar per heltidsekvivalent som uppnåtts för många typer av förbrukning/utsläpp (uppvärmning: - 37,5 % elektricitet: -29,3 %, papper: -64,2 %, kontors- och matsalsavfall: -40,4 %, växthusgasutsläpp: -</w:t>
            </w:r>
            <w:r>
              <w:rPr>
                <w:b/>
                <w:i/>
              </w:rPr>
              <w:t>26,7</w:t>
            </w:r>
            <w:r>
              <w:t xml:space="preserve"> %). Parlamentet noterar en övergripande förbättring jämfört med de minskningar som rapporterades för 2023. Parlamentet konstaterar att dessa resultat, i kombination med marknadsvillkoren, ledde till en minskning av energiutgifterna med 18 % jämfört med prognoserna. Parlamentet lovordar i detta sammanhang den robusta integreringen av hållbarhet i domstolens ram för riskhantering och ansvarsskyldighet, i enlighet med dess Emas-certifiering.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52.</w:t>
            </w:r>
            <w:r>
              <w:tab/>
            </w:r>
            <w:r>
              <w:rPr>
                <w:b/>
                <w:i/>
              </w:rPr>
              <w:t>Europaparlamentet lovordar domstolen för dess strikta strategi för hållbar upphandling, genom kategoriseringen av anbudsinfordringar på grundval av deras miljöklausulers inverkan (”ljusgrön”, ”medelgrön”, ”mörkgrön”), den systematiska användningen av verktyg såsom den obligatoriska självbedömningen av ”grön prestanda” och samrådet med den interinstitutionella helpdesken för hållbar offentlig upphandling.</w:t>
            </w:r>
            <w:r>
              <w:t xml:space="preserve"> </w:t>
            </w:r>
            <w:r>
              <w:rPr>
                <w:b/>
                <w:i/>
              </w:rPr>
              <w:t>Parlamentet noterar att elva större anbud över 60 000 EUR under 2024 var ”gröna inköp”, varav åtta innehöll betydande miljöklausuler. Parlamentet välkomnar särskilt det framgångsrika genomförandet av det nya cateringkontraktet, som kräver hållbara livsmedelsmetoder och har ISO 14001-certifiering, och uppnåendet av målet att begränsa ”ljusgröna” anbud till långt under målet på 50 %.</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52.</w:t>
            </w:r>
            <w:r>
              <w:tab/>
            </w:r>
            <w:r>
              <w:t xml:space="preserve">Europaparlamentet lovordar domstolen för dess strikta strategi för hållbar upphandling, genom kategoriseringen av anbudsinfordringar på grundval av deras miljöklausulers inverkan (”ljusgrön”, ”medelgrön”, ”mörkgrön”), den systematiska användningen av verktyg såsom den obligatoriska självbedömningen av ”grön prestanda” och samrådet med den interinstitutionella helpdesken för hållbar offentlig upphandling. Parlamentet noterar att </w:t>
            </w:r>
            <w:r>
              <w:rPr>
                <w:b/>
                <w:i/>
              </w:rPr>
              <w:t>elva</w:t>
            </w:r>
            <w:r>
              <w:t xml:space="preserve"> större anbud över 60 000 EUR under 2024 var ”gröna inköp”, varav </w:t>
            </w:r>
            <w:r>
              <w:rPr>
                <w:b/>
                <w:i/>
              </w:rPr>
              <w:t>åtta</w:t>
            </w:r>
            <w:r>
              <w:t xml:space="preserve"> innehöll betydande miljöklausuler. Parlamentet välkomnar särskilt det framgångsrika genomförandet av det nya cateringkontraktet, som kräver hållbara livsmedelsmetoder och har ISO 14001-certifiering, och uppnåendet av målet att begränsa ”ljusgröna” anbud till långt under målet på 50 %.</w:t>
            </w:r>
          </w:p>
        </w:tc>
        <w:tc>
          <w:tcPr>
            <w:tcW w:w="4876" w:type="dxa"/>
            <w:tcBorders>
              <w:top w:val="nil"/>
              <w:left w:val="nil"/>
              <w:bottom w:val="nil"/>
              <w:right w:val="nil"/>
            </w:tcBorders>
          </w:tcPr>
          <w:p>
            <w:pPr>
              <w:pStyle w:val="Normal6a"/>
            </w:pPr>
            <w:r>
              <w:t>52.</w:t>
            </w:r>
            <w:r>
              <w:tab/>
            </w:r>
            <w:r>
              <w:t xml:space="preserve">Europaparlamentet lovordar domstolen för dess strikta strategi för hållbar upphandling, genom kategoriseringen av anbudsinfordringar på grundval av deras miljöklausulers inverkan (”ljusgrön”, ”medelgrön”, ”mörkgrön”), den systematiska användningen av verktyg såsom den obligatoriska självbedömningen av ”grön prestanda” och samrådet med den interinstitutionella helpdesken för hållbar offentlig upphandling. Parlamentet noterar att </w:t>
            </w:r>
            <w:r>
              <w:rPr>
                <w:b/>
                <w:i/>
              </w:rPr>
              <w:t>åtta</w:t>
            </w:r>
            <w:r>
              <w:t xml:space="preserve"> större anbud över 60 000 EUR under 2024 var ”gröna inköp”, varav </w:t>
            </w:r>
            <w:r>
              <w:rPr>
                <w:b/>
                <w:i/>
              </w:rPr>
              <w:t>sex</w:t>
            </w:r>
            <w:r>
              <w:t xml:space="preserve"> innehöll betydande miljöklausuler. Parlamentet välkomnar särskilt det framgångsrika genomförandet av det nya cateringkontraktet, som kräver hållbara livsmedelsmetoder och har ISO 14001-certifiering, och uppnåendet av målet att begränsa ”ljusgröna” anbud till långt under målet på 50 %.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Ondřej Knotek, 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52a.</w:t>
            </w:r>
            <w:r>
              <w:tab/>
            </w:r>
            <w:r>
              <w:rPr>
                <w:b/>
                <w:i/>
              </w:rPr>
              <w:t>Europaparlamentet betonar att miljöinitiativ inom unionens institutioner måste förbli kostnadseffektiva och teknikneutrala.</w:t>
            </w:r>
            <w:r>
              <w:t xml:space="preserve"> </w:t>
            </w:r>
            <w:r>
              <w:rPr>
                <w:b/>
                <w:i/>
              </w:rPr>
              <w:t>Parlamentet uppmanar domstolen att tillhandahålla en transparent kostnads-nyttoanalys av sina gröna investeringar och upphandlingsmetoder och att säkerställa att miljöhänsyn inte väger tyngre än effektivitet eller budgetdisciplin.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60.</w:t>
            </w:r>
            <w:r>
              <w:tab/>
            </w:r>
            <w:r>
              <w:t xml:space="preserve">Europaparlamentet noterar att domstolen under 2024 stärkte sitt arbete för att kommunicera med unionsmedborgarna genom att nå ut bättre i sociala medier. Parlamentet noterar att antalet prenumeranter på domstolens LinkedInkonto hade ökat med 26 % och antalet följare på dess två konton på X (tidigare Twitter) med 2,5 %, samt att visningarna på dess YouTubekanal ökade med </w:t>
            </w:r>
            <w:r>
              <w:rPr>
                <w:b/>
                <w:i/>
              </w:rPr>
              <w:t>236</w:t>
            </w:r>
            <w:r>
              <w:t xml:space="preserve"> % och antalet YouTube‑prenumeranter med </w:t>
            </w:r>
            <w:r>
              <w:rPr>
                <w:b/>
                <w:i/>
              </w:rPr>
              <w:t>mer än 400</w:t>
            </w:r>
            <w:r>
              <w:t xml:space="preserve"> % i slutet av 2024 jämfört med föregående år. Parlamentet noterar att den paraboliska ökningen av visningar och prenumeranter delvis berodde på en marknadsföringskampanj som anordnades av domstolen.</w:t>
            </w:r>
          </w:p>
        </w:tc>
        <w:tc>
          <w:tcPr>
            <w:tcW w:w="4876" w:type="dxa"/>
            <w:tcBorders>
              <w:top w:val="nil"/>
              <w:left w:val="nil"/>
              <w:bottom w:val="nil"/>
              <w:right w:val="nil"/>
            </w:tcBorders>
          </w:tcPr>
          <w:p>
            <w:pPr>
              <w:pStyle w:val="Normal6a"/>
            </w:pPr>
            <w:r>
              <w:t>60.</w:t>
            </w:r>
            <w:r>
              <w:tab/>
            </w:r>
            <w:r>
              <w:t xml:space="preserve">Europaparlamentet noterar att domstolen under 2024 stärkte sitt arbete för att kommunicera med unionsmedborgarna genom att nå ut bättre i sociala medier. Parlamentet noterar att antalet prenumeranter på domstolens LinkedInkonto hade ökat med 26 % och antalet följare på dess två konton på X (tidigare Twitter) med 2,5 %, samt att visningarna på dess YouTubekanal ökade med </w:t>
            </w:r>
            <w:r>
              <w:rPr>
                <w:b/>
                <w:i/>
              </w:rPr>
              <w:t>137</w:t>
            </w:r>
            <w:r>
              <w:t xml:space="preserve"> % och antalet YouTube‑prenumeranter med </w:t>
            </w:r>
            <w:r>
              <w:rPr>
                <w:b/>
                <w:i/>
              </w:rPr>
              <w:t>329</w:t>
            </w:r>
            <w:r>
              <w:t xml:space="preserve"> % i slutet av 2024 jämfört med föregående år. Parlamentet noterar att den paraboliska ökningen av visningar och prenumeranter delvis berodde på en marknadsföringskampanj som anordnades av domstolen.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60a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60a.</w:t>
            </w:r>
            <w:r>
              <w:tab/>
            </w:r>
            <w:r>
              <w:rPr>
                <w:b/>
                <w:i/>
              </w:rPr>
              <w:t>Europaparlamentet uppmuntrar domstolen att vidareutveckla kommunikationsverktyg med fokus på medborgarna, i synnerhet genom att tillhandahålla tydliga, lättillgängliga och juridiskt korrekta förklaringar av vägledande avgöranden med betydande konsekvenser för nationella rättsordningar, samtidigt som rättsväsendets oberoende och sekretessen i förfarandena respekteras fullt 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784.145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32</w:t>
    </w:r>
    <w:r>
      <w:fldChar w:fldCharType="end"/>
    </w:r>
    <w:r>
      <w:t>/</w:t>
    </w:r>
    <w:r>
      <w:fldChar w:fldCharType="begin"/>
    </w:r>
    <w:r>
      <w:instrText xml:space="preserve"> NUMPAGES </w:instrText>
    </w:r>
    <w:r>
      <w:fldChar w:fldCharType="separate"/>
    </w:r>
    <w:r>
      <w:t>32</w:t>
    </w:r>
    <w:r>
      <w:fldChar w:fldCharType="end"/>
    </w:r>
    <w:r>
      <w:tab/>
    </w:r>
    <w:r>
      <w:rPr>
        <w:rStyle w:val="HideTWBExt"/>
      </w:rPr>
      <w:t>&lt;PathFdR&gt;</w:t>
    </w:r>
    <w:r>
      <w:t>AM\1336272SV.docx</w:t>
    </w:r>
    <w:r>
      <w:rPr>
        <w:rStyle w:val="HideTWBExt"/>
      </w:rPr>
      <w:t>&lt;/PathFdR&gt;</w:t>
    </w:r>
  </w:p>
  <w:p>
    <w:pPr>
      <w:pStyle w:val="EPFooter2"/>
    </w:pPr>
    <w:r>
      <w:t>SV</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AM\1336272SV.docx</w:t>
    </w:r>
    <w:r>
      <w:rPr>
        <w:rStyle w:val="HideTWBExt"/>
      </w:rPr>
      <w:t>&lt;/PathFdR&gt;</w:t>
    </w:r>
    <w:r>
      <w:tab/>
    </w:r>
    <w:r>
      <w:fldChar w:fldCharType="begin"/>
    </w:r>
    <w:r>
      <w:instrText xml:space="preserve"> PAGE </w:instrText>
    </w:r>
    <w:r>
      <w:fldChar w:fldCharType="separate"/>
    </w:r>
    <w:r>
      <w:t>31</w:t>
    </w:r>
    <w:r>
      <w:fldChar w:fldCharType="end"/>
    </w:r>
    <w:r>
      <w:t>/</w:t>
    </w:r>
    <w:r>
      <w:fldChar w:fldCharType="begin"/>
    </w:r>
    <w:r>
      <w:instrText xml:space="preserve"> NUMPAGES </w:instrText>
    </w:r>
    <w:r>
      <w:fldChar w:fldCharType="separate"/>
    </w:r>
    <w:r>
      <w:t>32</w:t>
    </w:r>
    <w:r>
      <w:fldChar w:fldCharType="end"/>
    </w:r>
    <w:r>
      <w:tab/>
    </w:r>
    <w:r>
      <w:t>PE</w:t>
    </w:r>
    <w:r>
      <w:rPr>
        <w:rStyle w:val="HideTWBExt"/>
      </w:rPr>
      <w:t>&lt;NoPE&gt;</w:t>
    </w:r>
    <w:r>
      <w:t>784.145</w:t>
    </w:r>
    <w:r>
      <w:rPr>
        <w:rStyle w:val="HideTWBExt"/>
      </w:rPr>
      <w:t>&lt;/NoPE&gt;</w:t>
    </w:r>
    <w:r>
      <w:rPr>
        <w:rStyle w:val="HideTWBExt"/>
      </w:rPr>
      <w:t>&lt;Version&gt;</w:t>
    </w:r>
    <w:r>
      <w:t>v01-00</w:t>
    </w:r>
    <w:r>
      <w:rPr>
        <w:rStyle w:val="HideTWBExt"/>
      </w:rPr>
      <w:t>&lt;/Version&gt;</w:t>
    </w:r>
  </w:p>
  <w:p>
    <w:pPr>
      <w:pStyle w:val="EPFooter2"/>
    </w:pPr>
    <w:r>
      <w:tab/>
    </w:r>
    <w:r>
      <w:tab/>
    </w:r>
    <w:r>
      <w:t>SV</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AM\1336272SV.docx</w:t>
    </w:r>
    <w:r>
      <w:rPr>
        <w:rStyle w:val="HideTWBExt"/>
      </w:rPr>
      <w:t>&lt;/PathFdR&gt;</w:t>
    </w:r>
    <w:r>
      <w:tab/>
    </w:r>
    <w:r>
      <w:tab/>
    </w:r>
    <w:r>
      <w:t>PE</w:t>
    </w:r>
    <w:r>
      <w:rPr>
        <w:rStyle w:val="HideTWBExt"/>
      </w:rPr>
      <w:t>&lt;NoPE&gt;</w:t>
    </w:r>
    <w:r>
      <w:t>784.145</w:t>
    </w:r>
    <w:r>
      <w:rPr>
        <w:rStyle w:val="HideTWBExt"/>
      </w:rPr>
      <w:t>&lt;/NoPE&gt;</w:t>
    </w:r>
    <w:r>
      <w:rPr>
        <w:rStyle w:val="HideTWBExt"/>
      </w:rPr>
      <w:t>&lt;Version&gt;</w:t>
    </w:r>
    <w:r>
      <w:t>v01-00</w:t>
    </w:r>
    <w:r>
      <w:rPr>
        <w:rStyle w:val="HideTWBExt"/>
      </w:rPr>
      <w:t>&lt;/Version&gt;</w:t>
    </w:r>
  </w:p>
  <w:p>
    <w:pPr>
      <w:pStyle w:val="EPFooter2"/>
    </w:pPr>
    <w:r>
      <w:t>SV</w:t>
    </w:r>
    <w:r>
      <w:tab/>
    </w:r>
    <w:r>
      <w:rPr>
        <w:rStyle w:val="EPFooter2Motto"/>
      </w:rPr>
      <w:t>Förenade i mångfalden</w:t>
    </w:r>
    <w:r>
      <w:tab/>
    </w:r>
    <w:r>
      <w:t>SV</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32</Pages>
  <Words>8788</Words>
  <Characters>59197</Characters>
  <Application>Microsoft Office Word</Application>
  <DocSecurity>0</DocSecurity>
  <Lines>1</Lines>
  <Paragraphs>351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1336272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370961</vt:lpwstr>
  </property>
  <property fmtid="{D5CDD505-2E9C-101B-9397-08002B2CF9AE}" pid="7" name="dmxml.render.traceId">
    <vt:lpwstr>698b36604e77ef4e02f5dbde96b5d7a4</vt:lpwstr>
  </property>
  <property fmtid="{D5CDD505-2E9C-101B-9397-08002B2CF9AE}" pid="8" name="FooterPath">
    <vt:lpwstr>AM\1336272SV.docx</vt:lpwstr>
  </property>
  <property fmtid="{D5CDD505-2E9C-101B-9397-08002B2CF9AE}" pid="9" name="PE Number">
    <vt:lpwstr>784.145</vt:lpwstr>
  </property>
  <property fmtid="{D5CDD505-2E9C-101B-9397-08002B2CF9AE}" pid="10" name="UID">
    <vt:lpwstr>eu.europa.europarl-DIN1-2026-0000016485_01.00-sv-01.00_text-xml</vt:lpwstr>
  </property>
</Properties>
</file>