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Επιτροπή Ελέγχου του Προϋπολογισμού</w:t>
      </w:r>
      <w:r>
        <w:rPr>
          <w:rStyle w:val="HideTWBExt"/>
        </w:rPr>
        <w:t>&lt;/Commission&gt;</w:t>
      </w:r>
    </w:p>
    <w:p>
      <w:pPr>
        <w:pStyle w:val="LineBottom"/>
      </w:pPr>
      <w:r>
        <w:t xml:space="preserve"> </w:t>
      </w:r>
    </w:p>
    <w:p>
      <w:pPr>
        <w:pStyle w:val="CoverReference"/>
      </w:pPr>
      <w:r>
        <w:rPr>
          <w:rStyle w:val="HideTWBExt"/>
        </w:rPr>
        <w:t>&lt;RefProc&gt;</w:t>
      </w:r>
      <w:r>
        <w:t>2025/2153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50</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(PE778.065v01-00)</w:t>
      </w:r>
      <w:r>
        <w:rPr>
          <w:rStyle w:val="HideTWBExt"/>
        </w:rPr>
        <w:t>&lt;/DocRefPE&gt;</w:t>
      </w:r>
    </w:p>
    <w:p>
      <w:pPr>
        <w:pStyle w:val="CoverNormal"/>
      </w:pPr>
      <w:r>
        <w:rPr>
          <w:rStyle w:val="HideTWBExt"/>
        </w:rPr>
        <w:t>&lt;Titre&gt;</w:t>
      </w:r>
      <w:r>
        <w:t>Απαλλαγή 2024: Γενικός προϋπολογισμός της ΕΕ — Ευρωπαίος Διαμεσολαβητής</w:t>
      </w:r>
      <w:r>
        <w:rPr>
          <w:rStyle w:val="HideTWBExt"/>
        </w:rPr>
        <w:t>&lt;/Titre&gt;</w:t>
      </w:r>
    </w:p>
    <w:p>
      <w:pPr>
        <w:pStyle w:val="CoverNormal24a"/>
      </w:pPr>
      <w:r>
        <w:rPr>
          <w:rStyle w:val="HideTWBExt"/>
        </w:rPr>
        <w:t>&lt;DocRef&gt;</w:t>
      </w:r>
      <w:r>
        <w:t>(2025/2153(DEC))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tc>
        <w:tc>
          <w:tcPr>
            <w:tcW w:w="4876" w:type="dxa"/>
            <w:tcBorders>
              <w:top w:val="nil"/>
              <w:left w:val="nil"/>
              <w:bottom w:val="nil"/>
              <w:right w:val="nil"/>
            </w:tcBorders>
          </w:tcPr>
          <w:p>
            <w:pPr>
              <w:pStyle w:val="Normal6a"/>
            </w:pPr>
            <w:r>
              <w:t>Α.</w:t>
            </w:r>
            <w:r>
              <w:tab/>
            </w:r>
            <w:r>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w:t>
            </w:r>
            <w:r>
              <w:rPr>
                <w:b/>
                <w:i/>
              </w:rPr>
              <w:t>, η διασφάλιση της ορθής, αποτελεσματικής και προσανατολισμένης στα αποτελέσματα δημοσιονομικής διαχείρισης</w:t>
            </w:r>
            <w:r>
              <w:t xml:space="preserve"> και της χρηστής διαχείρισης των ανθρώπινων πόρων·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η διατήρηση των υψηλότερων δυνατών προτύπων θεσμικής ανεξαρτησίας και η αποφυγή κάθε αίσθησης ευνοιοκρατίας στους διορισμούς ανώτερων υπαλλήλων είναι ουσιαστικής σημασίας για τη διασφάλιση της εμπιστοσύνης του κοινού στον ρόλο του Διαμεσολαβητή ως φορέα ελέγχου της χρηστής διοίκησης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σημειώνει ότι οι προσπάθειες παρακολούθησης του προϋπολογισμού κατά τη διάρκεια του οικονομικού έτους 2024 είχαν ως αποτέλεσμα ποσοστό εκτέλεσης του προϋπολογισμού 97,55 %, το οποίο συνιστά αύξηση κατά 2,16 % σε σύγκριση με το 2023· σημειώνει ότι το ποσοστό αυτό περιλαμβάνει πιστώσεις που μεταφέρθηκαν από το 2024 στο 2025· σημειώνει ότι το ποσοστό εκτέλεσης των πιστώσεων πληρωμών του τρέχοντος έτους ήταν 97,08 %, που συνιστά μείωση κατά 0,50 % σε σύγκριση με το 2023· σημειώνει αύξηση κατά 29,60 % των πιστώσεων που μεταφέρθηκαν (πιστώσεις C8), δηλαδή από </w:t>
            </w:r>
            <w:r>
              <w:rPr>
                <w:b/>
                <w:i/>
              </w:rPr>
              <w:t>304 550</w:t>
            </w:r>
            <w:r>
              <w:t xml:space="preserve"> EUR το 2023 σε </w:t>
            </w:r>
            <w:r>
              <w:rPr>
                <w:b/>
                <w:i/>
              </w:rPr>
              <w:t>394 667</w:t>
            </w:r>
            <w:r>
              <w:t xml:space="preserve"> EUR το 2024· σημειώνει βελτίωση στο ποσοστό εκτέλεσης των αυτόματων μεταφορών πιστώσεων από το προηγούμενο έτος, το οποίο το 2024 ήταν 76,59 % σε σύγκριση με 73,27 % το 2023·</w:t>
            </w:r>
          </w:p>
        </w:tc>
        <w:tc>
          <w:tcPr>
            <w:tcW w:w="4876" w:type="dxa"/>
            <w:tcBorders>
              <w:top w:val="nil"/>
              <w:left w:val="nil"/>
              <w:bottom w:val="nil"/>
              <w:right w:val="nil"/>
            </w:tcBorders>
          </w:tcPr>
          <w:p>
            <w:pPr>
              <w:pStyle w:val="Normal6a"/>
            </w:pPr>
            <w:r>
              <w:t>5.</w:t>
            </w:r>
            <w:r>
              <w:tab/>
            </w:r>
            <w:r>
              <w:t xml:space="preserve">σημειώνει ότι οι προσπάθειες παρακολούθησης του προϋπολογισμού κατά τη διάρκεια του οικονομικού έτους 2024 είχαν ως αποτέλεσμα ποσοστό εκτέλεσης του προϋπολογισμού 97,55 %, το οποίο συνιστά αύξηση κατά 2,16 % σε σύγκριση με το 2023· σημειώνει ότι το ποσοστό αυτό περιλαμβάνει πιστώσεις που μεταφέρθηκαν από το 2024 στο 2025· σημειώνει ότι το ποσοστό εκτέλεσης των πιστώσεων πληρωμών του τρέχοντος έτους ήταν 97,08 %, που συνιστά μείωση κατά 0,50 % σε σύγκριση με το 2023· σημειώνει αύξηση κατά 29,60 % των πιστώσεων που μεταφέρθηκαν (πιστώσεις C8), δηλαδή από </w:t>
            </w:r>
            <w:r>
              <w:rPr>
                <w:b/>
                <w:i/>
              </w:rPr>
              <w:t>304 550</w:t>
            </w:r>
            <w:r>
              <w:t xml:space="preserve"> EUR το 2023 σε </w:t>
            </w:r>
            <w:r>
              <w:rPr>
                <w:b/>
                <w:i/>
              </w:rPr>
              <w:t>394 667</w:t>
            </w:r>
            <w:r>
              <w:t xml:space="preserve"> EUR το 2024· σημειώνει βελτίωση στο ποσοστό εκτέλεσης των αυτόματων μεταφορών πιστώσεων από το προηγούμενο έτος, το οποίο το 2024 ήταν 76,59 % σε σύγκριση με 73,27 % το 2023· </w:t>
            </w:r>
            <w:r>
              <w:rPr>
                <w:b/>
                <w:i/>
              </w:rPr>
              <w:t>σημειώνει, ωστόσο, ότι το ποσοστό αυτό παρέμεινε χαμηλό σε σύγκριση με το 2022 (92,59 %), και επαναλαμβάνει την έκκλησή του προς τον Διαμεσολαβητή να εντείνει τις προσπάθειες για τη βελτίωση του εν λόγω ποσοστού·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w:t>
            </w:r>
            <w:r>
              <w:rPr>
                <w:b/>
                <w:i/>
              </w:rPr>
              <w:t>200 000</w:t>
            </w:r>
            <w:r>
              <w:t xml:space="preserve"> EUR για δικαιώματα πρόσβασης σε αυτό, το ίδιο ποσό που καλούνται να καταβάλουν άλλα, πολύ μεγαλύτερα θεσμικά όργανα της Ένωσης· σημειώνει ότι το ποσό αυτό είναι διπλάσιο από τον προϋπολογισμό του Διαμεσολαβητή για αυτό το είδος υπηρεσιών· καλεί την Επιτροπή να βρει μια λύση που θα επιτρέπει στον Διαμεσολαβητή να έχει πρόσβαση στο SUMMA σε τιμή ανάλογη προς το μέγεθος του Διαμεσολαβητή·</w:t>
            </w:r>
          </w:p>
        </w:tc>
        <w:tc>
          <w:tcPr>
            <w:tcW w:w="4876" w:type="dxa"/>
            <w:tcBorders>
              <w:top w:val="nil"/>
              <w:left w:val="nil"/>
              <w:bottom w:val="nil"/>
              <w:right w:val="nil"/>
            </w:tcBorders>
          </w:tcPr>
          <w:p>
            <w:pPr>
              <w:pStyle w:val="Normal6a"/>
            </w:pPr>
            <w:r>
              <w:t>7.</w:t>
            </w:r>
            <w:r>
              <w:tab/>
            </w:r>
            <w:r>
              <w:t xml:space="preserve">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w:t>
            </w:r>
            <w:r>
              <w:rPr>
                <w:b/>
                <w:i/>
              </w:rPr>
              <w:t>200 000</w:t>
            </w:r>
            <w:r>
              <w:t xml:space="preserve"> EUR για δικαιώματα πρόσβασης σε αυτό, το ίδιο ποσό που καλούνται να καταβάλουν άλλα, πολύ μεγαλύτερα θεσμικά όργανα της Ένωσης· σημειώνει ότι το ποσό αυτό είναι διπλάσιο από τον προϋπολογισμό του Διαμεσολαβητή για αυτό το είδος υπηρεσιών· καλεί την Επιτροπή να βρει μια λύση που θα επιτρέπει στον Διαμεσολαβητή να έχει πρόσβαση στο SUMMA σε τιμή ανάλογη προς το μέγεθος του Διαμεσολαβητή· </w:t>
            </w:r>
            <w:r>
              <w:rPr>
                <w:b/>
                <w:i/>
              </w:rPr>
              <w:t>ζητεί τη θέσπιση ενός διαφανούς, αντικειμενικού και προσαρμοσμένου στο μέγεθος μοντέλου κόστους για την πρόσβαση σε κοινά εταιρικά χρηματοπιστωτικά συστήματα, ώστε τα μικρά θεσμικά όργανα να μην επιβαρύνονται δυσανάλογα και να μπορούν να συμμορφώνονται με τις υποχρεώσεις δημοσιονομικής διαχείρισης χωρίς να παραγκωνίζονται επιχειρησιακοί πόροι·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w:t>
            </w:r>
            <w:r>
              <w:rPr>
                <w:b/>
                <w:i/>
              </w:rPr>
              <w:t>200 000</w:t>
            </w:r>
            <w:r>
              <w:t xml:space="preserve"> EUR για δικαιώματα πρόσβασης σε αυτό, το ίδιο ποσό που καλούνται να καταβάλουν άλλα, πολύ μεγαλύτερα θεσμικά όργανα της Ένωσης· σημειώνει ότι το ποσό αυτό είναι διπλάσιο από τον προϋπολογισμό του Διαμεσολαβητή για αυτό το είδος υπηρεσιών· καλεί την Επιτροπή να βρει μια λύση που θα επιτρέπει στον Διαμεσολαβητή να έχει πρόσβαση στο SUMMA σε τιμή ανάλογη προς το μέγεθος του Διαμεσολαβητή·</w:t>
            </w:r>
          </w:p>
        </w:tc>
        <w:tc>
          <w:tcPr>
            <w:tcW w:w="4876" w:type="dxa"/>
            <w:tcBorders>
              <w:top w:val="nil"/>
              <w:left w:val="nil"/>
              <w:bottom w:val="nil"/>
              <w:right w:val="nil"/>
            </w:tcBorders>
          </w:tcPr>
          <w:p>
            <w:pPr>
              <w:pStyle w:val="Normal6a"/>
            </w:pPr>
            <w:r>
              <w:t>7.</w:t>
            </w:r>
            <w:r>
              <w:tab/>
            </w:r>
            <w:r>
              <w:t xml:space="preserve">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w:t>
            </w:r>
            <w:r>
              <w:rPr>
                <w:b/>
                <w:i/>
              </w:rPr>
              <w:t>200 000</w:t>
            </w:r>
            <w:r>
              <w:t xml:space="preserve"> EUR για δικαιώματα πρόσβασης σε αυτό, το ίδιο ποσό που καλούνται να καταβάλουν άλλα, πολύ μεγαλύτερα θεσμικά όργανα της Ένωσης· σημειώνει ότι το ποσό αυτό είναι διπλάσιο από τον προϋπολογισμό του Διαμεσολαβητή για αυτό το είδος υπηρεσιών· καλεί την Επιτροπή να βρει μια λύση που θα επιτρέπει στον Διαμεσολαβητή να έχει πρόσβαση στο SUMMA σε τιμή ανάλογη προς το μέγεθος του Διαμεσολαβητή· </w:t>
            </w:r>
            <w:r>
              <w:rPr>
                <w:b/>
                <w:i/>
              </w:rPr>
              <w:t>τονίζει ότι τα υποχρεωτικά διοργανικά εργαλεία θα πρέπει να ακολουθούν την αρχή της αναλογικότητας, σύμφωνα με την οποία τα τέλη κλιμακώνονται ανάλογα με τον προϋπολογισμό του θεσμικού οργάνου και τον αριθμό των χρηστών, ώστε να αποτρέπεται η εξάντληση των πόρων που προορίζονται για τη βασική εντολή του θεσμικού οργάνου·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w:t>
            </w:r>
            <w:r>
              <w:rPr>
                <w:b/>
                <w:i/>
              </w:rPr>
              <w:t>200 000</w:t>
            </w:r>
            <w:r>
              <w:t xml:space="preserve"> EUR για δικαιώματα πρόσβασης σε αυτό, το ίδιο ποσό που καλούνται να καταβάλουν άλλα, πολύ μεγαλύτερα θεσμικά όργανα της Ένωσης· σημειώνει ότι το ποσό αυτό είναι διπλάσιο από τον προϋπολογισμό του Διαμεσολαβητή για αυτό το είδος υπηρεσιών· καλεί την Επιτροπή να βρει μια λύση που θα επιτρέπει στον Διαμεσολαβητή να έχει πρόσβαση στο SUMMA σε τιμή ανάλογη προς το μέγεθος του Διαμεσολαβητή·</w:t>
            </w:r>
          </w:p>
        </w:tc>
        <w:tc>
          <w:tcPr>
            <w:tcW w:w="4876" w:type="dxa"/>
            <w:tcBorders>
              <w:top w:val="nil"/>
              <w:left w:val="nil"/>
              <w:bottom w:val="nil"/>
              <w:right w:val="nil"/>
            </w:tcBorders>
          </w:tcPr>
          <w:p>
            <w:pPr>
              <w:pStyle w:val="Normal6a"/>
            </w:pPr>
            <w:r>
              <w:t>7.</w:t>
            </w:r>
            <w:r>
              <w:tab/>
            </w:r>
            <w:r>
              <w:t xml:space="preserve">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w:t>
            </w:r>
            <w:r>
              <w:rPr>
                <w:b/>
                <w:i/>
              </w:rPr>
              <w:t>200 000</w:t>
            </w:r>
            <w:r>
              <w:t xml:space="preserve"> EUR για δικαιώματα πρόσβασης σε αυτό, το ίδιο ποσό που καλούνται να καταβάλουν άλλα, πολύ μεγαλύτερα θεσμικά όργανα της Ένωσης· σημειώνει ότι το ποσό αυτό είναι διπλάσιο από τον προϋπολογισμό του Διαμεσολαβητή για αυτό το είδος υπηρεσιών· καλεί την Επιτροπή να βρει μια λύση που θα επιτρέπει στον Διαμεσολαβητή να έχει πρόσβαση στο SUMMA σε τιμή ανάλογη προς το μέγεθος του Διαμεσολαβητή </w:t>
            </w:r>
            <w:r>
              <w:rPr>
                <w:b/>
                <w:i/>
              </w:rPr>
              <w:t>και, ως εκ τούτου, θα διασφαλίζει ότι τα μικρά θεσμικά όργανα δεν επιβαρύνονται δυσανάλογα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ότι ο αντίκτυπος του επιθετικού πολέμου της Ρωσίας κατά της Ουκρανίας </w:t>
            </w:r>
            <w:r>
              <w:rPr>
                <w:b/>
                <w:i/>
              </w:rPr>
              <w:t>συνέχισε να δημιουργεί</w:t>
            </w:r>
            <w:r>
              <w:t xml:space="preserve"> δημοσιονομική πίεση για τον Διαμεσολαβητή το 2024· </w:t>
            </w:r>
            <w:r>
              <w:rPr>
                <w:b/>
                <w:i/>
              </w:rPr>
              <w:t>σημειώνει ότι ο Διαμεσολαβητής επηρεάστηκε περισσότερο από την αύξηση του ενεργειακού κόστους</w:t>
            </w:r>
            <w:r>
              <w:t xml:space="preserve">· σημειώνει, στο πλαίσιο αυτό, ότι, προκειμένου να ευθυγραμμιστεί με τις πραγματικές δαπάνες, το κατ’ αποκοπή ποσό που κατέβαλε ο Διαμεσολαβητής στο Κοινοβούλιο για μισθώματα χρειάστηκε να υπολογιστεί εκ νέου· σημειώνει ότι, ως αποτέλεσμα, οι πραγματικές ενεργειακές δαπάνες του Διαμεσολαβητή το 2024 αυξήθηκαν κατά 75 %, από </w:t>
            </w:r>
            <w:r>
              <w:rPr>
                <w:b/>
                <w:i/>
              </w:rPr>
              <w:t>168 900</w:t>
            </w:r>
            <w:r>
              <w:t xml:space="preserve"> EUR το 2023 σε </w:t>
            </w:r>
            <w:r>
              <w:rPr>
                <w:b/>
                <w:i/>
              </w:rPr>
              <w:t>295 400</w:t>
            </w:r>
            <w:r>
              <w:t xml:space="preserve"> EUR το 2024· σημειώνει, με βάση το ερωτηματολόγιο, την άποψη του Διαμεσολαβητή ότι το σωρευτικό αποτέλεσμα της πληθωριστικής πίεσης και του περιορισμού των μη μισθολογικών δαπανών σε 2 % κατ’ ανώτατο όριο σε σύγκριση με το προηγούμενο έτος επηρεάζουν τη μακροπρόθεσμη βιωσιμότητα του προϋπολογισμού του Διαμεσολαβητή· αναγνωρίζει την ανάγκη να βελτιώσουν όλα τα θεσμικά όργανα της ΕΕ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c>
          <w:tcPr>
            <w:tcW w:w="4876" w:type="dxa"/>
            <w:tcBorders>
              <w:top w:val="nil"/>
              <w:left w:val="nil"/>
              <w:bottom w:val="nil"/>
              <w:right w:val="nil"/>
            </w:tcBorders>
          </w:tcPr>
          <w:p>
            <w:pPr>
              <w:pStyle w:val="Normal6a"/>
            </w:pPr>
            <w:r>
              <w:t>8.</w:t>
            </w:r>
            <w:r>
              <w:tab/>
            </w:r>
            <w:r>
              <w:t xml:space="preserve">σημειώνει ότι ο αντίκτυπος του επιθετικού πολέμου της Ρωσίας κατά της Ουκρανίας </w:t>
            </w:r>
            <w:r>
              <w:rPr>
                <w:b/>
                <w:i/>
              </w:rPr>
              <w:t>και ο σωρευτικός αντίκτυπος του πληθωρισμού, της αστάθειας των τιμών της ενέργειας και των αυστηρών ανώτατων ορίων στις μη μισθολογικές δαπάνες δημιουργούν διαρθρωτική</w:t>
            </w:r>
            <w:r>
              <w:t xml:space="preserve"> δημοσιονομική πίεση για τον </w:t>
            </w:r>
            <w:r>
              <w:rPr>
                <w:b/>
                <w:i/>
              </w:rPr>
              <w:t>Ευρωπαίο</w:t>
            </w:r>
            <w:r>
              <w:t xml:space="preserve"> Διαμεσολαβητή το 2024· </w:t>
            </w:r>
            <w:r>
              <w:rPr>
                <w:b/>
                <w:i/>
              </w:rPr>
              <w:t>τονίζει ότι η πίεση αυτή, εάν δεν αντιμετωπιστεί καταλλήλως, ενέχει τον κίνδυνο να υπονομεύσει την οικονομική αποδοτικότητα, την προβλεψιμότητα και τη βιωσιμότητα των δραστηριοτήτων του θεσμικού οργάνου</w:t>
            </w:r>
            <w:r>
              <w:t xml:space="preserve">· σημειώνει, στο πλαίσιο αυτό, ότι, προκειμένου να ευθυγραμμιστεί με τις πραγματικές δαπάνες, το κατ’ αποκοπή ποσό που κατέβαλε ο Διαμεσολαβητής στο Κοινοβούλιο για μισθώματα χρειάστηκε να υπολογιστεί εκ νέου· σημειώνει ότι, ως αποτέλεσμα, οι πραγματικές ενεργειακές δαπάνες του Διαμεσολαβητή το 2024 αυξήθηκαν κατά 75 %, από </w:t>
            </w:r>
            <w:r>
              <w:rPr>
                <w:b/>
                <w:i/>
              </w:rPr>
              <w:t>168 900</w:t>
            </w:r>
            <w:r>
              <w:t xml:space="preserve"> EUR το 2023 σε </w:t>
            </w:r>
            <w:r>
              <w:rPr>
                <w:b/>
                <w:i/>
              </w:rPr>
              <w:t>295 400</w:t>
            </w:r>
            <w:r>
              <w:t xml:space="preserve"> EUR το 2024· σημειώνει, με βάση το ερωτηματολόγιο, την άποψη του Διαμεσολαβητή ότι το σωρευτικό αποτέλεσμα της πληθωριστικής πίεσης και του περιορισμού των μη μισθολογικών δαπανών σε 2 % κατ’ ανώτατο όριο σε σύγκριση με το προηγούμενο έτος επηρεάζουν τη μακροπρόθεσμη βιωσιμότητα του προϋπολογισμού του Διαμεσολαβητή· αναγνωρίζει την ανάγκη να βελτιώσουν όλα τα θεσμικά όργανα της ΕΕ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 </w:t>
            </w:r>
            <w:r>
              <w:rPr>
                <w:b/>
                <w:i/>
              </w:rPr>
              <w:t>τονίζει ότι η δημοσιονομική πειθαρχία πρέπει να συνδυάζεται με ρεαλιστικές εκτιμήσεις κόστους, ώστε να διασφαλίζονται τα χρήματα των φορολογουμένων και παράλληλα να διατηρείται η επιχειρησιακή συνέχεια·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σημειώνει ότι ο αντίκτυπος του επιθετικού πολέμου της Ρωσίας κατά της Ουκρανίας συνέχισε να δημιουργεί δημοσιονομική πίεση για τον Διαμεσολαβητή το 2024· σημειώνει ότι ο Διαμεσολαβητής επηρεάστηκε περισσότερο από την αύξηση του ενεργειακού κόστους· σημειώνει, στο πλαίσιο αυτό, ότι, προκειμένου να ευθυγραμμιστεί με τις πραγματικές δαπάνες, το κατ’ αποκοπή ποσό που κατέβαλε ο Διαμεσολαβητής στο Κοινοβούλιο για μισθώματα χρειάστηκε να υπολογιστεί εκ νέου· σημειώνει ότι, ως αποτέλεσμα, οι πραγματικές ενεργειακές δαπάνες του Διαμεσολαβητή το 2024 αυξήθηκαν κατά 75 %, από </w:t>
            </w:r>
            <w:r>
              <w:rPr>
                <w:b/>
                <w:i/>
              </w:rPr>
              <w:t>168 900</w:t>
            </w:r>
            <w:r>
              <w:t xml:space="preserve"> EUR το 2023 σε </w:t>
            </w:r>
            <w:r>
              <w:rPr>
                <w:b/>
                <w:i/>
              </w:rPr>
              <w:t>295 400</w:t>
            </w:r>
            <w:r>
              <w:t xml:space="preserve"> EUR το 2024· σημειώνει, με βάση το ερωτηματολόγιο, την άποψη του Διαμεσολαβητή ότι το σωρευτικό αποτέλεσμα της πληθωριστικής πίεσης και του περιορισμού των μη μισθολογικών δαπανών σε 2 % κατ’ ανώτατο όριο σε σύγκριση με το προηγούμενο έτος επηρεάζουν τη μακροπρόθεσμη βιωσιμότητα του προϋπολογισμού του Διαμεσολαβητή· αναγνωρίζει την ανάγκη να βελτιώσουν όλα τα θεσμικά όργανα της ΕΕ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c>
          <w:tcPr>
            <w:tcW w:w="4876" w:type="dxa"/>
            <w:tcBorders>
              <w:top w:val="nil"/>
              <w:left w:val="nil"/>
              <w:bottom w:val="nil"/>
              <w:right w:val="nil"/>
            </w:tcBorders>
          </w:tcPr>
          <w:p>
            <w:pPr>
              <w:pStyle w:val="Normal6a"/>
            </w:pPr>
            <w:r>
              <w:t>8.</w:t>
            </w:r>
            <w:r>
              <w:tab/>
            </w:r>
            <w:r>
              <w:t xml:space="preserve">σημειώνει ότι ο αντίκτυπος του </w:t>
            </w:r>
            <w:r>
              <w:rPr>
                <w:b/>
                <w:i/>
              </w:rPr>
              <w:t>παράνομου</w:t>
            </w:r>
            <w:r>
              <w:t xml:space="preserve"> επιθετικού πολέμου της Ρωσίας κατά της Ουκρανίας συνέχισε να δημιουργεί δημοσιονομική πίεση για τον Διαμεσολαβητή το 2024· σημειώνει ότι ο Διαμεσολαβητής επηρεάστηκε περισσότερο από την αύξηση του ενεργειακού κόστους· σημειώνει, στο πλαίσιο αυτό, ότι, προκειμένου να ευθυγραμμιστεί με τις πραγματικές δαπάνες, το κατ’ αποκοπή ποσό που κατέβαλε ο Διαμεσολαβητής στο Κοινοβούλιο για μισθώματα χρειάστηκε να υπολογιστεί εκ νέου· σημειώνει ότι, ως αποτέλεσμα, οι πραγματικές ενεργειακές δαπάνες του Διαμεσολαβητή το 2024 αυξήθηκαν κατά 75 %, από </w:t>
            </w:r>
            <w:r>
              <w:rPr>
                <w:b/>
                <w:i/>
              </w:rPr>
              <w:t>168 900</w:t>
            </w:r>
            <w:r>
              <w:t xml:space="preserve"> EUR το 2023 σε </w:t>
            </w:r>
            <w:r>
              <w:rPr>
                <w:b/>
                <w:i/>
              </w:rPr>
              <w:t>295 400</w:t>
            </w:r>
            <w:r>
              <w:t> EUR το 2024· σημειώνει, με βάση το ερωτηματολόγιο, την άποψη του Διαμεσολαβητή ότι το σωρευτικό αποτέλεσμα της πληθωριστικής πίεσης και του περιορισμού των μη μισθολογικών δαπανών σε 2 % κατ’ ανώτατο όριο σε σύγκριση με το προηγούμενο έτος επηρεάζουν τη μακροπρόθεσμη βιωσιμότητα του προϋπολογισμού του Διαμεσολαβητή· αναγνωρίζει την ανάγκη να βελτιώσουν όλα τα θεσμικά όργανα της ΕΕ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σημειώνει ότι ο προϋπολογισμός για τις αποστολές του προσωπικού ανήλθε σε </w:t>
            </w:r>
            <w:r>
              <w:rPr>
                <w:b/>
                <w:i/>
              </w:rPr>
              <w:t>120 000</w:t>
            </w:r>
            <w:r>
              <w:t xml:space="preserve"> EUR το 2024 (ίδιο ποσό με το 2023)· σημειώνει, ωστόσο, ότι κατά τη διάρκεια του 2024 πραγματοποιήθηκε ενίσχυση του άρθρου του προϋπολογισμού για τις αποστολές κατά +38,60 % μέσω εσωτερικής μεταφοράς/εσωτερικών μεταφορών· σημειώνει την εξήγηση του Διαμεσολαβητή, σύμφωνα με την οποία η ενίσχυση αυτή ήταν αναγκαία λόγω του πληθωρισμού και της αύξησης των εξόδων διαμονής, της αύξησης του αριθμού των αναγκαίων αποστολών του Διαμεσολαβητή και των δημοσιονομικών εκτιμήσεων με βάση εκείνες των προηγούμενων ετών, κατά τη διάρκεια των οποίων τα ταξίδια ήταν περιορισμένα λόγω της πανδημίας COVID-19· σημειώνει ότι ο αρχικός προϋπολογισμός των αποστολών για τον Διαμεσολαβητή παρέμεινε ο ίδιος το 2023 όπως και τα προηγούμενα έτη (2022 και 2023), δηλαδή </w:t>
            </w:r>
            <w:r>
              <w:rPr>
                <w:b/>
                <w:i/>
              </w:rPr>
              <w:t>35 000</w:t>
            </w:r>
            <w:r>
              <w:t xml:space="preserve"> EUR· σημειώνει ότι, μετά την ενίσχυση του εν λόγω προϋπολογισμού μέσω εσωτερικής μεταφοράς/εσωτερικών μεταφορών, οι πραγματικές δαπάνες για τις αποστολές του Διαμεσολαβητή ανήλθαν συνολικά σε 41 326 EUR το 2024</w:t>
            </w:r>
            <w:r>
              <w:rPr>
                <w:vertAlign w:val="superscript"/>
              </w:rPr>
              <w:t>3</w:t>
            </w:r>
            <w:r>
              <w:t>·</w:t>
            </w:r>
          </w:p>
        </w:tc>
        <w:tc>
          <w:tcPr>
            <w:tcW w:w="4876" w:type="dxa"/>
            <w:tcBorders>
              <w:top w:val="nil"/>
              <w:left w:val="nil"/>
              <w:bottom w:val="nil"/>
              <w:right w:val="nil"/>
            </w:tcBorders>
          </w:tcPr>
          <w:p>
            <w:pPr>
              <w:pStyle w:val="Normal6a"/>
            </w:pPr>
            <w:r>
              <w:t>9.</w:t>
            </w:r>
            <w:r>
              <w:tab/>
            </w:r>
            <w:r>
              <w:t xml:space="preserve">σημειώνει ότι ο προϋπολογισμός για τις αποστολές του προσωπικού ανήλθε σε </w:t>
            </w:r>
            <w:r>
              <w:rPr>
                <w:b/>
                <w:i/>
              </w:rPr>
              <w:t>120 000</w:t>
            </w:r>
            <w:r>
              <w:t xml:space="preserve"> EUR το 2024 (ίδιο ποσό με το 2023)· σημειώνει, ωστόσο, ότι κατά τη διάρκεια του 2024 πραγματοποιήθηκε ενίσχυση του άρθρου του προϋπολογισμού για τις αποστολές κατά +38,60 % μέσω εσωτερικής μεταφοράς/εσωτερικών μεταφορών· σημειώνει την εξήγηση του Διαμεσολαβητή, σύμφωνα με την οποία η ενίσχυση αυτή ήταν αναγκαία λόγω του πληθωρισμού και της αύξησης των εξόδων διαμονής, της αύξησης του αριθμού των αναγκαίων αποστολών του Διαμεσολαβητή και των δημοσιονομικών εκτιμήσεων με βάση εκείνες των προηγούμενων ετών, κατά τη διάρκεια των οποίων τα ταξίδια ήταν περιορισμένα λόγω της πανδημίας COVID-19· σημειώνει ότι ο αρχικός προϋπολογισμός των αποστολών για τον Διαμεσολαβητή παρέμεινε ο ίδιος το 2023 όπως και τα προηγούμενα έτη (2022 και 2023), δηλαδή </w:t>
            </w:r>
            <w:r>
              <w:rPr>
                <w:b/>
                <w:i/>
              </w:rPr>
              <w:t>35 000</w:t>
            </w:r>
            <w:r>
              <w:t> EUR· σημειώνει ότι, μετά την ενίσχυση του εν λόγω προϋπολογισμού μέσω εσωτερικής μεταφοράς/εσωτερικών μεταφορών, οι πραγματικές δαπάνες για τις αποστολές του Διαμεσολαβητή ανήλθαν συνολικά σε 41 326 EUR το 2024</w:t>
            </w:r>
            <w:r>
              <w:rPr>
                <w:vertAlign w:val="superscript"/>
              </w:rPr>
              <w:t>3</w:t>
            </w:r>
            <w:r>
              <w:t xml:space="preserve">· </w:t>
            </w:r>
            <w:r>
              <w:rPr>
                <w:b/>
                <w:i/>
              </w:rPr>
              <w:t>ζητεί πιο ρεαλιστικές αρχικές δημοσιονομικές προβλέψεις για τα ταξίδια, ώστε να ελαχιστοποιηθεί η εξάρτηση από μεγάλες μεταφορές πιστώσεων στα μέσα του έτους και να διασφαλιστεί σταθερός δημοσιονομικός σχεδιασμός·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και https://www.ombudsman.europa.eu/en/doc/declarations-and-transparency/en/198831.</w:t>
            </w:r>
          </w:p>
        </w:tc>
        <w:tc>
          <w:tcPr>
            <w:tcW w:w="4876" w:type="dxa"/>
            <w:tcBorders>
              <w:top w:val="nil"/>
              <w:left w:val="nil"/>
              <w:bottom w:val="nil"/>
              <w:right w:val="nil"/>
            </w:tcBorders>
          </w:tcPr>
          <w:p>
            <w:pPr>
              <w:pStyle w:val="Normal6a"/>
            </w:pPr>
            <w:r>
              <w:rPr>
                <w:vertAlign w:val="superscript"/>
              </w:rPr>
              <w:t>3</w:t>
            </w:r>
            <w:r>
              <w:t xml:space="preserve"> </w:t>
            </w:r>
            <w:r>
              <w:t>https://www.ombudsman.europa.eu/en/doc/declarations-and-transparency/en/196382 και https://www.ombudsman.europa.eu/en/doc/declarations-and-transparency/en/198831.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c>
          <w:tcPr>
            <w:tcW w:w="4876" w:type="dxa"/>
            <w:tcBorders>
              <w:top w:val="nil"/>
              <w:left w:val="nil"/>
              <w:bottom w:val="nil"/>
              <w:right w:val="nil"/>
            </w:tcBorders>
          </w:tcPr>
          <w:p>
            <w:pPr>
              <w:pStyle w:val="Normal6a"/>
            </w:pPr>
            <w:r>
              <w:t>12.</w:t>
            </w:r>
            <w:r>
              <w:tab/>
            </w:r>
            <w:r>
              <w:t xml:space="preserve">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 </w:t>
            </w:r>
            <w:r>
              <w:rPr>
                <w:b/>
                <w:i/>
              </w:rPr>
              <w:t>συνιστά ο Διαμεσολαβητής να βελτιώσει περαιτέρω τους βασικούς δείκτες επιδόσεων που σχετίζονται με τη διάρκεια της διεκπεραίωσης υποθέσεων, αντικατοπτρίζοντας καλύτερα το διαφορετικό βαθμό πολυπλοκότητας των υποθέσεων, ώστε να διασφαλιστεί μια πιο ρεαλιστική, ουσιαστική και προσανατολισμένη στην αποδοτικότητα αξιολόγηση των επιδόσεων·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c>
          <w:tcPr>
            <w:tcW w:w="4876" w:type="dxa"/>
            <w:tcBorders>
              <w:top w:val="nil"/>
              <w:left w:val="nil"/>
              <w:bottom w:val="nil"/>
              <w:right w:val="nil"/>
            </w:tcBorders>
          </w:tcPr>
          <w:p>
            <w:pPr>
              <w:pStyle w:val="Normal6a"/>
            </w:pPr>
            <w:r>
              <w:t>12.</w:t>
            </w:r>
            <w:r>
              <w:tab/>
            </w:r>
            <w:r>
              <w:t xml:space="preserve">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w:t>
            </w:r>
            <w:r>
              <w:rPr>
                <w:b/>
                <w:i/>
              </w:rPr>
              <w:t>ζητεί την εκπόνηση σχεδίου για την αντιμετώπιση αυτών των καθυστερήσεων·</w:t>
            </w:r>
            <w:r>
              <w:t xml:space="preserve"> </w:t>
            </w:r>
            <w:r>
              <w:rPr>
                <w:b/>
                <w:i/>
              </w:rPr>
              <w:t>προτείνει τον αναπροσανατολισμό του 65 % των εξοικονομήσεων που επιτεύχθηκαν μέσω της μετάφρασης με τη βοήθεια της τεχνητής νοημοσύνης προκειμένου να ενισχυθούν οι ομάδες ερευνών, ιδίως σε υποθέσεις που αφορούν την πρόσβαση του κοινού·</w:t>
            </w:r>
            <w:r>
              <w:t xml:space="preserve">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c>
          <w:tcPr>
            <w:tcW w:w="4876" w:type="dxa"/>
            <w:tcBorders>
              <w:top w:val="nil"/>
              <w:left w:val="nil"/>
              <w:bottom w:val="nil"/>
              <w:right w:val="nil"/>
            </w:tcBorders>
          </w:tcPr>
          <w:p>
            <w:pPr>
              <w:pStyle w:val="Normal6a"/>
            </w:pPr>
            <w:r>
              <w:t>12.</w:t>
            </w:r>
            <w:r>
              <w:tab/>
            </w:r>
            <w:r>
              <w:t xml:space="preserve">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w:t>
            </w:r>
            <w:r>
              <w:rPr>
                <w:b/>
                <w:i/>
              </w:rPr>
              <w:t>τονίζει ότι οι υπερβολικές καθυστερήσεις στη διεκπεραίωση υποθέσεων πρόσβασης σε έγγραφα υπονομεύουν άμεσα τα δικαιώματα των πολιτών και την εμπιστοσύνη του κοινού στη διοίκηση της ΕΕ συνολικά·</w:t>
            </w:r>
            <w:r>
              <w:t xml:space="preserve">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c>
          <w:tcPr>
            <w:tcW w:w="4876" w:type="dxa"/>
            <w:tcBorders>
              <w:top w:val="nil"/>
              <w:left w:val="nil"/>
              <w:bottom w:val="nil"/>
              <w:right w:val="nil"/>
            </w:tcBorders>
          </w:tcPr>
          <w:p>
            <w:pPr>
              <w:pStyle w:val="Normal6a"/>
            </w:pPr>
            <w:r>
              <w:t>12.</w:t>
            </w:r>
            <w:r>
              <w:tab/>
            </w:r>
            <w:r>
              <w:t xml:space="preserve">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w:t>
            </w:r>
            <w:r>
              <w:rPr>
                <w:b/>
                <w:i/>
              </w:rPr>
              <w:t>αναγνωρίζει ότι σε περίπλοκες υποθέσεις, ιδίως σε όσες εμπλέκονται περισσότερα θεσμικά όργανα, ενδέχεται να απαιτούνται μεγαλύτεροι χρόνοι διεκπεραίωσης·</w:t>
            </w:r>
            <w:r>
              <w:t xml:space="preserve"> σημειώνει, στο πλαίσιο αυτό,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νεοεκλεγείσας διαμεσολαβήτριας είναι να ενισχύσει τη συνεργασία και τον διάλογο με τα θεσμικά και λοιπά όργανα και τους οργανισμούς της Ένωσης, με απώτερο σκοπό τη μείωση του χρόνου που απαιτείται για τη διεκπεραίωση των ερευνών·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σημειώνει, όσον αφορά τα πορίσματα, ότι το 2024 ο Διαμεσολαβητής υπέβαλε πρόταση λύσης σε 14 υποθέσεις, και συστάσεις σε τρεις υποθέσεις που αφορούσαν την πρόσβαση του κοινού σε έγγραφα· σημειώνει τη βελτίωση όσον αφορά τις θετικές απαντήσεις των θεσμικών οργάνων της Ένωσης στις προτάσεις του Διαμεσολαβητή για βελτίωση της διοίκησής τους, με συνολικό ποσοστό αποδοχής 82 % το 2024 (σε σύγκριση με 81 % το 2023), λαμβάνοντας υπόψη ότι αυτό το ποσοστό περιλαμβάνει υποθέσεις που περατώθηκαν το 2023· ζητεί από τον Διαμεσολαβητή να συνεχίσει να εργάζεται για την επίτευξη υψηλότερου επιπέδου συμμόρφωσης με τα πορίσματα, τις συστάσεις και τις προτάσεις του·</w:t>
            </w:r>
          </w:p>
        </w:tc>
        <w:tc>
          <w:tcPr>
            <w:tcW w:w="4876" w:type="dxa"/>
            <w:tcBorders>
              <w:top w:val="nil"/>
              <w:left w:val="nil"/>
              <w:bottom w:val="nil"/>
              <w:right w:val="nil"/>
            </w:tcBorders>
          </w:tcPr>
          <w:p>
            <w:pPr>
              <w:pStyle w:val="Normal6a"/>
            </w:pPr>
            <w:r>
              <w:t>13.</w:t>
            </w:r>
            <w:r>
              <w:tab/>
            </w:r>
            <w:r>
              <w:t xml:space="preserve">σημειώνει, όσον αφορά τα πορίσματα, ότι το 2024 ο Διαμεσολαβητής υπέβαλε πρόταση λύσης σε 14 υποθέσεις, και συστάσεις σε τρεις υποθέσεις που αφορούσαν την πρόσβαση του κοινού σε έγγραφα· σημειώνει τη βελτίωση όσον αφορά τις θετικές απαντήσεις των θεσμικών οργάνων της Ένωσης στις προτάσεις του Διαμεσολαβητή για βελτίωση της διοίκησής τους, με συνολικό ποσοστό αποδοχής 82 % το 2024 (σε σύγκριση με 81 % το 2023), λαμβάνοντας υπόψη ότι αυτό το ποσοστό περιλαμβάνει υποθέσεις που περατώθηκαν το 2023· </w:t>
            </w:r>
            <w:r>
              <w:rPr>
                <w:b/>
                <w:i/>
              </w:rPr>
              <w:t>καλεί τον Διαμεσολαβητή να αναπτύξει ένα στοχευμένο σχέδιο δράσης με σκοπό τον εντοπισμό και την αντιμετώπιση των συνηθέστερων λόγων στους οποίους βασίζονται οι υπόλοιπες μη αποδεκτές προτάσεις και</w:t>
            </w:r>
            <w:r>
              <w:t xml:space="preserve"> ζητεί από τον Διαμεσολαβητή να συνεχίσει να εργάζεται για την επίτευξη υψηλότερου επιπέδου συμμόρφωσης με τα πορίσματα, τις συστάσεις και τις προτάσεις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εκτιμά το γεγονός ότι ο Διαμεσολαβητής συνέχισε να καταβάλλει προσπάθειες το 2024 για την ενίσχυση της ενημέρωσης των πολιτών και της κατανόησης της εντολής του· παρατηρεί με ικανοποίηση, στο πλαίσιο αυτό, αύξηση του ποσοστού των καταγγελιών στο πλαίσιο της εντολής του, από 33 % το 2022 και 37 % το 2023 σε 39 % το 2024· σημειώνει περαιτέρω, με βάση την έκθεση παρακολούθησης, ότι ένας από τους νέους στρατηγικούς στόχους του Διαμεσολαβητή είναι να δρομολογήσει στοχευμένες δραστηριότητες επικοινωνίας προκειμένου να διασφαλίσει ότι οι πολίτες που χρειάζονται τον Διαμεσολαβητή γνωρίζουν το δικαίωμά τους και χρησιμοποιούν τις υπηρεσίες του· σημειώνει, στο πλαίσιο αυτό, ότι, ως εκ αποτέλεσμα, αναμένεται αύξηση του αριθμού των καταγγελιών, γεγονός που θα οδηγήσει στην ανάγκη επανεξέτασης και προσαρμογής των μεθόδων εργασίας, καθώς και ενίσχυσης της χρήσης ψηφιακών εργαλείων, ιδίως της ΤΝ, προκειμένου να εξορθολογιστεί περαιτέρω η διαδικασία χειρισμού των καταγγελιών· ζητεί από τον Διαμεσολαβητή να ενημερώνει την αρμόδια για την απαλλαγή αρχή σχετικά με την πρόοδο που σημειώνεται στο θέμα αυτό·</w:t>
            </w:r>
          </w:p>
        </w:tc>
        <w:tc>
          <w:tcPr>
            <w:tcW w:w="4876" w:type="dxa"/>
            <w:tcBorders>
              <w:top w:val="nil"/>
              <w:left w:val="nil"/>
              <w:bottom w:val="nil"/>
              <w:right w:val="nil"/>
            </w:tcBorders>
          </w:tcPr>
          <w:p>
            <w:pPr>
              <w:pStyle w:val="Normal6a"/>
            </w:pPr>
            <w:r>
              <w:t>14.</w:t>
            </w:r>
            <w:r>
              <w:tab/>
            </w:r>
            <w:r>
              <w:t xml:space="preserve">εκτιμά το γεγονός ότι ο Διαμεσολαβητής συνέχισε να καταβάλλει προσπάθειες το 2024 για την ενίσχυση της ενημέρωσης των πολιτών και της κατανόησης της εντολής του· παρατηρεί με ικανοποίηση, στο πλαίσιο αυτό, αύξηση του ποσοστού των καταγγελιών στο πλαίσιο της εντολής του, από 33 % το 2022 και 37 % το 2023 σε 39 % το 2024· σημειώνει περαιτέρω, με βάση την έκθεση παρακολούθησης, ότι ένας από τους νέους στρατηγικούς στόχους του Διαμεσολαβητή είναι να δρομολογήσει στοχευμένες δραστηριότητες επικοινωνίας προκειμένου να διασφαλίσει ότι οι πολίτες που χρειάζονται τον Διαμεσολαβητή γνωρίζουν το δικαίωμά τους και χρησιμοποιούν τις υπηρεσίες του· σημειώνει, στο πλαίσιο αυτό, ότι, ως εκ αποτέλεσμα, αναμένεται αύξηση του αριθμού των καταγγελιών, γεγονός που θα οδηγήσει στην ανάγκη επανεξέτασης και προσαρμογής των μεθόδων εργασίας, καθώς και ενίσχυσης της χρήσης ψηφιακών εργαλείων, ιδίως της ΤΝ, προκειμένου να εξορθολογιστεί περαιτέρω η διαδικασία χειρισμού των καταγγελιών· ζητεί από τον Διαμεσολαβητή να </w:t>
            </w:r>
            <w:r>
              <w:rPr>
                <w:b/>
                <w:i/>
              </w:rPr>
              <w:t>αξιολογεί τις δυνητικές επιπτώσεις στον προϋπολογισμό και στους ανθρώπινους πόρους από την αναμενόμενη αύξηση των καταγγελιών και να</w:t>
            </w:r>
            <w:r>
              <w:t xml:space="preserve"> ενημερώνει την αρμόδια για την απαλλαγή αρχή σχετικά με την πρόοδο που σημειώνεται στο θέμα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w:t>
            </w:r>
          </w:p>
        </w:tc>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 xml:space="preserve">· </w:t>
            </w:r>
            <w:r>
              <w:rPr>
                <w:b/>
                <w:i/>
              </w:rPr>
              <w:t>καλεί τον Διαμεσολαβητή να συνεχίσει να δίνει προτεραιότητα στο συστημικό έργο σχετικά με τις αδικαιολόγητες καθυστερήσεις στις διαδικασίες πρόσβασης στα έγγραφα, μεταξύ άλλων εντοπίζοντας επαναλαμβανόμενα διοικητικά εμπόδια και ορθές πρακτικές σε όλα τα θεσμικά όργανα·</w:t>
            </w:r>
            <w:r>
              <w:t xml:space="preserve"> </w:t>
            </w:r>
            <w:r>
              <w:rPr>
                <w:b/>
                <w:i/>
              </w:rPr>
              <w:t>υποστηρίζει τον Διαμεσολαβητή στην προώθηση της συνεπούς εφαρμογής του κριτηρίου «υπερισχύοντος δημοσίου συμφέροντος», ιδίως για φακέλους υψηλού αντικτύπου, με σκοπό η πρόσβαση να παρέχεται εγκαίρως ώστε να είναι ουσιαστική για τον δημόσιο έλεγχο·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w:t>
            </w:r>
          </w:p>
        </w:tc>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 xml:space="preserve">· </w:t>
            </w:r>
            <w:r>
              <w:rPr>
                <w:b/>
                <w:i/>
              </w:rPr>
              <w:t>θεωρεί ότι μια τέτοια καθυστέρηση σε θέματα σημαντικού δημόσιου συμφέροντος, όπως ο ΜΑΑ, συνιστά άρνηση διαφάνειας·</w:t>
            </w:r>
            <w:r>
              <w:t xml:space="preserve"> </w:t>
            </w:r>
            <w:r>
              <w:rPr>
                <w:b/>
                <w:i/>
              </w:rPr>
              <w:t>καλεί τον Διαμεσολαβητή να ενημερώσει επισήμως τις αρμόδιες επιτροπές του Κοινοβουλίου μόλις η καθυστέρηση της Επιτροπής όσον αφορά τα έγγραφα σχετικά με τον ΜΑΑ υπερβεί τους έξι μήνες, ώστε να καταστεί δυνατός ο έγκαιρος πολιτικός έλεγχος·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Şerban Dimitrie Sturdza, Dick Erixon,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w:t>
            </w:r>
          </w:p>
        </w:tc>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w:t>
            </w:r>
            <w:r>
              <w:rPr>
                <w:b/>
                <w:i/>
              </w:rPr>
              <w:t>, ζητήματα τα οποία είναι πιθανό να διαβρώσουν την εμπιστοσύνη των πολιτών στη διοίκηση της ΕΕ</w:t>
            </w:r>
            <w:r>
              <w:t xml:space="preserve">·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w:t>
            </w:r>
            <w:r>
              <w:rPr>
                <w:b/>
                <w:i/>
              </w:rPr>
              <w:t>σημειώνει με ανησυχία ότι οι καθυστερήσεις αυτές αποδυναμώνουν τον δημοκρατικό έλεγχο·</w:t>
            </w:r>
            <w:r>
              <w:t xml:space="preserve">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w:t>
            </w:r>
          </w:p>
        </w:tc>
        <w:tc>
          <w:tcPr>
            <w:tcW w:w="4876" w:type="dxa"/>
            <w:tcBorders>
              <w:top w:val="nil"/>
              <w:left w:val="nil"/>
              <w:bottom w:val="nil"/>
              <w:right w:val="nil"/>
            </w:tcBorders>
          </w:tcPr>
          <w:p>
            <w:pPr>
              <w:pStyle w:val="Normal6a"/>
            </w:pPr>
            <w:r>
              <w:t>18.</w:t>
            </w:r>
            <w:r>
              <w:tab/>
            </w:r>
            <w:r>
              <w:t xml:space="preserve">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πρόσβαση σε έγγραφα δεν ήταν πλέον χρήσιμη για τον επιδιωκόμενο σκοπό· </w:t>
            </w:r>
            <w:r>
              <w:rPr>
                <w:b/>
                <w:i/>
              </w:rPr>
              <w:t>εκφράζει την ανησυχία του για τη διάρκεια της καθυστέρησης·</w:t>
            </w:r>
            <w:r>
              <w:t xml:space="preserve"> συμφωνεί ότι σε θέματα σημαντικού δημόσιου συμφέροντος, όπως ο ΜΑΑ, δεν θα πρέπει να υπάρχουν καθυστερήσεις στην παροχή πρόσβασης σε έγγραφα· συμμερίζεται την άποψη του Διαμεσολαβητή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1049/2001</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c>
          <w:tcPr>
            <w:tcW w:w="4876" w:type="dxa"/>
            <w:tcBorders>
              <w:top w:val="nil"/>
              <w:left w:val="nil"/>
              <w:bottom w:val="nil"/>
              <w:right w:val="nil"/>
            </w:tcBorders>
          </w:tcPr>
          <w:p>
            <w:pPr>
              <w:pStyle w:val="Normal6a"/>
            </w:pPr>
            <w:r>
              <w:rPr>
                <w:vertAlign w:val="superscript"/>
              </w:rPr>
              <w:t>4</w:t>
            </w:r>
            <w:r>
              <w:t xml:space="preserve"> </w:t>
            </w:r>
            <w: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http://data.europa.eu/eli/reg/2001/1049/oj).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υπενθυμίζει ότι, σύμφωνα με τον Διαμεσολαβητή, οι περιορισμοί στην πρόσβαση στα έγγραφα, ιδίως στα νομοθετικά έγγραφα, θα πρέπει να είναι έκτακτοι και να περιορίζονται στους απολύτως αναγκαίους· υπενθυμίζει επίσης ότι κάθε απόφαση απόρριψης της πρόσβασης του κοινού σε έγγραφα πρέπει να στηρίζεται σε σαφώς και αυστηρώς καθορισμένες από τον νόμο εξαιρέσεις και να συνοδεύεται από εύλογη και συγκεκριμένη αιτιολόγηση, ώστε να μπορούν οι πολίτες να κατανοούν την άρνηση της πρόσβασης και να αξιοποιούν αποτελεσματικά τα διαθέσιμα ένδικα μέσα· θεωρεί ότι μια πιο προορατική προσέγγιση θα συμβάλει στη διασφάλιση ουσιαστικής διαφάνειας και στην πρόληψη δαπανηρών και επαχθών νομικών διαφορών μεταξύ πολιτών και θεσμικών οργάνων</w:t>
            </w:r>
            <w:r>
              <w:rPr>
                <w:vertAlign w:val="superscript"/>
              </w:rPr>
              <w:t>5</w:t>
            </w:r>
            <w:r>
              <w:t>·</w:t>
            </w:r>
          </w:p>
        </w:tc>
        <w:tc>
          <w:tcPr>
            <w:tcW w:w="4876" w:type="dxa"/>
            <w:tcBorders>
              <w:top w:val="nil"/>
              <w:left w:val="nil"/>
              <w:bottom w:val="nil"/>
              <w:right w:val="nil"/>
            </w:tcBorders>
          </w:tcPr>
          <w:p>
            <w:pPr>
              <w:pStyle w:val="Normal6a"/>
            </w:pPr>
            <w:r>
              <w:t>19.</w:t>
            </w:r>
            <w:r>
              <w:tab/>
            </w:r>
            <w:r>
              <w:t>υπενθυμίζει ότι, σύμφωνα με τον Διαμεσολαβητή, οι περιορισμοί στην πρόσβαση στα έγγραφα, ιδίως στα νομοθετικά έγγραφα, θα πρέπει να είναι έκτακτοι και να περιορίζονται στους απολύτως αναγκαίους· υπενθυμίζει επίσης ότι κάθε απόφαση απόρριψης της πρόσβασης του κοινού σε έγγραφα πρέπει να στηρίζεται σε σαφώς και αυστηρώς καθορισμένες από τον νόμο εξαιρέσεις και να συνοδεύεται από εύλογη και συγκεκριμένη αιτιολόγηση, ώστε να μπορούν οι πολίτες να κατανοούν την άρνηση της πρόσβασης και να αξιοποιούν αποτελεσματικά τα διαθέσιμα ένδικα μέσα· θεωρεί ότι μια πιο προορατική προσέγγιση θα συμβάλει στη διασφάλιση ουσιαστικής διαφάνειας και στην πρόληψη δαπανηρών και επαχθών νομικών διαφορών μεταξύ πολιτών και θεσμικών οργάνων</w:t>
            </w:r>
            <w:r>
              <w:rPr>
                <w:vertAlign w:val="superscript"/>
              </w:rPr>
              <w:t>5</w:t>
            </w:r>
            <w:r>
              <w:t xml:space="preserve">· </w:t>
            </w:r>
            <w:r>
              <w:rPr>
                <w:b/>
                <w:i/>
              </w:rPr>
              <w:t>ενθαρρύνει τον Διαμεσολαβητή να προωθήσει περαιτέρω προορατικές πρακτικές δημοσίευσης, ιδίως για τα νομοθετικά έγγραφα και τα έγγραφα διαμόρφωσης πολιτικής, προκειμένου να ενισχυθεί η διαφάνεια ήδη από τον σχεδιασμό και να μειωθεί ο διοικητικός φόρτος και ο κίνδυνος δικαστικών διαφορών που συνδέονται με επαναλαμβανόμενα αιτήματα πρόσβασης σε έγγραφα·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https://www.europarl.europa.eu/doceo/document/TA-9-2023-0295_EL.html</w:t>
            </w:r>
            <w:r>
              <w:rPr>
                <w:b/>
                <w:i/>
              </w:rPr>
              <w:tab/>
            </w:r>
            <w:r>
              <w:t>.</w:t>
            </w:r>
          </w:p>
        </w:tc>
        <w:tc>
          <w:tcPr>
            <w:tcW w:w="4876" w:type="dxa"/>
            <w:tcBorders>
              <w:top w:val="nil"/>
              <w:left w:val="nil"/>
              <w:bottom w:val="nil"/>
              <w:right w:val="nil"/>
            </w:tcBorders>
          </w:tcPr>
          <w:p>
            <w:pPr>
              <w:pStyle w:val="Normal6a"/>
            </w:pPr>
            <w:r>
              <w:rPr>
                <w:vertAlign w:val="superscript"/>
              </w:rPr>
              <w:t>5</w:t>
            </w:r>
            <w:r>
              <w:t xml:space="preserve"> </w:t>
            </w:r>
            <w:r>
              <w:t>https://www.europarl.europa.eu/doceo/document/TA-9-2023-0295_EL.html.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σημειώνει μείωση κατά 4,90 % του συνολικού αριθμού των μελών του προσωπικού του Διαμεσολαβητή από 82 το 2023 σε 78 το 2024· σημειώνει περαιτέρω ότι, το 2024, ο Διαμεσολαβητής απασχολούσε 46 υπαλλήλους, έναντι 40 το 2023 αντίστοιχα, και 9 συμβασιούχους υπαλλήλους, όπως και το 2023· σημειώνει μια ελαφρά μείωση του ποσοστού του προσωπικού που εργάζεται για την κύρια δραστηριότητα του Διαμεσολαβητή (καταγγελίες και έρευνες), από 42,68 % το 2023 σε 42,30 % το 2024· σημειώνει επίσης ότι το ποσοστό κάλυψης του προσωπικού αυξήθηκε από 95 % το 2023 σε 97 % το 2024 και ότι το ποσοστό εναλλαγής προσωπικού αυξήθηκε από 5,20 % το 2023 σε 6,40 % το 2024· υπενθυμίζει τη σημασία της παροχής συμβάσεων αορίστου χρόνου προκειμένου να διατηρηθούν οι δεξιότητες, η συνέχεια και το παραγωγικό εργασιακό περιβάλλον·</w:t>
            </w:r>
          </w:p>
        </w:tc>
        <w:tc>
          <w:tcPr>
            <w:tcW w:w="4876" w:type="dxa"/>
            <w:tcBorders>
              <w:top w:val="nil"/>
              <w:left w:val="nil"/>
              <w:bottom w:val="nil"/>
              <w:right w:val="nil"/>
            </w:tcBorders>
          </w:tcPr>
          <w:p>
            <w:pPr>
              <w:pStyle w:val="Normal6a"/>
            </w:pPr>
            <w:r>
              <w:t>21.</w:t>
            </w:r>
            <w:r>
              <w:tab/>
            </w:r>
            <w:r>
              <w:t xml:space="preserve">σημειώνει μείωση κατά 4,90 % του συνολικού αριθμού των μελών του προσωπικού του Διαμεσολαβητή από 82 το 2023 σε 78 το 2024· σημειώνει περαιτέρω ότι, το 2024, ο Διαμεσολαβητής απασχολούσε 46 υπαλλήλους, έναντι 40 το 2023 αντίστοιχα, και 9 συμβασιούχους υπαλλήλους, όπως και το 2023· σημειώνει μια ελαφρά μείωση του ποσοστού του προσωπικού που εργάζεται για την κύρια δραστηριότητα του Διαμεσολαβητή (καταγγελίες και έρευνες), από 42,68 % το 2023 σε 42,30 % το 2024· σημειώνει επίσης ότι το ποσοστό κάλυψης του προσωπικού αυξήθηκε από 95 % το 2023 σε 97 % το 2024 και ότι το ποσοστό εναλλαγής προσωπικού αυξήθηκε από 5,20 % το 2023 σε 6,40 % το 2024· υπενθυμίζει τη σημασία της παροχής συμβάσεων αορίστου χρόνου προκειμένου να διατηρηθούν οι δεξιότητες, η συνέχεια και το παραγωγικό εργασιακό περιβάλλον· </w:t>
            </w:r>
            <w:r>
              <w:rPr>
                <w:b/>
                <w:i/>
              </w:rPr>
              <w:t>υπογραμμίζει ότι η μείωση του αριθμού του προσωπικού σε βασικούς επιχειρησιακούς τομείς και η σημαντική εξάρτηση από συμβάσεις ορισμένου χρόνου ενδέχεται να μειώσουν τη θεσμική μνήμη και την αποτελεσματικότητα του θεσμικού οργάνου·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η οποία συμμετείχε στην αξιολόγηση της επιλεξιμότητας των αιτήσεων και στις συνεντεύξεις· </w:t>
            </w:r>
            <w:r>
              <w:rPr>
                <w:b/>
                <w:i/>
              </w:rPr>
              <w:t>πιστεύει ότι το γεγονός ότι ο επιλεγείς γενικός γραμματέας υπηρετούσε προηγουμένως ως προϊστάμενος του ιδιαίτερου γραφείου της σημερινής διαμεσολαβήτριας, η οποία προήδρευε της εξεταστικής επιτροπής, εγείρει ανησυχίες σχετικά με πιθανή ευνοιοκρατία στη διαδικασία επιλογής, ακόμη και αν η εν λόγω διαδικασία διεξήχθη νόμιμα</w:t>
            </w:r>
            <w:r>
              <w:t>·</w:t>
            </w:r>
          </w:p>
        </w:tc>
        <w:tc>
          <w:tcPr>
            <w:tcW w:w="4876" w:type="dxa"/>
            <w:tcBorders>
              <w:top w:val="nil"/>
              <w:left w:val="nil"/>
              <w:bottom w:val="nil"/>
              <w:right w:val="nil"/>
            </w:tcBorders>
          </w:tcPr>
          <w:p>
            <w:pPr>
              <w:pStyle w:val="Normal6a"/>
            </w:pPr>
            <w:r>
              <w:t>22.</w:t>
            </w:r>
            <w:r>
              <w:tab/>
            </w:r>
            <w:r>
              <w:t xml:space="preserve">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η οποία συμμετείχε στην αξιολόγηση της επιλεξιμότητας των αιτήσεων και στις συνεντεύξεις· </w:t>
            </w:r>
            <w:r>
              <w:rPr>
                <w:b/>
                <w:i/>
              </w:rPr>
              <w:t>τονίζει ότι πρέπει να εξασφαλίζονται αυστηρές εγγυήσεις εχεμύθειας και τήρησης του απορρήτου, καθώς και ισχυρές διασφαλίσεις για την πρόληψη κάθε μορφής πολιτικής επιρροής ή παρέμβασης στη λειτουργία του θεσμού του Διαμεσολαβητή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w:t>
            </w:r>
            <w:r>
              <w:rPr>
                <w:b/>
                <w:i/>
              </w:rPr>
              <w:t>, η</w:t>
            </w:r>
            <w:r>
              <w:t xml:space="preserve"> οποία </w:t>
            </w:r>
            <w:r>
              <w:rPr>
                <w:b/>
                <w:i/>
              </w:rPr>
              <w:t>συμμετείχε</w:t>
            </w:r>
            <w:r>
              <w:t xml:space="preserve"> στην αξιολόγηση της επιλεξιμότητας των αιτήσεων και στις συνεντεύξεις· </w:t>
            </w:r>
            <w:r>
              <w:rPr>
                <w:b/>
                <w:i/>
              </w:rPr>
              <w:t>πιστεύει ότι το γεγονός</w:t>
            </w:r>
            <w:r>
              <w:t xml:space="preserve"> ότι ο επιλεγείς γενικός γραμματέας </w:t>
            </w:r>
            <w:r>
              <w:rPr>
                <w:b/>
                <w:i/>
              </w:rPr>
              <w:t>υπηρετούσε προηγουμένως ως</w:t>
            </w:r>
            <w:r>
              <w:t xml:space="preserve"> προϊστάμενος του ιδιαίτερου γραφείου της σημερινής διαμεσολαβήτριας</w:t>
            </w:r>
            <w:r>
              <w:rPr>
                <w:b/>
                <w:i/>
              </w:rPr>
              <w:t>, η οποία προήδρευε της εξεταστικής επιτροπής, εγείρει ανησυχίες σχετικά με</w:t>
            </w:r>
            <w:r>
              <w:t xml:space="preserve"> πιθανή ευνοιοκρατία </w:t>
            </w:r>
            <w:r>
              <w:rPr>
                <w:b/>
                <w:i/>
              </w:rPr>
              <w:t>στη διαδικασία επιλογής, ακόμη και αν η εν λόγω διαδικασία διεξήχθη νόμιμα</w:t>
            </w:r>
            <w:r>
              <w:t>·</w:t>
            </w:r>
          </w:p>
        </w:tc>
        <w:tc>
          <w:tcPr>
            <w:tcW w:w="4876" w:type="dxa"/>
            <w:tcBorders>
              <w:top w:val="nil"/>
              <w:left w:val="nil"/>
              <w:bottom w:val="nil"/>
              <w:right w:val="nil"/>
            </w:tcBorders>
          </w:tcPr>
          <w:p>
            <w:pPr>
              <w:pStyle w:val="Normal6a"/>
            </w:pPr>
            <w:r>
              <w:t>22.</w:t>
            </w:r>
            <w:r>
              <w:tab/>
            </w:r>
            <w:r>
              <w:t>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w:t>
            </w:r>
            <w:r>
              <w:rPr>
                <w:b/>
                <w:i/>
              </w:rPr>
              <w:t>, μετά από επανειλημμένες εκκλήσεις του Κοινοβουλίου για την πλήρωση αυτής της κενής θέσης,</w:t>
            </w:r>
            <w:r>
              <w:t xml:space="preserve">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w:t>
            </w:r>
            <w:r>
              <w:rPr>
                <w:b/>
                <w:i/>
              </w:rPr>
              <w:t>και τα άλλα δύο ήταν εξωτερικά και ανεξάρτητα μέλη, τα</w:t>
            </w:r>
            <w:r>
              <w:t xml:space="preserve"> οποία </w:t>
            </w:r>
            <w:r>
              <w:rPr>
                <w:b/>
                <w:i/>
              </w:rPr>
              <w:t>συμμετείχαν</w:t>
            </w:r>
            <w:r>
              <w:t xml:space="preserve"> στην αξιολόγηση της επιλεξιμότητας των αιτήσεων και στις συνεντεύξεις· </w:t>
            </w:r>
            <w:r>
              <w:rPr>
                <w:b/>
                <w:i/>
              </w:rPr>
              <w:t>υποστηρίζει ότι ο Διαμεσολαβητής είναι ένα μονοπρόσωπο θεσμικό όργανο, σύμφωνα με τις Συνθήκες και το καταστατικό του·</w:t>
            </w:r>
            <w:r>
              <w:t xml:space="preserve"> </w:t>
            </w:r>
            <w:r>
              <w:rPr>
                <w:b/>
                <w:i/>
              </w:rPr>
              <w:t>λαμβάνει υπόψη τις πρόσθετες διασφαλίσεις που εγκρίθηκαν κατά τη διαδικασία επιλογής, συμπεριλαμβανομένης της συμμετοχής δύο ανώτερων υπαλλήλων σε ολόκληρη τη διαδικασία·</w:t>
            </w:r>
            <w:r>
              <w:t xml:space="preserve"> </w:t>
            </w:r>
            <w:r>
              <w:rPr>
                <w:b/>
                <w:i/>
              </w:rPr>
              <w:t>σημειώνει ότι η διαδικασία διεξήχθη νόμιμα·</w:t>
            </w:r>
            <w:r>
              <w:t xml:space="preserve"> </w:t>
            </w:r>
            <w:r>
              <w:rPr>
                <w:b/>
                <w:i/>
              </w:rPr>
              <w:t>σημειώνει</w:t>
            </w:r>
            <w:r>
              <w:t xml:space="preserve"> ότι ο επιλεγείς γενικός γραμματέας</w:t>
            </w:r>
            <w:r>
              <w:rPr>
                <w:b/>
                <w:i/>
              </w:rPr>
              <w:t>, ο οποίος διορίστηκε</w:t>
            </w:r>
            <w:r>
              <w:t xml:space="preserve"> προϊστάμενος του ιδιαίτερου γραφείου της σημερινής διαμεσολαβήτριας </w:t>
            </w:r>
            <w:r>
              <w:rPr>
                <w:b/>
                <w:i/>
              </w:rPr>
              <w:t>τον Φεβρουάριο του 2025, είναι υπάλληλος της ΕΕ επί μία τριακονταετία και διαθέτει διευθυντική πείρα 10 ετών·</w:t>
            </w:r>
            <w:r>
              <w:t xml:space="preserve"> </w:t>
            </w:r>
            <w:r>
              <w:rPr>
                <w:b/>
                <w:i/>
              </w:rPr>
              <w:t>καλεί τον Διαμεσολαβητή να εξετάσει περαιτέρω τον τρόπο προστασίας των διαδικασιών επιλογής και των αποφάσεων διορισμού από οποιαδήποτε εικαζόμενη σύγκρουση συμφερόντων ή</w:t>
            </w:r>
            <w:r>
              <w:t xml:space="preserve"> πιθανή ευνοιοκρατία·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η οποία συμμετείχε στην αξιολόγηση της επιλεξιμότητας των αιτήσεων και στις συνεντεύξεις· πιστεύει ότι το γεγονός ότι ο επιλεγείς γενικός γραμματέας υπηρετούσε προηγουμένως ως προϊστάμενος του ιδιαίτερου γραφείου της σημερινής διαμεσολαβήτριας</w:t>
            </w:r>
            <w:r>
              <w:rPr>
                <w:b/>
                <w:i/>
              </w:rPr>
              <w:t>, η οποία</w:t>
            </w:r>
            <w:r>
              <w:t xml:space="preserve"> προήδρευε της εξεταστικής επιτροπής</w:t>
            </w:r>
            <w:r>
              <w:rPr>
                <w:b/>
                <w:i/>
              </w:rPr>
              <w:t>,</w:t>
            </w:r>
            <w:r>
              <w:t xml:space="preserve"> εγείρει ανησυχίες σχετικά με </w:t>
            </w:r>
            <w:r>
              <w:rPr>
                <w:b/>
                <w:i/>
              </w:rPr>
              <w:t>πιθανή ευνοιοκρατία στη διαδικασία</w:t>
            </w:r>
            <w:r>
              <w:t xml:space="preserve"> επιλογής, ακόμη και αν η εν λόγω διαδικασία διεξήχθη νόμιμα·</w:t>
            </w:r>
          </w:p>
        </w:tc>
        <w:tc>
          <w:tcPr>
            <w:tcW w:w="4876" w:type="dxa"/>
            <w:tcBorders>
              <w:top w:val="nil"/>
              <w:left w:val="nil"/>
              <w:bottom w:val="nil"/>
              <w:right w:val="nil"/>
            </w:tcBorders>
          </w:tcPr>
          <w:p>
            <w:pPr>
              <w:pStyle w:val="Normal6a"/>
            </w:pPr>
            <w:r>
              <w:t>22.</w:t>
            </w:r>
            <w:r>
              <w:tab/>
            </w:r>
            <w:r>
              <w:t xml:space="preserve">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η οποία συμμετείχε στην αξιολόγηση της επιλεξιμότητας των αιτήσεων και στις συνεντεύξεις· πιστεύει ότι το γεγονός ότι ο επιλεγείς γενικός γραμματέας υπηρετούσε προηγουμένως ως προϊστάμενος του ιδιαίτερου γραφείου της σημερινής διαμεσολαβήτριας </w:t>
            </w:r>
            <w:r>
              <w:rPr>
                <w:b/>
                <w:i/>
              </w:rPr>
              <w:t>και ότι η τελευταία</w:t>
            </w:r>
            <w:r>
              <w:t xml:space="preserve"> προήδρευε της εξεταστικής επιτροπής </w:t>
            </w:r>
            <w:r>
              <w:rPr>
                <w:b/>
                <w:i/>
              </w:rPr>
              <w:t>μπορεί να</w:t>
            </w:r>
            <w:r>
              <w:t xml:space="preserve"> εγείρει ανησυχίες σχετικά με </w:t>
            </w:r>
            <w:r>
              <w:rPr>
                <w:b/>
                <w:i/>
              </w:rPr>
              <w:t>τον δίκαιο χαρακτήρα της διαδικασίας</w:t>
            </w:r>
            <w:r>
              <w:t xml:space="preserve"> επιλογής, ακόμη και αν η εν λόγω διαδικασία διεξήχθη νόμιμα· </w:t>
            </w:r>
            <w:r>
              <w:rPr>
                <w:b/>
                <w:i/>
              </w:rPr>
              <w:t>τονίζει ότι το Κοινοβούλιο δεν απαιτεί από τη διαμεσολαβήτρια, ως αρμόδια για τους διορισμούς αρχή, να μεταβιβάσει τα δικαιώματα και τις υποχρεώσεις της, αλλά επισημαίνει ότι η παρουσία της στην εξεταστική επιτροπή δεν είναι υποχρεωτική σύμφωνα με το δίκαιο της Ένωσης·</w:t>
            </w:r>
            <w:r>
              <w:t xml:space="preserve"> </w:t>
            </w:r>
            <w:r>
              <w:rPr>
                <w:b/>
                <w:i/>
              </w:rPr>
              <w:t>κατανοεί, ωστόσο, ότι σε ένα μονοπρόσωπο θεσμικό όργανο, όπως ο Διαμεσολαβητής, το εντεταλμένο πρόσωπο από τη δημόσια αρχή ενδέχεται να χρειαστεί να συμμετάσχει στα τελευταία στάδια ορισμένων διαδικασιών επιλογής·</w:t>
            </w:r>
            <w:r>
              <w:t xml:space="preserve"> </w:t>
            </w:r>
            <w:r>
              <w:rPr>
                <w:b/>
                <w:i/>
              </w:rPr>
              <w:t>συνιστά στον Διαμεσολαβητή να επανεξετάσει τον εσωτερικό κανονισμό του προκειμένου να διασφαλίσει ότι η συμμετοχή αυτή πραγματοποιείται με όλα τα εχέγγυα δίκαιης μεταχείρισης και διαφάνειας και μόνο στον βαθμό που είναι απολύτως σκόπιμο·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η οποία συμμετείχε στην αξιολόγηση της επιλεξιμότητας των αιτήσεων και στις συνεντεύξεις· πιστεύει ότι το γεγονός ότι ο επιλεγείς γενικός γραμματέας υπηρετούσε προηγουμένως ως προϊστάμενος του ιδιαίτερου γραφείου της σημερινής διαμεσολαβήτριας, η οποία προήδρευε της εξεταστικής επιτροπής, εγείρει ανησυχίες σχετικά με πιθανή ευνοιοκρατία στη διαδικασία επιλογής, ακόμη και αν η εν λόγω διαδικασία διεξήχθη νόμιμα·</w:t>
            </w:r>
          </w:p>
        </w:tc>
        <w:tc>
          <w:tcPr>
            <w:tcW w:w="4876" w:type="dxa"/>
            <w:tcBorders>
              <w:top w:val="nil"/>
              <w:left w:val="nil"/>
              <w:bottom w:val="nil"/>
              <w:right w:val="nil"/>
            </w:tcBorders>
          </w:tcPr>
          <w:p>
            <w:pPr>
              <w:pStyle w:val="Normal6a"/>
            </w:pPr>
            <w:r>
              <w:t>22.</w:t>
            </w:r>
            <w:r>
              <w:tab/>
            </w:r>
            <w:r>
              <w:t xml:space="preserve">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η οποία συμμετείχε στην αξιολόγηση της επιλεξιμότητας των αιτήσεων και στις συνεντεύξεις· πιστεύει ότι το γεγονός ότι ο επιλεγείς γενικός γραμματέας υπηρετούσε προηγουμένως ως προϊστάμενος του ιδιαίτερου γραφείου της σημερινής διαμεσολαβήτριας, η οποία προήδρευε της εξεταστικής επιτροπής, εγείρει ανησυχίες σχετικά με πιθανή ευνοιοκρατία στη διαδικασία επιλογής, ακόμη και αν η εν λόγω διαδικασία διεξήχθη νόμιμα· </w:t>
            </w:r>
            <w:r>
              <w:rPr>
                <w:b/>
                <w:i/>
              </w:rPr>
              <w:t>θεωρεί ότι ακόμη και η αίσθηση ευνοιοκρατίας ή σύγκρουσης συμφερόντων δεν συνάδει με τα πρότυπα ακεραιότητας που αναμένονται από τον θεσμό του Διαμεσολαβητή, ανεξάρτητα από την τυπική νομιμότητα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w:t>
            </w:r>
            <w:r>
              <w:rPr>
                <w:b/>
                <w:i/>
              </w:rPr>
              <w:t>, η</w:t>
            </w:r>
            <w:r>
              <w:t xml:space="preserve"> οποία </w:t>
            </w:r>
            <w:r>
              <w:rPr>
                <w:b/>
                <w:i/>
              </w:rPr>
              <w:t>συμμετείχε</w:t>
            </w:r>
            <w:r>
              <w:t xml:space="preserve"> στην αξιολόγηση της επιλεξιμότητας των αιτήσεων και στις συνεντεύξεις· </w:t>
            </w:r>
            <w:r>
              <w:rPr>
                <w:b/>
                <w:i/>
              </w:rPr>
              <w:t>πιστεύει ότι το γεγονός</w:t>
            </w:r>
            <w:r>
              <w:t xml:space="preserve"> ότι ο </w:t>
            </w:r>
            <w:r>
              <w:rPr>
                <w:b/>
                <w:i/>
              </w:rPr>
              <w:t>επιλεγείς γενικός γραμματέας υπηρετούσε προηγουμένως ως προϊστάμενος</w:t>
            </w:r>
            <w:r>
              <w:t xml:space="preserve"> του ιδιαίτερου γραφείου της σημερινής διαμεσολαβήτριας, η οποία προήδρευε της εξεταστικής επιτροπής, εγείρει ανησυχίες </w:t>
            </w:r>
            <w:r>
              <w:rPr>
                <w:b/>
                <w:i/>
              </w:rPr>
              <w:t>σχετικά με πιθανή ευνοιοκρατία στη διαδικασία</w:t>
            </w:r>
            <w:r>
              <w:t xml:space="preserve"> επιλογής</w:t>
            </w:r>
            <w:r>
              <w:rPr>
                <w:b/>
                <w:i/>
              </w:rPr>
              <w:t>, ακόμη και αν η εν λόγω διαδικασία διεξήχθη νόμιμα</w:t>
            </w:r>
            <w:r>
              <w:t>·</w:t>
            </w:r>
          </w:p>
        </w:tc>
        <w:tc>
          <w:tcPr>
            <w:tcW w:w="4876" w:type="dxa"/>
            <w:tcBorders>
              <w:top w:val="nil"/>
              <w:left w:val="nil"/>
              <w:bottom w:val="nil"/>
              <w:right w:val="nil"/>
            </w:tcBorders>
          </w:tcPr>
          <w:p>
            <w:pPr>
              <w:pStyle w:val="Normal6a"/>
            </w:pPr>
            <w:r>
              <w:t>22.</w:t>
            </w:r>
            <w:r>
              <w:tab/>
            </w:r>
            <w:r>
              <w:t xml:space="preserve">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w:t>
            </w:r>
            <w:r>
              <w:rPr>
                <w:b/>
                <w:i/>
              </w:rPr>
              <w:t>και άλλα δύο εξωτερικά μέλη, τα</w:t>
            </w:r>
            <w:r>
              <w:t xml:space="preserve"> οποία </w:t>
            </w:r>
            <w:r>
              <w:rPr>
                <w:b/>
                <w:i/>
              </w:rPr>
              <w:t>συμμετείχαν</w:t>
            </w:r>
            <w:r>
              <w:t xml:space="preserve"> στην αξιολόγηση της επιλεξιμότητας των αιτήσεων και στις συνεντεύξεις· </w:t>
            </w:r>
            <w:r>
              <w:rPr>
                <w:b/>
                <w:i/>
              </w:rPr>
              <w:t>σημειώνει</w:t>
            </w:r>
            <w:r>
              <w:t xml:space="preserve"> ότι ο </w:t>
            </w:r>
            <w:r>
              <w:rPr>
                <w:b/>
                <w:i/>
              </w:rPr>
              <w:t>προηγούμενος ρόλος του επιλεγέντος γενικού γραμματέα ως προϊσταμένου</w:t>
            </w:r>
            <w:r>
              <w:t xml:space="preserve"> του ιδιαίτερου γραφείου της σημερινής διαμεσολαβήτριας, η οποία προήδρευε της εξεταστικής επιτροπής, </w:t>
            </w:r>
            <w:r>
              <w:rPr>
                <w:b/>
                <w:i/>
              </w:rPr>
              <w:t>θα μπορούσε να θεωρηθεί ότι</w:t>
            </w:r>
            <w:r>
              <w:t xml:space="preserve"> εγείρει ανησυχίες</w:t>
            </w:r>
            <w:r>
              <w:rPr>
                <w:b/>
                <w:i/>
              </w:rPr>
              <w:t>, παρά τη νόμιμη διεξαγωγή της διαδικασίας</w:t>
            </w:r>
            <w:r>
              <w:t xml:space="preserve"> επιλογής</w:t>
            </w:r>
            <w:r>
              <w:rPr>
                <w:b/>
                <w:i/>
              </w:rPr>
              <w:t>·</w:t>
            </w:r>
            <w:r>
              <w:t xml:space="preserve"> </w:t>
            </w:r>
            <w:r>
              <w:rPr>
                <w:b/>
                <w:i/>
              </w:rPr>
              <w:t>καλεί τον Διαμεσολαβητή να εξετάσει εις βάθος τρόπους διασφάλισης των διαδικασιών επιλογής έναντι εικαζόμενων συγκρούσεων συμφερόντων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w:t>
            </w:r>
            <w:r>
              <w:rPr>
                <w:b/>
                <w:i/>
              </w:rPr>
              <w:t>·</w:t>
            </w:r>
            <w:r>
              <w:t xml:space="preserve"> </w:t>
            </w:r>
            <w:r>
              <w:rPr>
                <w:b/>
                <w:i/>
              </w:rPr>
              <w:t>διαφωνεί, στο πλαίσιο αυτό, με την άποψη της διαμεσολαβήτριας ότι έχει εν προκειμένω εφαρμογή η νομολογία Meroni (C-9/56 και C-10/56), διότι η συγκεκριμένη νομολογία δεν αφορά τη μεταβίβαση εξουσιών σε θέματα προσωπικού (όπως η επιλογή μέλους του προσωπικού), αλλά αφορά τη μεταβίβαση διακριτικών εξουσιών σε εξωτερικές/ιδιωτικές αρχές</w:t>
            </w:r>
            <w:r>
              <w:t xml:space="preserve">· τονίζει περαιτέρω ότι το Κοινοβούλιο δεν απαιτεί από τη διαμεσολαβήτρια 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 ότι «Την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 </w:t>
            </w:r>
            <w:r>
              <w:rPr>
                <w:b/>
                <w:i/>
              </w:rPr>
              <w:t>υπογραμμίζει ότι, με τη λήψη τελικής απόφασης, η οποία αποτελεί καθήκον της αρμόδιας για τους διορισμούς αρχής, η εν λόγω αρχή επιβεβαιώνει επίσης ότι ολόκληρη η διαδικασία επιλογής ήταν νόμιμη, συμπεριλαμβανομένης της συμμόρφωσης του υποψηφίου με όλα τα κριτήρια παραδεκτού και επιλεξιμότητας, ενώ το καθήκον αυτό θα καθίστατο απλώς επιφανειακό εάν η αρμόδια για τους διορισμούς αρχή ήταν επίσης πρόεδρος της εξεταστικής επιτροπής στα προηγούμενα στάδια της διαδικασίας/του διαγωνισμού, όπως συνέβη στην τρέχουσα διαδικασία· σημειώνει, επιπλέον, την άρνηση της διαμεσολαβήτριας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αναφέροντας μεταξύ άλλων ως επιχείρημα «τα όρια του νομικού πλαισίου που διέπει την εμπιστευτικότητα», για να αποφευχθεί «ο κίνδυνος υπονόμευσης της ανεξαρτησίας και της ακεραιότητας της διαδικασίας επιλογής» σε περίπτωση δημοσιοποίησης των εν λόγω εγγράφων·</w:t>
            </w:r>
            <w:r>
              <w:t xml:space="preserve"> </w:t>
            </w:r>
            <w:r>
              <w:rPr>
                <w:b/>
                <w:i/>
              </w:rPr>
              <w:t>υπενθυμίζει ότι το Κοινοβούλιο έχει το δικαίωμα να ζητεί κάθε αναγκαία πληροφορία σύμφωνα με το άρθρο 319 παράγραφος 2 της Συνθήκης για τη λειτουργία της Ευρωπαϊκής Ένωσης·</w:t>
            </w:r>
            <w:r>
              <w:t xml:space="preserve"> </w:t>
            </w:r>
            <w:r>
              <w:rPr>
                <w:b/>
                <w:i/>
              </w:rPr>
              <w:t>υπογραμμίζει ότι η διαβίβαση πληροφοριών στο Κοινοβούλιο για τους σκοπούς της απαλλαγής δεν ισοδυναμεί με δημοσιοποίηση των εν λόγω πληροφοριών·</w:t>
            </w:r>
            <w:r>
              <w:t xml:space="preserve"> </w:t>
            </w:r>
            <w:r>
              <w:rPr>
                <w:b/>
                <w:i/>
              </w:rPr>
              <w:t>τονίζει περαιτέρω ότι το Κοινοβούλιο έχει θεσπίσει ένα ολοκληρωμένο σύνολο κανόνων ασφαλείας, οι οποίοι συμμορφώνονται με τις ίδιες αρχές και τα ίδια πρότυπα με τα άλλα θεσμικά όργανα της Ένωσης, και αφορούν μεταξύ άλλων τον έλεγχο ασφάλειας, την αρχή της ανάγκης γνώσης, τον ασφαλή χώρο και τις ασφαλείς αίθουσες ανάγνωσης, τις κυρώσεις για παραβιάσεις κ.λπ.·</w:t>
            </w:r>
            <w:r>
              <w:t xml:space="preserve"> </w:t>
            </w:r>
            <w:r>
              <w:rPr>
                <w:b/>
                <w:i/>
              </w:rPr>
              <w:t>καλεί, υπό το πρίσμα των ανωτέρω, τη διαμεσολαβήτρια να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σε σχέση με τη διαδικασία επιλογής του γενικού γραμματέα του Διαμεσολαβητή (OMB/2/2025)·</w:t>
            </w:r>
          </w:p>
        </w:tc>
        <w:tc>
          <w:tcPr>
            <w:tcW w:w="4876" w:type="dxa"/>
            <w:tcBorders>
              <w:top w:val="nil"/>
              <w:left w:val="nil"/>
              <w:bottom w:val="nil"/>
              <w:right w:val="nil"/>
            </w:tcBorders>
          </w:tcPr>
          <w:p>
            <w:pPr>
              <w:pStyle w:val="Normal6a"/>
            </w:pPr>
            <w:r>
              <w:t>23.</w:t>
            </w:r>
            <w:r>
              <w:tab/>
            </w:r>
            <w:r>
              <w:t>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 τονίζει περαιτέρω ότι το Κοινοβούλιο δεν απαιτεί από τη διαμεσολαβήτρια 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 ότι «Την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w:t>
            </w:r>
            <w:r>
              <w:t xml:space="preserve"> διαφωνεί</w:t>
            </w:r>
            <w:r>
              <w:rPr>
                <w:b/>
                <w:i/>
              </w:rPr>
              <w:t>, στο πλαίσιο αυτό,</w:t>
            </w:r>
            <w:r>
              <w:t xml:space="preserve"> με την άποψη της διαμεσολαβήτριας ότι έχει εν προκειμένω εφαρμογή η νομολογία Meroni (C-9/56 και C-10/56), </w:t>
            </w:r>
            <w:r>
              <w:rPr>
                <w:b/>
                <w:i/>
              </w:rPr>
              <w:t>διότι η συγκεκριμένη νομολογία</w:t>
            </w:r>
            <w:r>
              <w:t xml:space="preserve"> δεν αφορά τη μεταβίβαση εξουσιών σε θέματα προσωπικού (όπως η επιλογή μέλους του προσωπικού), αλλά </w:t>
            </w:r>
            <w:r>
              <w:rPr>
                <w:b/>
                <w:i/>
              </w:rPr>
              <w:t>αφορά</w:t>
            </w:r>
            <w:r>
              <w:t xml:space="preserve"> τη μεταβίβαση διακριτικών εξουσιών σε εξωτερικές/ιδιωτικές αρχές· </w:t>
            </w:r>
            <w:r>
              <w:rPr>
                <w:b/>
                <w:i/>
              </w:rPr>
              <w:t>τονίζει περαιτέρω ότι το Κοινοβούλιο δεν απαιτεί από τη</w:t>
            </w:r>
            <w:r>
              <w:t xml:space="preserve"> διαμεσολαβήτρια </w:t>
            </w:r>
            <w:r>
              <w:rPr>
                <w:b/>
                <w:i/>
              </w:rPr>
              <w:t>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w:t>
            </w:r>
            <w:r>
              <w:t xml:space="preserve"> ότι «</w:t>
            </w:r>
            <w:r>
              <w:rPr>
                <w:b/>
                <w:i/>
              </w:rPr>
              <w:t>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w:t>
            </w:r>
            <w:r>
              <w:t xml:space="preserve"> </w:t>
            </w:r>
            <w:r>
              <w:rPr>
                <w:b/>
                <w:i/>
              </w:rPr>
              <w:t>υπογραμμίζει ότι, με τη λήψη τελικής απόφασης, η οποία αποτελεί καθήκον της αρμόδιας για τους διορισμούς αρχής, η εν λόγω αρχή επιβεβαιώνει επίσης ότι ολόκληρη η διαδικασία επιλογής ήταν νόμιμη, συμπεριλαμβανομένης της συμμόρφωσης του υποψηφίου με όλα τα κριτήρια παραδεκτού και επιλεξιμότητας, ενώ το καθήκον αυτό θα καθίστατο απλώς επιφανειακό εάν η αρμόδια για τους διορισμούς αρχή ήταν επίσης πρόεδρος της εξεταστικής επιτροπής στα προηγούμενα στάδια</w:t>
            </w:r>
            <w:r>
              <w:t xml:space="preserve"> της διαδικασίας</w:t>
            </w:r>
            <w:r>
              <w:rPr>
                <w:b/>
                <w:i/>
              </w:rPr>
              <w:t>/του διαγωνισμού, όπως συνέβη στην τρέχουσα διαδικασία· σημειώνει, επιπλέον, την άρνηση της διαμεσολαβήτριας</w:t>
            </w:r>
            <w:r>
              <w:t xml:space="preserve">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w:t>
            </w:r>
            <w:r>
              <w:rPr>
                <w:b/>
                <w:i/>
              </w:rPr>
              <w:t>, αναφέροντας μεταξύ άλλων ως επιχείρημα «τα όρια του νομικού πλαισίου που διέπει την εμπιστευτικότητα», για να αποφευχθεί «ο κίνδυνος υπονόμευσης της ανεξαρτησίας και της ακεραιότητας της διαδικασίας επιλογής» σε περίπτωση δημοσιοποίησης των εν λόγω εγγράφων</w:t>
            </w:r>
            <w:r>
              <w:t xml:space="preserve">· υπενθυμίζει ότι το Κοινοβούλιο </w:t>
            </w:r>
            <w:r>
              <w:rPr>
                <w:b/>
                <w:i/>
              </w:rPr>
              <w:t>έχει το δικαίωμα να ζητεί κάθε αναγκαία πληροφορία σύμφωνα με το άρθρο 319 παράγραφος 2 της Συνθήκης για τη λειτουργία της Ευρωπαϊκής Ένωσης·</w:t>
            </w:r>
            <w:r>
              <w:t xml:space="preserve"> </w:t>
            </w:r>
            <w:r>
              <w:rPr>
                <w:b/>
                <w:i/>
              </w:rPr>
              <w:t>υπογραμμίζει ότι η διαβίβαση πληροφοριών στο Κοινοβούλιο για τους σκοπούς της απαλλαγής δεν ισοδυναμεί με δημοσιοποίηση των εν λόγω πληροφοριών·</w:t>
            </w:r>
            <w:r>
              <w:t xml:space="preserve"> </w:t>
            </w:r>
            <w:r>
              <w:rPr>
                <w:b/>
                <w:i/>
              </w:rPr>
              <w:t>τονίζει περαιτέρω ότι το Κοινοβούλιο έχει θεσπίσει ένα ολοκληρωμένο σύνολο κανόνων ασφαλείας, οι οποίοι συμμορφώνονται με τις ίδιες αρχές και τα ίδια πρότυπα με τα άλλα θεσμικά όργανα της Ένωσης, και αφορούν μεταξύ άλλων τον έλεγχο ασφάλειας, την αρχή της ανάγκης γνώσης,</w:t>
            </w:r>
            <w:r>
              <w:t xml:space="preserve"> τον ασφαλή </w:t>
            </w:r>
            <w:r>
              <w:rPr>
                <w:b/>
                <w:i/>
              </w:rPr>
              <w:t>χώρο και τις ασφαλείς αίθουσες ανάγνωσης, τις κυρώσεις για παραβιάσεις κ.λπ.</w:t>
            </w:r>
            <w:r>
              <w:t xml:space="preserve">· </w:t>
            </w:r>
            <w:r>
              <w:rPr>
                <w:b/>
                <w:i/>
              </w:rPr>
              <w:t>καλεί, υπό το πρίσμα των ανωτέρω, τη διαμεσολαβήτρια να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σε σχέση με τη διαδικασία επιλογής του γενικού γραμματέα του Διαμεσολαβητή (OMB/2/2025)·</w:t>
            </w:r>
          </w:p>
        </w:tc>
        <w:tc>
          <w:tcPr>
            <w:tcW w:w="4876" w:type="dxa"/>
            <w:tcBorders>
              <w:top w:val="nil"/>
              <w:left w:val="nil"/>
              <w:bottom w:val="nil"/>
              <w:right w:val="nil"/>
            </w:tcBorders>
          </w:tcPr>
          <w:p>
            <w:pPr>
              <w:pStyle w:val="Normal6a"/>
            </w:pPr>
            <w:r>
              <w:t>23.</w:t>
            </w:r>
            <w:r>
              <w:tab/>
            </w:r>
            <w:r>
              <w:t xml:space="preserve">διαφωνεί με την άποψη της διαμεσολαβήτριας ότι έχει εν προκειμένω εφαρμογή η νομολογία Meroni (C-9/56 και C-10/56), </w:t>
            </w:r>
            <w:r>
              <w:rPr>
                <w:b/>
                <w:i/>
              </w:rPr>
              <w:t>δεδομένου ότι</w:t>
            </w:r>
            <w:r>
              <w:t xml:space="preserve"> δεν αφορά τη μεταβίβαση εξουσιών σε θέματα προσωπικού (όπως η επιλογή μέλους του προσωπικού), αλλά </w:t>
            </w:r>
            <w:r>
              <w:rPr>
                <w:b/>
                <w:i/>
              </w:rPr>
              <w:t>μάλλον</w:t>
            </w:r>
            <w:r>
              <w:t xml:space="preserve"> τη μεταβίβαση διακριτικών εξουσιών σε εξωτερικές/ιδιωτικές αρχές· </w:t>
            </w:r>
            <w:r>
              <w:rPr>
                <w:b/>
                <w:i/>
              </w:rPr>
              <w:t>σημειώνει ότι η</w:t>
            </w:r>
            <w:r>
              <w:t xml:space="preserve"> διαμεσολαβήτρια </w:t>
            </w:r>
            <w:r>
              <w:rPr>
                <w:b/>
                <w:i/>
              </w:rPr>
              <w:t>ισχυρίστηκε</w:t>
            </w:r>
            <w:r>
              <w:t xml:space="preserve"> ότι «</w:t>
            </w:r>
            <w:r>
              <w:rPr>
                <w:b/>
                <w:i/>
              </w:rPr>
              <w:t>τα όρια του νομικού πλαισίου που διέπει την εμπιστευτικότητα», ώστε να αποφευχθεί «ο κίνδυνος υπονόμευσης της ανεξαρτησίας και της ακεραιότητας</w:t>
            </w:r>
            <w:r>
              <w:t xml:space="preserve"> της διαδικασίας </w:t>
            </w:r>
            <w:r>
              <w:rPr>
                <w:b/>
                <w:i/>
              </w:rPr>
              <w:t>επιλογής», την εμποδίζουν</w:t>
            </w:r>
            <w:r>
              <w:t xml:space="preserve">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υπενθυμίζει </w:t>
            </w:r>
            <w:r>
              <w:rPr>
                <w:b/>
                <w:i/>
              </w:rPr>
              <w:t>το δικαίωμα του Κοινοβουλίου να λαμβάνει τις πληροφορίες που είναι αναγκαίες για την απαλλαγή, υπογραμμίζει ότι η παροχή των πληροφοριών αυτών δεν συνεπάγεται τη δημοσιοποίησή τους, και τονίζει</w:t>
            </w:r>
            <w:r>
              <w:t xml:space="preserve"> ότι το Κοινοβούλιο </w:t>
            </w:r>
            <w:r>
              <w:rPr>
                <w:b/>
                <w:i/>
              </w:rPr>
              <w:t>διαθέτει επαρκείς διασφαλίσεις για</w:t>
            </w:r>
            <w:r>
              <w:t xml:space="preserve"> τον ασφαλή </w:t>
            </w:r>
            <w:r>
              <w:rPr>
                <w:b/>
                <w:i/>
              </w:rPr>
              <w:t>χειρισμό ευαίσθητου υλικού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 διαφωνεί, στο πλαίσιο αυτό, με την άποψη της διαμεσολαβήτριας ότι έχει εν προκειμένω εφαρμογή η νομολογία Meroni (C-9/56 και C-10/56), διότι η συγκεκριμένη νομολογία δεν αφορά τη μεταβίβαση εξουσιών σε θέματα προσωπικού (όπως η επιλογή μέλους του προσωπικού), αλλά αφορά τη μεταβίβαση διακριτικών εξουσιών σε εξωτερικές/ιδιωτικές αρχές· τονίζει περαιτέρω ότι το Κοινοβούλιο δεν απαιτεί από τη διαμεσολαβήτρια 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 ότι «Την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 </w:t>
            </w:r>
            <w:r>
              <w:rPr>
                <w:b/>
                <w:i/>
              </w:rPr>
              <w:t>υπογραμμίζει ότι, με τη λήψη τελικής απόφασης, η οποία αποτελεί καθήκον της αρμόδιας για τους διορισμούς αρχής, η εν λόγω αρχή επιβεβαιώνει επίσης ότι ολόκληρη η διαδικασία επιλογής ήταν νόμιμη, συμπεριλαμβανομένης της συμμόρφωσης του υποψηφίου με όλα τα κριτήρια παραδεκτού και επιλεξιμότητας, ενώ το καθήκον αυτό θα καθίστατο απλώς επιφανειακό εάν η αρμόδια για τους διορισμούς αρχή ήταν επίσης πρόεδρος της εξεταστικής επιτροπής στα προηγούμενα στάδια της διαδικασίας/του διαγωνισμού, όπως συνέβη στην τρέχουσα διαδικασία·</w:t>
            </w:r>
            <w:r>
              <w:t xml:space="preserve"> σημειώνει, επιπλέον, την άρνηση της διαμεσολαβήτριας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αναφέροντας μεταξύ άλλων ως επιχείρημα «τα όρια του νομικού πλαισίου που διέπει την εμπιστευτικότητα», για να αποφευχθεί «ο κίνδυνος υπονόμευσης της ανεξαρτησίας και της ακεραιότητας της διαδικασίας επιλογής» σε περίπτωση δημοσιοποίησης των εν λόγω εγγράφων· υπενθυμίζει ότι το Κοινοβούλιο έχει το δικαίωμα να ζητεί κάθε αναγκαία πληροφορία σύμφωνα με το άρθρο 319 παράγραφος 2 της Συνθήκης για τη λειτουργία της Ευρωπαϊκής Ένωσης· υπογραμμίζει ότι η διαβίβαση πληροφοριών στο Κοινοβούλιο για τους σκοπούς της απαλλαγής δεν ισοδυναμεί με δημοσιοποίηση των εν λόγω πληροφοριών· τονίζει περαιτέρω ότι το Κοινοβούλιο έχει θεσπίσει ένα ολοκληρωμένο σύνολο κανόνων ασφαλείας, οι οποίοι συμμορφώνονται με τις ίδιες αρχές και τα ίδια πρότυπα με τα άλλα θεσμικά όργανα της Ένωσης, και αφορούν μεταξύ άλλων τον έλεγχο ασφάλειας, την αρχή της ανάγκης γνώσης, τον ασφαλή χώρο και τις ασφαλείς αίθουσες ανάγνωσης, τις κυρώσεις για παραβιάσεις κ.λπ.· καλεί, υπό το πρίσμα των ανωτέρω, τη διαμεσολαβήτρια να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σε σχέση με τη διαδικασία επιλογής του γενικού γραμματέα του Διαμεσολαβητή (OMB/2/2025)·</w:t>
            </w:r>
          </w:p>
        </w:tc>
        <w:tc>
          <w:tcPr>
            <w:tcW w:w="4876" w:type="dxa"/>
            <w:tcBorders>
              <w:top w:val="nil"/>
              <w:left w:val="nil"/>
              <w:bottom w:val="nil"/>
              <w:right w:val="nil"/>
            </w:tcBorders>
          </w:tcPr>
          <w:p>
            <w:pPr>
              <w:pStyle w:val="Normal6a"/>
            </w:pPr>
            <w:r>
              <w:t>23.</w:t>
            </w:r>
            <w:r>
              <w:tab/>
            </w:r>
            <w:r>
              <w:t xml:space="preserve">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 διαφωνεί, στο πλαίσιο αυτό, με την άποψη της διαμεσολαβήτριας ότι έχει εν προκειμένω εφαρμογή η νομολογία Meroni (C-9/56 και C-10/56), διότι η συγκεκριμένη νομολογία δεν αφορά τη μεταβίβαση εξουσιών σε θέματα προσωπικού (όπως η επιλογή μέλους του προσωπικού), αλλά αφορά τη μεταβίβαση διακριτικών εξουσιών σε εξωτερικές/ιδιωτικές αρχές· τονίζει περαιτέρω ότι το Κοινοβούλιο δεν απαιτεί από τη διαμεσολαβήτρια 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 ότι «Την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 σημειώνει, επιπλέον, την άρνηση της διαμεσολαβήτριας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αναφέροντας μεταξύ άλλων ως επιχείρημα «τα όρια του νομικού πλαισίου που διέπει την εμπιστευτικότητα», για να αποφευχθεί «ο κίνδυνος υπονόμευσης της ανεξαρτησίας και της ακεραιότητας της διαδικασίας επιλογής» σε περίπτωση δημοσιοποίησης των εν λόγω εγγράφων· υπενθυμίζει ότι το Κοινοβούλιο έχει το δικαίωμα να ζητεί κάθε αναγκαία πληροφορία σύμφωνα με το άρθρο 319 παράγραφος 2 της Συνθήκης για τη λειτουργία της Ευρωπαϊκής Ένωσης· υπογραμμίζει ότι η διαβίβαση πληροφοριών στο Κοινοβούλιο για τους σκοπούς της απαλλαγής δεν ισοδυναμεί με δημοσιοποίηση των εν λόγω πληροφοριών· τονίζει περαιτέρω ότι το Κοινοβούλιο έχει θεσπίσει ένα ολοκληρωμένο σύνολο κανόνων ασφαλείας, οι οποίοι συμμορφώνονται με τις ίδιες αρχές και τα ίδια πρότυπα με τα άλλα θεσμικά όργανα της Ένωσης, και αφορούν μεταξύ άλλων τον έλεγχο ασφάλειας, την αρχή της ανάγκης γνώσης, τον ασφαλή χώρο και τις ασφαλείς αίθουσες ανάγνωσης, τις κυρώσεις για παραβιάσεις κ.λπ.· καλεί, υπό το πρίσμα των ανωτέρω, τη διαμεσολαβήτρια να </w:t>
            </w:r>
            <w:r>
              <w:rPr>
                <w:b/>
                <w:i/>
              </w:rPr>
              <w:t>εξετάσει περαιτέρω το αίτημα του Κοινοβουλίου και να</w:t>
            </w:r>
            <w:r>
              <w:t xml:space="preserve">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σε σχέση με τη διαδικασία επιλογής του γενικού γραμματέα του Διαμεσολαβητή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 διαφωνεί, στο πλαίσιο αυτό, με την άποψη της διαμεσολαβήτριας ότι έχει εν προκειμένω εφαρμογή η νομολογία Meroni (C-9/56 και C-10/56), διότι η συγκεκριμένη νομολογία δεν αφορά τη μεταβίβαση εξουσιών σε θέματα προσωπικού (όπως η επιλογή μέλους του προσωπικού), αλλά αφορά τη μεταβίβαση διακριτικών εξουσιών σε εξωτερικές/ιδιωτικές αρχές· τονίζει περαιτέρω ότι το Κοινοβούλιο δεν απαιτεί από τη διαμεσολαβήτρια 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 ότι «Την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 υπογραμμίζει ότι, με τη λήψη τελικής απόφασης, η οποία αποτελεί καθήκον της αρμόδιας για τους διορισμούς αρχής, η εν λόγω αρχή επιβεβαιώνει επίσης ότι ολόκληρη η διαδικασία επιλογής ήταν νόμιμη, συμπεριλαμβανομένης της συμμόρφωσης του υποψηφίου με όλα τα κριτήρια παραδεκτού και επιλεξιμότητας</w:t>
            </w:r>
            <w:r>
              <w:rPr>
                <w:b/>
                <w:i/>
              </w:rPr>
              <w:t>, ενώ το καθήκον αυτό θα καθίστατο απλώς επιφανειακό εάν</w:t>
            </w:r>
            <w:r>
              <w:t xml:space="preserve"> η αρμόδια για τους διορισμούς αρχή </w:t>
            </w:r>
            <w:r>
              <w:rPr>
                <w:b/>
                <w:i/>
              </w:rPr>
              <w:t>ήταν</w:t>
            </w:r>
            <w:r>
              <w:t xml:space="preserve"> επίσης </w:t>
            </w:r>
            <w:r>
              <w:rPr>
                <w:b/>
                <w:i/>
              </w:rPr>
              <w:t>πρόεδρος</w:t>
            </w:r>
            <w:r>
              <w:t xml:space="preserve"> της εξεταστικής επιτροπής </w:t>
            </w:r>
            <w:r>
              <w:rPr>
                <w:b/>
                <w:i/>
              </w:rPr>
              <w:t>στα προηγούμενα</w:t>
            </w:r>
            <w:r>
              <w:t xml:space="preserve"> στάδια της διαδικασίας</w:t>
            </w:r>
            <w:r>
              <w:rPr>
                <w:b/>
                <w:i/>
              </w:rPr>
              <w:t>/του διαγωνισμού</w:t>
            </w:r>
            <w:r>
              <w:t>, όπως συνέβη στην τρέχουσα διαδικασία· σημειώνει, επιπλέον, την άρνηση της διαμεσολαβήτριας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αναφέροντας μεταξύ άλλων ως επιχείρημα «τα όρια του νομικού πλαισίου που διέπει την εμπιστευτικότητα», για να αποφευχθεί «ο κίνδυνος υπονόμευσης της ανεξαρτησίας και της ακεραιότητας της διαδικασίας επιλογής» σε περίπτωση δημοσιοποίησης των εν λόγω εγγράφων· υπενθυμίζει ότι το Κοινοβούλιο έχει το δικαίωμα να ζητεί κάθε αναγκαία πληροφορία σύμφωνα με το άρθρο 319 παράγραφος 2 της Συνθήκης για τη λειτουργία της Ευρωπαϊκής Ένωσης· υπογραμμίζει ότι η διαβίβαση πληροφοριών στο Κοινοβούλιο για τους σκοπούς της απαλλαγής δεν ισοδυναμεί με δημοσιοποίηση των εν λόγω πληροφοριών· τονίζει περαιτέρω ότι το Κοινοβούλιο έχει θεσπίσει ένα ολοκληρωμένο σύνολο κανόνων ασφαλείας, οι οποίοι συμμορφώνονται με τις ίδιες αρχές και τα ίδια πρότυπα με τα άλλα θεσμικά όργανα της Ένωσης, και αφορούν μεταξύ άλλων τον έλεγχο ασφάλειας, την αρχή της ανάγκης γνώσης, τον ασφαλή χώρο και τις ασφαλείς αίθουσες ανάγνωσης, τις κυρώσεις για παραβιάσεις κ.λπ.· καλεί, υπό το πρίσμα των ανωτέρω, τη διαμεσολαβήτρια να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σε σχέση με τη διαδικασία επιλογής του γενικού γραμματέα του Διαμεσολαβητή (OMB/2/2025)·</w:t>
            </w:r>
          </w:p>
        </w:tc>
        <w:tc>
          <w:tcPr>
            <w:tcW w:w="4876" w:type="dxa"/>
            <w:tcBorders>
              <w:top w:val="nil"/>
              <w:left w:val="nil"/>
              <w:bottom w:val="nil"/>
              <w:right w:val="nil"/>
            </w:tcBorders>
          </w:tcPr>
          <w:p>
            <w:pPr>
              <w:pStyle w:val="Normal6a"/>
            </w:pPr>
            <w:r>
              <w:t>23.</w:t>
            </w:r>
            <w:r>
              <w:tab/>
            </w:r>
            <w:r>
              <w:t>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21 Νοεμβρίου 2025· διαφωνεί, στο πλαίσιο αυτό, με την άποψη της διαμεσολαβήτριας ότι έχει εν προκειμένω εφαρμογή η νομολογία Meroni (C-9/56 και C-10/56), διότι η συγκεκριμένη νομολογία δεν αφορά τη μεταβίβαση εξουσιών σε θέματα προσωπικού (όπως η επιλογή μέλους του προσωπικού), αλλά αφορά τη μεταβίβαση διακριτικών εξουσιών σε εξωτερικές/ιδιωτικές αρχές· τονίζει περαιτέρω ότι το Κοινοβούλιο δεν απαιτεί από τη διαμεσολαβήτρια να μεταβιβάσει τα δικαιώματα και τις υποχρεώσεις της ως αρμόδιας για τους διορισμούς αρχής, παρότι αμφισβητεί την παρουσία της στην εξεταστική επιτροπή, δεδομένου ότι το άρθρο 3 του παραρτήματος III του κανονισμού υπηρεσιακής κατάστασης ορίζει ρητά ότι «Την εξεταστική επιτροπή απαρτίζουν ο πρόεδρος, που ορίζεται από την αρμόδια για τους διορισμούς αρχή, και τα μέλη, που ορίζονται, σε ίσο αριθμό, από την αρμόδια για τους διορισμούς αρχή και από την επιτροπή προσωπικού», γεγονός που σημαίνει ότι το δίκαιο της Ένωσης δεν απαιτεί να είναι μέλος της εξεταστικής επιτροπής η αρμόδια για τους διορισμούς αρχή· υπογραμμίζει ότι, με τη λήψη τελικής απόφασης, η οποία αποτελεί καθήκον της αρμόδιας για τους διορισμούς αρχής, η εν λόγω αρχή επιβεβαιώνει επίσης ότι ολόκληρη η διαδικασία επιλογής ήταν νόμιμη, συμπεριλαμβανομένης της συμμόρφωσης του υποψηφίου με όλα τα κριτήρια παραδεκτού και επιλεξιμότητας</w:t>
            </w:r>
            <w:r>
              <w:rPr>
                <w:b/>
                <w:i/>
              </w:rPr>
              <w:t>·</w:t>
            </w:r>
            <w:r>
              <w:t xml:space="preserve"> </w:t>
            </w:r>
            <w:r>
              <w:rPr>
                <w:b/>
                <w:i/>
              </w:rPr>
              <w:t>σημειώνει, ωστόσο, ότι ο ρόλος αυτός μπορεί να φαίνεται λιγότερο διακριτός όταν</w:t>
            </w:r>
            <w:r>
              <w:t xml:space="preserve"> η αρμόδια για τους διορισμούς αρχή </w:t>
            </w:r>
            <w:r>
              <w:rPr>
                <w:b/>
                <w:i/>
              </w:rPr>
              <w:t>προήδρευε</w:t>
            </w:r>
            <w:r>
              <w:t xml:space="preserve"> επίσης της εξεταστικής επιτροπής </w:t>
            </w:r>
            <w:r>
              <w:rPr>
                <w:b/>
                <w:i/>
              </w:rPr>
              <w:t>σε πρώιμα</w:t>
            </w:r>
            <w:r>
              <w:t> στάδια της διαδικασίας, όπως συνέβη στην τρέχουσα διαδικασία· σημειώνει, επιπλέον, την άρνηση της διαμεσολαβήτριας να παράσχει στην αρμόδια για την απαλλαγή αρχή όλα τα έγγραφα που αφορούν τον έλεγχο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αναφέροντας μεταξύ άλλων ως επιχείρημα «τα όρια του νομικού πλαισίου που διέπει την εμπιστευτικότητα», για να αποφευχθεί «ο κίνδυνος υπονόμευσης της ανεξαρτησίας και της ακεραιότητας της διαδικασίας επιλογής» σε περίπτωση δημοσιοποίησης των εν λόγω εγγράφων· υπενθυμίζει ότι το Κοινοβούλιο έχει το δικαίωμα να ζητεί κάθε αναγκαία πληροφορία σύμφωνα με το άρθρο 319 παράγραφος 2 της Συνθήκης για τη λειτουργία της Ευρωπαϊκής Ένωσης· υπογραμμίζει ότι η διαβίβαση πληροφοριών στο Κοινοβούλιο για τους σκοπούς της απαλλαγής δεν ισοδυναμεί με δημοσιοποίηση των εν λόγω πληροφοριών· τονίζει περαιτέρω ότι το Κοινοβούλιο έχει θεσπίσει ένα ολοκληρωμένο σύνολο κανόνων ασφαλείας, οι οποίοι συμμορφώνονται με τις ίδιες αρχές και τα ίδια πρότυπα με τα άλλα θεσμικά όργανα της Ένωσης, και αφορούν μεταξύ άλλων τον έλεγχο ασφάλειας, την αρχή της ανάγκης γνώσης, τον ασφαλή χώρο και τις ασφαλείς αίθουσες ανάγνωσης, τις κυρώσεις για παραβιάσεις κ.λπ.· καλεί, υπό το πρίσμα των ανωτέρω, τη διαμεσολαβήτρια να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σε σχέση με τη διαδικασία επιλογής του γενικού γραμματέα του Διαμεσολαβητή (OMB/2/2025)·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πιστεύει ακράδαντα ότι </w:t>
            </w:r>
            <w:r>
              <w:rPr>
                <w:b/>
                <w:i/>
              </w:rPr>
              <w:t>κάθε αίσθηση ευνοιοκρατίας ή σύγκρουσης συμφερόντων</w:t>
            </w:r>
            <w:r>
              <w:t xml:space="preserve"> πρέπει να </w:t>
            </w:r>
            <w:r>
              <w:rPr>
                <w:b/>
                <w:i/>
              </w:rPr>
              <w:t>αποφεύγεται από όλα τα θεσμικά και λοιπά όργανα και τους οργανισμούς της Ένωσης, ιδίως από τον Διαμεσολαβητή, καθώς ακόμη και η υπόνοια για τέτοια ζητήματα θα υπονόμευε την ακεραιότητα και την αποστολή τους και θα μπορούσε να επηρεάσει αρνητικά</w:t>
            </w:r>
            <w:r>
              <w:t xml:space="preserve"> την εμπιστοσύνη των πολιτών της Ένωσης·</w:t>
            </w:r>
          </w:p>
        </w:tc>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πιστεύει ακράδαντα ότι </w:t>
            </w:r>
            <w:r>
              <w:rPr>
                <w:b/>
                <w:i/>
              </w:rPr>
              <w:t>ο Διαμεσολαβητής</w:t>
            </w:r>
            <w:r>
              <w:t xml:space="preserve"> πρέπει να </w:t>
            </w:r>
            <w:r>
              <w:rPr>
                <w:b/>
                <w:i/>
              </w:rPr>
              <w:t>πληροί τα υψηλότερα πρότυπα ανεξαρτησίας, αμεροληψίας και ακεραιότητας προκειμένου να εκπληρώνει αξιόπιστα την εντολή του και να διασφαλίζει</w:t>
            </w:r>
            <w:r>
              <w:t xml:space="preserve"> την εμπιστοσύνη των πολιτών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πιστεύει ακράδαντα ότι κάθε αίσθηση ευνοιοκρατίας ή σύγκρουσης συμφερόντων πρέπει να αποφεύγεται από όλα τα θεσμικά και λοιπά όργανα και τους οργανισμούς της Ένωσης, ιδίως από τον Διαμεσολαβητή, καθώς ακόμη και η υπόνοια για τέτοια ζητήματα θα υπονόμευε την ακεραιότητα και την αποστολή τους και θα μπορούσε να επηρεάσει αρνητικά την εμπιστοσύνη των πολιτών της Ένωσης·</w:t>
            </w:r>
          </w:p>
        </w:tc>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πιστεύει ακράδαντα ότι κάθε αίσθηση ευνοιοκρατίας ή σύγκρουσης συμφερόντων πρέπει να αποφεύγεται από όλα τα θεσμικά και λοιπά όργανα και τους οργανισμούς της Ένωσης, ιδίως από τον Διαμεσολαβητή, καθώς ακόμη και η υπόνοια για τέτοια ζητήματα θα υπονόμευε την ακεραιότητα και την αποστολή τους και θα μπορούσε να επηρεάσει αρνητικά την εμπιστοσύνη των πολιτών της Ένωσης· </w:t>
            </w:r>
            <w:r>
              <w:rPr>
                <w:b/>
                <w:i/>
              </w:rPr>
              <w:t>υπενθυμίζει ότι, ως το θεσμικό όργανο της Ένωσης που είναι επιφορτισμένο με την προώθηση δεοντολογικών προτύπων και χρηστής διοίκησης σε ολόκληρη τη διοίκηση της ΕΕ, ο Διαμεσολαβητής οφείλει να εφαρμόζει ιδιαίτερα αυστηρά πρότυπα ως προς τη δική του διακυβέρνηση και τους διορισμούς ανώτερων υπαλλήλων, ώστε να αποτελεί σημείο αναφοράς για άλλα θεσμικά όργανα·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πιστεύει ακράδαντα ότι κάθε αίσθηση ευνοιοκρατίας ή σύγκρουσης συμφερόντων πρέπει να αποφεύγεται από όλα τα θεσμικά και λοιπά όργανα και τους οργανισμούς της Ένωσης, ιδίως από τον Διαμεσολαβητή, καθώς ακόμη και η υπόνοια για τέτοια ζητήματα θα υπονόμευε την </w:t>
            </w:r>
            <w:r>
              <w:rPr>
                <w:b/>
                <w:i/>
              </w:rPr>
              <w:t>ακεραιότητα και την αποστολή</w:t>
            </w:r>
            <w:r>
              <w:t xml:space="preserve"> τους και θα μπορούσε να επηρεάσει αρνητικά την εμπιστοσύνη των πολιτών της Ένωσης·</w:t>
            </w:r>
          </w:p>
        </w:tc>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πιστεύει ακράδαντα ότι κάθε αίσθηση ευνοιοκρατίας ή σύγκρουσης συμφερόντων πρέπει να αποφεύγεται από όλα τα θεσμικά και λοιπά όργανα και τους οργανισμούς της Ένωσης, ιδίως από τον Διαμεσολαβητή, καθώς ακόμη και η υπόνοια για τέτοια ζητήματα θα υπονόμευε την </w:t>
            </w:r>
            <w:r>
              <w:rPr>
                <w:b/>
                <w:i/>
              </w:rPr>
              <w:t>αξιοπιστία</w:t>
            </w:r>
            <w:r>
              <w:t xml:space="preserve"> τους και θα μπορούσε να επηρεάσει αρνητικά την εμπιστοσύνη των πολιτών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w:t>
            </w:r>
            <w:r>
              <w:rPr>
                <w:b/>
                <w:i/>
              </w:rPr>
              <w:t>πιστεύει ακράδαντα ότι</w:t>
            </w:r>
            <w:r>
              <w:t xml:space="preserve"> κάθε αίσθηση ευνοιοκρατίας ή σύγκρουσης συμφερόντων </w:t>
            </w:r>
            <w:r>
              <w:rPr>
                <w:b/>
                <w:i/>
              </w:rPr>
              <w:t>πρέπει να αποφεύγεται από όλα τα θεσμικά και λοιπά όργανα και τους οργανισμούς της Ένωσης, ιδίως από τον Διαμεσολαβητή</w:t>
            </w:r>
            <w:r>
              <w:t xml:space="preserve">, καθώς </w:t>
            </w:r>
            <w:r>
              <w:rPr>
                <w:b/>
                <w:i/>
              </w:rPr>
              <w:t>ακόμη και η υπόνοια για</w:t>
            </w:r>
            <w:r>
              <w:t xml:space="preserve"> τέτοια </w:t>
            </w:r>
            <w:r>
              <w:rPr>
                <w:b/>
                <w:i/>
              </w:rPr>
              <w:t>ζητήματα θα υπονόμευε</w:t>
            </w:r>
            <w:r>
              <w:t xml:space="preserve"> την ακεραιότητα και την αποστολή τους και </w:t>
            </w:r>
            <w:r>
              <w:rPr>
                <w:b/>
                <w:i/>
              </w:rPr>
              <w:t>θα μπορούσε</w:t>
            </w:r>
            <w:r>
              <w:t xml:space="preserve"> να επηρεάσει αρνητικά την εμπιστοσύνη των πολιτών της Ένωσης·</w:t>
            </w:r>
          </w:p>
        </w:tc>
        <w:tc>
          <w:tcPr>
            <w:tcW w:w="4876" w:type="dxa"/>
            <w:tcBorders>
              <w:top w:val="nil"/>
              <w:left w:val="nil"/>
              <w:bottom w:val="nil"/>
              <w:right w:val="nil"/>
            </w:tcBorders>
          </w:tcPr>
          <w:p>
            <w:pPr>
              <w:pStyle w:val="Normal6a"/>
            </w:pPr>
            <w:r>
              <w:t>24.</w:t>
            </w:r>
            <w:r>
              <w:tab/>
            </w:r>
            <w:r>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και οργανισμών της Ένωσης είναι ισχυρό και ικανό να διασφαλίζει τη διαφάνεια και τη λογοδοσία· </w:t>
            </w:r>
            <w:r>
              <w:rPr>
                <w:b/>
                <w:i/>
              </w:rPr>
              <w:t>τονίζει ότι είναι σημαντικό τα θεσμικά και λοιπά όργανα και οι οργανισμοί της Ένωσης, και ιδίως ο Διαμεσολαβητής, να λαμβάνουν υπόψη</w:t>
            </w:r>
            <w:r>
              <w:t xml:space="preserve"> κάθε αίσθηση ευνοιοκρατίας ή σύγκρουσης συμφερόντων, καθώς </w:t>
            </w:r>
            <w:r>
              <w:rPr>
                <w:b/>
                <w:i/>
              </w:rPr>
              <w:t>μια</w:t>
            </w:r>
            <w:r>
              <w:t xml:space="preserve"> τέτοια </w:t>
            </w:r>
            <w:r>
              <w:rPr>
                <w:b/>
                <w:i/>
              </w:rPr>
              <w:t>αίσθηση θα μπορούσε να υπονομεύσει</w:t>
            </w:r>
            <w:r>
              <w:t xml:space="preserve"> την ακεραιότητα και την αποστολή τους και να επηρεάσει αρνητικά την εμπιστοσύνη των πολιτών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ενθαρρύνει τον Διαμεσολαβητή να εξετάσει το ενδεχόμενο διεξαγωγής εσωτερικής εκ των υστέρων διαβούλευσης σχετικά με τις εξαιρετικά ενδελεχείς διαδικασίες διορισμού, με σκοπό τον προσδιορισμό των διδαγμάτων που αντλήθηκαν και πιθανών βελτιώσεων για τις μελλοντικές διαδικασίες, και να ενημερώσει την αρμόδια για την απαλλαγή αρχή σχετικά με τα αποτελέσματα·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σημειώνει ότι, παρά το γεγονός ότι είναι μικρό θεσμικό όργανο, 19 εθνικότητες συγκαταλέγονταν στο προσωπικό του Διαμεσολαβητή το 2024, ίδιος αριθμός με το 2023· παρατηρεί, ωστόσο, υπερεκπροσώπηση ορισμένων εθνικοτήτων (μία από τις οποίες αντιπροσωπεύει πάνω από το 30 % του προσωπικού του Διαμεσολαβητή)· καλεί τον Διαμεσολαβητή να </w:t>
            </w:r>
            <w:r>
              <w:rPr>
                <w:b/>
                <w:i/>
              </w:rPr>
              <w:t>εντείνει τις προσπάθειές του για την επίτευξη μιας πιο ισορροπημένης γεωγραφικής κατανομής των μελών του προσωπικού του, συμπεριλαμβάνοντας υπηκόους όσο το δυνατόν περισσότερων κρατών μελών</w:t>
            </w:r>
            <w:r>
              <w:t>·</w:t>
            </w:r>
          </w:p>
        </w:tc>
        <w:tc>
          <w:tcPr>
            <w:tcW w:w="4876" w:type="dxa"/>
            <w:tcBorders>
              <w:top w:val="nil"/>
              <w:left w:val="nil"/>
              <w:bottom w:val="nil"/>
              <w:right w:val="nil"/>
            </w:tcBorders>
          </w:tcPr>
          <w:p>
            <w:pPr>
              <w:pStyle w:val="Normal6a"/>
            </w:pPr>
            <w:r>
              <w:t>25.</w:t>
            </w:r>
            <w:r>
              <w:tab/>
            </w:r>
            <w:r>
              <w:t xml:space="preserve">σημειώνει ότι, παρά το γεγονός ότι είναι μικρό θεσμικό όργανο, 19 εθνικότητες συγκαταλέγονταν στο προσωπικό του Διαμεσολαβητή το 2024, ίδιος αριθμός με το 2023· παρατηρεί, ωστόσο, υπερεκπροσώπηση ορισμένων εθνικοτήτων (μία από τις οποίες αντιπροσωπεύει πάνω από το 30 % του προσωπικού του Διαμεσολαβητή)· </w:t>
            </w:r>
            <w:r>
              <w:rPr>
                <w:b/>
                <w:i/>
              </w:rPr>
              <w:t>τονίζει ότι σε ένα μικρό θεσμικό όργανο, μια τόσο υψηλή συγκέντρωση μίας μόνο ιθαγένειας μπορεί να επηρεάσει τη διοργανική αντίληψη για την πολυμορφία του οργάνου·</w:t>
            </w:r>
            <w:r>
              <w:t xml:space="preserve"> καλεί τον Διαμεσολαβητή να </w:t>
            </w:r>
            <w:r>
              <w:rPr>
                <w:b/>
                <w:i/>
              </w:rPr>
              <w:t>εγκρίνει στοχευμένα μέτρα πρόσληψης και προβολής που απευθύνονται ειδικά σε υποεκπροσωπούμενα κράτη μέλη, ώστε να διασφαλιστεί ότι το αξίωμα εξακολουθεί να αντικατοπτρίζει την πολυμορφία της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σημειώνει ότι, όσον αφορά την ισόρροπη εκπροσώπηση των φύλων, ο Διαμεσολαβητής απασχολεί περισσότερες γυναίκες από ό,τι άνδρες σε όλες τις κατηγορίες προσωπικού, ιδίως σε επίπεδο διοικητικών στελεχών, όπου όλες οι θέσεις καλύπτονται από γυναίκες· σημειώνει ότι η συνολική εκπροσώπηση του προσωπικού ήταν 68 % γυναίκες και 32 % άνδρες, σε σύγκριση με 67 % γυναίκες και 33 % άνδρες το 2023· καλεί τον Διαμεσολαβητή να καταβάλει προσπάθειες για μια περισσότερο ισόρροπη εκπροσώπηση των φύλων στο προσωπικό του·</w:t>
            </w:r>
          </w:p>
        </w:tc>
        <w:tc>
          <w:tcPr>
            <w:tcW w:w="4876" w:type="dxa"/>
            <w:tcBorders>
              <w:top w:val="nil"/>
              <w:left w:val="nil"/>
              <w:bottom w:val="nil"/>
              <w:right w:val="nil"/>
            </w:tcBorders>
          </w:tcPr>
          <w:p>
            <w:pPr>
              <w:pStyle w:val="Normal6a"/>
            </w:pPr>
            <w:r>
              <w:t>26.</w:t>
            </w:r>
            <w:r>
              <w:tab/>
            </w:r>
            <w:r>
              <w:t xml:space="preserve">σημειώνει ότι, όσον αφορά την ισόρροπη εκπροσώπηση των φύλων, ο Διαμεσολαβητής απασχολεί περισσότερες γυναίκες από ό,τι άνδρες σε όλες τις κατηγορίες προσωπικού, ιδίως σε επίπεδο διοικητικών στελεχών, όπου όλες οι θέσεις καλύπτονται από γυναίκες· σημειώνει ότι η συνολική εκπροσώπηση του προσωπικού ήταν 68 % γυναίκες και 32 % άνδρες, σε σύγκριση με 67 % γυναίκες και 33 % άνδρες το 2023· καλεί τον Διαμεσολαβητή να καταβάλει προσπάθειες για μια περισσότερο ισόρροπη εκπροσώπηση των φύλων στο προσωπικό του· </w:t>
            </w:r>
            <w:r>
              <w:rPr>
                <w:b/>
                <w:i/>
              </w:rPr>
              <w:t>παροτρύνει τον Διαμεσολαβητή να αναπτύξει στρατηγική για να αντιμετωπιστεί το γεγονός ότι, επί του παρόντος, οι άνδρες απουσιάζουν πλήρως από διευθυντικές θέσεις·</w:t>
            </w:r>
            <w:r>
              <w:t xml:space="preserve"> </w:t>
            </w:r>
            <w:r>
              <w:rPr>
                <w:b/>
                <w:i/>
              </w:rPr>
              <w:t>πιστεύει ότι, για να διατηρηθεί ένα ισόρροπο συμπεριληπτικό εργασιακό περιβάλλον σε όλα τα επίπεδα της ιεραρχίας, είναι απαραίτητο να διασφαλιστεί ότι το θεσμικό όργανο θα αντικατοπτρίζει καλύτερα την πολυμορφία των πολιτών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σημειώνει ότι ο Διαμεσολαβητής υποδέχθηκε 18 αμειβόμενους ασκούμενους το 2024 (τον ίδιο αριθμό με το 2023), ένας από τους οποίους επιλέχθηκε στο πλαίσιο του αξιέπαινου προγράμματος πρακτικής άσκησης του Διαμεσολαβητή για άτομα με αναπηρία· τονίζει εκ νέου ότι η πρακτική άσκηση θα πρέπει να αμείβεται σύμφωνα με το ψήφισμα του Κοινοβουλίου της 14ης Ιουνίου 2023 για ποιοτικές θέσεις πρακτικής άσκησης στην Ένωση (2020/2005(INL)), στο οποίο διατυπώνεται το αίτημα να αμείβονται όλοι οι ασκούμενοι στην Ευρώπη·</w:t>
            </w:r>
          </w:p>
        </w:tc>
        <w:tc>
          <w:tcPr>
            <w:tcW w:w="4876" w:type="dxa"/>
            <w:tcBorders>
              <w:top w:val="nil"/>
              <w:left w:val="nil"/>
              <w:bottom w:val="nil"/>
              <w:right w:val="nil"/>
            </w:tcBorders>
          </w:tcPr>
          <w:p>
            <w:pPr>
              <w:pStyle w:val="Normal6a"/>
            </w:pPr>
            <w:r>
              <w:t>29.</w:t>
            </w:r>
            <w:r>
              <w:tab/>
            </w:r>
            <w:r>
              <w:t xml:space="preserve">σημειώνει ότι ο Διαμεσολαβητής υποδέχθηκε 18 αμειβόμενους ασκούμενους το 2024 (τον ίδιο αριθμό με το 2023), ένας από τους οποίους επιλέχθηκε στο πλαίσιο του αξιέπαινου προγράμματος πρακτικής άσκησης του Διαμεσολαβητή για άτομα με αναπηρία· τονίζει εκ νέου ότι η πρακτική άσκηση θα πρέπει να αμείβεται σύμφωνα με το ψήφισμα του Κοινοβουλίου της 14ης Ιουνίου 2023 για ποιοτικές θέσεις πρακτικής άσκησης στην Ένωση (2020/2005(INL)), στο οποίο διατυπώνεται το αίτημα να αμείβονται όλοι οι ασκούμενοι στην Ευρώπη· </w:t>
            </w:r>
            <w:r>
              <w:rPr>
                <w:b/>
                <w:i/>
              </w:rPr>
              <w:t>τονίζει ότι οι αμειβόμενες θέσεις πρακτικής άσκησης είναι ουσιαστικής σημασίας για τη διασφάλιση ίσων ευκαιριών·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εκφράζει την ικανοποίησή του για τον θετικό αντίκτυπο της χρήσης αυτόματων μεταφράσεων από τον Διαμεσολαβητή, η οποία ενίσχυσε την προσβασιμότητα του ιστοτόπου του Διαμεσολαβητή, εξορθολόγισε την κατανομή των υποθέσεων και επιτάχυνε την επεξεργασία των καταγγελιών, οδηγώντας σε μείωση του κόστους μετάφρασης κατά περισσότερο από 65 % (από 2022 σε 2024) και του διοικητικού φόρτου· ενθαρρύνει τον Διαμεσολαβητή να συνεχίσει να δοκιμάζει και να αξιολογεί τα εργαλεία ΤΝ και τις περιπτώσεις χρήσης τους, υιοθετώντας παράλληλα μια συνετή προσέγγιση όσον αφορά την ανάπτυξη και την εφαρμογή τους·</w:t>
            </w:r>
          </w:p>
        </w:tc>
        <w:tc>
          <w:tcPr>
            <w:tcW w:w="4876" w:type="dxa"/>
            <w:tcBorders>
              <w:top w:val="nil"/>
              <w:left w:val="nil"/>
              <w:bottom w:val="nil"/>
              <w:right w:val="nil"/>
            </w:tcBorders>
          </w:tcPr>
          <w:p>
            <w:pPr>
              <w:pStyle w:val="Normal6a"/>
            </w:pPr>
            <w:r>
              <w:t>37.</w:t>
            </w:r>
            <w:r>
              <w:tab/>
            </w:r>
            <w:r>
              <w:t>εκφράζει την ικανοποίησή του για τον θετικό αντίκτυπο της χρήσης αυτόματων μεταφράσεων από τον Διαμεσολαβητή, η οποία ενίσχυσε την προσβασιμότητα του ιστοτόπου του Διαμεσολαβητή, εξορθολόγισε την κατανομή των υποθέσεων και επιτάχυνε την επεξεργασία των καταγγελιών, οδηγώντας σε μείωση του κόστους μετάφρασης κατά περισσότερο από 65 % (από 2022 σε 2024) και του διοικητικού φόρτου· ενθαρρύνει τον Διαμεσολαβητή να συνεχίσει να δοκιμάζει και να αξιολογεί τα εργαλεία ΤΝ και τις περιπτώσεις χρήσης τους, υιοθετώντας παράλληλα μια συνετή προσέγγιση όσον αφορά την ανάπτυξη και την εφαρμογή τους</w:t>
            </w:r>
            <w:r>
              <w:rPr>
                <w:b/>
                <w:i/>
              </w:rPr>
              <w:t>, ιδίως τις μεσοπρόθεσμες δημοσιονομικές επιπτώσεις που σχετίζονται με τη συντήρηση, τη δυνατότητα κλιμάκωσης, τις δεξιότητες του προσωπικού και τις πιθανές εξαρτήσεις από ψηφιακά εργαλεία και παρόχους ψηφιακών υπηρεσιών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εκφράζει την ικανοποίησή του για τον θετικό αντίκτυπο της χρήσης αυτόματων μεταφράσεων από τον Διαμεσολαβητή, η οποία ενίσχυσε την προσβασιμότητα του ιστοτόπου του Διαμεσολαβητή, εξορθολόγισε την κατανομή των υποθέσεων και επιτάχυνε την επεξεργασία των καταγγελιών, οδηγώντας σε μείωση του κόστους μετάφρασης κατά περισσότερο από 65 % (από 2022 σε 2024) και του διοικητικού φόρτου· ενθαρρύνει τον Διαμεσολαβητή να συνεχίσει να δοκιμάζει και να αξιολογεί τα εργαλεία ΤΝ και τις περιπτώσεις χρήσης τους, υιοθετώντας παράλληλα μια συνετή προσέγγιση όσον αφορά την ανάπτυξη και την εφαρμογή τους·</w:t>
            </w:r>
          </w:p>
        </w:tc>
        <w:tc>
          <w:tcPr>
            <w:tcW w:w="4876" w:type="dxa"/>
            <w:tcBorders>
              <w:top w:val="nil"/>
              <w:left w:val="nil"/>
              <w:bottom w:val="nil"/>
              <w:right w:val="nil"/>
            </w:tcBorders>
          </w:tcPr>
          <w:p>
            <w:pPr>
              <w:pStyle w:val="Normal6a"/>
            </w:pPr>
            <w:r>
              <w:t>37.</w:t>
            </w:r>
            <w:r>
              <w:tab/>
            </w:r>
            <w:r>
              <w:t>εκφράζει την ικανοποίησή του για τον θετικό αντίκτυπο της χρήσης αυτόματων μεταφράσεων από τον Διαμεσολαβητή, η οποία ενίσχυσε την προσβασιμότητα του ιστοτόπου του Διαμεσολαβητή, εξορθολόγισε την κατανομή των υποθέσεων και επιτάχυνε την επεξεργασία των καταγγελιών, οδηγώντας σε μείωση του κόστους μετάφρασης κατά περισσότερο από 65 % (από 2022 σε 2024) και του διοικητικού φόρτου· ενθαρρύνει τον Διαμεσολαβητή να συνεχίσει να δοκιμάζει και να αξιολογεί τα εργαλεία ΤΝ και τις περιπτώσεις χρήσης τους, υιοθετώντας παράλληλα μια συνετή προσέγγιση όσον αφορά την ανάπτυξη και την εφαρμογή τους</w:t>
            </w:r>
            <w:r>
              <w:rPr>
                <w:b/>
                <w:i/>
              </w:rPr>
              <w:t>, υπό την προϋπόθεση ότι η εφαρμογή τους παραμένει ασφαλής, οικονομικά αποδοτική και υπόκειται σε κατάλληλη ανθρώπινη εποπτεία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σημειώνει με ικανοποίηση, με βάση το ερωτηματολόγιο, ότι ο Διαμεσολαβητής έχει θεσπίσει εσωτερικές κατευθυντήριες γραμμές σχετικά με τη χρήση εργαλείων παραγωγικής ΤΝ τρίτων, οι οποίες αναμένεται να παρέχουν σαφήνεια και καθοδήγηση σχετικά με την ασφαλή και αποτελεσματική ενσωμάτωση των εργαλείων ΤΝ στις ροές εργασίας του Διαμεσολαβητή· προσβλέπει στη σχεδιαζόμενη επέκταση της χρήσης της ΤΝ πέραν της μετάφρασης, για παράδειγμα για την ενσωμάτωση της «νομολογίας του διαμεσολαβητή» σε ένα μεγάλο γλωσσικό μοντέλο της Επιτροπής και για την αξιοποίηση της ιστορικής νομολογίας που θα τροφοδοτήσει μελλοντικές έρευνες· </w:t>
            </w:r>
            <w:r>
              <w:rPr>
                <w:b/>
                <w:i/>
              </w:rPr>
              <w:t>συνιστά, ωστόσο, στον</w:t>
            </w:r>
            <w:r>
              <w:t xml:space="preserve"> Διαμεσολαβητή</w:t>
            </w:r>
            <w:r>
              <w:rPr>
                <w:b/>
                <w:i/>
              </w:rPr>
              <w:t>, όσον αφορά τις υπηρεσίες διερμηνείας, να δώσει προτεραιότητα στην ανθρώπινη διερμηνεία έναντι των λύσεων που βασίζονται στην ΤΝ·</w:t>
            </w:r>
            <w:r>
              <w:t xml:space="preserve"> </w:t>
            </w:r>
            <w:r>
              <w:rPr>
                <w:b/>
                <w:i/>
              </w:rPr>
              <w:t>σημειώνει ότι ο Διαμεσολαβητής απέκτησε διάφορα</w:t>
            </w:r>
            <w:r>
              <w:t xml:space="preserve"> εργαλεία ΤΝ </w:t>
            </w:r>
            <w:r>
              <w:rPr>
                <w:b/>
                <w:i/>
              </w:rPr>
              <w:t>για την υποστήριξη δραστηριοτήτων εσωτερικής και εξωτερικής επικοινωνίας, ιδίως της παραγωγής βίντεο, ενισχύοντας έτσι την αποτελεσματικότητα</w:t>
            </w:r>
            <w:r>
              <w:t xml:space="preserve"> και την </w:t>
            </w:r>
            <w:r>
              <w:rPr>
                <w:b/>
                <w:i/>
              </w:rPr>
              <w:t>ποιότητα της δημιουργίας περιεχομένου το 2024</w:t>
            </w:r>
            <w:r>
              <w:t>·</w:t>
            </w:r>
          </w:p>
        </w:tc>
        <w:tc>
          <w:tcPr>
            <w:tcW w:w="4876" w:type="dxa"/>
            <w:tcBorders>
              <w:top w:val="nil"/>
              <w:left w:val="nil"/>
              <w:bottom w:val="nil"/>
              <w:right w:val="nil"/>
            </w:tcBorders>
          </w:tcPr>
          <w:p>
            <w:pPr>
              <w:pStyle w:val="Normal6a"/>
            </w:pPr>
            <w:r>
              <w:t>38.</w:t>
            </w:r>
            <w:r>
              <w:tab/>
            </w:r>
            <w:r>
              <w:t xml:space="preserve">σημειώνει με ικανοποίηση, με βάση το ερωτηματολόγιο, ότι ο Διαμεσολαβητής έχει θεσπίσει εσωτερικές κατευθυντήριες γραμμές σχετικά με τη χρήση εργαλείων παραγωγικής ΤΝ τρίτων, οι οποίες αναμένεται να παρέχουν σαφήνεια και καθοδήγηση σχετικά με την ασφαλή και αποτελεσματική ενσωμάτωση των εργαλείων ΤΝ στις ροές εργασίας του Διαμεσολαβητή· προσβλέπει στη σχεδιαζόμενη επέκταση της χρήσης της ΤΝ πέραν της μετάφρασης, για παράδειγμα για την ενσωμάτωση της «νομολογίας του διαμεσολαβητή» σε ένα μεγάλο γλωσσικό μοντέλο της Επιτροπής και για την αξιοποίηση της ιστορικής νομολογίας που θα τροφοδοτήσει μελλοντικές έρευνες· </w:t>
            </w:r>
            <w:r>
              <w:rPr>
                <w:b/>
                <w:i/>
              </w:rPr>
              <w:t>ενθαρρύνει τον</w:t>
            </w:r>
            <w:r>
              <w:t xml:space="preserve"> Διαμεσολαβητή </w:t>
            </w:r>
            <w:r>
              <w:rPr>
                <w:b/>
                <w:i/>
              </w:rPr>
              <w:t>να συνεχίσει να δοκιμάζει και να αναπτύσσει</w:t>
            </w:r>
            <w:r>
              <w:t xml:space="preserve"> εργαλεία ΤΝ </w:t>
            </w:r>
            <w:r>
              <w:rPr>
                <w:b/>
                <w:i/>
              </w:rPr>
              <w:t>όπου αποδεδειγμένα βελτιώνουν την προσβασιμότητα</w:t>
            </w:r>
            <w:r>
              <w:t xml:space="preserve"> και την </w:t>
            </w:r>
            <w:r>
              <w:rPr>
                <w:b/>
                <w:i/>
              </w:rPr>
              <w:t>αποδοτικότητα·</w:t>
            </w:r>
            <w:r>
              <w:t xml:space="preserve"> </w:t>
            </w:r>
            <w:r>
              <w:rPr>
                <w:b/>
                <w:i/>
              </w:rPr>
              <w:t>τονίζει, ωστόσο, την ανάγκη για σαφή διακυβέρνηση, ανθρώπινη εποπτεία, διαφάνεια έναντι των χρηστών και ισχυρές διασφαλίσεις για την προστασία των δεδομένων, συμπεριλαμβανομένων τεκμηριωμένων εκτιμήσεων κινδύνου και ελέγχων ποιότητας για αυτοματοποιημένα αποτελέσματα, ιδίως όταν η ΤΝ μπορεί να επηρεάσει τη διεκπεραίωση και την κατανομή υποθέσεων ή τις εξωτερικές επικοινωνίες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σημειώνει με ικανοποίηση, με βάση το ερωτηματολόγιο, ότι ο Διαμεσολαβητής έχει θεσπίσει εσωτερικές κατευθυντήριες γραμμές σχετικά με τη χρήση εργαλείων παραγωγικής ΤΝ τρίτων, οι οποίες αναμένεται να παρέχουν σαφήνεια και καθοδήγηση σχετικά με την ασφαλή και αποτελεσματική ενσωμάτωση των εργαλείων ΤΝ στις ροές εργασίας του Διαμεσολαβητή· προσβλέπει στη σχεδιαζόμενη επέκταση της χρήσης της ΤΝ πέραν της μετάφρασης, για παράδειγμα για την ενσωμάτωση της «νομολογίας του διαμεσολαβητή» σε ένα μεγάλο γλωσσικό μοντέλο της Επιτροπής και για την αξιοποίηση της ιστορικής νομολογίας που θα τροφοδοτήσει μελλοντικές έρευνες· συνιστά, ωστόσο, στον Διαμεσολαβητή, όσον αφορά τις υπηρεσίες διερμηνείας, να δώσει προτεραιότητα στην ανθρώπινη διερμηνεία έναντι των λύσεων που βασίζονται στην ΤΝ· σημειώνει ότι ο Διαμεσολαβητής απέκτησε διάφορα εργαλεία ΤΝ για την υποστήριξη δραστηριοτήτων εσωτερικής και εξωτερικής επικοινωνίας, ιδίως της παραγωγής βίντεο, ενισχύοντας έτσι την αποτελεσματικότητα και την ποιότητα της δημιουργίας περιεχομένου το 2024·</w:t>
            </w:r>
          </w:p>
        </w:tc>
        <w:tc>
          <w:tcPr>
            <w:tcW w:w="4876" w:type="dxa"/>
            <w:tcBorders>
              <w:top w:val="nil"/>
              <w:left w:val="nil"/>
              <w:bottom w:val="nil"/>
              <w:right w:val="nil"/>
            </w:tcBorders>
          </w:tcPr>
          <w:p>
            <w:pPr>
              <w:pStyle w:val="Normal6a"/>
            </w:pPr>
            <w:r>
              <w:t>38.</w:t>
            </w:r>
            <w:r>
              <w:tab/>
            </w:r>
            <w:r>
              <w:t xml:space="preserve">σημειώνει με ικανοποίηση, με βάση το ερωτηματολόγιο, ότι ο Διαμεσολαβητής έχει θεσπίσει εσωτερικές κατευθυντήριες γραμμές σχετικά με τη χρήση εργαλείων παραγωγικής ΤΝ τρίτων, οι οποίες αναμένεται να παρέχουν σαφήνεια και καθοδήγηση σχετικά με την ασφαλή και αποτελεσματική ενσωμάτωση των εργαλείων ΤΝ στις ροές εργασίας του Διαμεσολαβητή· προσβλέπει στη σχεδιαζόμενη επέκταση της χρήσης της ΤΝ πέραν της μετάφρασης, για παράδειγμα για την ενσωμάτωση της «νομολογίας του διαμεσολαβητή» σε ένα μεγάλο γλωσσικό μοντέλο της Επιτροπής και για την αξιοποίηση της ιστορικής νομολογίας που θα τροφοδοτήσει μελλοντικές έρευνες· </w:t>
            </w:r>
            <w:r>
              <w:rPr>
                <w:b/>
                <w:i/>
              </w:rPr>
              <w:t>ζητεί ένα πρωτόκολλο το οποίο θα διασφαλίζει ότι όλες οι νομικές πληροφορίες που παράγονται από τεχνητή νοημοσύνη επαληθεύονται από υπαλλήλους ερευνών·</w:t>
            </w:r>
            <w:r>
              <w:t xml:space="preserve"> </w:t>
            </w:r>
            <w:r>
              <w:rPr>
                <w:b/>
                <w:i/>
              </w:rPr>
              <w:t>ζητεί επίσης την υποβολή εκθέσεων σχετικά με τα τεχνικά μέτρα που έχουν εγκριθεί για την εξάλειψη της αλγοριθμικής μεροληψίας και για τη διασφάλιση της αντικειμενικότητας των πορισμάτων του θεσμικού οργάνου·</w:t>
            </w:r>
            <w:r>
              <w:t xml:space="preserve"> συνιστά, ωστόσο, στον Διαμεσολαβητή, όσον αφορά τις υπηρεσίες διερμηνείας, να δώσει προτεραιότητα στην ανθρώπινη διερμηνεία έναντι των λύσεων που βασίζονται στην ΤΝ· σημειώνει ότι ο Διαμεσολαβητής απέκτησε διάφορα εργαλεία ΤΝ για την υποστήριξη δραστηριοτήτων εσωτερικής και εξωτερικής επικοινωνίας, ιδίως της παραγωγής βίντεο, ενισχύοντας έτσι την αποτελεσματικότητα και την ποιότητα της δημιουργίας περιεχομένου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σημειώνει με ικανοποίηση, με βάση το ερωτηματολόγιο, ότι το 2024 ένα μέλος του προσωπικού ολοκλήρωσε εντατική κατάρτιση δύο μηνών στην επιστήμη των δεδομένων και την τεχνητή νοημοσύνη, με σκοπό την ενίσχυση της εμπειρογνωμοσύνης του Διαμεσολαβητή στον τομέα αυτό, και εκπροσωπεί πλέον τον Διαμεσολαβητή στο δίκτυο ανταποκριτών ΤΝ που συστάθηκε από τον Ευρωπαίο Επόπτη Προστασίας Δεδομένων (ΕΕΠΔ) μετά την έναρξη ισχύος του κανονισμού (ΕΕ) 2024/1689 («πράξη για την τεχνητή νοημοσύνη»)</w:t>
            </w:r>
            <w:r>
              <w:rPr>
                <w:vertAlign w:val="superscript"/>
              </w:rPr>
              <w:t>6</w:t>
            </w:r>
            <w:r>
              <w:t>· σημειώνει επίσης τη δέσμευση του Διαμεσολαβητή να αναπτύξει κατάρτιση σχετικά με την ασφαλή και δεοντολογική χρήση των εργαλείων ΤΝ για όλο το προσωπικό του· σημειώνει περαιτέρω ότι ο Διαμεσολαβητής πραγματοποίησε σε μηνιαία βάση στοχευμένη υποχρεωτική κατάρτιση για την ενίσχυση της ενημέρωσης του προσωπικού και των δεξιοτήτων του όσον αφορά τις βέλτιστες πρακτικές κυβερνοασφάλειας καθ’ όλη τη διάρκεια του 2024· σημειώνει με ικανοποίηση ότι ο Διαμεσολαβητής απαιτεί από όλο το προσωπικό του να ολοκληρώνει τακτικά προγράμματα κατάρτισης στον τομέα της κυβερνοασφάλειας·</w:t>
            </w:r>
          </w:p>
        </w:tc>
        <w:tc>
          <w:tcPr>
            <w:tcW w:w="4876" w:type="dxa"/>
            <w:tcBorders>
              <w:top w:val="nil"/>
              <w:left w:val="nil"/>
              <w:bottom w:val="nil"/>
              <w:right w:val="nil"/>
            </w:tcBorders>
          </w:tcPr>
          <w:p>
            <w:pPr>
              <w:pStyle w:val="Normal6a"/>
            </w:pPr>
            <w:r>
              <w:t>39.</w:t>
            </w:r>
            <w:r>
              <w:tab/>
            </w:r>
            <w:r>
              <w:t>σημειώνει με ικανοποίηση, με βάση το ερωτηματολόγιο, ότι το 2024 ένα μέλος του προσωπικού ολοκλήρωσε εντατική κατάρτιση δύο μηνών στην επιστήμη των δεδομένων και την τεχνητή νοημοσύνη, με σκοπό την ενίσχυση της εμπειρογνωμοσύνης του Διαμεσολαβητή στον τομέα αυτό, και εκπροσωπεί πλέον τον Διαμεσολαβητή στο δίκτυο ανταποκριτών ΤΝ που συστάθηκε από τον Ευρωπαίο Επόπτη Προστασίας Δεδομένων (ΕΕΠΔ) μετά την έναρξη ισχύος του κανονισμού (ΕΕ) 2024/1689 («πράξη για την τεχνητή νοημοσύνη»)</w:t>
            </w:r>
            <w:r>
              <w:rPr>
                <w:vertAlign w:val="superscript"/>
              </w:rPr>
              <w:t>6</w:t>
            </w:r>
            <w:r>
              <w:t xml:space="preserve">· σημειώνει επίσης τη δέσμευση του Διαμεσολαβητή να αναπτύξει κατάρτιση σχετικά με την ασφαλή και δεοντολογική χρήση των εργαλείων ΤΝ για όλο το προσωπικό του· σημειώνει περαιτέρω ότι ο Διαμεσολαβητής πραγματοποίησε σε μηνιαία βάση στοχευμένη υποχρεωτική κατάρτιση για την ενίσχυση της ενημέρωσης του προσωπικού και των δεξιοτήτων του όσον αφορά τις βέλτιστες πρακτικές κυβερνοασφάλειας καθ’ όλη τη διάρκεια του 2024· σημειώνει με ικανοποίηση ότι ο Διαμεσολαβητής απαιτεί από όλο το προσωπικό του να ολοκληρώνει τακτικά προγράμματα κατάρτισης στον τομέα της κυβερνοασφάλειας· </w:t>
            </w:r>
            <w:r>
              <w:rPr>
                <w:b/>
                <w:i/>
              </w:rPr>
              <w:t>ενθαρρύνει τον Διαμεσολαβητή να συνεχίσει να αναπτύσσει την οικεία στρατηγική ψηφιοποίησης, διασφαλίζοντας ότι η ανάπτυξη εργαλείων τεχνητής νοημοσύνης εξακολουθεί να συνάδει πλήρως με τις αρχές της δεοντολογικής χρήσης, της διαφάνειας, της προστασίας των δεδομένων, της ανθρώπινης εποπτείας και της προστασίας από αλγοριθμική μεροληψία ή κατάχρηση·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http://data.europa.eu/eli/reg/2024/1689/oj).</w:t>
            </w:r>
          </w:p>
        </w:tc>
        <w:tc>
          <w:tcPr>
            <w:tcW w:w="4876" w:type="dxa"/>
            <w:tcBorders>
              <w:top w:val="nil"/>
              <w:left w:val="nil"/>
              <w:bottom w:val="nil"/>
              <w:right w:val="nil"/>
            </w:tcBorders>
          </w:tcPr>
          <w:p>
            <w:pPr>
              <w:pStyle w:val="Normal6a"/>
            </w:pPr>
            <w:r>
              <w:rPr>
                <w:vertAlign w:val="superscript"/>
              </w:rPr>
              <w:t>6</w:t>
            </w:r>
            <w:r>
              <w:t xml:space="preserve"> </w:t>
            </w:r>
            <w: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http://data.europa.eu/eli/reg/2024/1689/oj).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39α.</w:t>
            </w:r>
            <w:r>
              <w:tab/>
            </w:r>
            <w:r>
              <w:rPr>
                <w:b/>
                <w:i/>
              </w:rPr>
              <w:t>τονίζει τη σημασία των δημόσιων συμβάσεων ως εργαλείου για την προαγωγή των στόχων πολιτικής, όπως το περιβαλλοντικό και κοινωνικό θεματολόγιο·</w:t>
            </w:r>
            <w:r>
              <w:t xml:space="preserve"> </w:t>
            </w:r>
            <w:r>
              <w:rPr>
                <w:b/>
                <w:i/>
              </w:rPr>
              <w:t>καλεί τον Διαμεσολαβητή να ενισχύσει, στο πλαίσιο των οικείων διαδικασιών σύναψης συμβάσεων, τη συμπερίληψη στρατηγικών κριτηρίων για την κοινωνική ευθύνη και την περιβαλλοντική βιωσιμότητα·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από τον Διαμεσολαβητή με το Κοινοβούλιο και την Επιτροπή σε ποικίλους τομείς, και τη συμμετοχή σε διοργανικές διαδικασίες σύναψης συμβάσεων· εκφράζει την ικανοποίησή του για την επισημοποίηση της συνεργασίας μεταξύ του Κοινοβουλίου και του Διαμεσολαβητή, τον Οκτώβριο του 2024, στον τομέα της κυβερνοασφάλειας μέσω μιας αναθεωρημένης διοργανικής συμφωνίας, η οποία παρέχει ένα πλαίσιο ώστε το Κοινοβούλιο να συνεχίσει να παρέχει σταθερή στήριξη στον Διαμεσολαβητή στον τομέα της κυβερνοασφάλειας·</w:t>
            </w:r>
          </w:p>
        </w:tc>
        <w:tc>
          <w:tcPr>
            <w:tcW w:w="4876" w:type="dxa"/>
            <w:tcBorders>
              <w:top w:val="nil"/>
              <w:left w:val="nil"/>
              <w:bottom w:val="nil"/>
              <w:right w:val="nil"/>
            </w:tcBorders>
          </w:tcPr>
          <w:p>
            <w:pPr>
              <w:pStyle w:val="Normal6a"/>
            </w:pPr>
            <w:r>
              <w:t>46.</w:t>
            </w:r>
            <w:r>
              <w:tab/>
            </w:r>
            <w:r>
              <w:t xml:space="preserve">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από τον Διαμεσολαβητή με το Κοινοβούλιο και την Επιτροπή σε ποικίλους τομείς, και τη συμμετοχή σε διοργανικές διαδικασίες σύναψης συμβάσεων· εκφράζει την ικανοποίησή του για την επισημοποίηση της συνεργασίας μεταξύ του Κοινοβουλίου και του Διαμεσολαβητή, τον Οκτώβριο του 2024, στον τομέα της κυβερνοασφάλειας μέσω μιας αναθεωρημένης διοργανικής συμφωνίας, η οποία παρέχει ένα πλαίσιο ώστε το Κοινοβούλιο να συνεχίσει να παρέχει σταθερή στήριξη στον Διαμεσολαβητή στον τομέα της κυβερνοασφάλειας· </w:t>
            </w:r>
            <w:r>
              <w:rPr>
                <w:b/>
                <w:i/>
              </w:rPr>
              <w:t>ενθαρρύνει τον Διαμεσολαβητή να διασφαλίσει την παροχή τακτικής και επικαιροποιημένης κατάρτισης στον τομέα της κυβερνοασφάλειας σε όλο το προσωπικό, ώστε να διατηρηθεί υψηλό επίπεδο ευαισθητοποίησης και ανθεκτικότητας έναντι των εξελισσόμενων κυβερνοαπειλών·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από τον Διαμεσολαβητή με το Κοινοβούλιο και την Επιτροπή σε ποικίλους τομείς, και τη συμμετοχή σε διοργανικές διαδικασίες σύναψης συμβάσεων· εκφράζει την ικανοποίησή του για την επισημοποίηση της συνεργασίας μεταξύ του Κοινοβουλίου και του Διαμεσολαβητή, τον Οκτώβριο του 2024, στον τομέα της κυβερνοασφάλειας μέσω μιας αναθεωρημένης διοργανικής συμφωνίας, η οποία παρέχει ένα πλαίσιο ώστε το Κοινοβούλιο να συνεχίσει να παρέχει σταθερή στήριξη στον Διαμεσολαβητή στον τομέα της κυβερνοασφάλειας·</w:t>
            </w:r>
          </w:p>
        </w:tc>
        <w:tc>
          <w:tcPr>
            <w:tcW w:w="4876" w:type="dxa"/>
            <w:tcBorders>
              <w:top w:val="nil"/>
              <w:left w:val="nil"/>
              <w:bottom w:val="nil"/>
              <w:right w:val="nil"/>
            </w:tcBorders>
          </w:tcPr>
          <w:p>
            <w:pPr>
              <w:pStyle w:val="Normal6a"/>
            </w:pPr>
            <w:r>
              <w:t>46.</w:t>
            </w:r>
            <w:r>
              <w:tab/>
            </w:r>
            <w:r>
              <w:t xml:space="preserve">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από τον Διαμεσολαβητή με το Κοινοβούλιο και την Επιτροπή σε ποικίλους τομείς, και τη συμμετοχή σε διοργανικές διαδικασίες σύναψης συμβάσεων· εκφράζει την ικανοποίησή του για την επισημοποίηση της συνεργασίας μεταξύ του Κοινοβουλίου και του Διαμεσολαβητή, τον Οκτώβριο του 2024, στον τομέα της κυβερνοασφάλειας μέσω μιας αναθεωρημένης διοργανικής συμφωνίας, η οποία παρέχει ένα πλαίσιο ώστε το Κοινοβούλιο να συνεχίσει να παρέχει σταθερή στήριξη στον Διαμεσολαβητή στον τομέα της κυβερνοασφάλειας· </w:t>
            </w:r>
            <w:r>
              <w:rPr>
                <w:b/>
                <w:i/>
              </w:rPr>
              <w:t>τονίζει ότι η συνεργασία αυτή είναι ουσιαστικής σημασίας για την αποφυγή αλληλεπικαλύψεων των δομών και τη διασφάλιση της αποδοτικής χρήσης των πόρων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w:t>
            </w:r>
            <w:r>
              <w:rPr>
                <w:b/>
                <w:i/>
              </w:rPr>
              <w:t>155 200</w:t>
            </w:r>
            <w:r>
              <w:t xml:space="preserve"> EUR το 2023 σε </w:t>
            </w:r>
            <w:r>
              <w:rPr>
                <w:b/>
                <w:i/>
              </w:rPr>
              <w:t>96 515</w:t>
            </w:r>
            <w:r>
              <w:t xml:space="preserve"> EUR το 2024·</w:t>
            </w:r>
          </w:p>
        </w:tc>
        <w:tc>
          <w:tcPr>
            <w:tcW w:w="4876" w:type="dxa"/>
            <w:tcBorders>
              <w:top w:val="nil"/>
              <w:left w:val="nil"/>
              <w:bottom w:val="nil"/>
              <w:right w:val="nil"/>
            </w:tcBorders>
          </w:tcPr>
          <w:p>
            <w:pPr>
              <w:pStyle w:val="Normal6a"/>
            </w:pPr>
            <w:r>
              <w:t>50.</w:t>
            </w:r>
            <w:r>
              <w:tab/>
            </w:r>
            <w:r>
              <w:t xml:space="preserve">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w:t>
            </w:r>
            <w:r>
              <w:rPr>
                <w:b/>
                <w:i/>
              </w:rPr>
              <w:t>155 200</w:t>
            </w:r>
            <w:r>
              <w:t xml:space="preserve"> EUR το 2023 σε </w:t>
            </w:r>
            <w:r>
              <w:rPr>
                <w:b/>
                <w:i/>
              </w:rPr>
              <w:t>96 515</w:t>
            </w:r>
            <w:r>
              <w:t xml:space="preserve"> EUR το 2024· </w:t>
            </w:r>
            <w:r>
              <w:rPr>
                <w:b/>
                <w:i/>
              </w:rPr>
              <w:t>εκφράζει την ικανοποίησή του για τη μείωση αυτή και υπογραμμίζει ότι οι δραστηριότητες επικοινωνίας θα πρέπει να παραμείνουν επικεντρωμένες στην ενημέρωση των πολιτών σχετικά με την εντολή του Διαμεσολαβητή·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w:t>
            </w:r>
            <w:r>
              <w:rPr>
                <w:b/>
                <w:i/>
              </w:rPr>
              <w:t>155 200</w:t>
            </w:r>
            <w:r>
              <w:t xml:space="preserve"> EUR το 2023 σε </w:t>
            </w:r>
            <w:r>
              <w:rPr>
                <w:b/>
                <w:i/>
              </w:rPr>
              <w:t>96 515</w:t>
            </w:r>
            <w:r>
              <w:t xml:space="preserve"> EUR το 2024·</w:t>
            </w:r>
          </w:p>
        </w:tc>
        <w:tc>
          <w:tcPr>
            <w:tcW w:w="4876" w:type="dxa"/>
            <w:tcBorders>
              <w:top w:val="nil"/>
              <w:left w:val="nil"/>
              <w:bottom w:val="nil"/>
              <w:right w:val="nil"/>
            </w:tcBorders>
          </w:tcPr>
          <w:p>
            <w:pPr>
              <w:pStyle w:val="Normal6a"/>
            </w:pPr>
            <w:r>
              <w:t>50.</w:t>
            </w:r>
            <w:r>
              <w:tab/>
            </w:r>
            <w:r>
              <w:t xml:space="preserve">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w:t>
            </w:r>
            <w:r>
              <w:rPr>
                <w:b/>
                <w:i/>
              </w:rPr>
              <w:t>155 200</w:t>
            </w:r>
            <w:r>
              <w:t xml:space="preserve"> EUR το 2023 σε </w:t>
            </w:r>
            <w:r>
              <w:rPr>
                <w:b/>
                <w:i/>
              </w:rPr>
              <w:t>96 515</w:t>
            </w:r>
            <w:r>
              <w:t xml:space="preserve"> EUR το 2024· </w:t>
            </w:r>
            <w:r>
              <w:rPr>
                <w:b/>
                <w:i/>
              </w:rPr>
              <w:t>τονίζει ότι, μολονότι τα κονδύλια του προϋπολογισμού πρέπει να είναι στρατηγικά και προσανατολισμένα στα αποτελέσματα, ο Διαμεσολαβητής θα πρέπει να διατηρεί επαρκή επικοινωνιακή ικανότητα για να διασφαλίζει την ευαισθητοποίηση του κοινού σχετικά με τον ρόλο του, τις αρμοδιότητές του και τις υπηρεσίες του, ιδίως για τους πολίτες που απευθύνονται στον Διαμεσολαβητή για την αντιμετώπιση ανησυχιών σε ενωσιακό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w:t>
            </w:r>
            <w:r>
              <w:rPr>
                <w:b/>
                <w:i/>
              </w:rPr>
              <w:t>155 200</w:t>
            </w:r>
            <w:r>
              <w:t xml:space="preserve"> EUR το 2023 σε </w:t>
            </w:r>
            <w:r>
              <w:rPr>
                <w:b/>
                <w:i/>
              </w:rPr>
              <w:t>96 515</w:t>
            </w:r>
            <w:r>
              <w:t xml:space="preserve"> EUR το 2024·</w:t>
            </w:r>
          </w:p>
        </w:tc>
        <w:tc>
          <w:tcPr>
            <w:tcW w:w="4876" w:type="dxa"/>
            <w:tcBorders>
              <w:top w:val="nil"/>
              <w:left w:val="nil"/>
              <w:bottom w:val="nil"/>
              <w:right w:val="nil"/>
            </w:tcBorders>
          </w:tcPr>
          <w:p>
            <w:pPr>
              <w:pStyle w:val="Normal6a"/>
            </w:pPr>
            <w:r>
              <w:t>50.</w:t>
            </w:r>
            <w:r>
              <w:tab/>
            </w:r>
            <w:r>
              <w:t xml:space="preserve">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w:t>
            </w:r>
            <w:r>
              <w:rPr>
                <w:b/>
                <w:i/>
              </w:rPr>
              <w:t>155 200</w:t>
            </w:r>
            <w:r>
              <w:t xml:space="preserve"> EUR το 2023 σε </w:t>
            </w:r>
            <w:r>
              <w:rPr>
                <w:b/>
                <w:i/>
              </w:rPr>
              <w:t>96 515</w:t>
            </w:r>
            <w:r>
              <w:t xml:space="preserve"> EUR το 2024· </w:t>
            </w:r>
            <w:r>
              <w:rPr>
                <w:b/>
                <w:i/>
              </w:rPr>
              <w:t>προειδοποιεί ότι η μείωση αυτή μπορεί να υπονομεύσει τον στρατηγικό στόχο της ενδυνάμωσης των πολιτών·</w:t>
            </w:r>
            <w:r>
              <w:t xml:space="preserve"> </w:t>
            </w:r>
            <w:r>
              <w:rPr>
                <w:b/>
                <w:i/>
              </w:rPr>
              <w:t>προτείνει την ανακατανομή των εξοικονομήσεων ώστε να διασφαλιστεί ότι ο Διαμεσολαβητής διατηρεί την αναγκαία προβολή και απήχηση·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εκφράζει την ικανοποίησή του για το σταθερό επίπεδο προσοχής από τα μέσα ενημέρωσης, με περίπου </w:t>
            </w:r>
            <w:r>
              <w:rPr>
                <w:b/>
                <w:i/>
              </w:rPr>
              <w:t>5 000</w:t>
            </w:r>
            <w:r>
              <w:t xml:space="preserve"> άρθρα να αναφέρονται στο έργο του Διαμεσολαβητή το 2024· σημειώνει ότι ο Διαμεσολαβητής υπολογίζει κυρίως τη συμμετοχή του κοινού μέσω της αύξησης της προβολής στα μέσα κοινωνικής δικτύωσης και της επισκεψιμότητας του ιστοτόπου, ενώ ο αριθμός των ακολούθων αυξήθηκε σταθερά κατά τη διάρκεια του έτους· παρατηρεί ότι οι λογαριασμοί Instagram, LinkedIn και X του Διαμεσολαβητή κέρδισαν συνολικά </w:t>
            </w:r>
            <w:r>
              <w:rPr>
                <w:b/>
                <w:i/>
              </w:rPr>
              <w:t>9 186</w:t>
            </w:r>
            <w:r>
              <w:t xml:space="preserve"> επιπλέον ακολούθους, υπερβαίνοντας τους στόχους του για τις δραστηριότητες στα μέσα κοινωνικής δικτύωσης το 2024, καθώς και όσον αφορά τον αριθμό των μοναδικών επισκεπτών στον ιστότοπό του.</w:t>
            </w:r>
          </w:p>
        </w:tc>
        <w:tc>
          <w:tcPr>
            <w:tcW w:w="4876" w:type="dxa"/>
            <w:tcBorders>
              <w:top w:val="nil"/>
              <w:left w:val="nil"/>
              <w:bottom w:val="nil"/>
              <w:right w:val="nil"/>
            </w:tcBorders>
          </w:tcPr>
          <w:p>
            <w:pPr>
              <w:pStyle w:val="Normal6a"/>
            </w:pPr>
            <w:r>
              <w:t>55.</w:t>
            </w:r>
            <w:r>
              <w:tab/>
            </w:r>
            <w:r>
              <w:t xml:space="preserve">εκφράζει την ικανοποίησή του για το σταθερό επίπεδο προσοχής από τα μέσα ενημέρωσης, με περίπου </w:t>
            </w:r>
            <w:r>
              <w:rPr>
                <w:b/>
                <w:i/>
              </w:rPr>
              <w:t>5 000</w:t>
            </w:r>
            <w:r>
              <w:t xml:space="preserve"> άρθρα να αναφέρονται στο έργο του Διαμεσολαβητή το 2024· σημειώνει ότι ο Διαμεσολαβητής υπολογίζει κυρίως τη συμμετοχή του κοινού μέσω της αύξησης της προβολής στα μέσα κοινωνικής δικτύωσης και της επισκεψιμότητας του ιστοτόπου, ενώ ο αριθμός των ακολούθων αυξήθηκε σταθερά κατά τη διάρκεια του έτους· παρατηρεί ότι οι λογαριασμοί Instagram, LinkedIn και X του Διαμεσολαβητή κέρδισαν συνολικά </w:t>
            </w:r>
            <w:r>
              <w:rPr>
                <w:b/>
                <w:i/>
              </w:rPr>
              <w:t>9 186</w:t>
            </w:r>
            <w:r>
              <w:t xml:space="preserve"> επιπλέον ακολούθους, υπερβαίνοντας τους στόχους του για τις δραστηριότητες στα μέσα κοινωνικής δικτύωσης το 2024, καθώς και όσον αφορά τον αριθμό των μοναδικών επισκεπτών στον ιστότοπό του</w:t>
            </w:r>
            <w:r>
              <w:rPr>
                <w:b/>
                <w:i/>
              </w:rPr>
              <w:t>·</w:t>
            </w:r>
            <w:r>
              <w:t xml:space="preserve"> </w:t>
            </w:r>
            <w:r>
              <w:rPr>
                <w:b/>
                <w:i/>
              </w:rPr>
              <w:t>τονίζει ότι είναι σημαντικό να συνεχίσει να δίνεται προτεραιότητα στην εξωτερική επικοινωνία, προκειμένου να ενισχυθεί η ευαισθητοποίηση του κοινού σχετικά με την εντολή του Διαμεσολαβητή και τις υπηρεσίες που παρέχει στους πολίτες της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AM\1336287EL.docx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AM\1336287EL.docx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AM\1336287EL.docx</w:t>
    </w:r>
    <w:r>
      <w:rPr>
        <w:rStyle w:val="HideTWBExt"/>
      </w:rPr>
      <w:t>&lt;/PathFdR&gt;</w:t>
    </w:r>
    <w:r>
      <w:tab/>
    </w:r>
    <w:r>
      <w:tab/>
    </w:r>
    <w:r>
      <w:t>PE</w:t>
    </w:r>
    <w:r>
      <w:rPr>
        <w:rStyle w:val="HideTWBExt"/>
      </w:rPr>
      <w:t>&lt;NoPE&gt;</w:t>
    </w:r>
    <w:r>
      <w:t>784.148</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17684</Words>
  <Characters>105367</Characters>
  <Application>Microsoft Office Word</Application>
  <DocSecurity>0</DocSecurity>
  <Lines>1</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376561</vt:lpwstr>
  </property>
  <property fmtid="{D5CDD505-2E9C-101B-9397-08002B2CF9AE}" pid="7" name="dmxml.render.traceId">
    <vt:lpwstr>698ca478ae9cabdf66ae0fed42424c59</vt:lpwstr>
  </property>
  <property fmtid="{D5CDD505-2E9C-101B-9397-08002B2CF9AE}" pid="8" name="FooterPath">
    <vt:lpwstr>AM\1336287EL.docx</vt:lpwstr>
  </property>
  <property fmtid="{D5CDD505-2E9C-101B-9397-08002B2CF9AE}" pid="9" name="PE Number">
    <vt:lpwstr>784.148</vt:lpwstr>
  </property>
  <property fmtid="{D5CDD505-2E9C-101B-9397-08002B2CF9AE}" pid="10" name="UID">
    <vt:lpwstr>eu.europa.europarl-DIN1-2026-0000017080_01.00-el-01.00_text-xml</vt:lpwstr>
  </property>
</Properties>
</file>