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Commissie begrotingscontrole</w:t>
      </w:r>
      <w:r>
        <w:rPr>
          <w:rStyle w:val="HideTWBExt"/>
        </w:rPr>
        <w:t>&lt;/Commission&gt;</w:t>
      </w:r>
    </w:p>
    <w:p>
      <w:pPr>
        <w:pStyle w:val="LineBottom"/>
      </w:pPr>
      <w:r>
        <w:t xml:space="preserve"> </w:t>
      </w:r>
    </w:p>
    <w:p>
      <w:pPr>
        <w:pStyle w:val="CoverReference"/>
      </w:pPr>
      <w:r>
        <w:rPr>
          <w:rStyle w:val="HideTWBExt"/>
        </w:rPr>
        <w:t>&lt;RefProc&gt;</w:t>
      </w:r>
      <w:r>
        <w:t>2025/2153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(PE778.065v01-00)</w:t>
      </w:r>
      <w:r>
        <w:rPr>
          <w:rStyle w:val="HideTWBExt"/>
        </w:rPr>
        <w:t>&lt;/DocRefPE&gt;</w:t>
      </w:r>
    </w:p>
    <w:p>
      <w:pPr>
        <w:pStyle w:val="CoverNormal"/>
      </w:pPr>
      <w:r>
        <w:rPr>
          <w:rStyle w:val="HideTWBExt"/>
        </w:rPr>
        <w:t>&lt;Titre&gt;</w:t>
      </w:r>
      <w:r>
        <w:t>Kwijting 2024: algemene begroting van de EU – Europese Ombudsman</w:t>
      </w:r>
      <w:r>
        <w:rPr>
          <w:rStyle w:val="HideTWBExt"/>
        </w:rPr>
        <w:t>&lt;/Titre&gt;</w:t>
      </w:r>
    </w:p>
    <w:p>
      <w:pPr>
        <w:pStyle w:val="CoverNormal24a"/>
      </w:pPr>
      <w:r>
        <w:rPr>
          <w:rStyle w:val="HideTWBExt"/>
        </w:rPr>
        <w:t>&lt;DocRef&gt;</w:t>
      </w:r>
      <w:r>
        <w:t>(2025/2153(DEC))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de kwijtingsautoriteit in het kader van de kwijtingsprocedure wenst te benadrukken dat het bijzonder belangrijk is de democratische legitimiteit van de instellingen van de Unie verder te versterken door de transparantie en de verantwoordingsplicht te verbeteren </w:t>
            </w:r>
            <w:r>
              <w:rPr>
                <w:b/>
                <w:i/>
              </w:rPr>
              <w:t>en</w:t>
            </w:r>
            <w:r>
              <w:t xml:space="preserve"> door het concept van resultaatgericht begroten en een goed personeelsbeheer toe te passen;</w:t>
            </w:r>
          </w:p>
        </w:tc>
        <w:tc>
          <w:tcPr>
            <w:tcW w:w="4876" w:type="dxa"/>
            <w:tcBorders>
              <w:top w:val="nil"/>
              <w:left w:val="nil"/>
              <w:bottom w:val="nil"/>
              <w:right w:val="nil"/>
            </w:tcBorders>
          </w:tcPr>
          <w:p>
            <w:pPr>
              <w:pStyle w:val="Normal6a"/>
            </w:pPr>
            <w:r>
              <w:t>A.</w:t>
            </w:r>
            <w:r>
              <w:tab/>
            </w:r>
            <w:r>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w:t>
            </w:r>
            <w:r>
              <w:rPr>
                <w:b/>
                <w:i/>
              </w:rPr>
              <w:t>,</w:t>
            </w:r>
            <w:r>
              <w:t xml:space="preserve"> door het concept van resultaatgericht begroten en een goed personeelsbeheer toe te passen</w:t>
            </w:r>
            <w:r>
              <w:rPr>
                <w:b/>
                <w:i/>
              </w:rPr>
              <w:t>, en door degelijk, efficiënt en resultaatgericht financieel beheer te waarborgen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handhaving van de strengste normen van institutionele onafhankelijkheid en vermijding van elke schijn van favoritisme bij benoemingen op hoog niveau essentieel zijn om de burgers vertrouwen te laten houden in de rol van de Ombudsman als waakhond van de Unie voor goed bestuur;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merkt op dat de inspanningen op het gebied van begrotingstoezicht gedurende het begrotingsjaar 2024 hebben geresulteerd in een uitvoeringspercentage van de begroting van 97,55 %, een stijging met 2,16 % ten opzichte van 2023; merkt op dat dit percentage kredieten omvat die zijn overgedragen van 2024 naar 2025; stelt vast dat het uitvoeringspercentage van betalingskredieten 97,08 % bedroeg, hetgeen een daling van 0,50 % inhoudt ten opzichte van 2023; neemt kennis van een stijging van 29,60 % van de overgedragen kredieten (C8-kredieten), namelijk van </w:t>
            </w:r>
            <w:r>
              <w:rPr>
                <w:b/>
                <w:i/>
              </w:rPr>
              <w:t>304 550</w:t>
            </w:r>
            <w:r>
              <w:t xml:space="preserve"> EUR in 2023 tot </w:t>
            </w:r>
            <w:r>
              <w:rPr>
                <w:b/>
                <w:i/>
              </w:rPr>
              <w:t>394 667</w:t>
            </w:r>
            <w:r>
              <w:t xml:space="preserve"> EUR in 2024; merkt een verbetering op in het uitvoeringspercentage van de automatische overdrachten van kredieten van het voorgaande jaar, dat in 2024 76,59 % bedroeg, ten opzichte van 73,27 % in 2023;</w:t>
            </w:r>
          </w:p>
        </w:tc>
        <w:tc>
          <w:tcPr>
            <w:tcW w:w="4876" w:type="dxa"/>
            <w:tcBorders>
              <w:top w:val="nil"/>
              <w:left w:val="nil"/>
              <w:bottom w:val="nil"/>
              <w:right w:val="nil"/>
            </w:tcBorders>
          </w:tcPr>
          <w:p>
            <w:pPr>
              <w:pStyle w:val="Normal6a"/>
            </w:pPr>
            <w:r>
              <w:t>5.</w:t>
            </w:r>
            <w:r>
              <w:tab/>
            </w:r>
            <w:r>
              <w:t xml:space="preserve">merkt op dat de inspanningen op het gebied van begrotingstoezicht gedurende het begrotingsjaar 2024 hebben geresulteerd in een uitvoeringspercentage van de begroting van 97,55 %, een stijging met 2,16 % ten opzichte van 2023; merkt op dat dit percentage kredieten omvat die zijn overgedragen van 2024 naar 2025; stelt vast dat het uitvoeringspercentage van betalingskredieten 97,08 % bedroeg, hetgeen een daling van 0,50 % inhoudt ten opzichte van 2023; neemt kennis van een stijging van 29,60 % van de overgedragen kredieten (C8-kredieten), namelijk van </w:t>
            </w:r>
            <w:r>
              <w:rPr>
                <w:b/>
                <w:i/>
              </w:rPr>
              <w:t>304 550</w:t>
            </w:r>
            <w:r>
              <w:t xml:space="preserve"> EUR in 2023 tot </w:t>
            </w:r>
            <w:r>
              <w:rPr>
                <w:b/>
                <w:i/>
              </w:rPr>
              <w:t>394 667</w:t>
            </w:r>
            <w:r>
              <w:t xml:space="preserve"> EUR in 2024; merkt een verbetering op in het uitvoeringspercentage van de automatische overdrachten van kredieten van het voorgaande jaar, dat in 2024 76,59 % bedroeg, ten opzichte van 73,27 % in 2023; </w:t>
            </w:r>
            <w:r>
              <w:rPr>
                <w:b/>
                <w:i/>
              </w:rPr>
              <w:t>stelt evenwel vast dat het uitvoeringspercentage vergeleken met 2022 (92,59 %) laag is gebleven en verzoekt de Ombudsman nogmaals meer inspanningen te leveren met het oog op een hoger percentage;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neemt met voldoening kennis van het jaarlijks activiteitenverslag van de Ombudsman voor 2024 (het “jaarverslag”) waarin wordt vermeld dat alle betalingen in 2024 binnen de wettelijke termijn van dertig dagen zijn verricht; merkt voorts op dat de gemiddelde betalingstermijn voor facturen 13,20 dagen bedroeg, een verbetering ten opzichte van 2023 (13,50 dagen); merkt met betrekking tot de migratie van de Ombudsman naar een nieuw financieel en boekhoudkundig systeem (SUMMA) op dat de Ombudsman wordt gevraagd </w:t>
            </w:r>
            <w:r>
              <w:rPr>
                <w:b/>
                <w:i/>
              </w:rPr>
              <w:t>200 000</w:t>
            </w:r>
            <w:r>
              <w:t xml:space="preserve"> EUR te betalen voor toegangsrechten tot dit systeem, hetzelfde bedrag dat andere, veel grotere instellingen van de Unie wordt gevraagd te betalen; merkt op dat dit bedrag het dubbele is van de begroting van de Ombudsman voor dit soort diensten; verzoekt de Commissie een oplossing te vinden waardoor de Ombudsman toegang krijgt tot SUMMA voor een prijs die in verhouding staat tot de omvang van de Ombudsman;</w:t>
            </w:r>
          </w:p>
        </w:tc>
        <w:tc>
          <w:tcPr>
            <w:tcW w:w="4876" w:type="dxa"/>
            <w:tcBorders>
              <w:top w:val="nil"/>
              <w:left w:val="nil"/>
              <w:bottom w:val="nil"/>
              <w:right w:val="nil"/>
            </w:tcBorders>
          </w:tcPr>
          <w:p>
            <w:pPr>
              <w:pStyle w:val="Normal6a"/>
            </w:pPr>
            <w:r>
              <w:t>7.</w:t>
            </w:r>
            <w:r>
              <w:tab/>
            </w:r>
            <w:r>
              <w:t xml:space="preserve">neemt met voldoening kennis van het jaarlijks activiteitenverslag van de Ombudsman voor 2024 (het “jaarverslag”) waarin wordt vermeld dat alle betalingen in 2024 binnen de wettelijke termijn van dertig dagen zijn verricht; merkt voorts op dat de gemiddelde betalingstermijn voor facturen 13,20 dagen bedroeg, een verbetering ten opzichte van 2023 (13,50 dagen); merkt met betrekking tot de migratie van de Ombudsman naar een nieuw financieel en boekhoudkundig systeem (SUMMA) op dat de Ombudsman wordt gevraagd </w:t>
            </w:r>
            <w:r>
              <w:rPr>
                <w:b/>
                <w:i/>
              </w:rPr>
              <w:t>200 000</w:t>
            </w:r>
            <w:r>
              <w:t xml:space="preserve"> EUR te betalen voor toegangsrechten tot dit systeem, hetzelfde bedrag dat andere, veel grotere instellingen van de Unie wordt gevraagd te betalen; merkt op dat dit bedrag het dubbele is van de begroting van de Ombudsman voor dit soort diensten; verzoekt de Commissie een oplossing te vinden waardoor de Ombudsman toegang krijgt tot SUMMA voor een prijs die in verhouding staat tot de omvang van de Ombudsman; </w:t>
            </w:r>
            <w:r>
              <w:rPr>
                <w:b/>
                <w:i/>
              </w:rPr>
              <w:t>verzoekt om instelling van een transparant, objectief en aan de omvang aangepast model voor de toegangskosten van gedeelde institutionele financiële systemen, zodat kleine instellingen niet onevenredig worden belast en kunnen voldoen aan de verplichtingen op het gebied van financieel beheer zonder dat sprake is van verdringing van operationele middelen;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neemt met voldoening kennis van het jaarlijks activiteitenverslag van de Ombudsman voor 2024 (het “jaarverslag”) waarin wordt vermeld dat alle betalingen in 2024 binnen de wettelijke termijn van dertig dagen zijn verricht; merkt voorts op dat de gemiddelde betalingstermijn voor facturen 13,20 dagen bedroeg, een verbetering ten opzichte van 2023 (13,50 dagen); merkt met betrekking tot de migratie van de Ombudsman naar een nieuw financieel en boekhoudkundig systeem (SUMMA) op dat de Ombudsman wordt gevraagd </w:t>
            </w:r>
            <w:r>
              <w:rPr>
                <w:b/>
                <w:i/>
              </w:rPr>
              <w:t>200 000</w:t>
            </w:r>
            <w:r>
              <w:t xml:space="preserve"> EUR te betalen voor toegangsrechten tot dit systeem, hetzelfde bedrag dat andere, veel grotere instellingen van de Unie wordt gevraagd te betalen; merkt op dat dit bedrag het dubbele is van de begroting van de Ombudsman voor dit soort diensten; verzoekt de Commissie een oplossing te vinden waardoor de Ombudsman toegang krijgt tot SUMMA voor een prijs die in verhouding staat tot de omvang van de Ombudsman;</w:t>
            </w:r>
          </w:p>
        </w:tc>
        <w:tc>
          <w:tcPr>
            <w:tcW w:w="4876" w:type="dxa"/>
            <w:tcBorders>
              <w:top w:val="nil"/>
              <w:left w:val="nil"/>
              <w:bottom w:val="nil"/>
              <w:right w:val="nil"/>
            </w:tcBorders>
          </w:tcPr>
          <w:p>
            <w:pPr>
              <w:pStyle w:val="Normal6a"/>
            </w:pPr>
            <w:r>
              <w:t>7.</w:t>
            </w:r>
            <w:r>
              <w:tab/>
            </w:r>
            <w:r>
              <w:t xml:space="preserve">neemt met voldoening kennis van het jaarlijks activiteitenverslag van de Ombudsman voor 2024 (het “jaarverslag”) waarin wordt vermeld dat alle betalingen in 2024 binnen de wettelijke termijn van dertig dagen zijn verricht; merkt voorts op dat de gemiddelde betalingstermijn voor facturen 13,20 dagen bedroeg, een verbetering ten opzichte van 2023 (13,50 dagen); merkt met betrekking tot de migratie van de Ombudsman naar een nieuw financieel en boekhoudkundig systeem (SUMMA) op dat de Ombudsman wordt gevraagd </w:t>
            </w:r>
            <w:r>
              <w:rPr>
                <w:b/>
                <w:i/>
              </w:rPr>
              <w:t>200 000</w:t>
            </w:r>
            <w:r>
              <w:t xml:space="preserve"> EUR te betalen voor toegangsrechten tot dit systeem, hetzelfde bedrag dat andere, veel grotere instellingen van de Unie wordt gevraagd te betalen; merkt op dat dit bedrag het dubbele is van de begroting van de Ombudsman voor dit soort diensten; verzoekt de Commissie een oplossing te vinden waardoor de Ombudsman toegang krijgt tot SUMMA voor een prijs die in verhouding staat tot de omvang van de Ombudsman; </w:t>
            </w:r>
            <w:r>
              <w:rPr>
                <w:b/>
                <w:i/>
              </w:rPr>
              <w:t>benadrukt dat voor verplichte interinstitutionele instrumenten een evenredigheidsbeginsel moet gelden op grond waarvan tarieven worden vastgesteld overeenkomstig de begroting van de instelling en het aantal gebruikers, zodat de middelen die zijn bestemd voor de kerntaak van de instelling niet uitgeput raken;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neemt met voldoening kennis van het jaarlijks activiteitenverslag van de Ombudsman voor 2024 (het “jaarverslag”) waarin wordt vermeld dat alle betalingen in 2024 binnen de wettelijke termijn van dertig dagen zijn verricht; merkt voorts op dat de gemiddelde betalingstermijn voor facturen 13,20 dagen bedroeg, een verbetering ten opzichte van 2023 (13,50 dagen); merkt met betrekking tot de migratie van de Ombudsman naar een nieuw financieel en boekhoudkundig systeem (SUMMA) op dat de Ombudsman wordt gevraagd </w:t>
            </w:r>
            <w:r>
              <w:rPr>
                <w:b/>
                <w:i/>
              </w:rPr>
              <w:t>200 000</w:t>
            </w:r>
            <w:r>
              <w:t xml:space="preserve"> EUR te betalen voor toegangsrechten tot dit systeem, hetzelfde bedrag dat andere, veel grotere instellingen van de Unie wordt gevraagd te betalen; merkt op dat dit bedrag het dubbele is van de begroting van de Ombudsman voor dit soort diensten; verzoekt de Commissie een oplossing te vinden waardoor de Ombudsman toegang krijgt tot SUMMA voor een prijs die in verhouding staat tot de omvang van de Ombudsman;</w:t>
            </w:r>
          </w:p>
        </w:tc>
        <w:tc>
          <w:tcPr>
            <w:tcW w:w="4876" w:type="dxa"/>
            <w:tcBorders>
              <w:top w:val="nil"/>
              <w:left w:val="nil"/>
              <w:bottom w:val="nil"/>
              <w:right w:val="nil"/>
            </w:tcBorders>
          </w:tcPr>
          <w:p>
            <w:pPr>
              <w:pStyle w:val="Normal6a"/>
            </w:pPr>
            <w:r>
              <w:t>7.</w:t>
            </w:r>
            <w:r>
              <w:tab/>
            </w:r>
            <w:r>
              <w:t xml:space="preserve">neemt met voldoening kennis van het jaarlijks activiteitenverslag van de Ombudsman voor 2024 (het “jaarverslag”) waarin wordt vermeld dat alle betalingen in 2024 binnen de wettelijke termijn van dertig dagen zijn verricht; merkt voorts op dat de gemiddelde betalingstermijn voor facturen 13,20 dagen bedroeg, een verbetering ten opzichte van 2023 (13,50 dagen); merkt met betrekking tot de migratie van de Ombudsman naar een nieuw financieel en boekhoudkundig systeem (SUMMA) op dat de Ombudsman wordt gevraagd </w:t>
            </w:r>
            <w:r>
              <w:rPr>
                <w:b/>
                <w:i/>
              </w:rPr>
              <w:t>200 000</w:t>
            </w:r>
            <w:r>
              <w:t> EUR te betalen voor toegangsrechten tot dit systeem, hetzelfde bedrag dat andere, veel grotere instellingen van de Unie wordt gevraagd te betalen; merkt op dat dit bedrag het dubbele is van de begroting van de Ombudsman voor dit soort diensten; verzoekt de Commissie een oplossing te vinden waardoor de Ombudsman toegang krijgt tot SUMMA voor een prijs die in verhouding staat tot de omvang van de Ombudsman</w:t>
            </w:r>
            <w:r>
              <w:rPr>
                <w:b/>
                <w:i/>
              </w:rPr>
              <w:t>, en er zo voor te zorgen dat kleine instellingen niet onevenredig worden belast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merkt op dat de gevolgen van de Russische aanvalsoorlog tegen Oekraïne in 2024 bleven drukken op de begroting van de Ombudsman; </w:t>
            </w:r>
            <w:r>
              <w:rPr>
                <w:b/>
                <w:i/>
              </w:rPr>
              <w:t>merkt op</w:t>
            </w:r>
            <w:r>
              <w:t xml:space="preserve"> dat de </w:t>
            </w:r>
            <w:r>
              <w:rPr>
                <w:b/>
                <w:i/>
              </w:rPr>
              <w:t>Ombudsman het meest te lijden had onder de stijging</w:t>
            </w:r>
            <w:r>
              <w:t xml:space="preserve"> van de </w:t>
            </w:r>
            <w:r>
              <w:rPr>
                <w:b/>
                <w:i/>
              </w:rPr>
              <w:t>energiekosten</w:t>
            </w:r>
            <w:r>
              <w:t xml:space="preserve">; merkt in dit verband op dat het forfaitaire bedrag dat de Ombudsman aan het Parlement betaalt voor huurkosten, opnieuw moest worden berekend teneinde het in overeenstemming te brengen met de werkelijke kosten; merkt op dat de werkelijke energie-uitgaven van de Ombudsman in 2024 daardoor met 75 % zijn gestegen, van </w:t>
            </w:r>
            <w:r>
              <w:rPr>
                <w:b/>
                <w:i/>
              </w:rPr>
              <w:t>168 900</w:t>
            </w:r>
            <w:r>
              <w:t xml:space="preserve"> EUR in 2023 tot </w:t>
            </w:r>
            <w:r>
              <w:rPr>
                <w:b/>
                <w:i/>
              </w:rPr>
              <w:t>295 400</w:t>
            </w:r>
            <w:r>
              <w:t xml:space="preserve"> EUR in 2024; merkt op uit de vragenlijst dat de Ombudsman van mening is dat het cumulatieve effect van de inflatoire druk en de beperking van de niet-salarisgerelateerde uitgaven tot maximaal 2 % ten opzichte van het voorgaande jaar van invloed zijn op de houdbaarheid van de begroting van de Ombudsman op lange termijn; erkent dat alle EU-instellingen hun begrotingsbeheer moeten verbeteren door bij het sluiten van contracten met dienstverleners ook rekening te houden met de prijsvolatiliteit, met name in de energiesector;</w:t>
            </w:r>
          </w:p>
        </w:tc>
        <w:tc>
          <w:tcPr>
            <w:tcW w:w="4876" w:type="dxa"/>
            <w:tcBorders>
              <w:top w:val="nil"/>
              <w:left w:val="nil"/>
              <w:bottom w:val="nil"/>
              <w:right w:val="nil"/>
            </w:tcBorders>
          </w:tcPr>
          <w:p>
            <w:pPr>
              <w:pStyle w:val="Normal6a"/>
            </w:pPr>
            <w:r>
              <w:t>8.</w:t>
            </w:r>
            <w:r>
              <w:tab/>
            </w:r>
            <w:r>
              <w:t xml:space="preserve">merkt op dat de gevolgen van de Russische aanvalsoorlog tegen Oekraïne </w:t>
            </w:r>
            <w:r>
              <w:rPr>
                <w:b/>
                <w:i/>
              </w:rPr>
              <w:t>en het cumulatieve effect van inflatie, volatiliteit van de energieprijzen en rigide plafonds voor niet-salarisgerelateerde uitgaven</w:t>
            </w:r>
            <w:r>
              <w:t xml:space="preserve"> in 2024 </w:t>
            </w:r>
            <w:r>
              <w:rPr>
                <w:b/>
                <w:i/>
              </w:rPr>
              <w:t>structureel</w:t>
            </w:r>
            <w:r>
              <w:t xml:space="preserve"> bleven drukken op de begroting van de </w:t>
            </w:r>
            <w:r>
              <w:rPr>
                <w:b/>
                <w:i/>
              </w:rPr>
              <w:t>Europese</w:t>
            </w:r>
            <w:r>
              <w:t xml:space="preserve"> Ombudsman; </w:t>
            </w:r>
            <w:r>
              <w:rPr>
                <w:b/>
                <w:i/>
              </w:rPr>
              <w:t>benadrukt</w:t>
            </w:r>
            <w:r>
              <w:t xml:space="preserve"> dat de </w:t>
            </w:r>
            <w:r>
              <w:rPr>
                <w:b/>
                <w:i/>
              </w:rPr>
              <w:t>kostenefficiëntie, de voorspelbaarheid en de duurzaamheid van de activiteiten</w:t>
            </w:r>
            <w:r>
              <w:t xml:space="preserve"> van de </w:t>
            </w:r>
            <w:r>
              <w:rPr>
                <w:b/>
                <w:i/>
              </w:rPr>
              <w:t>instelling ondermijnd dreigen te worden wanneer deze druk niet adequaat wordt aangepakt</w:t>
            </w:r>
            <w:r>
              <w:t xml:space="preserve">; merkt in dit verband op dat het forfaitaire bedrag dat de Ombudsman aan het Parlement betaalt voor huurkosten, opnieuw moest worden berekend teneinde het in overeenstemming te brengen met de werkelijke kosten; merkt op dat de werkelijke energie-uitgaven van de Ombudsman in 2024 daardoor met 75 % zijn gestegen, van </w:t>
            </w:r>
            <w:r>
              <w:rPr>
                <w:b/>
                <w:i/>
              </w:rPr>
              <w:t>168 900</w:t>
            </w:r>
            <w:r>
              <w:t xml:space="preserve"> EUR in 2023 tot </w:t>
            </w:r>
            <w:r>
              <w:rPr>
                <w:b/>
                <w:i/>
              </w:rPr>
              <w:t>295 400</w:t>
            </w:r>
            <w:r>
              <w:t xml:space="preserve"> EUR in 2024; merkt op uit de vragenlijst dat de Ombudsman van mening is dat het cumulatieve effect van de inflatoire druk en de beperking van de niet-salarisgerelateerde uitgaven tot maximaal 2 % ten opzichte van het voorgaande jaar van invloed zijn op de houdbaarheid van de begroting van de Ombudsman op lange termijn; erkent dat alle EU-instellingen hun begrotingsbeheer moeten verbeteren door bij het sluiten van contracten met dienstverleners ook rekening te houden met de prijsvolatiliteit, met name in de energiesector; </w:t>
            </w:r>
            <w:r>
              <w:rPr>
                <w:b/>
                <w:i/>
              </w:rPr>
              <w:t>benadrukt dat begrotingsdiscipline in overeenstemming moet worden gebracht met realistische kostenbeoordelingen, zodat het geld van belastingbetalers wordt beschermd en tegelijk de continuïteit van de activiteiten behouden blijft;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merkt op dat de gevolgen van de Russische aanvalsoorlog tegen Oekraïne in 2024 bleven drukken op de begroting van de Ombudsman; merkt op dat de Ombudsman het meest te lijden had onder de stijging van de energiekosten; merkt in dit verband op dat het forfaitaire bedrag dat de Ombudsman aan het Parlement betaalt voor huurkosten, opnieuw moest worden berekend teneinde het in overeenstemming te brengen met de werkelijke kosten; merkt op dat de werkelijke energie-uitgaven van de Ombudsman in 2024 daardoor met 75 % zijn gestegen, van </w:t>
            </w:r>
            <w:r>
              <w:rPr>
                <w:b/>
                <w:i/>
              </w:rPr>
              <w:t>168 900</w:t>
            </w:r>
            <w:r>
              <w:t xml:space="preserve"> EUR in 2023 tot </w:t>
            </w:r>
            <w:r>
              <w:rPr>
                <w:b/>
                <w:i/>
              </w:rPr>
              <w:t>295 400</w:t>
            </w:r>
            <w:r>
              <w:t xml:space="preserve"> EUR in 2024; merkt op uit de vragenlijst dat de Ombudsman van mening is dat het cumulatieve effect van de inflatoire druk en de beperking van de niet-salarisgerelateerde uitgaven tot maximaal 2 % ten opzichte van het voorgaande jaar van invloed zijn op de houdbaarheid van de begroting van de Ombudsman op lange termijn; erkent dat alle EU-instellingen hun begrotingsbeheer moeten verbeteren door bij het sluiten van contracten met dienstverleners ook rekening te houden met de prijsvolatiliteit, met name in de energiesector;</w:t>
            </w:r>
          </w:p>
        </w:tc>
        <w:tc>
          <w:tcPr>
            <w:tcW w:w="4876" w:type="dxa"/>
            <w:tcBorders>
              <w:top w:val="nil"/>
              <w:left w:val="nil"/>
              <w:bottom w:val="nil"/>
              <w:right w:val="nil"/>
            </w:tcBorders>
          </w:tcPr>
          <w:p>
            <w:pPr>
              <w:pStyle w:val="Normal6a"/>
            </w:pPr>
            <w:r>
              <w:t>8.</w:t>
            </w:r>
            <w:r>
              <w:tab/>
            </w:r>
            <w:r>
              <w:t xml:space="preserve">merkt op dat de gevolgen van de </w:t>
            </w:r>
            <w:r>
              <w:rPr>
                <w:b/>
                <w:i/>
              </w:rPr>
              <w:t>illegale</w:t>
            </w:r>
            <w:r>
              <w:t xml:space="preserve"> Russische aanvalsoorlog tegen Oekraïne in 2024 bleven drukken op de begroting van de Ombudsman; merkt op dat de Ombudsman het meest te lijden had onder de stijging van de energiekosten; merkt in dit verband op dat het forfaitaire bedrag dat de Ombudsman aan het Parlement betaalt voor huurkosten, opnieuw moest worden berekend teneinde het in overeenstemming te brengen met de werkelijke kosten; merkt op dat de werkelijke energie-uitgaven van de Ombudsman in 2024 daardoor met 75 % zijn gestegen, van </w:t>
            </w:r>
            <w:r>
              <w:rPr>
                <w:b/>
                <w:i/>
              </w:rPr>
              <w:t>168 900</w:t>
            </w:r>
            <w:r>
              <w:t xml:space="preserve"> EUR in 2023 tot </w:t>
            </w:r>
            <w:r>
              <w:rPr>
                <w:b/>
                <w:i/>
              </w:rPr>
              <w:t>295 400</w:t>
            </w:r>
            <w:r>
              <w:t> EUR in 2024; merkt op uit de vragenlijst dat de Ombudsman van mening is dat het cumulatieve effect van de inflatoire druk en de beperking van de niet-salarisgerelateerde uitgaven tot maximaal 2 % ten opzichte van het voorgaande jaar van invloed zijn op de houdbaarheid van de begroting van de Ombudsman op lange termijn; erkent dat alle EU-instellingen hun begrotingsbeheer moeten verbeteren door bij het sluiten van contracten met dienstverleners ook rekening te houden met de prijsvolatiliteit, met name in de energiesector;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merkt op dat de begroting voor dienstreizen in </w:t>
            </w:r>
            <w:r>
              <w:rPr>
                <w:b/>
                <w:i/>
              </w:rPr>
              <w:t>2024 120 000</w:t>
            </w:r>
            <w:r>
              <w:t xml:space="preserve"> EUR bedroeg (hetzelfde bedrag als voor 2023); merkt niettemin op dat in 2024 het begrotingsartikel voor dienstreizen met 38,60 % werd verhoogd door middel van interne overschrijving(en); neemt kennis van de uitleg van de Ombudsman dat deze verhoging noodzakelijk was vanwege de inflatie en een stijging van de verblijfskosten, een toename van het aantal noodzakelijke dienstreizen van de Ombudsman en begrotingsramingen op basis van die van voorgaande jaren, waarin reizen beperkt was vanwege de COVID-19-pandemie; merkt op dat de begroting voor dienstreizen van de Ombudsman in </w:t>
            </w:r>
            <w:r>
              <w:rPr>
                <w:b/>
                <w:i/>
              </w:rPr>
              <w:t>2023 35 000</w:t>
            </w:r>
            <w:r>
              <w:t xml:space="preserve"> EUR bedroeg, hetzelfde bedrag als in de voorgaande jaren (2022 en 2023); merkt op dat, na versterking van die begroting via interne overschrijving(en), de daadwerkelijk gemaakte kosten voor haar dienstreizen in 2024 in totaal </w:t>
            </w:r>
            <w:r>
              <w:rPr>
                <w:b/>
                <w:i/>
              </w:rPr>
              <w:t>41 326</w:t>
            </w:r>
            <w:r>
              <w:t xml:space="preserve"> EUR bedroegen</w:t>
            </w:r>
            <w:r>
              <w:rPr>
                <w:vertAlign w:val="superscript"/>
              </w:rPr>
              <w:t>3</w:t>
            </w:r>
            <w:r>
              <w:t>;</w:t>
            </w:r>
          </w:p>
        </w:tc>
        <w:tc>
          <w:tcPr>
            <w:tcW w:w="4876" w:type="dxa"/>
            <w:tcBorders>
              <w:top w:val="nil"/>
              <w:left w:val="nil"/>
              <w:bottom w:val="nil"/>
              <w:right w:val="nil"/>
            </w:tcBorders>
          </w:tcPr>
          <w:p>
            <w:pPr>
              <w:pStyle w:val="Normal6a"/>
            </w:pPr>
            <w:r>
              <w:t>9.</w:t>
            </w:r>
            <w:r>
              <w:tab/>
            </w:r>
            <w:r>
              <w:t xml:space="preserve">merkt op dat de begroting voor dienstreizen in </w:t>
            </w:r>
            <w:r>
              <w:rPr>
                <w:b/>
                <w:i/>
              </w:rPr>
              <w:t>2024 120 000</w:t>
            </w:r>
            <w:r>
              <w:t> EUR bedroeg (hetzelfde bedrag als voor 2023); merkt niettemin op dat in 2024 het begrotingsartikel voor dienstreizen met 38,60 % werd verhoogd door middel van interne overschrijving(en); neemt kennis van de uitleg van de Ombudsman dat deze verhoging noodzakelijk was vanwege de inflatie en een stijging van de verblijfskosten, een toename van het aantal noodzakelijke dienstreizen van de Ombudsman en begrotingsramingen op basis van die van voorgaande jaren, waarin reizen beperkt was vanwege de COVID-19-pandemie; merkt op dat de begroting voor dienstreizen van de Ombudsman in </w:t>
            </w:r>
            <w:r>
              <w:rPr>
                <w:b/>
                <w:i/>
              </w:rPr>
              <w:t>2023 35 000</w:t>
            </w:r>
            <w:r>
              <w:t xml:space="preserve"> EUR bedroeg, hetzelfde bedrag als in de voorgaande jaren (2022 en 2023); merkt op dat, na versterking van die begroting via interne overschrijving(en), de daadwerkelijk gemaakte kosten voor haar dienstreizen in 2024 in totaal </w:t>
            </w:r>
            <w:r>
              <w:rPr>
                <w:b/>
                <w:i/>
              </w:rPr>
              <w:t>41 326</w:t>
            </w:r>
            <w:r>
              <w:t> EUR bedroegen</w:t>
            </w:r>
            <w:r>
              <w:rPr>
                <w:vertAlign w:val="superscript"/>
              </w:rPr>
              <w:t>3</w:t>
            </w:r>
            <w:r>
              <w:t xml:space="preserve">; </w:t>
            </w:r>
            <w:r>
              <w:rPr>
                <w:b/>
                <w:i/>
              </w:rPr>
              <w:t>verzoekt om een realistischer eerste begrotingsprognose voor dienstreizen om afhankelijkheid van grote overdrachten halverwege het jaar tot een minimum te beperken en een stabiele financiële planning te garanderen;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en https://www.ombudsman.europa.eu/en/doc/declarations-and-transparency/en/198831.</w:t>
            </w:r>
          </w:p>
        </w:tc>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en https://www.ombudsman.europa.eu/en/doc/declarations-and-transparency/en/198831.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prijst de Ombudsman voor het verkorten van de tijd die nodig is om dossiers op verschillende niveaus van de procedure te behandelen, zoals de gemiddelde tijd voor het behandelen van een klacht (van 39 dagen in 2023 tot 36 dagen in 2024) en voor het behandelen van een klacht binnen het mandaat (van 91 dagen in 2023 tot 86 dagen in 2024); merkt niettemin een aanzienlijke toename op van de gemiddelde tijd die nodig is om zaken op het gebied van de toegang van het publiek tot documenten af te ronden, namelijk van 42 dagen in 2023 tot 85 werkdagen in 2024; merkt op dat de Ombudsman zijn doelstelling (100 %) voor het afhandelingspercentage (d.w.z. afgesloten zaken in vergelijking met nieuwe zaken die in de loop van het jaar zijn geregistreerd) heeft overschreden; betreurt echter dat de gemiddelde tijd (168 dagen) voor de behandeling van een onderzoek in 2024 hoog bleef (een stijging ten opzichte van 165 dagen in 2023), hetgeen ruim boven de beoogde doelstelling van 150 dagen ligt; merkt in dit verband met voldoening op uit het verslag van de Ombudsman aan het Parlement over de follow-up van de kwijting voor het begrotingsjaar 2023 (het “vervolgverslag”) dat een van de belangrijkste strategische doelstellingen van de nieuw gekozen Ombudsman is om de samenwerking en de dialoog met de instellingen, organen en instanties van de Unie te versterken, met als uiteindelijk doel de tijd die nodig is voor de behandeling van onderzoeken te verkorten;</w:t>
            </w:r>
          </w:p>
        </w:tc>
        <w:tc>
          <w:tcPr>
            <w:tcW w:w="4876" w:type="dxa"/>
            <w:tcBorders>
              <w:top w:val="nil"/>
              <w:left w:val="nil"/>
              <w:bottom w:val="nil"/>
              <w:right w:val="nil"/>
            </w:tcBorders>
          </w:tcPr>
          <w:p>
            <w:pPr>
              <w:pStyle w:val="Normal6a"/>
            </w:pPr>
            <w:r>
              <w:t>12.</w:t>
            </w:r>
            <w:r>
              <w:tab/>
            </w:r>
            <w:r>
              <w:t xml:space="preserve">prijst de Ombudsman voor het verkorten van de tijd die nodig is om dossiers op verschillende niveaus van de procedure te behandelen, zoals de gemiddelde tijd voor het behandelen van een klacht (van 39 dagen in 2023 tot 36 dagen in 2024) en voor het behandelen van een klacht binnen het mandaat (van 91 dagen in 2023 tot 86 dagen in 2024); merkt niettemin een aanzienlijke toename op van de gemiddelde tijd die nodig is om zaken op het gebied van de toegang van het publiek tot documenten af te ronden, namelijk van 42 dagen in 2023 tot 85 werkdagen in 2024; merkt op dat de Ombudsman zijn doelstelling (100 %) voor het afhandelingspercentage (d.w.z. afgesloten zaken in vergelijking met nieuwe zaken die in de loop van het jaar zijn geregistreerd) heeft overschreden; betreurt echter dat de gemiddelde tijd (168 dagen) voor de behandeling van een onderzoek in 2024 hoog bleef (een stijging ten opzichte van 165 dagen in 2023), hetgeen ruim boven de beoogde doelstelling van 150 dagen ligt; merkt in dit verband met voldoening op uit het verslag van de Ombudsman aan het Parlement over de follow-up van de kwijting voor het begrotingsjaar 2023 (het “vervolgverslag”) dat een van de belangrijkste strategische doelstellingen van de nieuw gekozen Ombudsman is om de samenwerking en de dialoog met de instellingen, organen en instanties van de Unie te versterken, met als uiteindelijk doel de tijd die nodig is voor de behandeling van onderzoeken te verkorten; </w:t>
            </w:r>
            <w:r>
              <w:rPr>
                <w:b/>
                <w:i/>
              </w:rPr>
              <w:t>beveelt de Ombudsman aan de kernprestatie-indicatoren voor de afhandelingsduur van zaken verder uit te werken en de uiteenlopende complexiteit van zaken beter tot uitdrukking te laten komen, zodat de beoordeling van de prestaties realistischer, constructiever en efficiëntiegerichter wordt;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prijst de Ombudsman voor het verkorten van de tijd die nodig is om dossiers op verschillende niveaus van de procedure te behandelen, zoals de gemiddelde tijd voor het behandelen van een klacht (van 39 dagen in 2023 tot 36 dagen in 2024) en voor het behandelen van een klacht binnen het mandaat (van 91 dagen in 2023 tot 86 dagen in 2024); merkt niettemin een aanzienlijke toename op van de gemiddelde tijd die nodig is om zaken op het gebied van de toegang van het publiek tot documenten af te ronden, namelijk van 42 dagen in 2023 tot 85 werkdagen in 2024; merkt op dat de Ombudsman zijn doelstelling (100 %) voor het afhandelingspercentage (d.w.z. afgesloten zaken in vergelijking met nieuwe zaken die in de loop van het jaar zijn geregistreerd) heeft overschreden; betreurt echter dat de gemiddelde tijd (168 dagen) voor de behandeling van een onderzoek in 2024 hoog bleef (een stijging ten opzichte van 165 dagen in 2023), hetgeen ruim boven de beoogde doelstelling van 150 dagen ligt; merkt in dit verband met voldoening op uit het verslag van de Ombudsman aan het Parlement over de follow-up van de kwijting voor het begrotingsjaar 2023 (het “vervolgverslag”) dat een van de belangrijkste strategische doelstellingen van de nieuw gekozen Ombudsman is om de samenwerking en de dialoog met de instellingen, organen en instanties van de Unie te versterken, met als uiteindelijk doel de tijd die nodig is voor de behandeling van onderzoeken te verkorten;</w:t>
            </w:r>
          </w:p>
        </w:tc>
        <w:tc>
          <w:tcPr>
            <w:tcW w:w="4876" w:type="dxa"/>
            <w:tcBorders>
              <w:top w:val="nil"/>
              <w:left w:val="nil"/>
              <w:bottom w:val="nil"/>
              <w:right w:val="nil"/>
            </w:tcBorders>
          </w:tcPr>
          <w:p>
            <w:pPr>
              <w:pStyle w:val="Normal6a"/>
            </w:pPr>
            <w:r>
              <w:t>12.</w:t>
            </w:r>
            <w:r>
              <w:tab/>
            </w:r>
            <w:r>
              <w:t xml:space="preserve">prijst de Ombudsman voor het verkorten van de tijd die nodig is om dossiers op verschillende niveaus van de procedure te behandelen, zoals de gemiddelde tijd voor het behandelen van een klacht (van 39 dagen in 2023 tot 36 dagen in 2024) en voor het behandelen van een klacht binnen het mandaat (van 91 dagen in 2023 tot 86 dagen in 2024); merkt niettemin een aanzienlijke toename op van de gemiddelde tijd die nodig is om zaken op het gebied van de toegang van het publiek tot documenten af te ronden, namelijk van 42 dagen in 2023 tot 85 werkdagen in 2024; merkt op dat de Ombudsman zijn doelstelling (100 %) voor het afhandelingspercentage (d.w.z. afgesloten zaken in vergelijking met nieuwe zaken die in de loop van het jaar zijn geregistreerd) heeft overschreden; betreurt echter dat de gemiddelde tijd (168 dagen) voor de behandeling van een onderzoek in 2024 hoog bleef (een stijging ten opzichte van 165 dagen in 2023), hetgeen ruim boven de beoogde doelstelling van 150 dagen ligt; </w:t>
            </w:r>
            <w:r>
              <w:rPr>
                <w:b/>
                <w:i/>
              </w:rPr>
              <w:t>verlangt dat een plan wordt opgesteld om deze vertragingen aan te pakken;</w:t>
            </w:r>
            <w:r>
              <w:t xml:space="preserve"> </w:t>
            </w:r>
            <w:r>
              <w:rPr>
                <w:b/>
                <w:i/>
              </w:rPr>
              <w:t>stelt voor om de 65 % besparingen die zijn gerealiseerd dankzij AI-vertalingen te gebruiken voor de versterking van onderzoeksteams, met name in geval van zaken over publieke toegankelijkheid;</w:t>
            </w:r>
            <w:r>
              <w:t xml:space="preserve"> merkt in dit verband met voldoening op uit het verslag van de Ombudsman aan het Parlement over de follow-up van de kwijting voor het begrotingsjaar 2023 (het “vervolgverslag”) dat een van de belangrijkste strategische doelstellingen van de nieuw gekozen Ombudsman is om de samenwerking en de dialoog met de instellingen, organen en instanties van de Unie te versterken, met als uiteindelijk doel de tijd die nodig is voor de behandeling van onderzoeken te verkorten;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prijst de Ombudsman voor het verkorten van de tijd die nodig is om dossiers op verschillende niveaus van de procedure te behandelen, zoals de gemiddelde tijd voor het behandelen van een klacht (van 39 dagen in 2023 tot 36 dagen in 2024) en voor het behandelen van een klacht binnen het mandaat (van 91 dagen in 2023 tot 86 dagen in 2024); merkt niettemin een aanzienlijke toename op van de gemiddelde tijd die nodig is om zaken op het gebied van de toegang van het publiek tot documenten af te ronden, namelijk van 42 dagen in 2023 tot 85 werkdagen in 2024; merkt op dat de Ombudsman zijn doelstelling (100 %) voor het afhandelingspercentage (d.w.z. afgesloten zaken in vergelijking met nieuwe zaken die in de loop van het jaar zijn geregistreerd) heeft overschreden; betreurt echter dat de gemiddelde tijd (168 dagen) voor de behandeling van een onderzoek in 2024 hoog bleef (een stijging ten opzichte van 165 dagen in 2023), hetgeen ruim boven de beoogde doelstelling van 150 dagen ligt; merkt in dit verband met voldoening op uit het verslag van de Ombudsman aan het Parlement over de follow-up van de kwijting voor het begrotingsjaar 2023 (het “vervolgverslag”) dat een van de belangrijkste strategische doelstellingen van de nieuw gekozen Ombudsman is om de samenwerking en de dialoog met de instellingen, organen en instanties van de Unie te versterken, met als uiteindelijk doel de tijd die nodig is voor de behandeling van onderzoeken te verkorten;</w:t>
            </w:r>
          </w:p>
        </w:tc>
        <w:tc>
          <w:tcPr>
            <w:tcW w:w="4876" w:type="dxa"/>
            <w:tcBorders>
              <w:top w:val="nil"/>
              <w:left w:val="nil"/>
              <w:bottom w:val="nil"/>
              <w:right w:val="nil"/>
            </w:tcBorders>
          </w:tcPr>
          <w:p>
            <w:pPr>
              <w:pStyle w:val="Normal6a"/>
            </w:pPr>
            <w:r>
              <w:t>12.</w:t>
            </w:r>
            <w:r>
              <w:tab/>
            </w:r>
            <w:r>
              <w:t xml:space="preserve">prijst de Ombudsman voor het verkorten van de tijd die nodig is om dossiers op verschillende niveaus van de procedure te behandelen, zoals de gemiddelde tijd voor het behandelen van een klacht (van 39 dagen in 2023 tot 36 dagen in 2024) en voor het behandelen van een klacht binnen het mandaat (van 91 dagen in 2023 tot 86 dagen in 2024); merkt niettemin een aanzienlijke toename op van de gemiddelde tijd die nodig is om zaken op het gebied van de toegang van het publiek tot documenten af te ronden, namelijk van 42 dagen in 2023 tot 85 werkdagen in 2024; merkt op dat de Ombudsman zijn doelstelling (100 %) voor het afhandelingspercentage (d.w.z. afgesloten zaken in vergelijking met nieuwe zaken die in de loop van het jaar zijn geregistreerd) heeft overschreden; betreurt echter dat de gemiddelde tijd (168 dagen) voor de behandeling van een onderzoek in 2024 hoog bleef (een stijging ten opzichte van 165 dagen in 2023), hetgeen ruim boven de beoogde doelstelling van 150 dagen ligt; </w:t>
            </w:r>
            <w:r>
              <w:rPr>
                <w:b/>
                <w:i/>
              </w:rPr>
              <w:t>beklemtoont dat buitensporige vertragingen bij het afhandelen van zaken in verband met de toegang tot documenten een directe ondermijning zijn van de rechten van de burgers en van het vertrouwen van het publiek in het gehele EU-bestuur;</w:t>
            </w:r>
            <w:r>
              <w:t xml:space="preserve"> merkt in dit verband met voldoening op uit het verslag van de Ombudsman aan het Parlement over de follow-up van de kwijting voor het begrotingsjaar 2023 (het “vervolgverslag”) dat een van de belangrijkste strategische doelstellingen van de nieuw gekozen Ombudsman is om de samenwerking en de dialoog met de instellingen, organen en instanties van de Unie te versterken, met als uiteindelijk doel de tijd die nodig is voor de behandeling van onderzoeken te verkorten;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prijst de Ombudsman voor het verkorten van de tijd die nodig is om dossiers op verschillende niveaus van de procedure te behandelen, zoals de gemiddelde tijd voor het behandelen van een klacht (van 39 dagen in 2023 tot 36 dagen in 2024) en voor het behandelen van een klacht binnen het mandaat (van 91 dagen in 2023 tot 86 dagen in 2024); merkt niettemin een aanzienlijke toename op van de gemiddelde tijd die nodig is om zaken op het gebied van de toegang van het publiek tot documenten af te ronden, namelijk van 42 dagen in 2023 tot 85 werkdagen in 2024; merkt op dat de Ombudsman zijn doelstelling (100 %) voor het afhandelingspercentage (d.w.z. afgesloten zaken in vergelijking met nieuwe zaken die in de loop van het jaar zijn geregistreerd) heeft overschreden; betreurt echter dat de gemiddelde tijd (168 dagen) voor de behandeling van een onderzoek in 2024 hoog bleef (een stijging ten opzichte van 165 dagen in 2023), hetgeen ruim boven de beoogde doelstelling van 150 dagen ligt; merkt in dit verband met voldoening op uit het verslag van de Ombudsman aan het Parlement over de follow-up van de kwijting voor het begrotingsjaar 2023 (het “vervolgverslag”) dat een van de belangrijkste strategische doelstellingen van de nieuw gekozen Ombudsman is om de samenwerking en de dialoog met de instellingen, organen en instanties van de Unie te versterken, met als uiteindelijk doel de tijd die nodig is voor de behandeling van onderzoeken te verkorten;</w:t>
            </w:r>
          </w:p>
        </w:tc>
        <w:tc>
          <w:tcPr>
            <w:tcW w:w="4876" w:type="dxa"/>
            <w:tcBorders>
              <w:top w:val="nil"/>
              <w:left w:val="nil"/>
              <w:bottom w:val="nil"/>
              <w:right w:val="nil"/>
            </w:tcBorders>
          </w:tcPr>
          <w:p>
            <w:pPr>
              <w:pStyle w:val="Normal6a"/>
            </w:pPr>
            <w:r>
              <w:t>12.</w:t>
            </w:r>
            <w:r>
              <w:tab/>
            </w:r>
            <w:r>
              <w:t xml:space="preserve">prijst de Ombudsman voor het verkorten van de tijd die nodig is om dossiers op verschillende niveaus van de procedure te behandelen, zoals de gemiddelde tijd voor het behandelen van een klacht (van 39 dagen in 2023 tot 36 dagen in 2024) en voor het behandelen van een klacht binnen het mandaat (van 91 dagen in 2023 tot 86 dagen in 2024); merkt niettemin een aanzienlijke toename op van de gemiddelde tijd die nodig is om zaken op het gebied van de toegang van het publiek tot documenten af te ronden, namelijk van 42 dagen in 2023 tot 85 werkdagen in 2024; merkt op dat de Ombudsman zijn doelstelling (100 %) voor het afhandelingspercentage (d.w.z. afgesloten zaken in vergelijking met nieuwe zaken die in de loop van het jaar zijn geregistreerd) heeft overschreden; betreurt echter dat de gemiddelde tijd (168 dagen) voor de behandeling van een onderzoek in 2024 hoog bleef (een stijging ten opzichte van 165 dagen in 2023), hetgeen ruim boven de beoogde doelstelling van 150 dagen ligt; </w:t>
            </w:r>
            <w:r>
              <w:rPr>
                <w:b/>
                <w:i/>
              </w:rPr>
              <w:t>onderkent dat de behandeling van complexe zaken langer kan duren, met name zaken waarbij meerdere instellingen betrokken zijn;</w:t>
            </w:r>
            <w:r>
              <w:t xml:space="preserve"> merkt in dit verband met voldoening op uit het verslag van de Ombudsman aan het Parlement over de follow-up van de kwijting voor het begrotingsjaar 2023 (het “vervolgverslag”) dat een van de belangrijkste strategische doelstellingen van de nieuw gekozen Ombudsman is om de samenwerking en de dialoog met de instellingen, organen en instanties van de Unie te versterken, met als uiteindelijk doel de tijd die nodig is voor de behandeling van onderzoeken te verkorten;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merkt met betrekking tot de bevindingen op dat de Ombudsman in 2024 in 14 gevallen een voorstel voor een oplossing heeft gedaan en in drie gevallen aanbevelingen heeft gedaan met betrekking tot de toegang van het publiek tot documenten; merkt op dat de instellingen van de Unie vaker positief hebben gereageerd op voorstellen van de Ombudsman om hun bestuur te verbeteren, met een algemeen acceptatiepercentage van 82 % in 2024 (ten opzichte van 81 % in 2023), waarbij dat percentage ook zaken omvat die in 2023 zijn afgesloten; verzoekt de Ombudsman ervoor te blijven zorgen dat zijn bevindingen, aanbevelingen en suggesties in hoge mate worden nageleefd;</w:t>
            </w:r>
          </w:p>
        </w:tc>
        <w:tc>
          <w:tcPr>
            <w:tcW w:w="4876" w:type="dxa"/>
            <w:tcBorders>
              <w:top w:val="nil"/>
              <w:left w:val="nil"/>
              <w:bottom w:val="nil"/>
              <w:right w:val="nil"/>
            </w:tcBorders>
          </w:tcPr>
          <w:p>
            <w:pPr>
              <w:pStyle w:val="Normal6a"/>
            </w:pPr>
            <w:r>
              <w:t>13.</w:t>
            </w:r>
            <w:r>
              <w:tab/>
            </w:r>
            <w:r>
              <w:t xml:space="preserve">merkt met betrekking tot de bevindingen op dat de Ombudsman in 2024 in 14 gevallen een voorstel voor een oplossing heeft gedaan en in drie gevallen aanbevelingen heeft gedaan met betrekking tot de toegang van het publiek tot documenten; merkt op dat de instellingen van de Unie vaker positief hebben gereageerd op voorstellen van de Ombudsman om hun bestuur te verbeteren, met een algemeen acceptatiepercentage van 82 % in 2024 (ten opzichte van 81 % in 2023), waarbij dat percentage ook zaken omvat die in 2023 zijn afgesloten; verzoekt de Ombudsman </w:t>
            </w:r>
            <w:r>
              <w:rPr>
                <w:b/>
                <w:i/>
              </w:rPr>
              <w:t>een gericht actieplan te ontwikkelen met als doel in kaart te brengen welke oorzaken doorgaans ten grondslag liggen aan de resterende niet-geaccepteerde voorstellen en deze aan te pakken, en verzoekt de Ombudsman</w:t>
            </w:r>
            <w:r>
              <w:t xml:space="preserve"> ervoor te blijven zorgen dat zijn bevindingen, aanbevelingen en suggesties in hoge mate worden nageleefd;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waardeert dat de Ombudsman zich in 2024 heeft blijven inspannen om het bewustzijn en begrip van burgers over zijn mandaat te vergroten; constateert in dit verband met tevredenheid dat het aandeel klachten binnen het mandaat is gestegen van 33 % in 2022 en 37 % in 2023 tot 39 % in 2024; merkt voorts op uit het vervolgverslag dat een van de nieuwe strategische doelstellingen van de Ombudsman is om gerichte communicatieactiviteiten te lanceren om ervoor te zorgen dat burgers die de Ombudsman nodig hebben, zich bewust zijn van hun recht op en het gebruik van zijn diensten; merkt in dit verband op dat als gevolg hiervan een stijging van het aantal klachten wordt verwacht, waardoor de werkmethoden moeten worden herzien en aangepast en het gebruik van digitale instrumenten, met name AI, moet worden geïntensiveerd teneinde de klachtenbehandeling verder te stroomlijnen; verzoekt de Ombudsman de kwijtingsautoriteit op de hoogte te houden van de vorderingen op dit gebied;</w:t>
            </w:r>
          </w:p>
        </w:tc>
        <w:tc>
          <w:tcPr>
            <w:tcW w:w="4876" w:type="dxa"/>
            <w:tcBorders>
              <w:top w:val="nil"/>
              <w:left w:val="nil"/>
              <w:bottom w:val="nil"/>
              <w:right w:val="nil"/>
            </w:tcBorders>
          </w:tcPr>
          <w:p>
            <w:pPr>
              <w:pStyle w:val="Normal6a"/>
            </w:pPr>
            <w:r>
              <w:t>14.</w:t>
            </w:r>
            <w:r>
              <w:tab/>
            </w:r>
            <w:r>
              <w:t xml:space="preserve">waardeert dat de Ombudsman zich in 2024 heeft blijven inspannen om het bewustzijn en begrip van burgers over zijn mandaat te vergroten; constateert in dit verband met tevredenheid dat het aandeel klachten binnen het mandaat is gestegen van 33 % in 2022 en 37 % in 2023 tot 39 % in 2024; merkt voorts op uit het vervolgverslag dat een van de nieuwe strategische doelstellingen van de Ombudsman is om gerichte communicatieactiviteiten te lanceren om ervoor te zorgen dat burgers die de Ombudsman nodig hebben, zich bewust zijn van hun recht op en het gebruik van zijn diensten; merkt in dit verband op dat als gevolg hiervan een stijging van het aantal klachten wordt verwacht, waardoor de werkmethoden moeten worden herzien en aangepast en het gebruik van digitale instrumenten, met name AI, moet worden geïntensiveerd teneinde de klachtenbehandeling verder te stroomlijnen; verzoekt de Ombudsman </w:t>
            </w:r>
            <w:r>
              <w:rPr>
                <w:b/>
                <w:i/>
              </w:rPr>
              <w:t>te onderzoeken welke mogelijke gevolgen de verwachte toename van het aantal klachten heeft voor de begroting en de personele middelen, en</w:t>
            </w:r>
            <w:r>
              <w:t xml:space="preserve"> de kwijtingsautoriteit op de hoogte te houden van de vorderingen op dit 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merkt op uit het vervolgverslag dat de Ombudsman toezicht is blijven houden op kwesties in verband met transparantie en verantwoordingsplicht in het kader van de herstel</w:t>
            </w:r>
            <w:r>
              <w:rPr>
                <w:b/>
                <w:i/>
              </w:rPr>
              <w:t>‑</w:t>
            </w:r>
            <w:r>
              <w:t xml:space="preserve"> en veerkrachtfaciliteit, in het kader van de behandeling van klachten op het gebied van de toegang van het publiek tot documenten, voornamelijk met betrekking tot onderhandelingen over de nationale herstel</w:t>
            </w:r>
            <w:r>
              <w:rPr>
                <w:b/>
                <w:i/>
              </w:rPr>
              <w:t>‑</w:t>
            </w:r>
            <w:r>
              <w:t xml:space="preserve"> en veerkrachtplannen; neemt kennis van onder meer de aanzienlijke vertragingen die de Commissie heeft opgelopen bij het beantwoorden van verzoeken om toegang tot informatie, en de mate van toegang die is verleend; waardeert het dat de Commissie in een zaak betreffende het Nederlandse herstel</w:t>
            </w:r>
            <w:r>
              <w:rPr>
                <w:b/>
                <w:i/>
              </w:rPr>
              <w:t>‑</w:t>
            </w:r>
            <w:r>
              <w:t xml:space="preserve"> en veerkrachtplan, naar aanleiding van het voorstel van de Ombudsman voor een oplossing, ruimere toegang heeft verleend tot 172 documenten; veroordeelt de Commissie echter krachtig omdat zij 21 maanden heeft gewacht met het beantwoorden van het confirmatief verzoek van de klager (journalist), namelijk in juli 2024, toen de verleende toegang tot documenten niet langer bruikbaar was voor het beoogde doel; is het ermee eens dat in zaken van groot algemeen belang, zoals de herstel</w:t>
            </w:r>
            <w:r>
              <w:rPr>
                <w:b/>
                <w:i/>
              </w:rPr>
              <w:t>‑</w:t>
            </w:r>
            <w:r>
              <w:t xml:space="preserve"> en veerkrachtfaciliteit, geen vertraging mag optreden bij het verlenen van toegang tot documenten; sluit zich aan bij het standpunt van de Ombudsman dat de Commissie zorgvuldig moet nagaan of er sprake is van een hoger openbaar belang wanneer zij uitzonderingen op de toegang van het publiek op grond van Verordening 1049/2001</w:t>
            </w:r>
            <w:r>
              <w:rPr>
                <w:vertAlign w:val="superscript"/>
              </w:rPr>
              <w:t>4</w:t>
            </w:r>
            <w:r>
              <w:t>toepast;</w:t>
            </w:r>
          </w:p>
        </w:tc>
        <w:tc>
          <w:tcPr>
            <w:tcW w:w="4876" w:type="dxa"/>
            <w:tcBorders>
              <w:top w:val="nil"/>
              <w:left w:val="nil"/>
              <w:bottom w:val="nil"/>
              <w:right w:val="nil"/>
            </w:tcBorders>
          </w:tcPr>
          <w:p>
            <w:pPr>
              <w:pStyle w:val="Normal6a"/>
            </w:pPr>
            <w:r>
              <w:t>18.</w:t>
            </w:r>
            <w:r>
              <w:tab/>
            </w:r>
            <w:r>
              <w:t>merkt op uit het vervolgverslag dat de Ombudsman toezicht is blijven houden op kwesties in verband met transparantie en verantwoordingsplicht in het kader van de herstel</w:t>
            </w:r>
            <w:r>
              <w:rPr>
                <w:b/>
                <w:i/>
              </w:rPr>
              <w:t>-</w:t>
            </w:r>
            <w:r>
              <w:t xml:space="preserve"> en veerkrachtfaciliteit, in het kader van de behandeling van klachten op het gebied van de toegang van het publiek tot documenten, voornamelijk met betrekking tot onderhandelingen over de nationale herstel</w:t>
            </w:r>
            <w:r>
              <w:rPr>
                <w:b/>
                <w:i/>
              </w:rPr>
              <w:t>-</w:t>
            </w:r>
            <w:r>
              <w:t xml:space="preserve"> en veerkrachtplannen; neemt kennis van onder meer de aanzienlijke vertragingen die de Commissie heeft opgelopen bij het beantwoorden van verzoeken om toegang tot informatie, en de mate van toegang die is verleend; waardeert het dat de Commissie in een zaak betreffende het Nederlandse herstel</w:t>
            </w:r>
            <w:r>
              <w:rPr>
                <w:b/>
                <w:i/>
              </w:rPr>
              <w:t>-</w:t>
            </w:r>
            <w:r>
              <w:t xml:space="preserve"> en veerkrachtplan, naar aanleiding van het voorstel van de Ombudsman voor een oplossing, ruimere toegang heeft verleend tot 172 documenten; veroordeelt de Commissie echter krachtig omdat zij 21 maanden heeft gewacht met het beantwoorden van het confirmatief verzoek van de klager (journalist), namelijk in juli 2024, toen de verleende toegang tot documenten niet langer bruikbaar was voor het beoogde doel; is het ermee eens dat in zaken van groot algemeen belang, zoals de herstel</w:t>
            </w:r>
            <w:r>
              <w:rPr>
                <w:b/>
                <w:i/>
              </w:rPr>
              <w:t>-</w:t>
            </w:r>
            <w:r>
              <w:t xml:space="preserve"> en veerkrachtfaciliteit, geen vertraging mag optreden bij het verlenen van toegang tot documenten; sluit zich aan bij het standpunt van de Ombudsman dat de Commissie zorgvuldig moet nagaan of er sprake is van een hoger openbaar belang wanneer zij uitzonderingen op de toegang van het publiek op grond van Verordening 1049/2001</w:t>
            </w:r>
            <w:r>
              <w:rPr>
                <w:vertAlign w:val="superscript"/>
              </w:rPr>
              <w:t>4</w:t>
            </w:r>
            <w:r>
              <w:t xml:space="preserve"> toepast; </w:t>
            </w:r>
            <w:r>
              <w:rPr>
                <w:b/>
                <w:i/>
              </w:rPr>
              <w:t>verzoekt de Ombudsman voorrang te blijven geven aan een systematische aanpak van ongeoorloofde vertragingen bij procedures in verband met de toegang tot documenten, onder meer door terugkerende administratieve knelpunten en optimale werkwijzen in de instellingen in kaart te brengen;</w:t>
            </w:r>
            <w:r>
              <w:t xml:space="preserve"> </w:t>
            </w:r>
            <w:r>
              <w:rPr>
                <w:b/>
                <w:i/>
              </w:rPr>
              <w:t>ondersteunt de Ombudsman bij het bevorderen van een consistent gebruik van de toets van het hoger openbaar belang, met name voor dossiers met grote impact, zodat informatie toegankelijk wordt binnen een termijn die publieke controle mogelijk maakt;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Verordening (EG) nr. 1049/2001 van het Europees Parlement en de Raad van 30 mei 2001 inzake de toegang van het publiek tot documenten van het Europees Parlement, de Raad en de Commissie (PB L 145 van 31.5.2001, blz.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Verordening (EG) nr. 1049/2001 van het Europees Parlement en de Raad van 30 mei 2001 inzake de toegang van het publiek tot documenten van het Europees Parlement, de Raad en de Commissie (PB L 145 van 31.5.2001, blz.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merkt op uit het vervolgverslag dat de Ombudsman toezicht is blijven houden op kwesties in verband met transparantie en verantwoordingsplicht in het kader van de herstel</w:t>
            </w:r>
            <w:r>
              <w:rPr>
                <w:b/>
                <w:i/>
              </w:rPr>
              <w:t>‑</w:t>
            </w:r>
            <w:r>
              <w:t xml:space="preserve"> en veerkrachtfaciliteit, in het kader van de behandeling van klachten op het gebied van de toegang van het publiek tot documenten, voornamelijk met betrekking tot onderhandelingen over de nationale herstel</w:t>
            </w:r>
            <w:r>
              <w:rPr>
                <w:b/>
                <w:i/>
              </w:rPr>
              <w:t>‑</w:t>
            </w:r>
            <w:r>
              <w:t xml:space="preserve"> en veerkrachtplannen; neemt kennis van onder meer de aanzienlijke vertragingen die de Commissie heeft opgelopen bij het beantwoorden van verzoeken om toegang tot informatie, en de mate van toegang die is verleend; waardeert het dat de Commissie in een zaak betreffende het Nederlandse herstel</w:t>
            </w:r>
            <w:r>
              <w:rPr>
                <w:b/>
                <w:i/>
              </w:rPr>
              <w:t>‑</w:t>
            </w:r>
            <w:r>
              <w:t xml:space="preserve"> en veerkrachtplan, naar aanleiding van het voorstel van de Ombudsman voor een oplossing, ruimere toegang heeft verleend tot 172 documenten; veroordeelt de Commissie echter krachtig omdat zij 21 maanden heeft gewacht met het beantwoorden van het confirmatief verzoek van de klager (journalist), namelijk in juli 2024, toen de verleende toegang tot documenten niet langer bruikbaar was voor het beoogde doel; is het ermee eens dat in zaken van groot algemeen belang, zoals de herstel</w:t>
            </w:r>
            <w:r>
              <w:rPr>
                <w:b/>
                <w:i/>
              </w:rPr>
              <w:t>‑</w:t>
            </w:r>
            <w:r>
              <w:t xml:space="preserve"> en veerkrachtfaciliteit, geen vertraging mag optreden bij het verlenen van toegang tot documenten; sluit zich aan bij het standpunt van de Ombudsman dat de Commissie zorgvuldig moet nagaan of er sprake is van een hoger openbaar belang wanneer zij uitzonderingen op de toegang van het publiek op grond van Verordening 1049/2001</w:t>
            </w:r>
            <w:r>
              <w:rPr>
                <w:vertAlign w:val="superscript"/>
              </w:rPr>
              <w:t>4</w:t>
            </w:r>
            <w:r>
              <w:t>toepast;</w:t>
            </w:r>
          </w:p>
        </w:tc>
        <w:tc>
          <w:tcPr>
            <w:tcW w:w="4876" w:type="dxa"/>
            <w:tcBorders>
              <w:top w:val="nil"/>
              <w:left w:val="nil"/>
              <w:bottom w:val="nil"/>
              <w:right w:val="nil"/>
            </w:tcBorders>
          </w:tcPr>
          <w:p>
            <w:pPr>
              <w:pStyle w:val="Normal6a"/>
            </w:pPr>
            <w:r>
              <w:t>18.</w:t>
            </w:r>
            <w:r>
              <w:tab/>
            </w:r>
            <w:r>
              <w:t>merkt op uit het vervolgverslag dat de Ombudsman toezicht is blijven houden op kwesties in verband met transparantie en verantwoordingsplicht in het kader van de herstel</w:t>
            </w:r>
            <w:r>
              <w:rPr>
                <w:b/>
                <w:i/>
              </w:rPr>
              <w:t>-</w:t>
            </w:r>
            <w:r>
              <w:t xml:space="preserve"> en veerkrachtfaciliteit, in het kader van de behandeling van klachten op het gebied van de toegang van het publiek tot documenten, voornamelijk met betrekking tot onderhandelingen over de nationale herstel</w:t>
            </w:r>
            <w:r>
              <w:rPr>
                <w:b/>
                <w:i/>
              </w:rPr>
              <w:t>-</w:t>
            </w:r>
            <w:r>
              <w:t xml:space="preserve"> en veerkrachtplannen; neemt kennis van onder meer de aanzienlijke vertragingen die de Commissie heeft opgelopen bij het beantwoorden van verzoeken om toegang tot informatie, en de mate van toegang die is verleend; waardeert het dat de Commissie in een zaak betreffende het Nederlandse herstel</w:t>
            </w:r>
            <w:r>
              <w:rPr>
                <w:b/>
                <w:i/>
              </w:rPr>
              <w:t>-</w:t>
            </w:r>
            <w:r>
              <w:t xml:space="preserve"> en veerkrachtplan, naar aanleiding van het voorstel van de Ombudsman voor een oplossing, ruimere toegang heeft verleend tot 172 documenten; veroordeelt de Commissie echter krachtig omdat zij 21 maanden heeft gewacht met het beantwoorden van het confirmatief verzoek van de klager (journalist), namelijk in juli 2024, toen de verleende toegang tot documenten niet langer bruikbaar was voor het beoogde doel; is het ermee eens dat in zaken van groot algemeen belang, zoals de herstel</w:t>
            </w:r>
            <w:r>
              <w:rPr>
                <w:b/>
                <w:i/>
              </w:rPr>
              <w:t>-</w:t>
            </w:r>
            <w:r>
              <w:t xml:space="preserve"> en veerkrachtfaciliteit, geen vertraging mag optreden bij het verlenen van toegang tot documenten; sluit zich aan bij het standpunt van de Ombudsman dat de Commissie zorgvuldig moet nagaan of er sprake is van een hoger openbaar belang wanneer zij uitzonderingen op de toegang van het publiek op grond van Verordening 1049/2001</w:t>
            </w:r>
            <w:r>
              <w:rPr>
                <w:vertAlign w:val="superscript"/>
              </w:rPr>
              <w:t>4</w:t>
            </w:r>
            <w:r>
              <w:t xml:space="preserve"> toepast; </w:t>
            </w:r>
            <w:r>
              <w:rPr>
                <w:b/>
                <w:i/>
              </w:rPr>
              <w:t>is van mening dat zo’n vertraging bij zaken van groot openbaar belang, zoals de herstel- en veerkrachtfaciliteit, in tegenspraak is met het transparantiebeginsel;</w:t>
            </w:r>
            <w:r>
              <w:t xml:space="preserve"> </w:t>
            </w:r>
            <w:r>
              <w:rPr>
                <w:b/>
                <w:i/>
              </w:rPr>
              <w:t>verzoekt de Ombudsman de betreffende commissies van het Parlement formeel in kennis te stellen zodra de Commissie meer dan zes maanden vertraging oploopt met herstel- en veerkrachtdocumenten, zodat tijdige politieke controle mogelijk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Verordening (EG) nr. 1049/2001 van het Europees Parlement en de Raad van 30 mei 2001 inzake de toegang van het publiek tot documenten van het Europees Parlement, de Raad en de Commissie (PB L 145 van 31.5.2001, blz.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Verordening (EG) nr. 1049/2001 van het Europees Parlement en de Raad van 30 mei 2001 inzake de toegang van het publiek tot documenten van het Europees Parlement, de Raad en de Commissie (PB L 145 van 31.5.2001, blz.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merkt op uit het vervolgverslag dat de Ombudsman toezicht is blijven houden op kwesties in verband met transparantie en verantwoordingsplicht in het kader van de herstel</w:t>
            </w:r>
            <w:r>
              <w:rPr>
                <w:b/>
                <w:i/>
              </w:rPr>
              <w:t>‑</w:t>
            </w:r>
            <w:r>
              <w:t xml:space="preserve"> en veerkrachtfaciliteit, in het kader van de behandeling van klachten op het gebied van de toegang van het publiek tot documenten, voornamelijk met betrekking tot onderhandelingen over de nationale herstel</w:t>
            </w:r>
            <w:r>
              <w:rPr>
                <w:b/>
                <w:i/>
              </w:rPr>
              <w:t>‑</w:t>
            </w:r>
            <w:r>
              <w:t xml:space="preserve"> en veerkrachtplannen; neemt kennis van onder meer de aanzienlijke vertragingen die de Commissie heeft opgelopen bij het beantwoorden van verzoeken om toegang tot informatie, en de mate van toegang die is verleend; waardeert het dat de Commissie in een zaak betreffende het Nederlandse herstel</w:t>
            </w:r>
            <w:r>
              <w:rPr>
                <w:b/>
                <w:i/>
              </w:rPr>
              <w:t>‑</w:t>
            </w:r>
            <w:r>
              <w:t xml:space="preserve"> en veerkrachtplan, naar aanleiding van het voorstel van de Ombudsman voor een oplossing, ruimere toegang heeft verleend tot 172 documenten; veroordeelt de Commissie echter krachtig omdat zij 21 maanden heeft gewacht met het beantwoorden van het confirmatief verzoek van de klager (journalist), namelijk in juli 2024, toen de verleende toegang tot documenten niet langer bruikbaar was voor het beoogde doel; is het ermee eens dat in zaken van groot algemeen belang, zoals de herstel</w:t>
            </w:r>
            <w:r>
              <w:rPr>
                <w:b/>
                <w:i/>
              </w:rPr>
              <w:t>‑</w:t>
            </w:r>
            <w:r>
              <w:t xml:space="preserve"> en veerkrachtfaciliteit, geen vertraging mag optreden bij het verlenen van toegang tot documenten; sluit zich aan bij het standpunt van de Ombudsman dat de Commissie zorgvuldig moet nagaan of er sprake is van een hoger openbaar belang wanneer zij uitzonderingen op de toegang van het publiek op grond van Verordening 1049/2001</w:t>
            </w:r>
            <w:r>
              <w:rPr>
                <w:vertAlign w:val="superscript"/>
              </w:rPr>
              <w:t>4</w:t>
            </w:r>
            <w:r>
              <w:t>toepast;</w:t>
            </w:r>
          </w:p>
        </w:tc>
        <w:tc>
          <w:tcPr>
            <w:tcW w:w="4876" w:type="dxa"/>
            <w:tcBorders>
              <w:top w:val="nil"/>
              <w:left w:val="nil"/>
              <w:bottom w:val="nil"/>
              <w:right w:val="nil"/>
            </w:tcBorders>
          </w:tcPr>
          <w:p>
            <w:pPr>
              <w:pStyle w:val="Normal6a"/>
            </w:pPr>
            <w:r>
              <w:t>18.</w:t>
            </w:r>
            <w:r>
              <w:tab/>
            </w:r>
            <w:r>
              <w:t>merkt op uit het vervolgverslag dat de Ombudsman toezicht is blijven houden op kwesties in verband met transparantie en verantwoordingsplicht in het kader van de herstel</w:t>
            </w:r>
            <w:r>
              <w:rPr>
                <w:b/>
                <w:i/>
              </w:rPr>
              <w:t>-</w:t>
            </w:r>
            <w:r>
              <w:t xml:space="preserve"> en veerkrachtfaciliteit, in het kader van de behandeling van klachten op het gebied van de toegang van het publiek tot documenten, voornamelijk met betrekking tot onderhandelingen over de nationale herstel</w:t>
            </w:r>
            <w:r>
              <w:rPr>
                <w:b/>
                <w:i/>
              </w:rPr>
              <w:t>-</w:t>
            </w:r>
            <w:r>
              <w:t xml:space="preserve"> en veerkrachtplannen; neemt kennis van onder meer de aanzienlijke vertragingen die de Commissie heeft opgelopen bij het beantwoorden van verzoeken om toegang tot informatie, en de mate van toegang die is verleend</w:t>
            </w:r>
            <w:r>
              <w:rPr>
                <w:b/>
                <w:i/>
              </w:rPr>
              <w:t>, wat waarschijnlijk het vertrouwen van de burgers in het EU-bestuur zal aantasten</w:t>
            </w:r>
            <w:r>
              <w:t>; waardeert het dat de Commissie in een zaak betreffende het Nederlandse herstel</w:t>
            </w:r>
            <w:r>
              <w:rPr>
                <w:b/>
                <w:i/>
              </w:rPr>
              <w:t>-</w:t>
            </w:r>
            <w:r>
              <w:t xml:space="preserve"> en veerkrachtplan, naar aanleiding van het voorstel van de Ombudsman voor een oplossing, ruimere toegang heeft verleend tot 172 documenten; veroordeelt de Commissie echter krachtig omdat zij 21 maanden heeft gewacht met het beantwoorden van het confirmatief verzoek van de klager (journalist), namelijk in juli 2024, toen de verleende toegang tot documenten niet langer bruikbaar was voor het beoogde doel; </w:t>
            </w:r>
            <w:r>
              <w:rPr>
                <w:b/>
                <w:i/>
              </w:rPr>
              <w:t>wijst er met bezorgdheid op dat dergelijke vertragingen de democratische controle verzwakken;</w:t>
            </w:r>
            <w:r>
              <w:t xml:space="preserve"> is het ermee eens dat in zaken van groot algemeen belang, zoals de herstel</w:t>
            </w:r>
            <w:r>
              <w:rPr>
                <w:b/>
                <w:i/>
              </w:rPr>
              <w:t>-</w:t>
            </w:r>
            <w:r>
              <w:t xml:space="preserve"> en veerkrachtfaciliteit, geen vertraging mag optreden bij het verlenen van toegang tot documenten; sluit zich aan bij het standpunt van de Ombudsman dat de Commissie zorgvuldig moet nagaan of er sprake is van een hoger openbaar belang wanneer zij uitzonderingen op de toegang van het publiek op grond van Verordening 1049/2001</w:t>
            </w:r>
            <w:r>
              <w:rPr>
                <w:vertAlign w:val="superscript"/>
              </w:rPr>
              <w:t>4</w:t>
            </w:r>
            <w:r>
              <w:t xml:space="preserve"> toepast;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Verordening (EG) nr. 1049/2001 van het Europees Parlement en de Raad van 30 mei 2001 inzake de toegang van het publiek tot documenten van het Europees Parlement, de Raad en de Commissie (PB L 145 van 31.5.2001, blz.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Verordening (EG) nr. 1049/2001 van het Europees Parlement en de Raad van 30 mei 2001 inzake de toegang van het publiek tot documenten van het Europees Parlement, de Raad en de Commissie (PB L 145 van 31.5.2001, blz.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merkt op uit het vervolgverslag dat de Ombudsman toezicht is blijven houden op kwesties in verband met transparantie en verantwoordingsplicht in het kader van de herstel</w:t>
            </w:r>
            <w:r>
              <w:rPr>
                <w:b/>
                <w:i/>
              </w:rPr>
              <w:t>‑</w:t>
            </w:r>
            <w:r>
              <w:t xml:space="preserve"> en veerkrachtfaciliteit, in het kader van de behandeling van klachten op het gebied van de toegang van het publiek tot documenten, voornamelijk met betrekking tot onderhandelingen over de nationale herstel</w:t>
            </w:r>
            <w:r>
              <w:rPr>
                <w:b/>
                <w:i/>
              </w:rPr>
              <w:t>‑</w:t>
            </w:r>
            <w:r>
              <w:t xml:space="preserve"> en veerkrachtplannen; neemt kennis van onder meer de aanzienlijke vertragingen die de Commissie heeft opgelopen bij het beantwoorden van verzoeken om toegang tot informatie, en de mate van toegang die is verleend; waardeert het dat de Commissie in een zaak betreffende het Nederlandse herstel</w:t>
            </w:r>
            <w:r>
              <w:rPr>
                <w:b/>
                <w:i/>
              </w:rPr>
              <w:t>‑</w:t>
            </w:r>
            <w:r>
              <w:t xml:space="preserve"> en veerkrachtplan, naar aanleiding van het voorstel van de Ombudsman voor een oplossing, ruimere toegang heeft verleend tot 172 documenten; veroordeelt de Commissie echter krachtig omdat zij 21 maanden heeft gewacht met het beantwoorden van het confirmatief verzoek van de klager (journalist), namelijk in juli 2024, toen de verleende toegang tot documenten niet langer bruikbaar was voor het beoogde doel; is het ermee eens dat in zaken van groot algemeen belang, zoals de herstel</w:t>
            </w:r>
            <w:r>
              <w:rPr>
                <w:b/>
                <w:i/>
              </w:rPr>
              <w:t>‑</w:t>
            </w:r>
            <w:r>
              <w:t xml:space="preserve"> en veerkrachtfaciliteit, geen vertraging mag optreden bij het verlenen van toegang tot documenten; sluit zich aan bij het standpunt van de Ombudsman dat de Commissie zorgvuldig moet nagaan of er sprake is van een hoger openbaar belang wanneer zij uitzonderingen op de toegang van het publiek op grond van Verordening 1049/2001</w:t>
            </w:r>
            <w:r>
              <w:rPr>
                <w:vertAlign w:val="superscript"/>
              </w:rPr>
              <w:t>4</w:t>
            </w:r>
            <w:r>
              <w:t>toepast;</w:t>
            </w:r>
          </w:p>
        </w:tc>
        <w:tc>
          <w:tcPr>
            <w:tcW w:w="4876" w:type="dxa"/>
            <w:tcBorders>
              <w:top w:val="nil"/>
              <w:left w:val="nil"/>
              <w:bottom w:val="nil"/>
              <w:right w:val="nil"/>
            </w:tcBorders>
          </w:tcPr>
          <w:p>
            <w:pPr>
              <w:pStyle w:val="Normal6a"/>
            </w:pPr>
            <w:r>
              <w:t>18.</w:t>
            </w:r>
            <w:r>
              <w:tab/>
            </w:r>
            <w:r>
              <w:t>merkt op uit het vervolgverslag dat de Ombudsman toezicht is blijven houden op kwesties in verband met transparantie en verantwoordingsplicht in het kader van de herstel</w:t>
            </w:r>
            <w:r>
              <w:rPr>
                <w:b/>
                <w:i/>
              </w:rPr>
              <w:t>-</w:t>
            </w:r>
            <w:r>
              <w:t xml:space="preserve"> en veerkrachtfaciliteit, in het kader van de behandeling van klachten op het gebied van de toegang van het publiek tot documenten, voornamelijk met betrekking tot onderhandelingen over de nationale herstel</w:t>
            </w:r>
            <w:r>
              <w:rPr>
                <w:b/>
                <w:i/>
              </w:rPr>
              <w:t>-</w:t>
            </w:r>
            <w:r>
              <w:t xml:space="preserve"> en veerkrachtplannen; neemt kennis van onder meer de aanzienlijke vertragingen die de Commissie heeft opgelopen bij het beantwoorden van verzoeken om toegang tot informatie, en de mate van toegang die is verleend; waardeert het dat de Commissie in een zaak betreffende het Nederlandse herstel</w:t>
            </w:r>
            <w:r>
              <w:rPr>
                <w:b/>
                <w:i/>
              </w:rPr>
              <w:t>-</w:t>
            </w:r>
            <w:r>
              <w:t xml:space="preserve"> en veerkrachtplan, naar aanleiding van het voorstel van de Ombudsman voor een oplossing, ruimere toegang heeft verleend tot 172 documenten; veroordeelt de Commissie echter krachtig omdat zij 21 maanden heeft gewacht met het beantwoorden van het confirmatief verzoek van de klager (journalist), namelijk in juli 2024, toen de verleende toegang tot documenten niet langer bruikbaar was voor het beoogde doel; </w:t>
            </w:r>
            <w:r>
              <w:rPr>
                <w:b/>
                <w:i/>
              </w:rPr>
              <w:t>uit zijn bezorgdheid over deze langdurige vertraging;</w:t>
            </w:r>
            <w:r>
              <w:t xml:space="preserve"> is het ermee eens dat in zaken van groot algemeen belang, zoals de herstel</w:t>
            </w:r>
            <w:r>
              <w:rPr>
                <w:b/>
                <w:i/>
              </w:rPr>
              <w:t>-</w:t>
            </w:r>
            <w:r>
              <w:t xml:space="preserve"> en veerkrachtfaciliteit, geen vertraging mag optreden bij het verlenen van toegang tot documenten; sluit zich aan bij het standpunt van de Ombudsman dat de Commissie zorgvuldig moet nagaan of er sprake is van een hoger openbaar belang wanneer zij uitzonderingen op de toegang van het publiek op grond van Verordening 1049/2001</w:t>
            </w:r>
            <w:r>
              <w:rPr>
                <w:vertAlign w:val="superscript"/>
              </w:rPr>
              <w:t>4</w:t>
            </w:r>
            <w:r>
              <w:t xml:space="preserve"> toepast;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Verordening (EG) nr. 1049/2001 van het Europees Parlement en de Raad van 30 mei 2001 inzake de toegang van het publiek tot documenten van het Europees Parlement, de Raad en de Commissie (PB L 145 van 31.5.2001, blz.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Verordening (EG) nr. 1049/2001 van het Europees Parlement en de Raad van 30 mei 2001 inzake de toegang van het publiek tot documenten van het Europees Parlement, de Raad en de Commissie (PB L 145 van 31.5.2001, blz.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herinnert eraan dat de toegang tot documenten, met name wetgevingsdocumenten, volgens de Ombudsman slechts mag worden beperkt in uitzonderlijke situaties waarin dit absoluut noodzakelijk is; herhaalt ook dat besluiten om de toegang van het publiek tot documenten te weigeren, op duidelijk en streng omlijnde wettelijke uitzonderingen moeten stoelen en vergezeld moeten gaan van een gemotiveerde, specifieke toelichting om de burgers in staat te stellen de reden voor de weigering te begrijpen en doeltreffend gebruik te maken van de beschikbare rechtsmiddelen; is van mening dat een proactievere aanpak daadwerkelijke transparantie in de hand zou werken en dure en omslachtige juridische geschillen tussen burgers en instellingen zou helpen voorkomen</w:t>
            </w:r>
            <w:r>
              <w:rPr>
                <w:vertAlign w:val="superscript"/>
              </w:rPr>
              <w:t>5</w:t>
            </w:r>
            <w:r>
              <w:t>;</w:t>
            </w:r>
          </w:p>
        </w:tc>
        <w:tc>
          <w:tcPr>
            <w:tcW w:w="4876" w:type="dxa"/>
            <w:tcBorders>
              <w:top w:val="nil"/>
              <w:left w:val="nil"/>
              <w:bottom w:val="nil"/>
              <w:right w:val="nil"/>
            </w:tcBorders>
          </w:tcPr>
          <w:p>
            <w:pPr>
              <w:pStyle w:val="Normal6a"/>
            </w:pPr>
            <w:r>
              <w:t>19.</w:t>
            </w:r>
            <w:r>
              <w:tab/>
            </w:r>
            <w:r>
              <w:t>herinnert eraan dat de toegang tot documenten, met name wetgevingsdocumenten, volgens de Ombudsman slechts mag worden beperkt in uitzonderlijke situaties waarin dit absoluut noodzakelijk is; herhaalt ook dat besluiten om de toegang van het publiek tot documenten te weigeren, op duidelijk en streng omlijnde wettelijke uitzonderingen moeten stoelen en vergezeld moeten gaan van een gemotiveerde, specifieke toelichting om de burgers in staat te stellen de reden voor de weigering te begrijpen en doeltreffend gebruik te maken van de beschikbare rechtsmiddelen; is van mening dat een proactievere aanpak daadwerkelijke transparantie in de hand zou werken en dure en omslachtige juridische geschillen tussen burgers en instellingen</w:t>
            </w:r>
            <w:r>
              <w:rPr>
                <w:vertAlign w:val="superscript"/>
              </w:rPr>
              <w:t>5</w:t>
            </w:r>
            <w:r>
              <w:t xml:space="preserve"> zou helpen voorkomen; </w:t>
            </w:r>
            <w:r>
              <w:rPr>
                <w:b/>
                <w:i/>
              </w:rPr>
              <w:t>moedigt de Ombudsman aan proactieve publicatiepraktijken te bevorderen, met name bij wetgevende documenten en documenten inzake beleidsvorming, zodat er al in de ontwerpfase sprake is van meer transparantie, de administratieve lasten worden verminderd en er minder risico bestaat op geschillen in verband met herhaalde verzoeken om toegang tot documenten;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https://www.europarl.europa.eu/doceo/document/TA-9-2023-0295_NL.html.</w:t>
            </w:r>
          </w:p>
        </w:tc>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https://www.europarl.europa.eu/doceo/document/TA-9-2023-0295_NL.html.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neemt kennis van een daling van 4,90 % van het totale aantal personeelsleden van de Ombudsman, van 82 in 2023 tot 78 in 2024; merkt voorts op dat in 2024 46 ambtenaren in dienst waren bij de Ombudsman, tegenover veertig in 2023, en negen arbeidscontractanten, evenveel als in 2023; merkt op dat het aandeel personeelsleden dat zich met de kernactiviteiten van de Ombudsman (klachten en onderzoeken) bezighoudt, licht gedaald is, van 42,68 % in 2023 tot 42,30 % in 2024; merkt voorts op dat de personeelsbezettingsgraad is gestegen van 95 % in 2023 naar 97 % in 2024 en het verloop is gedaald van 5,20 % in 2023 naar 6,40 % in 2024; herinnert aan het belang van het aanbieden van vaste contracten teneinde vaardigheden, continuïteit en een productieve werkomgeving te behouden;</w:t>
            </w:r>
          </w:p>
        </w:tc>
        <w:tc>
          <w:tcPr>
            <w:tcW w:w="4876" w:type="dxa"/>
            <w:tcBorders>
              <w:top w:val="nil"/>
              <w:left w:val="nil"/>
              <w:bottom w:val="nil"/>
              <w:right w:val="nil"/>
            </w:tcBorders>
          </w:tcPr>
          <w:p>
            <w:pPr>
              <w:pStyle w:val="Normal6a"/>
            </w:pPr>
            <w:r>
              <w:t>21.</w:t>
            </w:r>
            <w:r>
              <w:tab/>
            </w:r>
            <w:r>
              <w:t xml:space="preserve">neemt kennis van een daling van 4,90 % van het totale aantal personeelsleden van de Ombudsman, van 82 in 2023 tot 78 in 2024; merkt voorts op dat in 2024 46 ambtenaren in dienst waren bij de Ombudsman, tegenover veertig in 2023, en negen arbeidscontractanten, evenveel als in 2023; merkt op dat het aandeel personeelsleden dat zich met de kernactiviteiten van de Ombudsman (klachten en onderzoeken) bezighoudt, licht gedaald is, van 42,68 % in 2023 tot 42,30 % in 2024; merkt voorts op dat de personeelsbezettingsgraad is gestegen van 95 % in 2023 naar 97 % in 2024 en het verloop is gedaald van 5,20 % in 2023 naar 6,40 % in 2024; herinnert aan het belang van het aanbieden van vaste contracten teneinde vaardigheden, continuïteit en een productieve werkomgeving te behouden; </w:t>
            </w:r>
            <w:r>
              <w:rPr>
                <w:b/>
                <w:i/>
              </w:rPr>
              <w:t>beklemtoont dat het institutionele geheugen en de efficiëntie van de instelling kunnen afnemen doordat steeds minder personeelsleden werkzaam zijn in operationele kerngebieden en er veel gebruikgemaakt wordt van tijdelijke contracten;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herinnert eraan dat de post van secretaris-generaal van de Ombudsman al sinds 1 september 2022, dus meer dan twee jaar, vacant is; merkt op dat de Ombudsman een interinstitutionele procedure voor de aanwerving van zijn nieuwe secretaris-generaal heeft gestart door op 30 juni 2025 een oproep tot het indienen van blijken van belangstelling (nr. OMB/2/2025) te publiceren, hetgeen heeft geresulteerd in 14 in aanmerking komende sollicitaties; merkt voorts op dat de selectieprocedure in 2025 is afgerond en dat er een nieuwe secretaris-generaal is gekozen, die op 1 januari 2026 in functie zal treden; merkt op dat de jury in dit geval uit drie personen bestond, waaronder de Ombudsman zelf, die betrokken was bij de beoordeling van de geschiktheid van de sollicitaties en de sollicitatiegesprekken; </w:t>
            </w:r>
            <w:r>
              <w:rPr>
                <w:b/>
                <w:i/>
              </w:rPr>
              <w:t>is van mening dat het feit dat de geselecteerde secretaris-generaal eerder kabinetschef was</w:t>
            </w:r>
            <w:r>
              <w:t xml:space="preserve"> van de </w:t>
            </w:r>
            <w:r>
              <w:rPr>
                <w:b/>
                <w:i/>
              </w:rPr>
              <w:t>huidige</w:t>
            </w:r>
            <w:r>
              <w:t xml:space="preserve"> Ombudsman</w:t>
            </w:r>
            <w:r>
              <w:rPr>
                <w:b/>
                <w:i/>
              </w:rPr>
              <w:t>, die voorzitter was van de jury, aanleiding geeft tot bezorgdheid over mogelijk favoritisme bij de selectieprocedure, ook al is deze rechtmatig verlopen</w:t>
            </w:r>
            <w:r>
              <w:t>;</w:t>
            </w:r>
          </w:p>
        </w:tc>
        <w:tc>
          <w:tcPr>
            <w:tcW w:w="4876" w:type="dxa"/>
            <w:tcBorders>
              <w:top w:val="nil"/>
              <w:left w:val="nil"/>
              <w:bottom w:val="nil"/>
              <w:right w:val="nil"/>
            </w:tcBorders>
          </w:tcPr>
          <w:p>
            <w:pPr>
              <w:pStyle w:val="Normal6a"/>
            </w:pPr>
            <w:r>
              <w:t>22.</w:t>
            </w:r>
            <w:r>
              <w:tab/>
            </w:r>
            <w:r>
              <w:t xml:space="preserve">herinnert eraan dat de post van secretaris-generaal van de Ombudsman al sinds 1 september 2022, dus meer dan twee jaar, vacant is; merkt op dat de Ombudsman een interinstitutionele procedure voor de aanwerving van zijn nieuwe secretaris-generaal heeft gestart door op 30 juni 2025 een oproep tot het indienen van blijken van belangstelling (nr. OMB/2/2025) te publiceren, hetgeen heeft geresulteerd in 14 in aanmerking komende sollicitaties; merkt voorts op dat de selectieprocedure in 2025 is afgerond en dat er een nieuwe secretaris-generaal is gekozen, die op 1 januari 2026 in functie zal treden; merkt op dat de jury in dit geval uit drie personen bestond, waaronder de Ombudsman zelf, die betrokken was bij de beoordeling van de geschiktheid van de sollicitaties en de sollicitatiegesprekken; </w:t>
            </w:r>
            <w:r>
              <w:rPr>
                <w:b/>
                <w:i/>
              </w:rPr>
              <w:t>benadrukt dat vertrouwelijkheid en discretie strikt gegarandeerd moeten zijn en dat solide waarborgen elke vorm van politieke beïnvloeding van of inmenging in het functioneren</w:t>
            </w:r>
            <w:r>
              <w:t xml:space="preserve"> van de Ombudsman </w:t>
            </w:r>
            <w:r>
              <w:rPr>
                <w:b/>
                <w:i/>
              </w:rPr>
              <w:t>als instelling moeten voorkomen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herinnert eraan dat de post van secretaris-generaal van de Ombudsman al sinds 1 september 2022, dus meer dan twee jaar, vacant is; merkt op dat de Ombudsman een interinstitutionele procedure voor de aanwerving van zijn nieuwe secretaris-generaal heeft gestart door op 30 juni 2025 een oproep tot het indienen van blijken van belangstelling (nr. OMB/2/2025) te publiceren, hetgeen heeft geresulteerd in 14 in aanmerking komende sollicitaties; merkt voorts op dat de selectieprocedure in 2025 is afgerond en dat er een nieuwe secretaris-generaal is gekozen, die op 1 januari 2026 in functie zal treden; merkt op dat de jury in dit geval uit drie personen bestond, waaronder de Ombudsman zelf, die betrokken </w:t>
            </w:r>
            <w:r>
              <w:rPr>
                <w:b/>
                <w:i/>
              </w:rPr>
              <w:t>was</w:t>
            </w:r>
            <w:r>
              <w:t xml:space="preserve"> bij de beoordeling van de geschiktheid van de sollicitaties en de sollicitatiegesprekken; </w:t>
            </w:r>
            <w:r>
              <w:rPr>
                <w:b/>
                <w:i/>
              </w:rPr>
              <w:t>is van mening dat het feit</w:t>
            </w:r>
            <w:r>
              <w:t xml:space="preserve"> dat de geselecteerde secretaris-generaal </w:t>
            </w:r>
            <w:r>
              <w:rPr>
                <w:b/>
                <w:i/>
              </w:rPr>
              <w:t>eerder</w:t>
            </w:r>
            <w:r>
              <w:t xml:space="preserve"> kabinetschef </w:t>
            </w:r>
            <w:r>
              <w:rPr>
                <w:b/>
                <w:i/>
              </w:rPr>
              <w:t>was</w:t>
            </w:r>
            <w:r>
              <w:t xml:space="preserve"> van de huidige Ombudsman, </w:t>
            </w:r>
            <w:r>
              <w:rPr>
                <w:b/>
                <w:i/>
              </w:rPr>
              <w:t>die voorzitter was van de jury, aanleiding geeft tot bezorgdheid over</w:t>
            </w:r>
            <w:r>
              <w:t xml:space="preserve"> mogelijk favoritisme </w:t>
            </w:r>
            <w:r>
              <w:rPr>
                <w:b/>
                <w:i/>
              </w:rPr>
              <w:t>bij de selectieprocedure, ook al is deze rechtmatig verlopen</w:t>
            </w:r>
            <w:r>
              <w:t>;</w:t>
            </w:r>
          </w:p>
        </w:tc>
        <w:tc>
          <w:tcPr>
            <w:tcW w:w="4876" w:type="dxa"/>
            <w:tcBorders>
              <w:top w:val="nil"/>
              <w:left w:val="nil"/>
              <w:bottom w:val="nil"/>
              <w:right w:val="nil"/>
            </w:tcBorders>
          </w:tcPr>
          <w:p>
            <w:pPr>
              <w:pStyle w:val="Normal6a"/>
            </w:pPr>
            <w:r>
              <w:t>22.</w:t>
            </w:r>
            <w:r>
              <w:tab/>
            </w:r>
            <w:r>
              <w:t>herinnert eraan dat de post van secretaris-generaal van de Ombudsman al sinds 1 september 2022, dus meer dan twee jaar, vacant is; merkt op dat de Ombudsman</w:t>
            </w:r>
            <w:r>
              <w:rPr>
                <w:b/>
                <w:i/>
              </w:rPr>
              <w:t>, na meerdere verzoeken van het Parlement om opvulling van deze vacante post,</w:t>
            </w:r>
            <w:r>
              <w:t xml:space="preserve"> een interinstitutionele procedure voor de aanwerving van zijn nieuwe secretaris-generaal heeft gestart door op 30 juni 2025 een oproep tot het indienen van blijken van belangstelling (nr. OMB/2/2025) te publiceren, hetgeen heeft geresulteerd in 14 in aanmerking komende sollicitaties; merkt voorts op dat de selectieprocedure in 2025 is afgerond en dat er een nieuwe secretaris-generaal is gekozen, die op 1 januari 2026 in functie zal treden; merkt op dat de jury in dit geval uit drie personen bestond, waaronder de Ombudsman zelf, </w:t>
            </w:r>
            <w:r>
              <w:rPr>
                <w:b/>
                <w:i/>
              </w:rPr>
              <w:t>alsook twee andere externe en onafhankelijke leden,</w:t>
            </w:r>
            <w:r>
              <w:t xml:space="preserve"> die betrokken </w:t>
            </w:r>
            <w:r>
              <w:rPr>
                <w:b/>
                <w:i/>
              </w:rPr>
              <w:t>waren</w:t>
            </w:r>
            <w:r>
              <w:t xml:space="preserve"> bij de beoordeling van de geschiktheid van de sollicitaties en de sollicitatiegesprekken; </w:t>
            </w:r>
            <w:r>
              <w:rPr>
                <w:b/>
                <w:i/>
              </w:rPr>
              <w:t>wijst er nogmaals op dat de Ombudsman overeenkomstig de Verdragen en zijn Statuut een uit één persoon bestaande instelling is;</w:t>
            </w:r>
            <w:r>
              <w:t xml:space="preserve"> </w:t>
            </w:r>
            <w:r>
              <w:rPr>
                <w:b/>
                <w:i/>
              </w:rPr>
              <w:t>neemt ter kennis dat tijdens de selectieprocedure extra waarborgen zijn ingebouwd en dat onder meer twee personeelsleden met een hoge rang de volledige procedure hebben bijgewoond;</w:t>
            </w:r>
            <w:r>
              <w:t xml:space="preserve"> </w:t>
            </w:r>
            <w:r>
              <w:rPr>
                <w:b/>
                <w:i/>
              </w:rPr>
              <w:t>stelt vast dat de procedure rechtmatig is verlopen;</w:t>
            </w:r>
            <w:r>
              <w:t xml:space="preserve"> </w:t>
            </w:r>
            <w:r>
              <w:rPr>
                <w:b/>
                <w:i/>
              </w:rPr>
              <w:t>neemt ter kennis</w:t>
            </w:r>
            <w:r>
              <w:t> dat de geselecteerde secretaris-generaal</w:t>
            </w:r>
            <w:r>
              <w:rPr>
                <w:b/>
                <w:i/>
              </w:rPr>
              <w:t>, die in februari 2025 is benoemd tot</w:t>
            </w:r>
            <w:r>
              <w:t xml:space="preserve"> kabinetschef van de huidige Ombudsman, </w:t>
            </w:r>
            <w:r>
              <w:rPr>
                <w:b/>
                <w:i/>
              </w:rPr>
              <w:t>al 30 jaar EU-ambtenaar is en 10 jaar ervaring heeft als leidinggevende;</w:t>
            </w:r>
            <w:r>
              <w:t xml:space="preserve"> </w:t>
            </w:r>
            <w:r>
              <w:rPr>
                <w:b/>
                <w:i/>
              </w:rPr>
              <w:t>verzoekt de Ombudsman nader te overdenken hoe selectieprocedures en benoemingsbesluiten gevrijwaard kunnen blijven van vermeende belangenconflicten of</w:t>
            </w:r>
            <w:r>
              <w:t xml:space="preserve"> mogelijk favoritisme;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herinnert eraan dat de post van secretaris-generaal van de Ombudsman al sinds 1 september 2022, dus meer dan twee jaar, vacant is; merkt op dat de Ombudsman een interinstitutionele procedure voor de aanwerving van zijn nieuwe secretaris-generaal heeft gestart door op 30 juni 2025 een oproep tot het indienen van blijken van belangstelling (nr. OMB/2/2025) te publiceren, hetgeen heeft geresulteerd in 14 in aanmerking komende sollicitaties; merkt voorts op dat de selectieprocedure in 2025 is afgerond en dat er een nieuwe secretaris-generaal is gekozen, die op 1 januari 2026 in functie zal treden; merkt op dat de jury in dit geval uit drie personen bestond, waaronder de Ombudsman zelf, die betrokken was bij de beoordeling van de geschiktheid van de sollicitaties en de sollicitatiegesprekken; is van mening dat het feit dat de geselecteerde secretaris-generaal eerder kabinetschef was van de huidige Ombudsman, die voorzitter was van de jury, aanleiding </w:t>
            </w:r>
            <w:r>
              <w:rPr>
                <w:b/>
                <w:i/>
              </w:rPr>
              <w:t>geeft tot</w:t>
            </w:r>
            <w:r>
              <w:t xml:space="preserve"> bezorgdheid over </w:t>
            </w:r>
            <w:r>
              <w:rPr>
                <w:b/>
                <w:i/>
              </w:rPr>
              <w:t>mogelijk favoritisme bij</w:t>
            </w:r>
            <w:r>
              <w:t xml:space="preserve"> de selectieprocedure, ook al is deze rechtmatig verlopen;</w:t>
            </w:r>
          </w:p>
        </w:tc>
        <w:tc>
          <w:tcPr>
            <w:tcW w:w="4876" w:type="dxa"/>
            <w:tcBorders>
              <w:top w:val="nil"/>
              <w:left w:val="nil"/>
              <w:bottom w:val="nil"/>
              <w:right w:val="nil"/>
            </w:tcBorders>
          </w:tcPr>
          <w:p>
            <w:pPr>
              <w:pStyle w:val="Normal6a"/>
            </w:pPr>
            <w:r>
              <w:t>22.</w:t>
            </w:r>
            <w:r>
              <w:tab/>
            </w:r>
            <w:r>
              <w:t xml:space="preserve">herinnert eraan dat de post van secretaris-generaal van de Ombudsman al sinds 1 september 2022, dus meer dan twee jaar, vacant is; merkt op dat de Ombudsman een interinstitutionele procedure voor de aanwerving van zijn nieuwe secretaris-generaal heeft gestart door op 30 juni 2025 een oproep tot het indienen van blijken van belangstelling (nr. OMB/2/2025) te publiceren, hetgeen heeft geresulteerd in 14 in aanmerking komende sollicitaties; merkt voorts op dat de selectieprocedure in 2025 is afgerond en dat er een nieuwe secretaris-generaal is gekozen, die op 1 januari 2026 in functie zal treden; merkt op dat de jury in dit geval uit drie personen bestond, waaronder de Ombudsman zelf, die betrokken was bij de beoordeling van de geschiktheid van de sollicitaties en de sollicitatiegesprekken; is van mening dat het feit dat de geselecteerde secretaris-generaal eerder kabinetschef was van de huidige Ombudsman, die voorzitter was van de jury, aanleiding </w:t>
            </w:r>
            <w:r>
              <w:rPr>
                <w:b/>
                <w:i/>
              </w:rPr>
              <w:t>kan geven tot enige</w:t>
            </w:r>
            <w:r>
              <w:t xml:space="preserve"> bezorgdheid over </w:t>
            </w:r>
            <w:r>
              <w:rPr>
                <w:b/>
                <w:i/>
              </w:rPr>
              <w:t>het eerlijke verloop van</w:t>
            </w:r>
            <w:r>
              <w:t xml:space="preserve"> de selectieprocedure, ook al is deze rechtmatig verlopen; </w:t>
            </w:r>
            <w:r>
              <w:rPr>
                <w:b/>
                <w:i/>
              </w:rPr>
              <w:t>benadrukt dat het Parlement niet van de Ombudsman verlangt dat zij haar rechten en plichten als tot aanstelling bevoegd gezag delegeert, maar wijst op haar aanwezigheid in de jury, die niet vereist is op grond van het Unierecht;</w:t>
            </w:r>
            <w:r>
              <w:t xml:space="preserve"> </w:t>
            </w:r>
            <w:r>
              <w:rPr>
                <w:b/>
                <w:i/>
              </w:rPr>
              <w:t>heeft evenwel begrip voor het feit dat de ambtsdrager van een uit één persoon bestaande instelling als de Ombudsman betrokken moet kunnen worden bij de laatste fases van bepaalde selectieprocedures;</w:t>
            </w:r>
            <w:r>
              <w:t xml:space="preserve"> </w:t>
            </w:r>
            <w:r>
              <w:rPr>
                <w:b/>
                <w:i/>
              </w:rPr>
              <w:t>beveelt de Ombudsman aan het Reglement te herzien, zodat in geval van betrokkenheid alle waarborgen van eerlijkheid en transparantie in acht worden genomen en de betrokkenheid zich beperkt tot datgene wat strikt raadzaam is;</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herinnert eraan dat de post van secretaris-generaal van de Ombudsman al sinds 1 september 2022, dus meer dan twee jaar, vacant is; merkt op dat de Ombudsman een interinstitutionele procedure voor de aanwerving van zijn nieuwe secretaris-generaal heeft gestart door op 30 juni 2025 een oproep tot het indienen van blijken van belangstelling (nr. OMB/2/2025) te publiceren, hetgeen heeft geresulteerd in 14 in aanmerking komende sollicitaties; merkt voorts op dat de selectieprocedure in 2025 is afgerond en dat er een nieuwe secretaris-generaal is gekozen, die op 1 januari 2026 in functie zal treden; merkt op dat de jury in dit geval uit drie personen bestond, waaronder de Ombudsman zelf, die betrokken was bij de beoordeling van de geschiktheid van de sollicitaties en de sollicitatiegesprekken; is van mening dat het feit dat de geselecteerde secretaris-generaal eerder kabinetschef was van de huidige Ombudsman, die voorzitter was van de jury, aanleiding geeft tot bezorgdheid over mogelijk favoritisme bij de selectieprocedure, ook al is deze rechtmatig verlopen;</w:t>
            </w:r>
          </w:p>
        </w:tc>
        <w:tc>
          <w:tcPr>
            <w:tcW w:w="4876" w:type="dxa"/>
            <w:tcBorders>
              <w:top w:val="nil"/>
              <w:left w:val="nil"/>
              <w:bottom w:val="nil"/>
              <w:right w:val="nil"/>
            </w:tcBorders>
          </w:tcPr>
          <w:p>
            <w:pPr>
              <w:pStyle w:val="Normal6a"/>
            </w:pPr>
            <w:r>
              <w:t>22.</w:t>
            </w:r>
            <w:r>
              <w:tab/>
            </w:r>
            <w:r>
              <w:t xml:space="preserve">herinnert eraan dat de post van secretaris-generaal van de Ombudsman al sinds 1 september 2022, dus meer dan twee jaar, vacant is; merkt op dat de Ombudsman een interinstitutionele procedure voor de aanwerving van zijn nieuwe secretaris-generaal heeft gestart door op 30 juni 2025 een oproep tot het indienen van blijken van belangstelling (nr. OMB/2/2025) te publiceren, hetgeen heeft geresulteerd in 14 in aanmerking komende sollicitaties; merkt voorts op dat de selectieprocedure in 2025 is afgerond en dat er een nieuwe secretaris-generaal is gekozen, die op 1 januari 2026 in functie zal treden; merkt op dat de jury in dit geval uit drie personen bestond, waaronder de Ombudsman zelf, die betrokken was bij de beoordeling van de geschiktheid van de sollicitaties en de sollicitatiegesprekken; is van mening dat het feit dat de geselecteerde secretaris-generaal eerder kabinetschef was van de huidige Ombudsman, die voorzitter was van de jury, aanleiding geeft tot bezorgdheid over mogelijk favoritisme bij de selectieprocedure, ook al is deze rechtmatig verlopen; </w:t>
            </w:r>
            <w:r>
              <w:rPr>
                <w:b/>
                <w:i/>
              </w:rPr>
              <w:t>acht alleen al de schijn van favoritisme of een belangenconflict onverenigbaar met de integriteitsnormen die de Ombudsman als instelling wordt geacht na te leven, ook al is de procedure formeel rechtmatig verlopen;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herinnert eraan dat de post van secretaris-generaal van de Ombudsman al sinds 1 september 2022, dus meer dan twee jaar, vacant is; merkt op dat de Ombudsman een interinstitutionele procedure voor de aanwerving van zijn nieuwe secretaris-generaal heeft gestart door op 30 juni 2025 een oproep tot het indienen van blijken van belangstelling (nr. OMB/2/2025) te publiceren, hetgeen heeft geresulteerd in 14 in aanmerking komende sollicitaties; merkt voorts op dat de selectieprocedure in 2025 is afgerond en dat er een nieuwe secretaris-generaal is gekozen, die op 1 januari 2026 in functie zal treden; merkt op dat de jury in dit geval uit drie personen bestond, waaronder de Ombudsman zelf, die betrokken </w:t>
            </w:r>
            <w:r>
              <w:rPr>
                <w:b/>
                <w:i/>
              </w:rPr>
              <w:t>was</w:t>
            </w:r>
            <w:r>
              <w:t xml:space="preserve"> bij de beoordeling van de geschiktheid van de sollicitaties en de sollicitatiegesprekken; </w:t>
            </w:r>
            <w:r>
              <w:rPr>
                <w:b/>
                <w:i/>
              </w:rPr>
              <w:t>is van mening dat het feit dat</w:t>
            </w:r>
            <w:r>
              <w:t xml:space="preserve"> de geselecteerde secretaris-generaal </w:t>
            </w:r>
            <w:r>
              <w:rPr>
                <w:b/>
                <w:i/>
              </w:rPr>
              <w:t>eerder</w:t>
            </w:r>
            <w:r>
              <w:t xml:space="preserve"> kabinetschef </w:t>
            </w:r>
            <w:r>
              <w:rPr>
                <w:b/>
                <w:i/>
              </w:rPr>
              <w:t>was</w:t>
            </w:r>
            <w:r>
              <w:t xml:space="preserve"> van de huidige Ombudsman, die voorzitter was van de jury, </w:t>
            </w:r>
            <w:r>
              <w:rPr>
                <w:b/>
                <w:i/>
              </w:rPr>
              <w:t>aanleiding geeft tot bezorgdheid over mogelijk favoritisme bij</w:t>
            </w:r>
            <w:r>
              <w:t xml:space="preserve"> de selectieprocedure</w:t>
            </w:r>
            <w:r>
              <w:rPr>
                <w:b/>
                <w:i/>
              </w:rPr>
              <w:t>, ook al is deze</w:t>
            </w:r>
            <w:r>
              <w:t xml:space="preserve"> rechtmatig verlopen;</w:t>
            </w:r>
          </w:p>
        </w:tc>
        <w:tc>
          <w:tcPr>
            <w:tcW w:w="4876" w:type="dxa"/>
            <w:tcBorders>
              <w:top w:val="nil"/>
              <w:left w:val="nil"/>
              <w:bottom w:val="nil"/>
              <w:right w:val="nil"/>
            </w:tcBorders>
          </w:tcPr>
          <w:p>
            <w:pPr>
              <w:pStyle w:val="Normal6a"/>
            </w:pPr>
            <w:r>
              <w:t>22.</w:t>
            </w:r>
            <w:r>
              <w:tab/>
            </w:r>
            <w:r>
              <w:t xml:space="preserve">herinnert eraan dat de post van secretaris-generaal van de Ombudsman al sinds 1 september 2022, dus meer dan twee jaar, vacant is; merkt op dat de Ombudsman een interinstitutionele procedure voor de aanwerving van zijn nieuwe secretaris-generaal heeft gestart door op 30 juni 2025 een oproep tot het indienen van blijken van belangstelling (nr. OMB/2/2025) te publiceren, hetgeen heeft geresulteerd in 14 in aanmerking komende sollicitaties; merkt voorts op dat de selectieprocedure in 2025 is afgerond en dat er een nieuwe secretaris-generaal is gekozen, die op 1 januari 2026 in functie zal treden; merkt op dat de jury in dit geval uit drie personen bestond, waaronder de Ombudsman zelf </w:t>
            </w:r>
            <w:r>
              <w:rPr>
                <w:b/>
                <w:i/>
              </w:rPr>
              <w:t>en twee andere externe leden</w:t>
            </w:r>
            <w:r>
              <w:t xml:space="preserve">, die betrokken </w:t>
            </w:r>
            <w:r>
              <w:rPr>
                <w:b/>
                <w:i/>
              </w:rPr>
              <w:t>waren</w:t>
            </w:r>
            <w:r>
              <w:t xml:space="preserve"> bij de beoordeling van de geschiktheid van de sollicitaties en de sollicitatiegesprekken; </w:t>
            </w:r>
            <w:r>
              <w:rPr>
                <w:b/>
                <w:i/>
              </w:rPr>
              <w:t>merkt op dat de eerdere rol van</w:t>
            </w:r>
            <w:r>
              <w:t xml:space="preserve"> de geselecteerde secretaris-generaal </w:t>
            </w:r>
            <w:r>
              <w:rPr>
                <w:b/>
                <w:i/>
              </w:rPr>
              <w:t>als</w:t>
            </w:r>
            <w:r>
              <w:t xml:space="preserve"> kabinetschef van de huidige Ombudsman, die voorzitter was van de jury, </w:t>
            </w:r>
            <w:r>
              <w:rPr>
                <w:b/>
                <w:i/>
              </w:rPr>
              <w:t>als zorgwekkend kan worden waargenomen, ook al is</w:t>
            </w:r>
            <w:r>
              <w:t xml:space="preserve"> de selectieprocedure rechtmatig verlopen; </w:t>
            </w:r>
            <w:r>
              <w:rPr>
                <w:b/>
                <w:i/>
              </w:rPr>
              <w:t>verzoekt de Ombudsman zich nader te beraden op manieren om selectieprocedures te beschermen tegen situaties die kunnen worden waargenomen als belangenconflicten;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merkt op dat, na de hoorzitting van de Ombudsman in de vergadering van de Commissie begrotingscontrole van het Parlement van 6 november 2025, de leden van de Commissie begrotingscontrole van het Parlement op 18 november 2025 een reeks schriftelijke vervolgvragen hebben ingediend over de selectie van de nieuwe secretaris-generaal (OMB/2/2025), waarop de Ombudsman op 21 november 2025 heeft geantwoord</w:t>
            </w:r>
            <w:r>
              <w:rPr>
                <w:b/>
                <w:i/>
              </w:rPr>
              <w:t>;</w:t>
            </w:r>
            <w:r>
              <w:t xml:space="preserve"> </w:t>
            </w:r>
            <w:r>
              <w:rPr>
                <w:b/>
                <w:i/>
              </w:rPr>
              <w:t>is het in dit verband niet eens met het standpunt van de Ombudsman dat de Meroni-jurisprudentie (C-9/56 en C-10/56) van toepassing is, omdat die jurisprudentie geen betrekking heeft op de delegatie van bevoegdheden op het gebied van personeelszaken (zoals de selectie van een personeelslid), maar op de delegatie van discretionaire bevoegdheden aan externe/particuliere organen</w:t>
            </w:r>
            <w:r>
              <w:t xml:space="preserve">; wijst er voorts op dat het Parlement niet van de Ombudsman verlangt dat zij haar rechten en plichten als tot aanstelling bevoegd gezag delegeert, terwijl het haar aanwezigheid in de jury in twijfel trekt, aangezien artikel 3 van bijlage III bij het Statuut uitdrukkelijk het volgende bepaalt: “De jury bestaat uit een door het tot aanstelling bevoegde gezag aangewezen voorzitter en een aantal leden waarvan de helft door het tot aanstelling bevoegde gezag en de helft door het personeelscomité worden aangewezen”, hetgeen betekent dat het recht van de Unie niet vereist dat het tot aanstelling bevoegde gezag lid is van de jury; </w:t>
            </w:r>
            <w:r>
              <w:rPr>
                <w:b/>
                <w:i/>
              </w:rPr>
              <w:t>benadrukt dat het tot aanstelling bevoegde gezag door het nemen van een definitief besluit, hetgeen een taak van het tot aanstelling bevoegde gezag is, tevens bevestigt dat de gehele selectieprocedure rechtmatig is verlopen, met inbegrip van de vraag of de kandidaat aan alle ontvankelijkheids‑ en toelatingscriteria voldoet, terwijl een dergelijke taak slechts oppervlakkig zou zijn indien het tot aanstelling bevoegde gezag in de vorige fasen van de procedure/het vergelijkend onderzoek ook voorzitter van de jury is geweest, hetgeen bij de huidige procedure het geval is;</w:t>
            </w:r>
            <w:r>
              <w:t xml:space="preserve"> </w:t>
            </w:r>
            <w:r>
              <w:rPr>
                <w:b/>
                <w:i/>
              </w:rPr>
              <w:t>merkt bovendien op dat de Ombudsman heeft geweigerd om de kwijtingsautoriteit alle documenten te verstrekken die betrekking hebben op de controle van de geschiktheid, de beoordeling van de sollicitaties, de feitelijke gesprekken van de geselecteerde kandidaten met de jury en het bilaterale gesprek met de Ombudsman, waarbij hij onder meer verwijst naar de beperkingen van het rechtskader inzake vertrouwelijkheid om te voorkomen dat de onafhankelijkheid en integriteit van het selectieproces in het gedrang komen indien dergelijke documenten openbaar zouden worden gemaakt;</w:t>
            </w:r>
            <w:r>
              <w:t xml:space="preserve"> </w:t>
            </w:r>
            <w:r>
              <w:rPr>
                <w:b/>
                <w:i/>
              </w:rPr>
              <w:t>herinnert eraan dat het Parlement het recht heeft om alle nodige informatie op te vragen op grond van artikel 319, lid 2, van het Verdrag betreffende de werking van de Europese Unie;</w:t>
            </w:r>
            <w:r>
              <w:t xml:space="preserve"> </w:t>
            </w:r>
            <w:r>
              <w:rPr>
                <w:b/>
                <w:i/>
              </w:rPr>
              <w:t>benadrukt dat het doorsturen van informatie aan het Parlement met het oog op kwijting niet hetzelfde is als het openbaar maken van die informatie;</w:t>
            </w:r>
            <w:r>
              <w:t xml:space="preserve"> </w:t>
            </w:r>
            <w:r>
              <w:rPr>
                <w:b/>
                <w:i/>
              </w:rPr>
              <w:t>wijst er voorts op dat het Parlement een uitgebreide reeks veiligheidsvoorschriften heeft vastgesteld, die in overeenstemming zijn met dezelfde beginselen en normen als die van andere instellingen van de Unie, waaronder veiligheidsmachtigingen, het beginsel van need‑to‑know, beveiligde ruimten en leeskamers, sancties bij overtredingen enzovoort;</w:t>
            </w:r>
            <w:r>
              <w:t xml:space="preserve"> </w:t>
            </w:r>
            <w:r>
              <w:rPr>
                <w:b/>
                <w:i/>
              </w:rPr>
              <w:t>dringt er, in het licht van het bovenstaande, bij de Ombudsman op aan om de kwijtingsautoriteit alle documenten te verstrekken met betrekking tot de controles van de geschiktheid, de beoordeling van de sollicitaties, de daadwerkelijke sollicitatiegesprekken van de kandidaten op de shortlist met de jury en het bilaterale gesprek met de Ombudsman in verband met de procedure voor de selectie van de secretaris-generaal van de Ombudsman (OMB/2/2025);</w:t>
            </w:r>
          </w:p>
        </w:tc>
        <w:tc>
          <w:tcPr>
            <w:tcW w:w="4876" w:type="dxa"/>
            <w:tcBorders>
              <w:top w:val="nil"/>
              <w:left w:val="nil"/>
              <w:bottom w:val="nil"/>
              <w:right w:val="nil"/>
            </w:tcBorders>
          </w:tcPr>
          <w:p>
            <w:pPr>
              <w:pStyle w:val="Normal6a"/>
            </w:pPr>
            <w:r>
              <w:t>23.</w:t>
            </w:r>
            <w:r>
              <w:tab/>
            </w:r>
            <w:r>
              <w:t>merkt op dat, na de hoorzitting van de Ombudsman in de vergadering van de Commissie begrotingscontrole van het Parlement van 6 november 2025, de leden van de Commissie begrotingscontrole van het Parlement op 18 november 2025 een reeks schriftelijke vervolgvragen hebben ingediend over de selectie van de nieuwe secretaris-generaal (OMB/2/2025), waarop de Ombudsman op 21 november 2025 heeft geantwoord; wijst er voorts op dat het Parlement niet van de Ombudsman verlangt dat zij haar rechten en plichten als tot aanstelling bevoegd gezag delegeert, terwijl het haar aanwezigheid in de jury in twijfel trekt, aangezien artikel 3 van bijlage III bij het Statuut uitdrukkelijk het volgende bepaalt: “De jury bestaat uit een door het tot aanstelling bevoegde gezag aangewezen voorzitter en een aantal leden waarvan de helft door het tot aanstelling bevoegde gezag en de helft door het personeelscomité worden aangewezen”, hetgeen betekent dat het recht van de Unie niet vereist dat het tot aanstelling bevoegde gezag lid is van de jury;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merkt op dat, na de hoorzitting van de Ombudsman in de vergadering van de Commissie begrotingscontrole van het Parlement van 6 november 2025, de leden van de Commissie begrotingscontrole van het Parlement op 18 november 2025 een reeks schriftelijke vervolgvragen hebben ingediend over de selectie van de nieuwe secretaris-generaal (OMB/2/2025), waarop de Ombudsman op 21 november 2025 heeft geantwoord;</w:t>
            </w:r>
            <w:r>
              <w:t xml:space="preserve"> is het </w:t>
            </w:r>
            <w:r>
              <w:rPr>
                <w:b/>
                <w:i/>
              </w:rPr>
              <w:t>in dit verband</w:t>
            </w:r>
            <w:r>
              <w:t xml:space="preserve"> niet eens met het standpunt van de Ombudsman dat de Meroni-jurisprudentie (C-9/56 en C-10/56) van toepassing is, omdat </w:t>
            </w:r>
            <w:r>
              <w:rPr>
                <w:b/>
                <w:i/>
              </w:rPr>
              <w:t>die jurisprudentie</w:t>
            </w:r>
            <w:r>
              <w:t xml:space="preserve"> geen betrekking heeft op de delegatie van bevoegdheden op het gebied van personeelszaken (zoals de selectie van een personeelslid), maar op de delegatie van discretionaire bevoegdheden aan externe/particuliere organen; </w:t>
            </w:r>
            <w:r>
              <w:rPr>
                <w:b/>
                <w:i/>
              </w:rPr>
              <w:t>wijst er voorts op dat het Parlement niet van de Ombudsman verlangt dat zij haar rechten en plichten als tot aanstelling bevoegd gezag delegeert, terwijl het haar aanwezigheid in de jury in twijfel trekt, aangezien artikel 3 van bijlage III bij het Statuut uitdrukkelijk het volgende bepaalt: “De jury bestaat uit een door het tot aanstelling bevoegde gezag aangewezen voorzitter en een aantal leden waarvan de helft door het tot aanstelling bevoegde gezag en de helft door het personeelscomité worden aangewezen”, hetgeen betekent dat het recht van de Unie niet vereist dat het tot aanstelling bevoegde gezag lid is van de jury;</w:t>
            </w:r>
            <w:r>
              <w:t xml:space="preserve"> </w:t>
            </w:r>
            <w:r>
              <w:rPr>
                <w:b/>
                <w:i/>
              </w:rPr>
              <w:t>benadrukt dat het tot aanstelling bevoegde gezag door het nemen van een definitief besluit, hetgeen een taak van het tot aanstelling bevoegde gezag is, tevens bevestigt dat de gehele selectieprocedure rechtmatig is verlopen, met inbegrip van de vraag of de kandidaat aan alle ontvankelijkheids‑ en toelatingscriteria voldoet, terwijl een dergelijke taak slechts oppervlakkig zou zijn indien het tot aanstelling bevoegde gezag in de vorige fasen van de procedure/het vergelijkend onderzoek ook voorzitter van de jury is geweest, hetgeen bij de huidige procedure het geval is;</w:t>
            </w:r>
            <w:r>
              <w:t xml:space="preserve"> merkt </w:t>
            </w:r>
            <w:r>
              <w:rPr>
                <w:b/>
                <w:i/>
              </w:rPr>
              <w:t>bovendien</w:t>
            </w:r>
            <w:r>
              <w:t xml:space="preserve"> op dat de Ombudsman heeft </w:t>
            </w:r>
            <w:r>
              <w:rPr>
                <w:b/>
                <w:i/>
              </w:rPr>
              <w:t>geweigerd</w:t>
            </w:r>
            <w:r>
              <w:t xml:space="preserve"> om de kwijtingsautoriteit alle documenten te verstrekken die betrekking hebben op de controle van de geschiktheid, de beoordeling van de sollicitaties, de feitelijke gesprekken van de geselecteerde kandidaten met de jury en het bilaterale gesprek met de Ombudsman</w:t>
            </w:r>
            <w:r>
              <w:rPr>
                <w:b/>
                <w:i/>
              </w:rPr>
              <w:t>, waarbij hij onder meer verwijst naar de beperkingen van het rechtskader inzake vertrouwelijkheid om te voorkomen dat de onafhankelijkheid en integriteit van het selectieproces in het gedrang komen indien dergelijke documenten openbaar zouden worden gemaakt</w:t>
            </w:r>
            <w:r>
              <w:t xml:space="preserve">; herinnert eraan dat het Parlement het recht heeft </w:t>
            </w:r>
            <w:r>
              <w:rPr>
                <w:b/>
                <w:i/>
              </w:rPr>
              <w:t>om alle nodige</w:t>
            </w:r>
            <w:r>
              <w:t xml:space="preserve"> informatie </w:t>
            </w:r>
            <w:r>
              <w:rPr>
                <w:b/>
                <w:i/>
              </w:rPr>
              <w:t>op te vragen op grond van artikel 319, lid 2, van het Verdrag betreffende de werking van de Europese Unie;</w:t>
            </w:r>
            <w:r>
              <w:t xml:space="preserve"> </w:t>
            </w:r>
            <w:r>
              <w:rPr>
                <w:b/>
                <w:i/>
              </w:rPr>
              <w:t>benadrukt</w:t>
            </w:r>
            <w:r>
              <w:t xml:space="preserve"> dat het </w:t>
            </w:r>
            <w:r>
              <w:rPr>
                <w:b/>
                <w:i/>
              </w:rPr>
              <w:t>doorsturen van</w:t>
            </w:r>
            <w:r>
              <w:t xml:space="preserve"> informatie </w:t>
            </w:r>
            <w:r>
              <w:rPr>
                <w:b/>
                <w:i/>
              </w:rPr>
              <w:t>aan het Parlement met het oog op kwijting</w:t>
            </w:r>
            <w:r>
              <w:t xml:space="preserve"> niet hetzelfde is als </w:t>
            </w:r>
            <w:r>
              <w:rPr>
                <w:b/>
                <w:i/>
              </w:rPr>
              <w:t>het openbaar maken van die informatie;</w:t>
            </w:r>
            <w:r>
              <w:t xml:space="preserve"> </w:t>
            </w:r>
            <w:r>
              <w:rPr>
                <w:b/>
                <w:i/>
              </w:rPr>
              <w:t>wijst er voorts op</w:t>
            </w:r>
            <w:r>
              <w:t xml:space="preserve"> dat het Parlement </w:t>
            </w:r>
            <w:r>
              <w:rPr>
                <w:b/>
                <w:i/>
              </w:rPr>
              <w:t>een uitgebreide reeks veiligheidsvoorschriften heeft vastgesteld, die in overeenstemming zijn met dezelfde beginselen en normen als die van andere instellingen van de Unie, waaronder veiligheidsmachtigingen, het beginsel van need‑to‑know, beveiligde ruimten en leeskamers, sancties bij overtredingen enzovoort</w:t>
            </w:r>
            <w:r>
              <w:t xml:space="preserve">; </w:t>
            </w:r>
            <w:r>
              <w:rPr>
                <w:b/>
                <w:i/>
              </w:rPr>
              <w:t>dringt er, in het licht van het bovenstaande, bij de Ombudsman op aan om de kwijtingsautoriteit alle documenten te verstrekken met betrekking tot de controles van de geschiktheid, de beoordeling van de sollicitaties, de daadwerkelijke sollicitatiegesprekken van de kandidaten op de shortlist met de jury en het bilaterale gesprek met de Ombudsman in verband met de procedure voor de selectie van de secretaris-generaal van de Ombudsman (OMB/2/2025);</w:t>
            </w:r>
          </w:p>
        </w:tc>
        <w:tc>
          <w:tcPr>
            <w:tcW w:w="4876" w:type="dxa"/>
            <w:tcBorders>
              <w:top w:val="nil"/>
              <w:left w:val="nil"/>
              <w:bottom w:val="nil"/>
              <w:right w:val="nil"/>
            </w:tcBorders>
          </w:tcPr>
          <w:p>
            <w:pPr>
              <w:pStyle w:val="Normal6a"/>
            </w:pPr>
            <w:r>
              <w:t>23.</w:t>
            </w:r>
            <w:r>
              <w:tab/>
            </w:r>
            <w:r>
              <w:t xml:space="preserve">is het niet eens met het standpunt van de Ombudsman dat de Meroni-jurisprudentie (C-9/56 en C-10/56) van toepassing is, omdat </w:t>
            </w:r>
            <w:r>
              <w:rPr>
                <w:b/>
                <w:i/>
              </w:rPr>
              <w:t>deze</w:t>
            </w:r>
            <w:r>
              <w:t xml:space="preserve"> geen betrekking heeft op de delegatie van bevoegdheden op het gebied van personeelszaken (zoals de selectie van een personeelslid), maar </w:t>
            </w:r>
            <w:r>
              <w:rPr>
                <w:b/>
                <w:i/>
              </w:rPr>
              <w:t>veeleer</w:t>
            </w:r>
            <w:r>
              <w:t xml:space="preserve"> op de delegatie van discretionaire bevoegdheden aan externe/particuliere organen; merkt op dat de Ombudsman heeft </w:t>
            </w:r>
            <w:r>
              <w:rPr>
                <w:b/>
                <w:i/>
              </w:rPr>
              <w:t>verwezen naar “beperkingen van het rechtskader inzake vertrouwelijkheid” om te voorkomen dat “de onafhankelijkheid en integriteit van het selectieproces in het gedrang komen”, waardoor het niet mogelijk zou zijn</w:t>
            </w:r>
            <w:r>
              <w:t xml:space="preserve"> om de kwijtingsautoriteit alle documenten te verstrekken die betrekking hebben op de controle van de geschiktheid, de beoordeling van de sollicitaties, de feitelijke gesprekken van de geselecteerde kandidaten met de jury en het bilaterale gesprek met de Ombudsman; herinnert eraan dat het Parlement het recht heeft </w:t>
            </w:r>
            <w:r>
              <w:rPr>
                <w:b/>
                <w:i/>
              </w:rPr>
              <w:t>de voor het verlenen van kwijting benodigde</w:t>
            </w:r>
            <w:r>
              <w:t xml:space="preserve"> informatie </w:t>
            </w:r>
            <w:r>
              <w:rPr>
                <w:b/>
                <w:i/>
              </w:rPr>
              <w:t>te verkrijgen; onderstreept</w:t>
            </w:r>
            <w:r>
              <w:t xml:space="preserve"> dat het </w:t>
            </w:r>
            <w:r>
              <w:rPr>
                <w:b/>
                <w:i/>
              </w:rPr>
              <w:t>verstrekken van deze</w:t>
            </w:r>
            <w:r>
              <w:t xml:space="preserve"> informatie niet hetzelfde is als </w:t>
            </w:r>
            <w:r>
              <w:rPr>
                <w:b/>
                <w:i/>
              </w:rPr>
              <w:t>openbaarmaking ervan; benadrukt</w:t>
            </w:r>
            <w:r>
              <w:t xml:space="preserve"> dat het Parlement </w:t>
            </w:r>
            <w:r>
              <w:rPr>
                <w:b/>
                <w:i/>
              </w:rPr>
              <w:t>beschikt over adequate waarborgen die een veilige omgang met gevoelig materiaal mogelijk maken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merkt op dat, na de hoorzitting van de Ombudsman in de vergadering van de Commissie begrotingscontrole van het Parlement van 6 november 2025, de leden van de Commissie begrotingscontrole van het Parlement op 18 november 2025 een reeks schriftelijke vervolgvragen hebben ingediend over de selectie van de nieuwe secretaris-generaal (OMB/2/2025), waarop de Ombudsman op 21 november 2025 heeft geantwoord; is het in dit verband niet eens met het standpunt van de Ombudsman dat de Meroni-jurisprudentie (C-9/56 en C-10/56) van toepassing is, omdat die jurisprudentie geen betrekking heeft op de delegatie van bevoegdheden op het gebied van personeelszaken (zoals de selectie van een personeelslid), maar op de delegatie van discretionaire bevoegdheden aan externe/particuliere organen; wijst er voorts op dat het Parlement niet van de Ombudsman verlangt dat zij haar rechten en plichten als tot aanstelling bevoegd gezag delegeert, terwijl het haar aanwezigheid in de jury in twijfel trekt, aangezien artikel 3 van bijlage III bij het Statuut uitdrukkelijk het volgende bepaalt: “De jury bestaat uit een door het tot aanstelling bevoegde gezag aangewezen voorzitter en een aantal leden waarvan de helft door het tot aanstelling bevoegde gezag en de helft door het personeelscomité worden aangewezen”, hetgeen betekent dat het recht van de Unie niet vereist dat het tot aanstelling bevoegde gezag lid is van de jury; </w:t>
            </w:r>
            <w:r>
              <w:rPr>
                <w:b/>
                <w:i/>
              </w:rPr>
              <w:t>benadrukt dat het tot aanstelling bevoegde gezag door het nemen van een definitief besluit, hetgeen een taak van het tot aanstelling bevoegde gezag is, tevens bevestigt dat de gehele selectieprocedure rechtmatig is verlopen, met inbegrip van de vraag of de kandidaat aan alle ontvankelijkheids‑ en toelatingscriteria voldoet, terwijl een dergelijke taak slechts oppervlakkig zou zijn indien het tot aanstelling bevoegde gezag in de vorige fasen van de procedure/het vergelijkend onderzoek ook voorzitter van de jury is geweest, hetgeen bij de huidige procedure het geval is;</w:t>
            </w:r>
            <w:r>
              <w:t xml:space="preserve"> merkt bovendien op dat de Ombudsman heeft geweigerd om de kwijtingsautoriteit alle documenten te verstrekken die betrekking hebben op de controle van de geschiktheid, de beoordeling van de sollicitaties, de feitelijke gesprekken van de geselecteerde kandidaten met de jury en het bilaterale gesprek met de Ombudsman, waarbij </w:t>
            </w:r>
            <w:r>
              <w:rPr>
                <w:b/>
                <w:i/>
              </w:rPr>
              <w:t>hij</w:t>
            </w:r>
            <w:r>
              <w:t xml:space="preserve"> onder meer verwijst naar de beperkingen van het rechtskader inzake vertrouwelijkheid om te voorkomen dat de onafhankelijkheid en integriteit van het selectieproces in het gedrang komen indien dergelijke documenten openbaar zouden worden gemaakt; herinnert eraan dat het Parlement het recht heeft om alle nodige informatie op te vragen op grond van artikel 319, lid 2, van het Verdrag betreffende de werking van de Europese Unie; benadrukt dat het doorsturen van informatie aan het Parlement met het oog op kwijting niet hetzelfde is als het openbaar maken van die informatie; wijst er voorts op dat het Parlement een uitgebreide reeks veiligheidsvoorschriften heeft vastgesteld, die in overeenstemming zijn met dezelfde beginselen en normen als die van andere instellingen van de Unie, waaronder veiligheidsmachtigingen, het beginsel van </w:t>
            </w:r>
            <w:r>
              <w:rPr>
                <w:b/>
                <w:i/>
              </w:rPr>
              <w:t>need‑to‑know</w:t>
            </w:r>
            <w:r>
              <w:t xml:space="preserve">, beveiligde ruimten en leeskamers, sancties bij overtredingen enzovoort; dringt er, in het licht van het bovenstaande, bij de Ombudsman op aan </w:t>
            </w:r>
            <w:r>
              <w:rPr>
                <w:b/>
                <w:i/>
              </w:rPr>
              <w:t>om</w:t>
            </w:r>
            <w:r>
              <w:t xml:space="preserve"> de kwijtingsautoriteit alle documenten te verstrekken met betrekking tot de controles van de geschiktheid, de beoordeling van de sollicitaties, de daadwerkelijke sollicitatiegesprekken van de kandidaten op de shortlist met de jury en het bilaterale gesprek met de Ombudsman in verband met de procedure voor de selectie van de secretaris-generaal van de Ombudsman (OMB/2/2025);</w:t>
            </w:r>
          </w:p>
        </w:tc>
        <w:tc>
          <w:tcPr>
            <w:tcW w:w="4876" w:type="dxa"/>
            <w:tcBorders>
              <w:top w:val="nil"/>
              <w:left w:val="nil"/>
              <w:bottom w:val="nil"/>
              <w:right w:val="nil"/>
            </w:tcBorders>
          </w:tcPr>
          <w:p>
            <w:pPr>
              <w:pStyle w:val="Normal6a"/>
            </w:pPr>
            <w:r>
              <w:t>23.</w:t>
            </w:r>
            <w:r>
              <w:tab/>
            </w:r>
            <w:r>
              <w:t xml:space="preserve">merkt op dat, na de hoorzitting van de Ombudsman in de vergadering van de Commissie begrotingscontrole van het Parlement van 6 november 2025, de leden van de Commissie begrotingscontrole van het Parlement op 18 november 2025 een reeks schriftelijke vervolgvragen hebben ingediend over de selectie van de nieuwe secretaris-generaal (OMB/2/2025), waarop de Ombudsman op 21 november 2025 heeft geantwoord; is het in dit verband niet eens met het standpunt van de Ombudsman dat de Meroni-jurisprudentie (C-9/56 en C-10/56) van toepassing is, omdat die jurisprudentie geen betrekking heeft op de delegatie van bevoegdheden op het gebied van personeelszaken (zoals de selectie van een personeelslid), maar op de delegatie van discretionaire bevoegdheden aan externe/particuliere organen; wijst er voorts op dat het Parlement niet van de Ombudsman verlangt dat zij haar rechten en plichten als tot aanstelling bevoegd gezag delegeert, terwijl het haar aanwezigheid in de jury in twijfel trekt, aangezien artikel 3 van bijlage III bij het Statuut uitdrukkelijk het volgende bepaalt: “De jury bestaat uit een door het tot aanstelling bevoegde gezag aangewezen voorzitter en een aantal leden waarvan de helft door het tot aanstelling bevoegde gezag en de helft door het personeelscomité worden aangewezen”, hetgeen betekent dat het recht van de Unie niet vereist dat het tot aanstelling bevoegde gezag lid is van de jury; merkt bovendien op dat de Ombudsman heeft geweigerd om de kwijtingsautoriteit alle documenten te verstrekken die betrekking hebben op de controle van de geschiktheid, de beoordeling van de sollicitaties, de feitelijke gesprekken van de geselecteerde kandidaten met de jury en het bilaterale gesprek met de Ombudsman, waarbij </w:t>
            </w:r>
            <w:r>
              <w:rPr>
                <w:b/>
                <w:i/>
              </w:rPr>
              <w:t>zij</w:t>
            </w:r>
            <w:r>
              <w:t xml:space="preserve"> onder meer verwijst naar de beperkingen van het rechtskader inzake vertrouwelijkheid om te voorkomen dat de onafhankelijkheid en integriteit van het selectieproces in het gedrang komen indien dergelijke documenten openbaar zouden worden gemaakt; herinnert eraan dat het Parlement het recht heeft om alle nodige informatie op te vragen op grond van artikel 319, lid 2, van het Verdrag betreffende de werking van de Europese Unie; benadrukt dat het doorsturen van informatie aan het Parlement met het oog op kwijting niet hetzelfde is als het openbaar maken van die informatie; wijst er voorts op dat het Parlement een uitgebreide reeks veiligheidsvoorschriften heeft vastgesteld, die in overeenstemming zijn met dezelfde beginselen en normen als die van andere instellingen van de Unie, waaronder veiligheidsmachtigingen, het beginsel van </w:t>
            </w:r>
            <w:r>
              <w:rPr>
                <w:b/>
                <w:i/>
              </w:rPr>
              <w:t>need-to-know</w:t>
            </w:r>
            <w:r>
              <w:t xml:space="preserve">, beveiligde ruimten en leeskamers, sancties bij overtredingen enzovoort; dringt er, in het licht van het bovenstaande, bij de Ombudsman op aan </w:t>
            </w:r>
            <w:r>
              <w:rPr>
                <w:b/>
                <w:i/>
              </w:rPr>
              <w:t>het verzoek van het Parlement opnieuw in overweging te nemen en</w:t>
            </w:r>
            <w:r>
              <w:t> de kwijtingsautoriteit alle documenten te verstrekken met betrekking tot de controles van de geschiktheid, de beoordeling van de sollicitaties, de daadwerkelijke sollicitatiegesprekken van de kandidaten op de shortlist met de jury en het bilaterale gesprek met de Ombudsman in verband met de procedure voor de selectie van de secretaris-generaal van de Ombudsman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merkt op dat, na de hoorzitting van de Ombudsman in de vergadering van de Commissie begrotingscontrole van het Parlement van 6 november 2025, de leden van de Commissie begrotingscontrole van het Parlement op 18 november 2025 een reeks schriftelijke vervolgvragen hebben ingediend over de selectie van de nieuwe secretaris-generaal (OMB/2/2025), waarop de Ombudsman op 21 november 2025 heeft geantwoord; is het in dit verband niet eens met het standpunt van de Ombudsman dat de Meroni-jurisprudentie (C-9/56 en C-10/56) van toepassing is, omdat die jurisprudentie geen betrekking heeft op de delegatie van bevoegdheden op het gebied van personeelszaken (zoals de selectie van een personeelslid), maar op de delegatie van discretionaire bevoegdheden aan externe/particuliere organen; wijst er voorts op dat het Parlement niet van de Ombudsman verlangt dat zij haar rechten en plichten als tot aanstelling bevoegd gezag delegeert, terwijl het haar aanwezigheid in de jury in twijfel trekt, aangezien artikel 3 van bijlage III bij het Statuut uitdrukkelijk het volgende bepaalt: “De jury bestaat uit een door het tot aanstelling bevoegde gezag aangewezen voorzitter en een aantal leden waarvan de helft door het tot aanstelling bevoegde gezag en de helft door het personeelscomité worden aangewezen”, hetgeen betekent dat het recht van de Unie niet vereist dat het tot aanstelling bevoegde gezag lid is van de jury; benadrukt dat het tot aanstelling bevoegde gezag door het nemen van een definitief besluit, hetgeen een taak van het tot aanstelling bevoegde gezag is, tevens bevestigt dat de gehele selectieprocedure rechtmatig is verlopen, met inbegrip van de vraag of de kandidaat aan alle ontvankelijkheids‑ en toelatingscriteria voldoet</w:t>
            </w:r>
            <w:r>
              <w:rPr>
                <w:b/>
                <w:i/>
              </w:rPr>
              <w:t>, terwijl een dergelijke taak slechts oppervlakkig zou zijn indien</w:t>
            </w:r>
            <w:r>
              <w:t xml:space="preserve"> het tot aanstelling bevoegde gezag in </w:t>
            </w:r>
            <w:r>
              <w:rPr>
                <w:b/>
                <w:i/>
              </w:rPr>
              <w:t>de</w:t>
            </w:r>
            <w:r>
              <w:t xml:space="preserve"> vorige fasen van de </w:t>
            </w:r>
            <w:r>
              <w:rPr>
                <w:b/>
                <w:i/>
              </w:rPr>
              <w:t>procedure/het vergelijkend onderzoek</w:t>
            </w:r>
            <w:r>
              <w:t xml:space="preserve"> ook voorzitter van de jury is geweest, hetgeen bij </w:t>
            </w:r>
            <w:r>
              <w:rPr>
                <w:b/>
                <w:i/>
              </w:rPr>
              <w:t>de</w:t>
            </w:r>
            <w:r>
              <w:t xml:space="preserve"> huidige </w:t>
            </w:r>
            <w:r>
              <w:rPr>
                <w:b/>
                <w:i/>
              </w:rPr>
              <w:t>procedure</w:t>
            </w:r>
            <w:r>
              <w:t xml:space="preserve"> het geval </w:t>
            </w:r>
            <w:r>
              <w:rPr>
                <w:b/>
                <w:i/>
              </w:rPr>
              <w:t>is</w:t>
            </w:r>
            <w:r>
              <w:t xml:space="preserve">; merkt bovendien op dat de Ombudsman heeft geweigerd om de kwijtingsautoriteit alle documenten te verstrekken die betrekking hebben op de controle van de geschiktheid, de beoordeling van de sollicitaties, de feitelijke gesprekken van de geselecteerde kandidaten met de jury en het bilaterale gesprek met de Ombudsman, waarbij hij onder meer verwijst naar de beperkingen van het rechtskader inzake vertrouwelijkheid om te voorkomen dat de onafhankelijkheid en integriteit van het selectieproces in het gedrang komen indien dergelijke documenten openbaar zouden worden gemaakt; herinnert eraan dat het Parlement het recht heeft om alle nodige informatie op te vragen op grond van artikel 319, lid 2, van het Verdrag betreffende de werking van de Europese Unie; benadrukt dat het doorsturen van informatie aan het Parlement met het oog op kwijting niet hetzelfde is als het openbaar maken van die informatie; wijst er voorts op dat het Parlement een uitgebreide reeks veiligheidsvoorschriften heeft vastgesteld, die in overeenstemming zijn met dezelfde beginselen en normen als die van andere instellingen van de Unie, waaronder veiligheidsmachtigingen, het beginsel van </w:t>
            </w:r>
            <w:r>
              <w:rPr>
                <w:b/>
                <w:i/>
              </w:rPr>
              <w:t>need‑to‑know</w:t>
            </w:r>
            <w:r>
              <w:t>, beveiligde ruimten en leeskamers, sancties bij overtredingen enzovoort; dringt er, in het licht van het bovenstaande, bij de Ombudsman op aan om de kwijtingsautoriteit alle documenten te verstrekken met betrekking tot de controles van de geschiktheid, de beoordeling van de sollicitaties, de daadwerkelijke sollicitatiegesprekken van de kandidaten op de shortlist met de jury en het bilaterale gesprek met de Ombudsman in verband met de procedure voor de selectie van de secretaris-generaal van de Ombudsman (OMB/2/2025);</w:t>
            </w:r>
          </w:p>
        </w:tc>
        <w:tc>
          <w:tcPr>
            <w:tcW w:w="4876" w:type="dxa"/>
            <w:tcBorders>
              <w:top w:val="nil"/>
              <w:left w:val="nil"/>
              <w:bottom w:val="nil"/>
              <w:right w:val="nil"/>
            </w:tcBorders>
          </w:tcPr>
          <w:p>
            <w:pPr>
              <w:pStyle w:val="Normal6a"/>
            </w:pPr>
            <w:r>
              <w:t>23.</w:t>
            </w:r>
            <w:r>
              <w:tab/>
            </w:r>
            <w:r>
              <w:t>merkt op dat, na de hoorzitting van de Ombudsman in de vergadering van de Commissie begrotingscontrole van het Parlement van 6 november 2025, de leden van de Commissie begrotingscontrole van het Parlement op 18 november 2025 een reeks schriftelijke vervolgvragen hebben ingediend over de selectie van de nieuwe secretaris-generaal (OMB/2/2025), waarop de Ombudsman op 21 november 2025 heeft geantwoord; is het in dit verband niet eens met het standpunt van de Ombudsman dat de Meroni-jurisprudentie (C-9/56 en C-10/56) van toepassing is, omdat die jurisprudentie geen betrekking heeft op de delegatie van bevoegdheden op het gebied van personeelszaken (zoals de selectie van een personeelslid), maar op de delegatie van discretionaire bevoegdheden aan externe/particuliere organen; wijst er voorts op dat het Parlement niet van de Ombudsman verlangt dat zij haar rechten en plichten als tot aanstelling bevoegd gezag delegeert, terwijl het haar aanwezigheid in de jury in twijfel trekt, aangezien artikel 3 van bijlage III bij het Statuut uitdrukkelijk het volgende bepaalt: “De jury bestaat uit een door het tot aanstelling bevoegde gezag aangewezen voorzitter en een aantal leden waarvan de helft door het tot aanstelling bevoegde gezag en de helft door het personeelscomité worden aangewezen”, hetgeen betekent dat het recht van de Unie niet vereist dat het tot aanstelling bevoegde gezag lid is van de jury; benadrukt dat het tot aanstelling bevoegde gezag door het nemen van een definitief besluit, hetgeen een taak van het tot aanstelling bevoegde gezag is, tevens bevestigt dat de gehele selectieprocedure rechtmatig is verlopen, met inbegrip van de vraag of de kandidaat aan alle ontvankelijkheids‑ en toelatingscriteria voldoet</w:t>
            </w:r>
            <w:r>
              <w:rPr>
                <w:b/>
                <w:i/>
              </w:rPr>
              <w:t>;</w:t>
            </w:r>
            <w:r>
              <w:t xml:space="preserve"> </w:t>
            </w:r>
            <w:r>
              <w:rPr>
                <w:b/>
                <w:i/>
              </w:rPr>
              <w:t>stelt evenwel vast dat deze rol minder duidelijk kan lijken wanneer</w:t>
            </w:r>
            <w:r>
              <w:t xml:space="preserve"> het tot aanstelling bevoegde gezag in vorige fasen van de </w:t>
            </w:r>
            <w:r>
              <w:rPr>
                <w:b/>
                <w:i/>
              </w:rPr>
              <w:t>procedure</w:t>
            </w:r>
            <w:r>
              <w:t xml:space="preserve"> ook voorzitter van de jury is geweest, hetgeen bij </w:t>
            </w:r>
            <w:r>
              <w:rPr>
                <w:b/>
                <w:i/>
              </w:rPr>
              <w:t>het</w:t>
            </w:r>
            <w:r>
              <w:t xml:space="preserve"> huidige </w:t>
            </w:r>
            <w:r>
              <w:rPr>
                <w:b/>
                <w:i/>
              </w:rPr>
              <w:t>proces</w:t>
            </w:r>
            <w:r>
              <w:t xml:space="preserve"> het geval </w:t>
            </w:r>
            <w:r>
              <w:rPr>
                <w:b/>
                <w:i/>
              </w:rPr>
              <w:t>was</w:t>
            </w:r>
            <w:r>
              <w:t xml:space="preserve">; merkt bovendien op dat de Ombudsman heeft geweigerd om de kwijtingsautoriteit alle documenten te verstrekken die betrekking hebben op de controle van de geschiktheid, de beoordeling van de sollicitaties, de feitelijke gesprekken van de geselecteerde kandidaten met de jury en het bilaterale gesprek met de Ombudsman, waarbij hij onder meer verwijst naar de beperkingen van het rechtskader inzake vertrouwelijkheid om te voorkomen dat de onafhankelijkheid en integriteit van het selectieproces in het gedrang komen indien dergelijke documenten openbaar zouden worden gemaakt; herinnert eraan dat het Parlement het recht heeft om alle nodige informatie op te vragen op grond van artikel 319, lid 2, van het Verdrag betreffende de werking van de Europese Unie; benadrukt dat het doorsturen van informatie aan het Parlement met het oog op kwijting niet hetzelfde is als het openbaar maken van die informatie; wijst er voorts op dat het Parlement een uitgebreide reeks veiligheidsvoorschriften heeft vastgesteld, die in overeenstemming zijn met dezelfde beginselen en normen als die van andere instellingen van de Unie, waaronder veiligheidsmachtigingen, het beginsel van </w:t>
            </w:r>
            <w:r>
              <w:rPr>
                <w:b/>
                <w:i/>
              </w:rPr>
              <w:t>need-to-know</w:t>
            </w:r>
            <w:r>
              <w:t>, beveiligde ruimten en leeskamers, sancties bij overtredingen enzovoort; dringt er, in het licht van het bovenstaande, bij de Ombudsman op aan om de kwijtingsautoriteit alle documenten te verstrekken met betrekking tot de controles van de geschiktheid, de beoordeling van de sollicitaties, de daadwerkelijke sollicitatiegesprekken van de kandidaten op de shortlist met de jury en het bilaterale gesprek met de Ombudsman in verband met de procedure voor de selectie van de secretaris-generaal van de Ombudsman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benadrukt dat de Ombudsman tot taak heeft goed bestuur te bevorderen, onder meer door ervoor te zorgen dat het ethisch kader van alle instellingen, organen en instanties van de Unie solide is en transparantie en verantwoordingsplicht kan waarborgen; is er vast van overtuigd dat </w:t>
            </w:r>
            <w:r>
              <w:rPr>
                <w:b/>
                <w:i/>
              </w:rPr>
              <w:t>elke schijn van favoritisme of belangenconflicten door alle instellingen, organen en instanties van de Unie, en met name</w:t>
            </w:r>
            <w:r>
              <w:t xml:space="preserve"> de Ombudsman</w:t>
            </w:r>
            <w:r>
              <w:rPr>
                <w:b/>
                <w:i/>
              </w:rPr>
              <w:t>, moet worden vermeden, aangezien zelfs de schijn daarvan hun</w:t>
            </w:r>
            <w:r>
              <w:t xml:space="preserve"> integriteit </w:t>
            </w:r>
            <w:r>
              <w:rPr>
                <w:b/>
                <w:i/>
              </w:rPr>
              <w:t>en missie zou ondermijnen en</w:t>
            </w:r>
            <w:r>
              <w:t xml:space="preserve"> het vertrouwen van de burgers van de Unie </w:t>
            </w:r>
            <w:r>
              <w:rPr>
                <w:b/>
                <w:i/>
              </w:rPr>
              <w:t>negatief zou kunnen beïnvloeden</w:t>
            </w:r>
            <w:r>
              <w:t>;</w:t>
            </w:r>
          </w:p>
        </w:tc>
        <w:tc>
          <w:tcPr>
            <w:tcW w:w="4876" w:type="dxa"/>
            <w:tcBorders>
              <w:top w:val="nil"/>
              <w:left w:val="nil"/>
              <w:bottom w:val="nil"/>
              <w:right w:val="nil"/>
            </w:tcBorders>
          </w:tcPr>
          <w:p>
            <w:pPr>
              <w:pStyle w:val="Normal6a"/>
            </w:pPr>
            <w:r>
              <w:t>24.</w:t>
            </w:r>
            <w:r>
              <w:tab/>
            </w:r>
            <w:r>
              <w:t xml:space="preserve">benadrukt dat de Ombudsman tot taak heeft goed bestuur te bevorderen, onder meer door ervoor te zorgen dat het ethisch kader van alle instellingen, organen en instanties van de Unie solide is en transparantie en verantwoordingsplicht kan waarborgen; is er vast van overtuigd dat de Ombudsman </w:t>
            </w:r>
            <w:r>
              <w:rPr>
                <w:b/>
                <w:i/>
              </w:rPr>
              <w:t>moet voldoen aan de strengste normen van onafhankelijkheid, onpartijdigheid en</w:t>
            </w:r>
            <w:r>
              <w:t xml:space="preserve"> integriteit </w:t>
            </w:r>
            <w:r>
              <w:rPr>
                <w:b/>
                <w:i/>
              </w:rPr>
              <w:t>om zijn mandaat geloofwaardig te kunnen uitvoeren en zich te verzekeren van</w:t>
            </w:r>
            <w:r>
              <w:t xml:space="preserve"> het vertrouwen van de burgers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benadrukt dat de Ombudsman tot taak heeft goed bestuur te bevorderen, onder meer door ervoor te zorgen dat het ethisch kader van alle instellingen, organen en instanties van de Unie solide is en transparantie en verantwoordingsplicht kan waarborgen; is er vast van overtuigd dat elke schijn van favoritisme of belangenconflicten door alle instellingen, organen en instanties van de Unie, en met name de Ombudsman, moet worden vermeden, aangezien zelfs de schijn daarvan hun integriteit en missie zou ondermijnen en het vertrouwen van de burgers van de Unie negatief zou kunnen beïnvloeden;</w:t>
            </w:r>
          </w:p>
        </w:tc>
        <w:tc>
          <w:tcPr>
            <w:tcW w:w="4876" w:type="dxa"/>
            <w:tcBorders>
              <w:top w:val="nil"/>
              <w:left w:val="nil"/>
              <w:bottom w:val="nil"/>
              <w:right w:val="nil"/>
            </w:tcBorders>
          </w:tcPr>
          <w:p>
            <w:pPr>
              <w:pStyle w:val="Normal6a"/>
            </w:pPr>
            <w:r>
              <w:t>24.</w:t>
            </w:r>
            <w:r>
              <w:tab/>
            </w:r>
            <w:r>
              <w:t xml:space="preserve">benadrukt dat de Ombudsman tot taak heeft goed bestuur te bevorderen, onder meer door ervoor te zorgen dat het ethisch kader van alle instellingen, organen en instanties van de Unie solide is en transparantie en verantwoordingsplicht kan waarborgen; is er vast van overtuigd dat elke schijn van favoritisme of belangenconflicten door alle instellingen, organen en instanties van de Unie, en met name de Ombudsman, moet worden vermeden, aangezien zelfs de schijn daarvan hun integriteit en missie zou ondermijnen en het vertrouwen van de burgers van de Unie negatief zou kunnen beïnvloeden; </w:t>
            </w:r>
            <w:r>
              <w:rPr>
                <w:b/>
                <w:i/>
              </w:rPr>
              <w:t>herinnert eraan dat de Ombudsman als instelling van de Unie die is belast met het bevorderen van ethische normen en goed bestuur binnen het gehele EU-bestuur, wordt geacht bijzonder strenge normen te hanteren voor het eigen bestuur en voor benoemingen op hoge posten, en daarmee als ijkpunt te dienen voor andere instellingen;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benadrukt dat de Ombudsman tot taak heeft goed bestuur te bevorderen, onder meer door ervoor te zorgen dat het ethisch kader van alle instellingen, organen en instanties van de Unie solide is en transparantie en verantwoordingsplicht kan waarborgen; is er vast van overtuigd dat elke schijn van favoritisme of belangenconflicten door alle instellingen, organen en instanties van de Unie, en met name de Ombudsman, moet worden vermeden, aangezien zelfs de schijn daarvan hun </w:t>
            </w:r>
            <w:r>
              <w:rPr>
                <w:b/>
                <w:i/>
              </w:rPr>
              <w:t>integriteit en missie</w:t>
            </w:r>
            <w:r>
              <w:t xml:space="preserve"> zou ondermijnen en het vertrouwen van de burgers van de Unie negatief zou kunnen beïnvloeden;</w:t>
            </w:r>
          </w:p>
        </w:tc>
        <w:tc>
          <w:tcPr>
            <w:tcW w:w="4876" w:type="dxa"/>
            <w:tcBorders>
              <w:top w:val="nil"/>
              <w:left w:val="nil"/>
              <w:bottom w:val="nil"/>
              <w:right w:val="nil"/>
            </w:tcBorders>
          </w:tcPr>
          <w:p>
            <w:pPr>
              <w:pStyle w:val="Normal6a"/>
            </w:pPr>
            <w:r>
              <w:t>24.</w:t>
            </w:r>
            <w:r>
              <w:tab/>
            </w:r>
            <w:r>
              <w:t xml:space="preserve">benadrukt dat de Ombudsman tot taak heeft goed bestuur te bevorderen, onder meer door ervoor te zorgen dat het ethisch kader van alle instellingen, organen en instanties van de Unie solide is en transparantie en verantwoordingsplicht kan waarborgen; is er vast van overtuigd dat elke schijn van favoritisme of belangenconflicten door alle instellingen, organen en instanties van de Unie, en met name de Ombudsman, moet worden vermeden, aangezien zelfs de schijn daarvan hun </w:t>
            </w:r>
            <w:r>
              <w:rPr>
                <w:b/>
                <w:i/>
              </w:rPr>
              <w:t>geloofwaardigheid</w:t>
            </w:r>
            <w:r>
              <w:t xml:space="preserve"> zou ondermijnen en het vertrouwen van de burgers van de Unie negatief zou kunnen beïnvloeden;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benadrukt dat de Ombudsman tot taak heeft goed bestuur te bevorderen, onder meer door ervoor te zorgen dat het ethisch kader van alle instellingen, organen en instanties van de Unie solide is en transparantie en verantwoordingsplicht kan waarborgen; </w:t>
            </w:r>
            <w:r>
              <w:rPr>
                <w:b/>
                <w:i/>
              </w:rPr>
              <w:t>is er vast van overtuigd dat elke schijn van favoritisme of belangenconflicten door alle</w:t>
            </w:r>
            <w:r>
              <w:t xml:space="preserve"> instellingen, organen en instanties van de Unie, en met name de Ombudsman, </w:t>
            </w:r>
            <w:r>
              <w:rPr>
                <w:b/>
                <w:i/>
              </w:rPr>
              <w:t>moet worden vermeden</w:t>
            </w:r>
            <w:r>
              <w:t xml:space="preserve">, aangezien </w:t>
            </w:r>
            <w:r>
              <w:rPr>
                <w:b/>
                <w:i/>
              </w:rPr>
              <w:t>zelfs de</w:t>
            </w:r>
            <w:r>
              <w:t xml:space="preserve"> schijn </w:t>
            </w:r>
            <w:r>
              <w:rPr>
                <w:b/>
                <w:i/>
              </w:rPr>
              <w:t>daarvan</w:t>
            </w:r>
            <w:r>
              <w:t xml:space="preserve"> hun integriteit en missie </w:t>
            </w:r>
            <w:r>
              <w:rPr>
                <w:b/>
                <w:i/>
              </w:rPr>
              <w:t>zou</w:t>
            </w:r>
            <w:r>
              <w:t xml:space="preserve"> ondermijnen en het vertrouwen van de burgers van de Unie negatief </w:t>
            </w:r>
            <w:r>
              <w:rPr>
                <w:b/>
                <w:i/>
              </w:rPr>
              <w:t>zou kunnen</w:t>
            </w:r>
            <w:r>
              <w:t xml:space="preserve"> beïnvloeden;</w:t>
            </w:r>
          </w:p>
        </w:tc>
        <w:tc>
          <w:tcPr>
            <w:tcW w:w="4876" w:type="dxa"/>
            <w:tcBorders>
              <w:top w:val="nil"/>
              <w:left w:val="nil"/>
              <w:bottom w:val="nil"/>
              <w:right w:val="nil"/>
            </w:tcBorders>
          </w:tcPr>
          <w:p>
            <w:pPr>
              <w:pStyle w:val="Normal6a"/>
            </w:pPr>
            <w:r>
              <w:t>24.</w:t>
            </w:r>
            <w:r>
              <w:tab/>
            </w:r>
            <w:r>
              <w:t xml:space="preserve">benadrukt dat de Ombudsman tot taak heeft goed bestuur te bevorderen, onder meer door ervoor te zorgen dat het ethisch kader van alle instellingen, organen en instanties van de Unie solide is en transparantie en verantwoordingsplicht kan waarborgen; </w:t>
            </w:r>
            <w:r>
              <w:rPr>
                <w:b/>
                <w:i/>
              </w:rPr>
              <w:t>onderstreept dat het belangrijk is voor de</w:t>
            </w:r>
            <w:r>
              <w:t xml:space="preserve"> instellingen, organen en instanties van de Unie, en met name </w:t>
            </w:r>
            <w:r>
              <w:rPr>
                <w:b/>
                <w:i/>
              </w:rPr>
              <w:t>voor</w:t>
            </w:r>
            <w:r>
              <w:t xml:space="preserve"> de Ombudsman, </w:t>
            </w:r>
            <w:r>
              <w:rPr>
                <w:b/>
                <w:i/>
              </w:rPr>
              <w:t>zich bewust te zijn van situaties die de schijn hebben van favoritisme en belangenconflicten</w:t>
            </w:r>
            <w:r>
              <w:t xml:space="preserve">, aangezien </w:t>
            </w:r>
            <w:r>
              <w:rPr>
                <w:b/>
                <w:i/>
              </w:rPr>
              <w:t>deze</w:t>
            </w:r>
            <w:r>
              <w:t xml:space="preserve"> schijn hun integriteit en missie </w:t>
            </w:r>
            <w:r>
              <w:rPr>
                <w:b/>
                <w:i/>
              </w:rPr>
              <w:t>kan</w:t>
            </w:r>
            <w:r>
              <w:t xml:space="preserve"> ondermijnen en het vertrouwen van de burgers van de Unie negatief </w:t>
            </w:r>
            <w:r>
              <w:rPr>
                <w:b/>
                <w:i/>
              </w:rPr>
              <w:t>kan</w:t>
            </w:r>
            <w:r>
              <w:t xml:space="preserve"> beïnvloeden;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verzoekt de Ombudsman te overwegen een intern ex-postoverleg te houden naar aanleiding van streng gecontroleerde benoemingsprocedures om te bepalen waaruit lering moet worden getrokken en hoe toekomstige procedures eventueel verbeterd kunnen worden, en de kwijtingsautoriteit in kennis te stellen van de resultaten;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merkt op dat de Ombudsman weliswaar een kleine instelling is, maar dat zijn personeel in 2024, net als in 2023, uit 19 verschillende nationaliteiten bestond; constateert echter dat sommige nationaliteiten oververtegenwoordigd zijn (waarvan één meer dan 30 % van het personeel van de Ombudsman uitmaakt); </w:t>
            </w:r>
            <w:r>
              <w:rPr>
                <w:b/>
                <w:i/>
              </w:rPr>
              <w:t>dringt er bij</w:t>
            </w:r>
            <w:r>
              <w:t xml:space="preserve"> de Ombudsman </w:t>
            </w:r>
            <w:r>
              <w:rPr>
                <w:b/>
                <w:i/>
              </w:rPr>
              <w:t>op aan zich meer in te spannen voor een evenwichtigere geografische spreiding van zijn personeel over onderdanen van zoveel mogelijk</w:t>
            </w:r>
            <w:r>
              <w:t xml:space="preserve"> lidstaten;</w:t>
            </w:r>
          </w:p>
        </w:tc>
        <w:tc>
          <w:tcPr>
            <w:tcW w:w="4876" w:type="dxa"/>
            <w:tcBorders>
              <w:top w:val="nil"/>
              <w:left w:val="nil"/>
              <w:bottom w:val="nil"/>
              <w:right w:val="nil"/>
            </w:tcBorders>
          </w:tcPr>
          <w:p>
            <w:pPr>
              <w:pStyle w:val="Normal6a"/>
            </w:pPr>
            <w:r>
              <w:t>25.</w:t>
            </w:r>
            <w:r>
              <w:tab/>
            </w:r>
            <w:r>
              <w:t xml:space="preserve">merkt op dat de Ombudsman weliswaar een kleine instelling is, maar dat zijn personeel in 2024, net als in 2023, uit 19 verschillende nationaliteiten bestond; constateert echter dat sommige nationaliteiten oververtegenwoordigd zijn (waarvan één meer dan 30 % van het personeel van de Ombudsman uitmaakt); </w:t>
            </w:r>
            <w:r>
              <w:rPr>
                <w:b/>
                <w:i/>
              </w:rPr>
              <w:t>benadrukt dat deze hoge concentratie van personen van dezelfde nationaliteit in een kleine instelling gevolgen kan hebben voor de wijze waarop andere instellingen de inachtneming van het diversiteitsbeginsel door het Bureau van</w:t>
            </w:r>
            <w:r>
              <w:t xml:space="preserve"> de Ombudsman </w:t>
            </w:r>
            <w:r>
              <w:rPr>
                <w:b/>
                <w:i/>
              </w:rPr>
              <w:t>waarnemen;</w:t>
            </w:r>
            <w:r>
              <w:t xml:space="preserve"> </w:t>
            </w:r>
            <w:r>
              <w:rPr>
                <w:b/>
                <w:i/>
              </w:rPr>
              <w:t>verzoekt de Ombudsman aanwervings- en outreachmaatregelen te nemen die specifiek zijn gericht op ondervertegenwoordigde</w:t>
            </w:r>
            <w:r>
              <w:t xml:space="preserve"> lidstaten</w:t>
            </w:r>
            <w:r>
              <w:rPr>
                <w:b/>
                <w:i/>
              </w:rPr>
              <w:t>, zodat het Bureau van de Ombudsman een afspiegeling blijft van de diversiteit van de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merkt op dat, wat het genderevenwicht betreft, de Ombudsman in alle personeelscategorieën meer vrouwen dan mannen in dienst heeft, met name op managementniveau, waar alle functies door vrouwen worden bekleed; merkt op dat het personeelsbestand in totaal voor 68 % uit vrouwen en voor 32 % uit mannen bestaat, tegenover 67 % vrouwen en 33 % mannen in 2023; verzoekt de Ombudsman te streven naar een evenwichtigere vertegenwoordiging van mannen en vrouwen onder zijn personeel;</w:t>
            </w:r>
          </w:p>
        </w:tc>
        <w:tc>
          <w:tcPr>
            <w:tcW w:w="4876" w:type="dxa"/>
            <w:tcBorders>
              <w:top w:val="nil"/>
              <w:left w:val="nil"/>
              <w:bottom w:val="nil"/>
              <w:right w:val="nil"/>
            </w:tcBorders>
          </w:tcPr>
          <w:p>
            <w:pPr>
              <w:pStyle w:val="Normal6a"/>
            </w:pPr>
            <w:r>
              <w:t>26.</w:t>
            </w:r>
            <w:r>
              <w:tab/>
            </w:r>
            <w:r>
              <w:t xml:space="preserve">merkt op dat, wat het genderevenwicht betreft, de Ombudsman in alle personeelscategorieën meer vrouwen dan mannen in dienst heeft, met name op managementniveau, waar alle functies door vrouwen worden bekleed; merkt op dat het personeelsbestand in totaal voor 68 % uit vrouwen en voor 32 % uit mannen bestaat, tegenover 67 % vrouwen en 33 % mannen in 2023; verzoekt de Ombudsman te streven naar een evenwichtigere vertegenwoordiging van mannen en vrouwen onder zijn personeel; </w:t>
            </w:r>
            <w:r>
              <w:rPr>
                <w:b/>
                <w:i/>
              </w:rPr>
              <w:t>verzoekt de Ombudsman dringend een strategie te ontwikkelen om te werken aan het feit dat mannen volledig ontbreken in leidinggevende functies;</w:t>
            </w:r>
            <w:r>
              <w:t xml:space="preserve"> </w:t>
            </w:r>
            <w:r>
              <w:rPr>
                <w:b/>
                <w:i/>
              </w:rPr>
              <w:t>is van mening dat het voor het behoud van een evenwichtige en inclusieve werkomgeving binnen alle hiërarchische niveaus essentieel is om ervoor zorgen dat de instelling een betere afspiegeling is van de heterogene samenstelling van de burgers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merkt op dat de Ombudsman in 2024 18 betaalde stagiaires heeft ontvangen (hetzelfde aantal als in 2023), waarvan een geselecteerd was in het kader van het lovenswaardige stageprogramma van de Ombudsman voor personen met een handicap; benadrukt nogmaals dat stages gepaard moeten gaan met een vergoeding die voldoet aan de resolutie van het Parlement van 14 juni 2023 betreffende hoogwaardige stages in de EU (2020/2005(INL)), die een oproep inhoudt om alle stages in de Unie betaald te maken;</w:t>
            </w:r>
          </w:p>
        </w:tc>
        <w:tc>
          <w:tcPr>
            <w:tcW w:w="4876" w:type="dxa"/>
            <w:tcBorders>
              <w:top w:val="nil"/>
              <w:left w:val="nil"/>
              <w:bottom w:val="nil"/>
              <w:right w:val="nil"/>
            </w:tcBorders>
          </w:tcPr>
          <w:p>
            <w:pPr>
              <w:pStyle w:val="Normal6a"/>
            </w:pPr>
            <w:r>
              <w:t>29.</w:t>
            </w:r>
            <w:r>
              <w:tab/>
            </w:r>
            <w:r>
              <w:t xml:space="preserve">merkt op dat de Ombudsman in 2024 18 betaalde stagiaires heeft ontvangen (hetzelfde aantal als in 2023), waarvan een geselecteerd was in het kader van het lovenswaardige stageprogramma van de Ombudsman voor personen met een handicap; benadrukt nogmaals dat stages gepaard moeten gaan met een vergoeding die voldoet aan de resolutie van het Parlement van 14 juni 2023 betreffende hoogwaardige stages in de EU (2020/2005(INL)), die een oproep inhoudt om alle stages in de Unie betaald te maken; </w:t>
            </w:r>
            <w:r>
              <w:rPr>
                <w:b/>
                <w:i/>
              </w:rPr>
              <w:t>beklemtoont dat betaalde stages van cruciaal belang zijn voor het waarborgen van gelijke kansen;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is ingenomen met de positieve impact van het gebruik van automatische vertalingen door de Ombudsman, waardoor de toegankelijkheid van de website van de Ombudsman is verbeterd, de toewijzing van zaken is gestroomlijnd en de behandeling van klachten is versneld, hetgeen heeft geleid tot een vermindering van de vertaalkosten met meer dan 65 % (van 2022 tot 2024) en van de administratieve lasten; moedigt de Ombudsman aan om AI-instrumenten en use cases te blijven testen en evalueren, en daarbij een voorzichtige aanpak te hanteren bij de ontwikkeling en inzet ervan;</w:t>
            </w:r>
          </w:p>
        </w:tc>
        <w:tc>
          <w:tcPr>
            <w:tcW w:w="4876" w:type="dxa"/>
            <w:tcBorders>
              <w:top w:val="nil"/>
              <w:left w:val="nil"/>
              <w:bottom w:val="nil"/>
              <w:right w:val="nil"/>
            </w:tcBorders>
          </w:tcPr>
          <w:p>
            <w:pPr>
              <w:pStyle w:val="Normal6a"/>
            </w:pPr>
            <w:r>
              <w:t>37.</w:t>
            </w:r>
            <w:r>
              <w:tab/>
            </w:r>
            <w:r>
              <w:t>is ingenomen met de positieve impact van het gebruik van automatische vertalingen door de Ombudsman, waardoor de toegankelijkheid van de website van de Ombudsman is verbeterd, de toewijzing van zaken is gestroomlijnd en de behandeling van klachten is versneld, hetgeen heeft geleid tot een vermindering van de vertaalkosten met meer dan 65 % (van 2022 tot 2024) en van de administratieve lasten; moedigt de Ombudsman aan om AI-instrumenten en use cases te blijven testen en evalueren, en daarbij een voorzichtige aanpak te hanteren bij de ontwikkeling en inzet ervan</w:t>
            </w:r>
            <w:r>
              <w:rPr>
                <w:b/>
                <w:i/>
              </w:rPr>
              <w:t>, met name wat betreft de gevolgen voor de begroting op middellange termijn in verband met onderhoud, schaalbaarheid, vaardigheden van het personeel en potentiële afhankelijkheid van digitale instrumenten en dienstenaanbieders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is ingenomen met de positieve impact van het gebruik van automatische vertalingen door de Ombudsman, waardoor de toegankelijkheid van de website van de Ombudsman is verbeterd, de toewijzing van zaken is gestroomlijnd en de behandeling van klachten is versneld, hetgeen heeft geleid tot een vermindering van de vertaalkosten met meer dan 65 % (van 2022 tot 2024) en van de administratieve lasten; moedigt de Ombudsman aan om AI-instrumenten en use cases te blijven testen en evalueren, en daarbij een voorzichtige aanpak te hanteren bij de ontwikkeling en inzet ervan;</w:t>
            </w:r>
          </w:p>
        </w:tc>
        <w:tc>
          <w:tcPr>
            <w:tcW w:w="4876" w:type="dxa"/>
            <w:tcBorders>
              <w:top w:val="nil"/>
              <w:left w:val="nil"/>
              <w:bottom w:val="nil"/>
              <w:right w:val="nil"/>
            </w:tcBorders>
          </w:tcPr>
          <w:p>
            <w:pPr>
              <w:pStyle w:val="Normal6a"/>
            </w:pPr>
            <w:r>
              <w:t>37.</w:t>
            </w:r>
            <w:r>
              <w:tab/>
            </w:r>
            <w:r>
              <w:t>is ingenomen met de positieve impact van het gebruik van automatische vertalingen door de Ombudsman, waardoor de toegankelijkheid van de website van de Ombudsman is verbeterd, de toewijzing van zaken is gestroomlijnd en de behandeling van klachten is versneld, hetgeen heeft geleid tot een vermindering van de vertaalkosten met meer dan 65 % (van 2022 tot 2024) en van de administratieve lasten; moedigt de Ombudsman aan om AI-instrumenten en use cases te blijven testen en evalueren, en daarbij een voorzichtige aanpak te hanteren bij de ontwikkeling en inzet ervan</w:t>
            </w:r>
            <w:r>
              <w:rPr>
                <w:b/>
                <w:i/>
              </w:rPr>
              <w:t>, op voorwaarde dat de inzet ervan veilig en kosteneffectief blijft en onderworpen is aan voldoende menselijk toezicht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merkt met voldoening op uit de vragenlijst dat de Ombudsman interne richtsnoeren heeft opgesteld voor het gebruik van generatieve AI-instrumenten van derden, die duidelijkheid en richting moeten bieden voor de veilige en effectieve integratie van </w:t>
            </w:r>
            <w:r>
              <w:rPr>
                <w:b/>
                <w:i/>
              </w:rPr>
              <w:t>AI‑instrumenten</w:t>
            </w:r>
            <w:r>
              <w:t xml:space="preserve"> in de workflows van de Ombudsman; kijkt uit naar de geplande uitbreiding van het gebruik van AI buiten vertalingen, bijvoorbeeld voor de integratie van de “ombudsprudentie” in een groot taalmodel van de Commissie en om gebruik te maken van historische jurisprudentie die in toekomstige onderzoeken zal worden meegenomen; </w:t>
            </w:r>
            <w:r>
              <w:rPr>
                <w:b/>
                <w:i/>
              </w:rPr>
              <w:t>beveelt</w:t>
            </w:r>
            <w:r>
              <w:t xml:space="preserve"> de Ombudsman </w:t>
            </w:r>
            <w:r>
              <w:rPr>
                <w:b/>
                <w:i/>
              </w:rPr>
              <w:t>niettemin aan om, wat tolkdiensten betreft, voorrang te geven aan door mensen geleverde tolkdiensten in plaats van op AI gebaseerde oplossingen;</w:t>
            </w:r>
            <w:r>
              <w:t xml:space="preserve"> </w:t>
            </w:r>
            <w:r>
              <w:rPr>
                <w:b/>
                <w:i/>
              </w:rPr>
              <w:t>neemt er kennis van dat de Ombudsman verschillende AI‑instrumenten heeft aangeschaft ter ondersteuning van interne en externe communicatieactiviteiten, met name videoproductie, waardoor</w:t>
            </w:r>
            <w:r>
              <w:t xml:space="preserve"> de efficiëntie en </w:t>
            </w:r>
            <w:r>
              <w:rPr>
                <w:b/>
                <w:i/>
              </w:rPr>
              <w:t>kwaliteit van de creatie van inhoud in 2024 is verbeterd</w:t>
            </w:r>
            <w:r>
              <w:t>;</w:t>
            </w:r>
          </w:p>
        </w:tc>
        <w:tc>
          <w:tcPr>
            <w:tcW w:w="4876" w:type="dxa"/>
            <w:tcBorders>
              <w:top w:val="nil"/>
              <w:left w:val="nil"/>
              <w:bottom w:val="nil"/>
              <w:right w:val="nil"/>
            </w:tcBorders>
          </w:tcPr>
          <w:p>
            <w:pPr>
              <w:pStyle w:val="Normal6a"/>
            </w:pPr>
            <w:r>
              <w:t>38.</w:t>
            </w:r>
            <w:r>
              <w:tab/>
            </w:r>
            <w:r>
              <w:t xml:space="preserve">merkt met voldoening op uit de vragenlijst dat de Ombudsman interne richtsnoeren heeft opgesteld voor het gebruik van generatieve AI-instrumenten van derden, die duidelijkheid en richting moeten bieden voor de veilige en effectieve integratie van </w:t>
            </w:r>
            <w:r>
              <w:rPr>
                <w:b/>
                <w:i/>
              </w:rPr>
              <w:t>AI-instrumenten</w:t>
            </w:r>
            <w:r>
              <w:t xml:space="preserve"> in de workflows van de Ombudsman; kijkt uit naar de geplande uitbreiding van het gebruik van AI buiten vertalingen, bijvoorbeeld voor de integratie van de “ombudsprudentie” in een groot taalmodel van de Commissie en om gebruik te maken van historische jurisprudentie die in toekomstige onderzoeken zal worden meegenomen; </w:t>
            </w:r>
            <w:r>
              <w:rPr>
                <w:b/>
                <w:i/>
              </w:rPr>
              <w:t>moedigt</w:t>
            </w:r>
            <w:r>
              <w:t xml:space="preserve"> de Ombudsman </w:t>
            </w:r>
            <w:r>
              <w:rPr>
                <w:b/>
                <w:i/>
              </w:rPr>
              <w:t>aan AI-instrumenten te blijven testen en ze in te zetten op gebieden waar ze aantoonbaar</w:t>
            </w:r>
            <w:r>
              <w:t xml:space="preserve"> de efficiëntie en </w:t>
            </w:r>
            <w:r>
              <w:rPr>
                <w:b/>
                <w:i/>
              </w:rPr>
              <w:t>toegankelijkheid verbeteren;</w:t>
            </w:r>
            <w:r>
              <w:t xml:space="preserve"> </w:t>
            </w:r>
            <w:r>
              <w:rPr>
                <w:b/>
                <w:i/>
              </w:rPr>
              <w:t>onderstreept evenwel dat er behoefte is aan duidelijke governance, menselijk toezicht, transparantie voor gebruikers en solide waarborgen op het gebied van gegevensbescherming, met inbegrip van gedocumenteerde risicobeoordelingen en kwaliteitscontrole van geautomatiseerde output, met name in gevallen waarin AI de behandeling van zaken, de toewijzing van middelen of de externe communicatie kan beïnvloeden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merkt met voldoening op uit de vragenlijst dat de Ombudsman interne richtsnoeren heeft opgesteld voor het gebruik van generatieve AI-instrumenten van derden, die duidelijkheid en richting moeten bieden voor de veilige en effectieve integratie van </w:t>
            </w:r>
            <w:r>
              <w:rPr>
                <w:b/>
                <w:i/>
              </w:rPr>
              <w:t>AI‑instrumenten</w:t>
            </w:r>
            <w:r>
              <w:t xml:space="preserve"> in de workflows van de Ombudsman; kijkt uit naar de geplande uitbreiding van het gebruik van AI buiten vertalingen, bijvoorbeeld voor de integratie van de “ombudsprudentie” in een groot taalmodel van de Commissie en om gebruik te maken van historische jurisprudentie die in toekomstige onderzoeken zal worden meegenomen; beveelt de Ombudsman niettemin aan om, wat tolkdiensten betreft, voorrang te geven aan door mensen geleverde tolkdiensten in plaats van op AI gebaseerde oplossingen; neemt er kennis van dat de Ombudsman verschillende </w:t>
            </w:r>
            <w:r>
              <w:rPr>
                <w:b/>
                <w:i/>
              </w:rPr>
              <w:t>AI‑instrumenten</w:t>
            </w:r>
            <w:r>
              <w:t xml:space="preserve"> heeft aangeschaft ter ondersteuning van interne en externe communicatieactiviteiten, met name videoproductie, waardoor de efficiëntie en kwaliteit van de creatie van inhoud in 2024 is verbeterd;</w:t>
            </w:r>
          </w:p>
        </w:tc>
        <w:tc>
          <w:tcPr>
            <w:tcW w:w="4876" w:type="dxa"/>
            <w:tcBorders>
              <w:top w:val="nil"/>
              <w:left w:val="nil"/>
              <w:bottom w:val="nil"/>
              <w:right w:val="nil"/>
            </w:tcBorders>
          </w:tcPr>
          <w:p>
            <w:pPr>
              <w:pStyle w:val="Normal6a"/>
            </w:pPr>
            <w:r>
              <w:t>38.</w:t>
            </w:r>
            <w:r>
              <w:tab/>
            </w:r>
            <w:r>
              <w:t xml:space="preserve">merkt met voldoening op uit de vragenlijst dat de Ombudsman interne richtsnoeren heeft opgesteld voor het gebruik van generatieve AI-instrumenten van derden, die duidelijkheid en richting moeten bieden voor de veilige en effectieve integratie van </w:t>
            </w:r>
            <w:r>
              <w:rPr>
                <w:b/>
                <w:i/>
              </w:rPr>
              <w:t>AI-instrumenten</w:t>
            </w:r>
            <w:r>
              <w:t xml:space="preserve"> in de workflows van de Ombudsman; kijkt uit naar de geplande uitbreiding van het gebruik van AI buiten vertalingen, bijvoorbeeld voor de integratie van de “ombudsprudentie” in een groot taalmodel van de Commissie en om gebruik te maken van historische jurisprudentie die in toekomstige onderzoeken zal worden meegenomen; </w:t>
            </w:r>
            <w:r>
              <w:rPr>
                <w:b/>
                <w:i/>
              </w:rPr>
              <w:t xml:space="preserve">verzoekt om een protocol dat erin voorziet dat alle AI-gegenereerde juridische informatie door menselijke onderzoeksfunctionarissen wordt geverifieerd; </w:t>
            </w:r>
            <w:r>
              <w:t xml:space="preserve"> </w:t>
            </w:r>
            <w:r>
              <w:rPr>
                <w:b/>
                <w:i/>
              </w:rPr>
              <w:t>verlangt voorts dat verslag wordt uitgebracht over de technische maatregelen die zijn genomen met het oog op uitbanning van algoritmische vooringenomenheid en waarborging van de objectiviteit van de beoordelingen van de instelling;</w:t>
            </w:r>
            <w:r>
              <w:t xml:space="preserve"> beveelt de Ombudsman niettemin aan om, wat tolkdiensten betreft, voorrang te geven aan door mensen geleverde tolkdiensten in plaats van op AI gebaseerde oplossingen; neemt er kennis van dat de Ombudsman verschillende </w:t>
            </w:r>
            <w:r>
              <w:rPr>
                <w:b/>
                <w:i/>
              </w:rPr>
              <w:t>AI-instrumenten</w:t>
            </w:r>
            <w:r>
              <w:t xml:space="preserve"> heeft aangeschaft ter ondersteuning van interne en externe communicatieactiviteiten, met name videoproductie, waardoor de efficiëntie en kwaliteit van de creatie van inhoud in 2024 is verbeterd;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merkt met waardering op uit de vragenlijst dat in 2024 één medewerker een intensieve opleiding van twee maanden in datawetenschap en artificiële intelligentie heeft gevolgd om de expertise van de Ombudsman op dit gebied te versterken en nu de Ombudsman vertegenwoordigt in het AI Correspondents Network dat door de Europese Toezichthouder voor gegevensbescherming (EDPS) is opgericht na de inwerkingtreding van Verordening (EU) 2024/1689 (de “verordening artificiële intelligentie”)</w:t>
            </w:r>
            <w:r>
              <w:rPr>
                <w:vertAlign w:val="superscript"/>
              </w:rPr>
              <w:t>6</w:t>
            </w:r>
            <w:r>
              <w:t>; neemt voorts kennis van de toezegging van de Ombudsman om een opleiding te ontwikkelen over het veilige en ethische gebruik van AI-instrumenten voor al zijn personeel; merkt voorts op dat de Ombudsman in 2024 maandelijks een gerichte verplichte opleiding heeft georganiseerd om het bewustzijn en de vaardigheden van het personeel op het gebied van beste praktijken inzake cyberbeveiliging te verbeteren; merkt met voldoening op dat de Ombudsman al zijn personeel verplicht om regelmatig opleidingen op het gebied van cyberbeveiliging te volgen;</w:t>
            </w:r>
          </w:p>
        </w:tc>
        <w:tc>
          <w:tcPr>
            <w:tcW w:w="4876" w:type="dxa"/>
            <w:tcBorders>
              <w:top w:val="nil"/>
              <w:left w:val="nil"/>
              <w:bottom w:val="nil"/>
              <w:right w:val="nil"/>
            </w:tcBorders>
          </w:tcPr>
          <w:p>
            <w:pPr>
              <w:pStyle w:val="Normal6a"/>
            </w:pPr>
            <w:r>
              <w:t>39.</w:t>
            </w:r>
            <w:r>
              <w:tab/>
            </w:r>
            <w:r>
              <w:t>merkt met waardering op uit de vragenlijst dat in 2024 één medewerker een intensieve opleiding van twee maanden in datawetenschap en artificiële intelligentie heeft gevolgd om de expertise van de Ombudsman op dit gebied te versterken en nu de Ombudsman vertegenwoordigt in het AI Correspondents Network dat door de Europese Toezichthouder voor gegevensbescherming (EDPS) is opgericht na de inwerkingtreding van Verordening (EU) 2024/1689 (de “verordening artificiële intelligentie”)</w:t>
            </w:r>
            <w:r>
              <w:rPr>
                <w:vertAlign w:val="superscript"/>
              </w:rPr>
              <w:t>6</w:t>
            </w:r>
            <w:r>
              <w:t xml:space="preserve">; neemt voorts kennis van de toezegging van de Ombudsman om een opleiding te ontwikkelen over het veilige en ethische gebruik van AI-instrumenten voor al zijn personeel; merkt voorts op dat de Ombudsman in 2024 maandelijks een gerichte verplichte opleiding heeft georganiseerd om het bewustzijn en de vaardigheden van het personeel op het gebied van beste praktijken inzake cyberbeveiliging te verbeteren; merkt met voldoening op dat de Ombudsman al zijn personeel verplicht om regelmatig opleidingen op het gebied van cyberbeveiliging te volgen; </w:t>
            </w:r>
            <w:r>
              <w:rPr>
                <w:b/>
                <w:i/>
              </w:rPr>
              <w:t>moedigt de Ombudsman aan de ontwikkeling van de digitaliseringsstrategie voort te zetten en er daarbij op toe te zien dat de inzet van AI-instrumenten volledig in overeenstemming blijft met de beginselen van ethisch gebruik, transparantie, gegevensbescherming, menselijk toezicht en bescherming tegen algoritmische vooringenomenheid of misbruik;</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http://data.europa.eu/eli/reg/2024/1689/oj).</w:t>
            </w:r>
          </w:p>
        </w:tc>
        <w:tc>
          <w:tcPr>
            <w:tcW w:w="4876" w:type="dxa"/>
            <w:tcBorders>
              <w:top w:val="nil"/>
              <w:left w:val="nil"/>
              <w:bottom w:val="nil"/>
              <w:right w:val="nil"/>
            </w:tcBorders>
          </w:tcPr>
          <w:p>
            <w:pPr>
              <w:pStyle w:val="Normal6a"/>
            </w:pPr>
            <w:r>
              <w:rPr>
                <w:vertAlign w:val="superscript"/>
              </w:rPr>
              <w:t>6</w:t>
            </w:r>
            <w:r>
              <w:t xml:space="preserve"> </w:t>
            </w:r>
            <w:r>
              <w:t>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http://data.europa.eu/eli/reg/2024/1689/oj).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bis.</w:t>
            </w:r>
            <w:r>
              <w:tab/>
            </w:r>
            <w:r>
              <w:rPr>
                <w:b/>
                <w:i/>
              </w:rPr>
              <w:t>benadrukt het belang van aanbestedingen als een instrument ter bevordering van beleidsdoelstellingen, zoals milieudoelstellingen en een sociale agenda;</w:t>
            </w:r>
            <w:r>
              <w:t xml:space="preserve"> </w:t>
            </w:r>
            <w:r>
              <w:rPr>
                <w:b/>
                <w:i/>
              </w:rPr>
              <w:t>verzoekt de Ombudsman bij zijn aanbestedingsprocedures in sterkere mate rekening te houden met strategische criteria voor maatschappelijke verantwoordelijkheid en ecologische duurzaamheid;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is ingenomen met de financiële en administratieve besparingen die dankzij interinstitutionele samenwerking zijn gerealiseerd, met name de grote reeks overeenkomsten inzake dienstverleningsniveau van de Ombudsman met het Parlement en de Commissie op verschillende gebieden en de deelname aan interinstitutionele aanbestedingsprocedures; is ermee ingenomen dat de samenwerking tussen het Parlement en de Ombudsman in oktober 2024 op het gebied van cyberbeveiliging is geformaliseerd door middel van een herzien interinstitutioneel akkoord dat het Parlement een kader biedt om de Ombudsman degelijke steun op het gebied van cyberbeveiliging te blijven bieden;</w:t>
            </w:r>
          </w:p>
        </w:tc>
        <w:tc>
          <w:tcPr>
            <w:tcW w:w="4876" w:type="dxa"/>
            <w:tcBorders>
              <w:top w:val="nil"/>
              <w:left w:val="nil"/>
              <w:bottom w:val="nil"/>
              <w:right w:val="nil"/>
            </w:tcBorders>
          </w:tcPr>
          <w:p>
            <w:pPr>
              <w:pStyle w:val="Normal6a"/>
            </w:pPr>
            <w:r>
              <w:t>46.</w:t>
            </w:r>
            <w:r>
              <w:tab/>
            </w:r>
            <w:r>
              <w:t xml:space="preserve">is ingenomen met de financiële en administratieve besparingen die dankzij interinstitutionele samenwerking zijn gerealiseerd, met name de grote reeks overeenkomsten inzake dienstverleningsniveau van de Ombudsman met het Parlement en de Commissie op verschillende gebieden en de deelname aan interinstitutionele aanbestedingsprocedures; is ermee ingenomen dat de samenwerking tussen het Parlement en de Ombudsman in oktober 2024 op het gebied van cyberbeveiliging is geformaliseerd door middel van een herzien interinstitutioneel akkoord dat het Parlement een kader biedt om de Ombudsman degelijke steun op het gebied van cyberbeveiliging te blijven bieden; </w:t>
            </w:r>
            <w:r>
              <w:rPr>
                <w:b/>
                <w:i/>
              </w:rPr>
              <w:t>moedigt de Ombudsman aan erop toe te zien dat alle personeelsleden regelmatige en actuele trainingen op het gebied van cyberveiligheid kunnen volgen, zodat zij zich sterk bewust blijven van veranderende cyberdreigingen en hun weerbaarheid op peil 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is ingenomen met de financiële en administratieve besparingen die dankzij interinstitutionele samenwerking zijn gerealiseerd, met name de grote reeks overeenkomsten inzake dienstverleningsniveau van de Ombudsman met het Parlement en de Commissie op verschillende gebieden en de deelname aan interinstitutionele aanbestedingsprocedures; is ermee ingenomen dat de samenwerking tussen het Parlement en de Ombudsman in oktober 2024 op het gebied van cyberbeveiliging is geformaliseerd door middel van een herzien interinstitutioneel akkoord dat het Parlement een kader biedt om de Ombudsman degelijke steun op het gebied van cyberbeveiliging te blijven bieden;</w:t>
            </w:r>
          </w:p>
        </w:tc>
        <w:tc>
          <w:tcPr>
            <w:tcW w:w="4876" w:type="dxa"/>
            <w:tcBorders>
              <w:top w:val="nil"/>
              <w:left w:val="nil"/>
              <w:bottom w:val="nil"/>
              <w:right w:val="nil"/>
            </w:tcBorders>
          </w:tcPr>
          <w:p>
            <w:pPr>
              <w:pStyle w:val="Normal6a"/>
            </w:pPr>
            <w:r>
              <w:t>46.</w:t>
            </w:r>
            <w:r>
              <w:tab/>
            </w:r>
            <w:r>
              <w:t xml:space="preserve">is ingenomen met de financiële en administratieve besparingen die dankzij interinstitutionele samenwerking zijn gerealiseerd, met name de grote reeks overeenkomsten inzake dienstverleningsniveau van de Ombudsman met het Parlement en de Commissie op verschillende gebieden en de deelname aan interinstitutionele aanbestedingsprocedures; is ermee ingenomen dat de samenwerking tussen het Parlement en de Ombudsman in oktober 2024 op het gebied van cyberbeveiliging is geformaliseerd door middel van een herzien interinstitutioneel akkoord dat het Parlement een kader biedt om de Ombudsman degelijke steun op het gebied van cyberbeveiliging te blijven bieden; </w:t>
            </w:r>
            <w:r>
              <w:rPr>
                <w:b/>
                <w:i/>
              </w:rPr>
              <w:t>onderstreept dat deze vorm van samenwerking cruciaal is om overlappende structuren te voorkomen en ervoor te zorgen dat Uniemiddelen efficiënt worden benut;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merkt op uit de vragenlijst dat de totale begroting voor communicatie</w:t>
            </w:r>
            <w:r>
              <w:rPr>
                <w:b/>
                <w:i/>
              </w:rPr>
              <w:t>‑</w:t>
            </w:r>
            <w:r>
              <w:t xml:space="preserve"> en promotieactiviteiten (publicaties, evenementorganisatie, digitale communicatie enz.) met ongeveer 38 % is gedaald, van </w:t>
            </w:r>
            <w:r>
              <w:rPr>
                <w:b/>
                <w:i/>
              </w:rPr>
              <w:t>155 200</w:t>
            </w:r>
            <w:r>
              <w:t xml:space="preserve"> EUR in 2023 naar </w:t>
            </w:r>
            <w:r>
              <w:rPr>
                <w:b/>
                <w:i/>
              </w:rPr>
              <w:t>96 515</w:t>
            </w:r>
            <w:r>
              <w:t xml:space="preserve"> EUR in 2024;</w:t>
            </w:r>
          </w:p>
        </w:tc>
        <w:tc>
          <w:tcPr>
            <w:tcW w:w="4876" w:type="dxa"/>
            <w:tcBorders>
              <w:top w:val="nil"/>
              <w:left w:val="nil"/>
              <w:bottom w:val="nil"/>
              <w:right w:val="nil"/>
            </w:tcBorders>
          </w:tcPr>
          <w:p>
            <w:pPr>
              <w:pStyle w:val="Normal6a"/>
            </w:pPr>
            <w:r>
              <w:t>50.</w:t>
            </w:r>
            <w:r>
              <w:tab/>
            </w:r>
            <w:r>
              <w:t>merkt op uit de vragenlijst dat de totale begroting voor communicatie</w:t>
            </w:r>
            <w:r>
              <w:rPr>
                <w:b/>
                <w:i/>
              </w:rPr>
              <w:t>-</w:t>
            </w:r>
            <w:r>
              <w:t xml:space="preserve"> en promotieactiviteiten (publicaties, evenementorganisatie, digitale communicatie enz.) met ongeveer 38 % is gedaald, van </w:t>
            </w:r>
            <w:r>
              <w:rPr>
                <w:b/>
                <w:i/>
              </w:rPr>
              <w:t>155 200</w:t>
            </w:r>
            <w:r>
              <w:t xml:space="preserve"> EUR in 2023 naar </w:t>
            </w:r>
            <w:r>
              <w:rPr>
                <w:b/>
                <w:i/>
              </w:rPr>
              <w:t>96 515</w:t>
            </w:r>
            <w:r>
              <w:t xml:space="preserve"> EUR in 2024; </w:t>
            </w:r>
            <w:r>
              <w:rPr>
                <w:b/>
                <w:i/>
              </w:rPr>
              <w:t>is ingenomen met deze daling en onderstreept dat communicatieactiviteiten gericht moeten blijven op het informeren van de burgers over de taken van de Ombudsman;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merkt op uit de vragenlijst dat de totale begroting voor communicatie</w:t>
            </w:r>
            <w:r>
              <w:rPr>
                <w:b/>
                <w:i/>
              </w:rPr>
              <w:t>‑</w:t>
            </w:r>
            <w:r>
              <w:t xml:space="preserve"> en promotieactiviteiten (publicaties, evenementorganisatie, digitale communicatie enz.) met ongeveer 38 % is gedaald, van </w:t>
            </w:r>
            <w:r>
              <w:rPr>
                <w:b/>
                <w:i/>
              </w:rPr>
              <w:t>155 200</w:t>
            </w:r>
            <w:r>
              <w:t xml:space="preserve"> EUR in 2023 naar </w:t>
            </w:r>
            <w:r>
              <w:rPr>
                <w:b/>
                <w:i/>
              </w:rPr>
              <w:t>96 515</w:t>
            </w:r>
            <w:r>
              <w:t xml:space="preserve"> EUR in 2024;</w:t>
            </w:r>
          </w:p>
        </w:tc>
        <w:tc>
          <w:tcPr>
            <w:tcW w:w="4876" w:type="dxa"/>
            <w:tcBorders>
              <w:top w:val="nil"/>
              <w:left w:val="nil"/>
              <w:bottom w:val="nil"/>
              <w:right w:val="nil"/>
            </w:tcBorders>
          </w:tcPr>
          <w:p>
            <w:pPr>
              <w:pStyle w:val="Normal6a"/>
            </w:pPr>
            <w:r>
              <w:t>50.</w:t>
            </w:r>
            <w:r>
              <w:tab/>
            </w:r>
            <w:r>
              <w:t>merkt op uit de vragenlijst dat de totale begroting voor communicatie</w:t>
            </w:r>
            <w:r>
              <w:rPr>
                <w:b/>
                <w:i/>
              </w:rPr>
              <w:t>-</w:t>
            </w:r>
            <w:r>
              <w:t xml:space="preserve"> en promotieactiviteiten (publicaties, evenementorganisatie, digitale communicatie enz.) met ongeveer 38 % is gedaald, van </w:t>
            </w:r>
            <w:r>
              <w:rPr>
                <w:b/>
                <w:i/>
              </w:rPr>
              <w:t>155 200</w:t>
            </w:r>
            <w:r>
              <w:t xml:space="preserve"> EUR in 2023 naar </w:t>
            </w:r>
            <w:r>
              <w:rPr>
                <w:b/>
                <w:i/>
              </w:rPr>
              <w:t>96 515</w:t>
            </w:r>
            <w:r>
              <w:t xml:space="preserve"> EUR in 2024; </w:t>
            </w:r>
            <w:r>
              <w:rPr>
                <w:b/>
                <w:i/>
              </w:rPr>
              <w:t>benadrukt dat begrotingstoewijzingen weliswaar strategisch en resultaatgericht moeten zijn, maar dat de Ombudsman voldoende communicatiecapaciteiten moet blijven houden om ervoor te zorgen dat de samenleving zich bewust is van zijn rol, verantwoordelijkheden en diensten, met name de burgers die zich tot de Ombudsman wenden wegens kwesties op Unieniveau;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merkt op uit de vragenlijst dat de totale begroting voor communicatie</w:t>
            </w:r>
            <w:r>
              <w:rPr>
                <w:b/>
                <w:i/>
              </w:rPr>
              <w:t>‑</w:t>
            </w:r>
            <w:r>
              <w:t xml:space="preserve"> en promotieactiviteiten (publicaties, evenementorganisatie, digitale communicatie enz.) met ongeveer 38 % is gedaald, van </w:t>
            </w:r>
            <w:r>
              <w:rPr>
                <w:b/>
                <w:i/>
              </w:rPr>
              <w:t>155 200</w:t>
            </w:r>
            <w:r>
              <w:t xml:space="preserve"> EUR in 2023 naar </w:t>
            </w:r>
            <w:r>
              <w:rPr>
                <w:b/>
                <w:i/>
              </w:rPr>
              <w:t>96 515</w:t>
            </w:r>
            <w:r>
              <w:t xml:space="preserve"> EUR in 2024;</w:t>
            </w:r>
          </w:p>
        </w:tc>
        <w:tc>
          <w:tcPr>
            <w:tcW w:w="4876" w:type="dxa"/>
            <w:tcBorders>
              <w:top w:val="nil"/>
              <w:left w:val="nil"/>
              <w:bottom w:val="nil"/>
              <w:right w:val="nil"/>
            </w:tcBorders>
          </w:tcPr>
          <w:p>
            <w:pPr>
              <w:pStyle w:val="Normal6a"/>
            </w:pPr>
            <w:r>
              <w:t>50.</w:t>
            </w:r>
            <w:r>
              <w:tab/>
            </w:r>
            <w:r>
              <w:t>merkt op uit de vragenlijst dat de totale begroting voor communicatie</w:t>
            </w:r>
            <w:r>
              <w:rPr>
                <w:b/>
                <w:i/>
              </w:rPr>
              <w:t>-</w:t>
            </w:r>
            <w:r>
              <w:t xml:space="preserve"> en promotieactiviteiten (publicaties, evenementorganisatie, digitale communicatie enz.) met ongeveer 38 % is gedaald, van </w:t>
            </w:r>
            <w:r>
              <w:rPr>
                <w:b/>
                <w:i/>
              </w:rPr>
              <w:t>155 200</w:t>
            </w:r>
            <w:r>
              <w:t xml:space="preserve"> EUR in 2023 naar </w:t>
            </w:r>
            <w:r>
              <w:rPr>
                <w:b/>
                <w:i/>
              </w:rPr>
              <w:t>96 515</w:t>
            </w:r>
            <w:r>
              <w:t xml:space="preserve"> EUR in 2024; </w:t>
            </w:r>
            <w:r>
              <w:rPr>
                <w:b/>
                <w:i/>
              </w:rPr>
              <w:t>waarschuwt ervoor dat deze daling de strategische doelstelling, namelijk versterking van de positie van de burgers, kan ondermijnen;</w:t>
            </w:r>
            <w:r>
              <w:t xml:space="preserve"> </w:t>
            </w:r>
            <w:r>
              <w:rPr>
                <w:b/>
                <w:i/>
              </w:rPr>
              <w:t>verlangt dat de besparingen worden herbestemd, zodat de Ombudsman de nodige zichtbaarheid en het nodige bereik kan behouden;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is ingenomen met de aanhoudende media-aandacht, met ongeveer </w:t>
            </w:r>
            <w:r>
              <w:rPr>
                <w:b/>
                <w:i/>
              </w:rPr>
              <w:t>5 000</w:t>
            </w:r>
            <w:r>
              <w:t xml:space="preserve"> artikelen waarin in 2024 naar het werk van de Ombudsman wordt verwezen; merkt op dat de Ombudsman de betrokkenheid van het publiek voornamelijk meet aan de hand van de groei van sociale media en het websiteverkeer, terwijl het aantal volgers gedurende het jaar gestaag is toegenomen; constateert dat de Instagram-, LinkedIn- en X-accounts van de Ombudsman in totaal </w:t>
            </w:r>
            <w:r>
              <w:rPr>
                <w:b/>
                <w:i/>
              </w:rPr>
              <w:t>9 186</w:t>
            </w:r>
            <w:r>
              <w:t xml:space="preserve"> extra volgers hebben gekregen, waarmee de doelstellingen voor activiteiten op sociale media in 2024, evenals het aantal unieke bezoekers van de website, zijn overtroffen</w:t>
            </w:r>
            <w:r>
              <w:rPr>
                <w:b/>
                <w:i/>
              </w:rPr>
              <w:t>.</w:t>
            </w:r>
          </w:p>
        </w:tc>
        <w:tc>
          <w:tcPr>
            <w:tcW w:w="4876" w:type="dxa"/>
            <w:tcBorders>
              <w:top w:val="nil"/>
              <w:left w:val="nil"/>
              <w:bottom w:val="nil"/>
              <w:right w:val="nil"/>
            </w:tcBorders>
          </w:tcPr>
          <w:p>
            <w:pPr>
              <w:pStyle w:val="Normal6a"/>
            </w:pPr>
            <w:r>
              <w:t>55.</w:t>
            </w:r>
            <w:r>
              <w:tab/>
            </w:r>
            <w:r>
              <w:t xml:space="preserve">is ingenomen met de aanhoudende media-aandacht, met ongeveer </w:t>
            </w:r>
            <w:r>
              <w:rPr>
                <w:b/>
                <w:i/>
              </w:rPr>
              <w:t>5 000</w:t>
            </w:r>
            <w:r>
              <w:t xml:space="preserve"> artikelen waarin in 2024 naar het werk van de Ombudsman wordt verwezen; merkt op dat de Ombudsman de betrokkenheid van het publiek voornamelijk meet aan de hand van de groei van sociale media en het websiteverkeer, terwijl het aantal volgers gedurende het jaar gestaag is toegenomen; constateert dat de Instagram-, LinkedIn- en X-accounts van de Ombudsman in totaal </w:t>
            </w:r>
            <w:r>
              <w:rPr>
                <w:b/>
                <w:i/>
              </w:rPr>
              <w:t>9 186</w:t>
            </w:r>
            <w:r>
              <w:t> extra volgers hebben gekregen, waarmee de doelstellingen voor activiteiten op sociale media in 2024, evenals het aantal unieke bezoekers van de website, zijn overtroffen</w:t>
            </w:r>
            <w:r>
              <w:rPr>
                <w:b/>
                <w:i/>
              </w:rPr>
              <w:t>;</w:t>
            </w:r>
            <w:r>
              <w:t xml:space="preserve"> </w:t>
            </w:r>
            <w:r>
              <w:rPr>
                <w:b/>
                <w:i/>
              </w:rPr>
              <w:t>benadrukt dat het belangrijk is prioriteit te blijven geven aan externe communicatie, zodat de taken van de Ombudsman en zijn voor de burgers van de Unie bestemde diensten meer bekendheid krijgen in de samenleving;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51</w:t>
    </w:r>
    <w:r>
      <w:fldChar w:fldCharType="end"/>
    </w:r>
    <w:r>
      <w:tab/>
    </w:r>
    <w:r>
      <w:rPr>
        <w:rStyle w:val="HideTWBExt"/>
      </w:rPr>
      <w:t>&lt;PathFdR&gt;</w:t>
    </w:r>
    <w:r>
      <w:t>AM\1336287NL.docx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AM\1336287NL.docx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51</w:t>
    </w:r>
    <w:r>
      <w:fldChar w:fldCharType="end"/>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AM\1336287NL.docx</w:t>
    </w:r>
    <w:r>
      <w:rPr>
        <w:rStyle w:val="HideTWBExt"/>
      </w:rPr>
      <w:t>&lt;/PathFdR&gt;</w:t>
    </w:r>
    <w:r>
      <w:tab/>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18119</Words>
  <Characters>103105</Characters>
  <Application>Microsoft Office Word</Application>
  <DocSecurity>0</DocSecurity>
  <Lines>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371266</vt:lpwstr>
  </property>
  <property fmtid="{D5CDD505-2E9C-101B-9397-08002B2CF9AE}" pid="7" name="dmxml.render.traceId">
    <vt:lpwstr>698b3f0daccc62f209a8d6f14688efd0</vt:lpwstr>
  </property>
  <property fmtid="{D5CDD505-2E9C-101B-9397-08002B2CF9AE}" pid="8" name="FooterPath">
    <vt:lpwstr>AM\1336287NL.docx</vt:lpwstr>
  </property>
  <property fmtid="{D5CDD505-2E9C-101B-9397-08002B2CF9AE}" pid="9" name="PE Number">
    <vt:lpwstr>784.148</vt:lpwstr>
  </property>
  <property fmtid="{D5CDD505-2E9C-101B-9397-08002B2CF9AE}" pid="10" name="UID">
    <vt:lpwstr>eu.europa.europarl-DIN1-2026-0000017080_01.00-nl-01.00_text-xml</vt:lpwstr>
  </property>
</Properties>
</file>