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Comisia pentru control bugetar</w:t>
      </w:r>
      <w:r>
        <w:rPr>
          <w:rStyle w:val="HideTWBExt"/>
        </w:rPr>
        <w:t>&lt;/Commission&gt;</w:t>
      </w:r>
    </w:p>
    <w:p>
      <w:pPr>
        <w:pStyle w:val="LineBottom"/>
      </w:pPr>
      <w:r>
        <w:t xml:space="preserve"> </w:t>
      </w:r>
    </w:p>
    <w:p>
      <w:pPr>
        <w:pStyle w:val="CoverReference"/>
      </w:pPr>
      <w:r>
        <w:rPr>
          <w:rStyle w:val="HideTWBExt"/>
        </w:rPr>
        <w:t>&lt;RefProc&gt;</w:t>
      </w:r>
      <w:r>
        <w:t>2025/2153</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50</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(PE778.065v01-00)</w:t>
      </w:r>
      <w:r>
        <w:rPr>
          <w:rStyle w:val="HideTWBExt"/>
        </w:rPr>
        <w:t>&lt;/DocRefPE&gt;</w:t>
      </w:r>
    </w:p>
    <w:p>
      <w:pPr>
        <w:pStyle w:val="CoverNormal"/>
      </w:pPr>
      <w:r>
        <w:rPr>
          <w:rStyle w:val="HideTWBExt"/>
        </w:rPr>
        <w:t>&lt;Titre&gt;</w:t>
      </w:r>
      <w:r>
        <w:t>Descărcarea de gestiune 2024: Bugetul general al UE - Ombudsmanul European</w:t>
      </w:r>
      <w:r>
        <w:rPr>
          <w:rStyle w:val="HideTWBExt"/>
        </w:rPr>
        <w:t>&lt;/Titre&gt;</w:t>
      </w:r>
    </w:p>
    <w:p>
      <w:pPr>
        <w:pStyle w:val="CoverNormal24a"/>
      </w:pPr>
      <w:r>
        <w:rPr>
          <w:rStyle w:val="HideTWBExt"/>
        </w:rPr>
        <w:t>&lt;DocRef&gt;</w:t>
      </w:r>
      <w:r>
        <w:t>(2025/2153(DEC))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principiilor întocmirii bugetului în funcție de performanțe </w:t>
            </w:r>
            <w:r>
              <w:rPr>
                <w:b/>
                <w:i/>
              </w:rPr>
              <w:t>și bunei</w:t>
            </w:r>
            <w:r>
              <w:t xml:space="preserve"> gestiuni a resurselor umane;</w:t>
            </w:r>
          </w:p>
        </w:tc>
        <w:tc>
          <w:tcPr>
            <w:tcW w:w="4876" w:type="dxa"/>
            <w:tcBorders>
              <w:top w:val="nil"/>
              <w:left w:val="nil"/>
              <w:bottom w:val="nil"/>
              <w:right w:val="nil"/>
            </w:tcBorders>
          </w:tcPr>
          <w:p>
            <w:pPr>
              <w:pStyle w:val="Normal6a"/>
            </w:pPr>
            <w:r>
              <w:t>A.</w:t>
            </w:r>
            <w:r>
              <w:tab/>
            </w:r>
            <w:r>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principiilor întocmirii bugetului în funcție de performanțe</w:t>
            </w:r>
            <w:r>
              <w:rPr>
                <w:b/>
                <w:i/>
              </w:rPr>
              <w:t>, prin asigurarea unei</w:t>
            </w:r>
            <w:r>
              <w:t xml:space="preserve"> gestiuni </w:t>
            </w:r>
            <w:r>
              <w:rPr>
                <w:b/>
                <w:i/>
              </w:rPr>
              <w:t>financiare solide, eficiente și orientate spre rezultate și prin buna guvernanță</w:t>
            </w:r>
            <w:r>
              <w:t xml:space="preserve"> a resurselor umane;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menținerea celor mai înalte standarde de independență instituțională și evitarea oricărei percepții de favoritism în numirile în funcții de conducere sunt esențiale pentru a menține încrederea publicului în rolul Ombudsmanului de gardian al bunei administrări al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constată că eforturile de monitorizare a bugetului în exercițiul financiar 2024 au dus la o rată de execuție bugetară de 97,55 %, adică o creștere de 2,16 % față de 2023; constată că această rată include creditele reportate din 2024 în 2025; constată că rata de execuție a creditelor de plată pentru anul în curs a fost de 97,08 %, ceea ce reprezintă o scădere de 0,50 % în comparație cu 2023; constată o creștere cu 29,60 % a creditelor reportate (credite C8), și anume de la </w:t>
            </w:r>
            <w:r>
              <w:rPr>
                <w:b/>
                <w:i/>
              </w:rPr>
              <w:t>304 550</w:t>
            </w:r>
            <w:r>
              <w:t xml:space="preserve"> EUR în 2023 la </w:t>
            </w:r>
            <w:r>
              <w:rPr>
                <w:b/>
                <w:i/>
              </w:rPr>
              <w:t>394 667</w:t>
            </w:r>
            <w:r>
              <w:t xml:space="preserve"> EUR în 2024; constată o îmbunătățire a ratei de execuție a reportărilor automate de credite din exercițiul precedent, care în 2024 a fost de 76,59 %, comparativ cu 73,27 % în 2023;</w:t>
            </w:r>
          </w:p>
        </w:tc>
        <w:tc>
          <w:tcPr>
            <w:tcW w:w="4876" w:type="dxa"/>
            <w:tcBorders>
              <w:top w:val="nil"/>
              <w:left w:val="nil"/>
              <w:bottom w:val="nil"/>
              <w:right w:val="nil"/>
            </w:tcBorders>
          </w:tcPr>
          <w:p>
            <w:pPr>
              <w:pStyle w:val="Normal6a"/>
            </w:pPr>
            <w:r>
              <w:t>5.</w:t>
            </w:r>
            <w:r>
              <w:tab/>
            </w:r>
            <w:r>
              <w:t xml:space="preserve">constată că eforturile de monitorizare a bugetului în exercițiul financiar 2024 au dus la o rată de execuție bugetară de 97,55 %, adică o creștere de 2,16 % față de 2023; constată că această rată include creditele reportate din 2024 în 2025; constată că rata de execuție a creditelor de plată pentru anul în curs a fost de 97,08 %, ceea ce reprezintă o scădere de 0,50 % în comparație cu 2023; constată o creștere cu 29,60 % a creditelor reportate (credite C8), și anume de la </w:t>
            </w:r>
            <w:r>
              <w:rPr>
                <w:b/>
                <w:i/>
              </w:rPr>
              <w:t>304 550</w:t>
            </w:r>
            <w:r>
              <w:t xml:space="preserve"> EUR în 2023 la </w:t>
            </w:r>
            <w:r>
              <w:rPr>
                <w:b/>
                <w:i/>
              </w:rPr>
              <w:t>394 667</w:t>
            </w:r>
            <w:r>
              <w:t xml:space="preserve"> EUR în 2024; constată o îmbunătățire a ratei de execuție a reportărilor automate de credite din exercițiul precedent, care în 2024 a fost de 76,59 %, comparativ cu 73,27 % în 2023; </w:t>
            </w:r>
            <w:r>
              <w:rPr>
                <w:b/>
                <w:i/>
              </w:rPr>
              <w:t>constată, cu toate acestea, că această rată a rămas scăzută în comparație cu 2022 (92,59 %) și își reiterează apelul adresat Ombudsmanului de a-și intensifica eforturile de îmbunătățire a acestei rate;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constată cu satisfacție, pe baza raportului anual de activitate pe 2024 al Ombudsmanului („raportul anual”), că, în 2024, toate plățile au fost efectuate în termenul regulamentar de 30 de zile; constată, de asemenea, că termenul mediu de plată a facturilor a fost de 13,20 de zile, ceea ce reprezintă o îmbunătățire față de 2023 (13,50 de zile); constată, în ceea ce privește migrarea Ombudsmanului către un nou sistem financiar și contabil (SUMMA), că Ombudsmanului i se solicită să plătească </w:t>
            </w:r>
            <w:r>
              <w:rPr>
                <w:b/>
                <w:i/>
              </w:rPr>
              <w:t>200 000</w:t>
            </w:r>
            <w:r>
              <w:t xml:space="preserve"> EUR pentru drepturile de acces la acesta, aceeași sumă pe care alte instituții ale Uniunii, mult mai mari, sunt invitate să o plătească; constată că această sumă reprezintă dublul bugetului Ombudsmanului pentru acest tip de servicii; invită Comisia să găsească o soluție care să permită Ombudsmanului să aibă acces la SUMMA la un preț proporțional cu dimensiunea instituției;</w:t>
            </w:r>
          </w:p>
        </w:tc>
        <w:tc>
          <w:tcPr>
            <w:tcW w:w="4876" w:type="dxa"/>
            <w:tcBorders>
              <w:top w:val="nil"/>
              <w:left w:val="nil"/>
              <w:bottom w:val="nil"/>
              <w:right w:val="nil"/>
            </w:tcBorders>
          </w:tcPr>
          <w:p>
            <w:pPr>
              <w:pStyle w:val="Normal6a"/>
            </w:pPr>
            <w:r>
              <w:t>7.</w:t>
            </w:r>
            <w:r>
              <w:tab/>
            </w:r>
            <w:r>
              <w:t xml:space="preserve">constată cu satisfacție, pe baza raportului anual de activitate pe 2024 al Ombudsmanului („raportul anual”), că, în 2024, toate plățile au fost efectuate în termenul regulamentar de 30 de zile; constată, de asemenea, că termenul mediu de plată a facturilor a fost de 13,20 de zile, ceea ce reprezintă o îmbunătățire față de 2023 (13,50 de zile); constată, în ceea ce privește migrarea Ombudsmanului către un nou sistem financiar și contabil (SUMMA), că Ombudsmanului i se solicită să plătească </w:t>
            </w:r>
            <w:r>
              <w:rPr>
                <w:b/>
                <w:i/>
              </w:rPr>
              <w:t>200 000</w:t>
            </w:r>
            <w:r>
              <w:t xml:space="preserve"> EUR pentru drepturile de acces la acesta, aceeași sumă pe care alte instituții ale Uniunii, mult mai mari, sunt invitate să o plătească; constată că această sumă reprezintă dublul bugetului Ombudsmanului pentru acest tip de servicii; invită Comisia să găsească o soluție care să permită Ombudsmanului să aibă acces la SUMMA la un preț proporțional cu dimensiunea instituției; </w:t>
            </w:r>
            <w:r>
              <w:rPr>
                <w:b/>
                <w:i/>
              </w:rPr>
              <w:t>solicită instituirea unui model al costurilor transparent, obiectiv și adaptat dimensiunii pentru accesul la sistemele financiare corporative comune, astfel încât instituțiile mici să nu fie împovărate în mod disproporționat și să poată respecta obligațiile de gestiune financiară fără a exclude resursele operaționale;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constată cu satisfacție, pe baza raportului anual de activitate pe 2024 al Ombudsmanului („raportul anual”), că, în 2024, toate plățile au fost efectuate în termenul regulamentar de 30 de zile; constată, de asemenea, că termenul mediu de plată a facturilor a fost de 13,20 de zile, ceea ce reprezintă o îmbunătățire față de 2023 (13,50 de zile); constată, în ceea ce privește migrarea Ombudsmanului către un nou sistem financiar și contabil (SUMMA), că Ombudsmanului i se solicită să plătească </w:t>
            </w:r>
            <w:r>
              <w:rPr>
                <w:b/>
                <w:i/>
              </w:rPr>
              <w:t>200 000</w:t>
            </w:r>
            <w:r>
              <w:t xml:space="preserve"> EUR pentru drepturile de acces la acesta, aceeași sumă pe care alte instituții ale Uniunii, mult mai mari, sunt invitate să o plătească; constată că această sumă reprezintă dublul bugetului Ombudsmanului pentru acest tip de servicii; invită Comisia să găsească o soluție care să permită Ombudsmanului să aibă acces la SUMMA la un preț proporțional cu dimensiunea instituției;</w:t>
            </w:r>
          </w:p>
        </w:tc>
        <w:tc>
          <w:tcPr>
            <w:tcW w:w="4876" w:type="dxa"/>
            <w:tcBorders>
              <w:top w:val="nil"/>
              <w:left w:val="nil"/>
              <w:bottom w:val="nil"/>
              <w:right w:val="nil"/>
            </w:tcBorders>
          </w:tcPr>
          <w:p>
            <w:pPr>
              <w:pStyle w:val="Normal6a"/>
            </w:pPr>
            <w:r>
              <w:t>7.</w:t>
            </w:r>
            <w:r>
              <w:tab/>
            </w:r>
            <w:r>
              <w:t xml:space="preserve">constată cu satisfacție, pe baza raportului anual de activitate pe 2024 al Ombudsmanului („raportul anual”), că, în 2024, toate plățile au fost efectuate în termenul regulamentar de 30 de zile; constată, de asemenea, că termenul mediu de plată a facturilor a fost de 13,20 de zile, ceea ce reprezintă o îmbunătățire față de 2023 (13,50 de zile); constată, în ceea ce privește migrarea Ombudsmanului către un nou sistem financiar și contabil (SUMMA), că Ombudsmanului i se solicită să plătească </w:t>
            </w:r>
            <w:r>
              <w:rPr>
                <w:b/>
                <w:i/>
              </w:rPr>
              <w:t>200 000</w:t>
            </w:r>
            <w:r>
              <w:t xml:space="preserve"> EUR pentru drepturile de acces la acesta, aceeași sumă pe care alte instituții ale Uniunii, mult mai mari, sunt invitate să o plătească; constată că această sumă reprezintă dublul bugetului Ombudsmanului pentru acest tip de servicii; invită Comisia să găsească o soluție care să permită Ombudsmanului să aibă acces la SUMMA la un preț proporțional cu dimensiunea instituției; </w:t>
            </w:r>
            <w:r>
              <w:rPr>
                <w:b/>
                <w:i/>
              </w:rPr>
              <w:t>subliniază că instrumentele interinstituționale obligatorii ar trebui să respecte principiul proporționalității, în care taxele sunt ajustate în funcție de bugetul instituției și de numărul de utilizatori, pentru a preveni epuizarea resurselor destinate mandatului principal al instituției;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constată cu satisfacție, pe baza raportului anual de activitate pe 2024 al Ombudsmanului („raportul anual”), că, în 2024, toate plățile au fost efectuate în termenul regulamentar de 30 de zile; constată, de asemenea, că termenul mediu de plată a facturilor a fost de 13,20 de zile, ceea ce reprezintă o îmbunătățire față de 2023 (13,50 de zile); constată, în ceea ce privește migrarea Ombudsmanului către un nou sistem financiar și contabil (SUMMA), că Ombudsmanului i se solicită să plătească </w:t>
            </w:r>
            <w:r>
              <w:rPr>
                <w:b/>
                <w:i/>
              </w:rPr>
              <w:t>200 000</w:t>
            </w:r>
            <w:r>
              <w:t xml:space="preserve"> EUR pentru drepturile de acces la acesta, aceeași sumă pe care alte instituții ale Uniunii, mult mai mari, sunt invitate să o plătească; constată că această sumă reprezintă dublul bugetului Ombudsmanului pentru acest tip de servicii; invită Comisia să găsească o soluție care să permită Ombudsmanului să aibă acces la SUMMA la un preț proporțional cu dimensiunea instituției;</w:t>
            </w:r>
          </w:p>
        </w:tc>
        <w:tc>
          <w:tcPr>
            <w:tcW w:w="4876" w:type="dxa"/>
            <w:tcBorders>
              <w:top w:val="nil"/>
              <w:left w:val="nil"/>
              <w:bottom w:val="nil"/>
              <w:right w:val="nil"/>
            </w:tcBorders>
          </w:tcPr>
          <w:p>
            <w:pPr>
              <w:pStyle w:val="Normal6a"/>
            </w:pPr>
            <w:r>
              <w:t>7.</w:t>
            </w:r>
            <w:r>
              <w:tab/>
            </w:r>
            <w:r>
              <w:t xml:space="preserve">constată cu satisfacție, pe baza raportului anual de activitate pe 2024 al Ombudsmanului („raportul anual”), că, în 2024, toate plățile au fost efectuate în termenul regulamentar de 30 de zile; constată, de asemenea, că termenul mediu de plată a facturilor a fost de 13,20 de zile, ceea ce reprezintă o îmbunătățire față de 2023 (13,50 de zile); constată, în ceea ce privește migrarea Ombudsmanului către un nou sistem financiar și contabil (SUMMA), că Ombudsmanului i se solicită să plătească </w:t>
            </w:r>
            <w:r>
              <w:rPr>
                <w:b/>
                <w:i/>
              </w:rPr>
              <w:t>200 000</w:t>
            </w:r>
            <w:r>
              <w:t> EUR pentru drepturile de acces la acesta, aceeași sumă pe care alte instituții ale Uniunii, mult mai mari, sunt invitate să o plătească; constată că această sumă reprezintă dublul bugetului Ombudsmanului pentru acest tip de servicii; invită Comisia să găsească o soluție care să permită Ombudsmanului să aibă acces la SUMMA la un preț proporțional cu dimensiunea instituției</w:t>
            </w:r>
            <w:r>
              <w:rPr>
                <w:b/>
                <w:i/>
              </w:rPr>
              <w:t>, asigurându-se astfel că instituțiile mici nu sunt împovărate în mod disproporționat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constată că impactul războiului de agresiune al Rusiei împotriva Ucrainei </w:t>
            </w:r>
            <w:r>
              <w:rPr>
                <w:b/>
                <w:i/>
              </w:rPr>
              <w:t>a continuat să creeze</w:t>
            </w:r>
            <w:r>
              <w:t xml:space="preserve"> presiune bugetară pentru </w:t>
            </w:r>
            <w:r>
              <w:rPr>
                <w:b/>
                <w:i/>
              </w:rPr>
              <w:t>Ombudsman în 2024;</w:t>
            </w:r>
            <w:r>
              <w:t xml:space="preserve"> </w:t>
            </w:r>
            <w:r>
              <w:rPr>
                <w:b/>
                <w:i/>
              </w:rPr>
              <w:t>ia act de faptul că</w:t>
            </w:r>
            <w:r>
              <w:t xml:space="preserve"> Ombudsmanul </w:t>
            </w:r>
            <w:r>
              <w:rPr>
                <w:b/>
                <w:i/>
              </w:rPr>
              <w:t>a fost cel mai afectat de creșterea</w:t>
            </w:r>
            <w:r>
              <w:t xml:space="preserve"> costurilor </w:t>
            </w:r>
            <w:r>
              <w:rPr>
                <w:b/>
                <w:i/>
              </w:rPr>
              <w:t>energiei</w:t>
            </w:r>
            <w:r>
              <w:t xml:space="preserve">; constată, în acest context, că, pentru a o alinia la costurile reale, a trebuit recalculată suma forfetară plătită de Ombudsman Parlamentului pentru cheltuielile de închiriere; constată că, prin urmare, cheltuielile efective cu energia ale Ombudsmanului în 2024 au crescut cu 75 %, de la </w:t>
            </w:r>
            <w:r>
              <w:rPr>
                <w:b/>
                <w:i/>
              </w:rPr>
              <w:t>168 900</w:t>
            </w:r>
            <w:r>
              <w:t xml:space="preserve"> EUR în 2023 la </w:t>
            </w:r>
            <w:r>
              <w:rPr>
                <w:b/>
                <w:i/>
              </w:rPr>
              <w:t>295 400</w:t>
            </w:r>
            <w:r>
              <w:t xml:space="preserve"> EUR în 2024; ia act, pe baza chestionarului, de opinia Ombudsmanului potrivit căreia efectul cumulativ al presiunii inflaționiste și al limitării cheltuielilor nesalariale la maximum 2 % în comparație cu anul precedent afectează sustenabilitatea pe termen lung a bugetului Ombudsmanului; recunoaște că este necesar ca toate instituțiile UE să își îmbunătățească gestiunea bugetară, ținând seama, de asemenea, de volatilitatea prețurilor, în special în sectorul energetic, atunci când încheie contracte cu furnizorii de servicii;</w:t>
            </w:r>
          </w:p>
        </w:tc>
        <w:tc>
          <w:tcPr>
            <w:tcW w:w="4876" w:type="dxa"/>
            <w:tcBorders>
              <w:top w:val="nil"/>
              <w:left w:val="nil"/>
              <w:bottom w:val="nil"/>
              <w:right w:val="nil"/>
            </w:tcBorders>
          </w:tcPr>
          <w:p>
            <w:pPr>
              <w:pStyle w:val="Normal6a"/>
            </w:pPr>
            <w:r>
              <w:t>8.</w:t>
            </w:r>
            <w:r>
              <w:tab/>
            </w:r>
            <w:r>
              <w:t xml:space="preserve">constată că impactul războiului de agresiune al Rusiei împotriva Ucrainei </w:t>
            </w:r>
            <w:r>
              <w:rPr>
                <w:b/>
                <w:i/>
              </w:rPr>
              <w:t>și impactul cumulat al inflației, al volatilității prețurilor la energie și al plafoanelor rigide asupra cheltuielilor nesalariale creează o</w:t>
            </w:r>
            <w:r>
              <w:t xml:space="preserve"> presiune bugetară </w:t>
            </w:r>
            <w:r>
              <w:rPr>
                <w:b/>
                <w:i/>
              </w:rPr>
              <w:t>structurală</w:t>
            </w:r>
            <w:r>
              <w:t xml:space="preserve"> pentru Ombudsmanul </w:t>
            </w:r>
            <w:r>
              <w:rPr>
                <w:b/>
                <w:i/>
              </w:rPr>
              <w:t>European în 2024;</w:t>
            </w:r>
            <w:r>
              <w:t xml:space="preserve"> </w:t>
            </w:r>
            <w:r>
              <w:rPr>
                <w:b/>
                <w:i/>
              </w:rPr>
              <w:t>subliniază că o astfel de presiune, dacă nu este abordată în mod adecvat, riscă să submineze eficiența din punctul de vedere al</w:t>
            </w:r>
            <w:r>
              <w:t xml:space="preserve"> costurilor</w:t>
            </w:r>
            <w:r>
              <w:rPr>
                <w:b/>
                <w:i/>
              </w:rPr>
              <w:t>, previzibilitatea și sustenabilitatea operațiunilor instituției</w:t>
            </w:r>
            <w:r>
              <w:t xml:space="preserve">; constată, în acest context, că, pentru a o alinia la costurile reale, a trebuit recalculată suma forfetară plătită de Ombudsman Parlamentului pentru cheltuielile de închiriere; constată că, prin urmare, cheltuielile efective cu energia ale Ombudsmanului în 2024 au crescut cu 75 %, de la </w:t>
            </w:r>
            <w:r>
              <w:rPr>
                <w:b/>
                <w:i/>
              </w:rPr>
              <w:t>168 900</w:t>
            </w:r>
            <w:r>
              <w:t xml:space="preserve"> EUR în 2023 la </w:t>
            </w:r>
            <w:r>
              <w:rPr>
                <w:b/>
                <w:i/>
              </w:rPr>
              <w:t>295 400</w:t>
            </w:r>
            <w:r>
              <w:t xml:space="preserve"> EUR în 2024; ia act, pe baza chestionarului, de opinia Ombudsmanului potrivit căreia efectul cumulativ al presiunii inflaționiste și al limitării cheltuielilor nesalariale la maximum 2 % în comparație cu anul precedent afectează sustenabilitatea pe termen lung a bugetului Ombudsmanului; recunoaște că este necesar ca toate instituțiile UE să își îmbunătățească gestiunea bugetară, ținând seama, de asemenea, de volatilitatea prețurilor, în special în sectorul energetic, atunci când încheie contracte cu furnizorii de servicii; </w:t>
            </w:r>
            <w:r>
              <w:rPr>
                <w:b/>
                <w:i/>
              </w:rPr>
              <w:t>subliniază că disciplina bugetară trebuie să fie reconciliată cu evaluări realiste ale costurilor pentru a proteja banii contribuabililor, menținând în același timp continuitatea operațională;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constată că impactul războiului de agresiune al Rusiei împotriva Ucrainei a continuat să creeze presiune bugetară pentru Ombudsman în 2024; ia act de faptul că Ombudsmanul a fost cel mai afectat de creșterea costurilor energiei; constată, în acest context, că, pentru a o alinia la costurile reale, a trebuit recalculată suma forfetară plătită de Ombudsman Parlamentului pentru cheltuielile de închiriere; constată că, prin urmare, cheltuielile efective cu energia ale Ombudsmanului în 2024 au crescut cu 75 %, de la </w:t>
            </w:r>
            <w:r>
              <w:rPr>
                <w:b/>
                <w:i/>
              </w:rPr>
              <w:t>168 900</w:t>
            </w:r>
            <w:r>
              <w:t xml:space="preserve"> EUR în 2023 la </w:t>
            </w:r>
            <w:r>
              <w:rPr>
                <w:b/>
                <w:i/>
              </w:rPr>
              <w:t>295 400</w:t>
            </w:r>
            <w:r>
              <w:t xml:space="preserve"> EUR în 2024; ia act, pe baza chestionarului, de opinia Ombudsmanului potrivit căreia efectul cumulativ al presiunii inflaționiste și al limitării cheltuielilor nesalariale la maximum 2 % în comparație cu anul precedent afectează sustenabilitatea pe termen lung a bugetului Ombudsmanului; recunoaște că este necesar ca toate instituțiile UE să își îmbunătățească gestiunea bugetară, ținând seama, de asemenea, de volatilitatea prețurilor, în special în sectorul energetic, atunci când încheie contracte cu furnizorii de servicii;</w:t>
            </w:r>
          </w:p>
        </w:tc>
        <w:tc>
          <w:tcPr>
            <w:tcW w:w="4876" w:type="dxa"/>
            <w:tcBorders>
              <w:top w:val="nil"/>
              <w:left w:val="nil"/>
              <w:bottom w:val="nil"/>
              <w:right w:val="nil"/>
            </w:tcBorders>
          </w:tcPr>
          <w:p>
            <w:pPr>
              <w:pStyle w:val="Normal6a"/>
            </w:pPr>
            <w:r>
              <w:t>8.</w:t>
            </w:r>
            <w:r>
              <w:tab/>
            </w:r>
            <w:r>
              <w:t xml:space="preserve">constată că impactul războiului </w:t>
            </w:r>
            <w:r>
              <w:rPr>
                <w:b/>
                <w:i/>
              </w:rPr>
              <w:t>ilegal</w:t>
            </w:r>
            <w:r>
              <w:t xml:space="preserve"> de agresiune al Rusiei împotriva Ucrainei a continuat să creeze presiune bugetară pentru Ombudsman în 2024; ia act de faptul că Ombudsmanul a fost cel mai afectat de creșterea costurilor energiei; constată, în acest context, că, pentru a o alinia la costurile reale, a trebuit recalculată suma forfetară plătită de Ombudsman Parlamentului pentru cheltuielile de închiriere; constată că, prin urmare, cheltuielile efective cu energia ale Ombudsmanului în 2024 au crescut cu 75 %, de la </w:t>
            </w:r>
            <w:r>
              <w:rPr>
                <w:b/>
                <w:i/>
              </w:rPr>
              <w:t>168 900</w:t>
            </w:r>
            <w:r>
              <w:t xml:space="preserve"> EUR în 2023 la </w:t>
            </w:r>
            <w:r>
              <w:rPr>
                <w:b/>
                <w:i/>
              </w:rPr>
              <w:t>295 400</w:t>
            </w:r>
            <w:r>
              <w:t> EUR în 2024; ia act, pe baza chestionarului, de opinia Ombudsmanului potrivit căreia efectul cumulativ al presiunii inflaționiste și al limitării cheltuielilor nesalariale la maximum 2 % în comparație cu anul precedent afectează sustenabilitatea pe termen lung a bugetului Ombudsmanului; recunoaște că este necesar ca toate instituțiile UE să își îmbunătățească gestiunea bugetară, ținând seama, de asemenea, de volatilitatea prețurilor, în special în sectorul energetic, atunci când încheie contracte cu furnizorii de servicii;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constată că bugetul pentru misiunile personalului a fost de </w:t>
            </w:r>
            <w:r>
              <w:rPr>
                <w:b/>
                <w:i/>
              </w:rPr>
              <w:t>120 000</w:t>
            </w:r>
            <w:r>
              <w:t xml:space="preserve"> EUR în 2024 (aceeași sumă ca în 2023); constată, cu toate acestea, că, în 2024, articolul bugetar pentru misiuni a fost consolidat cu +38,60 % prin transfer(uri) intern(e); ia act de explicația Ombudsmanului, potrivit căreia această consolidare a fost necesară din cauza inflației și a creșterii costurilor de cazare, a creșterii numărului de misiuni necesare ale Ombudsmanului și a estimărilor bugetare bazate pe cele din anii precedenți, în care deplasările au fost limitate din cauza pandemiei de COVID-19; constată că bugetul inițial pentru misiuni al Ombudsmanului a rămas același în 2023 ca și în anii precedenți (2022 și 2023), și anume </w:t>
            </w:r>
            <w:r>
              <w:rPr>
                <w:b/>
                <w:i/>
              </w:rPr>
              <w:t>35 000</w:t>
            </w:r>
            <w:r>
              <w:t xml:space="preserve"> EUR; ia act de faptul că, după consolidarea acestui buget prin transfer(uri) intern(e), cheltuielile suportate efectiv cu misiunile sale au fost în total de </w:t>
            </w:r>
            <w:r>
              <w:rPr>
                <w:b/>
                <w:i/>
              </w:rPr>
              <w:t>41 326</w:t>
            </w:r>
            <w:r>
              <w:t xml:space="preserve"> EUR în 2024</w:t>
            </w:r>
            <w:r>
              <w:rPr>
                <w:vertAlign w:val="superscript"/>
              </w:rPr>
              <w:t>3</w:t>
            </w:r>
            <w:r>
              <w:t>;</w:t>
            </w:r>
          </w:p>
        </w:tc>
        <w:tc>
          <w:tcPr>
            <w:tcW w:w="4876" w:type="dxa"/>
            <w:tcBorders>
              <w:top w:val="nil"/>
              <w:left w:val="nil"/>
              <w:bottom w:val="nil"/>
              <w:right w:val="nil"/>
            </w:tcBorders>
          </w:tcPr>
          <w:p>
            <w:pPr>
              <w:pStyle w:val="Normal6a"/>
            </w:pPr>
            <w:r>
              <w:t>9.</w:t>
            </w:r>
            <w:r>
              <w:tab/>
            </w:r>
            <w:r>
              <w:t xml:space="preserve">constată că bugetul pentru misiunile personalului a fost de </w:t>
            </w:r>
            <w:r>
              <w:rPr>
                <w:b/>
                <w:i/>
              </w:rPr>
              <w:t>120 000</w:t>
            </w:r>
            <w:r>
              <w:t> EUR în 2024 (aceeași sumă ca în 2023); constată, cu toate acestea, că, în 2024, articolul bugetar pentru misiuni a fost consolidat cu +38,60 % prin transfer(uri) intern(e); ia act de explicația Ombudsmanului, potrivit căreia această consolidare a fost necesară din cauza inflației și a creșterii costurilor de cazare, a creșterii numărului de misiuni necesare ale Ombudsmanului și a estimărilor bugetare bazate pe cele din anii precedenți, în care deplasările au fost limitate din cauza pandemiei de COVID-19; constată că bugetul inițial pentru misiuni al Ombudsmanului a rămas același în 2023 ca și în anii precedenți (2022 și 2023), și anume </w:t>
            </w:r>
            <w:r>
              <w:rPr>
                <w:b/>
                <w:i/>
              </w:rPr>
              <w:t>35 000</w:t>
            </w:r>
            <w:r>
              <w:t xml:space="preserve"> EUR; ia act de faptul că, după consolidarea acestui buget prin transfer(uri) intern(e), cheltuielile suportate efectiv cu misiunile sale au fost în total de </w:t>
            </w:r>
            <w:r>
              <w:rPr>
                <w:b/>
                <w:i/>
              </w:rPr>
              <w:t>41 326</w:t>
            </w:r>
            <w:r>
              <w:t> EUR în 2024</w:t>
            </w:r>
            <w:r>
              <w:rPr>
                <w:vertAlign w:val="superscript"/>
              </w:rPr>
              <w:t>3</w:t>
            </w:r>
            <w:r>
              <w:t xml:space="preserve">; </w:t>
            </w:r>
            <w:r>
              <w:rPr>
                <w:b/>
                <w:i/>
              </w:rPr>
              <w:t>solicită previziuni bugetare inițiale mai realiste pentru deplasări, pentru a reduce la minimum dependența de transferurile mari de la jumătatea anului și pentru a asigura o planificare financiară stabilă;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https://www.ombudsman.europa.</w:t>
            </w:r>
            <w:r>
              <w:rPr>
                <w:b/>
                <w:i/>
              </w:rPr>
              <w:t>eu/en/doc/declarations-and-transparency/en/196382 șihttps</w:t>
            </w:r>
            <w:r>
              <w:t>://www.ombudsman.europa.</w:t>
            </w:r>
            <w:r>
              <w:rPr>
                <w:b/>
                <w:i/>
              </w:rPr>
              <w:t>eu/en/doc/declarations-and-transparency/en/198831</w:t>
            </w:r>
            <w:r>
              <w:t>.</w:t>
            </w:r>
          </w:p>
        </w:tc>
        <w:tc>
          <w:tcPr>
            <w:tcW w:w="4876" w:type="dxa"/>
            <w:tcBorders>
              <w:top w:val="nil"/>
              <w:left w:val="nil"/>
              <w:bottom w:val="nil"/>
              <w:right w:val="nil"/>
            </w:tcBorders>
          </w:tcPr>
          <w:p>
            <w:pPr>
              <w:pStyle w:val="Normal6a"/>
            </w:pPr>
            <w:r>
              <w:rPr>
                <w:vertAlign w:val="superscript"/>
              </w:rPr>
              <w:t>3</w:t>
            </w:r>
            <w:r>
              <w:t xml:space="preserve"> </w:t>
            </w:r>
            <w:r>
              <w:t>https://www.ombudsman.europa.</w:t>
            </w:r>
            <w:r>
              <w:rPr>
                <w:b/>
                <w:i/>
              </w:rPr>
              <w:t>eu/ro/doc/declarations-and-transparency/ro/196382 și https</w:t>
            </w:r>
            <w:r>
              <w:t>://www.ombudsman.europa.</w:t>
            </w:r>
            <w:r>
              <w:rPr>
                <w:b/>
                <w:i/>
              </w:rPr>
              <w:t>eu/ro/doc/declarations-and-transparency/ro/198831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felicită Ombudsmanul pentru că a redus timpul necesar pentru prelucrarea dosarelor la diferite niveluri ale procedurii, cum ar fi durata medie de soluționare a unei plângeri (de la 39 de zile în 2023, la 36 de zile în 2024) și durata medie de soluționare a unei plângeri în cadrul mandatului (de la 91 de zile în 2023, la 86 de zile în 2024); constată, cu toate acestea, o creștere semnificativă a timpului mediu necesar pentru închiderea cazurilor care se referă la accesul public la documente, de la 42 de zile în 2023, la 85 de zile lucrătoare în 2024; ia act de faptul că Ombudsmanul și-a depășit obiectivul (100 %) în ceea ce privește rata de soluționare (și anume, cazurile închise în comparație cu cazurile noi înregistrate în cursul anului); regretă, cu toate acestea, că durata medie (168 de zile) de soluționare a unei anchete a rămas ridicată în 2024 (în creștere de la 165 de zile în 2023), ceea ce depășește cu mult obiectivul stabilit de 150 de zile; constată, în acest context, cu satisfacție din raportul Ombudsmanului către Parlament privind acțiunile întreprinse în urma descărcării de gestiune pentru exercițiul financiar 2023 („raportul de monitorizare”) că unul dintre principalele obiective strategice ale Ombudsmanului nou ales este de a consolida cooperarea și dialogul cu instituțiile, organele și agențiile Uniunii, cu scopul de a reduce, în cele din urmă, timpul necesar pentru prelucrarea anchetelor;</w:t>
            </w:r>
          </w:p>
        </w:tc>
        <w:tc>
          <w:tcPr>
            <w:tcW w:w="4876" w:type="dxa"/>
            <w:tcBorders>
              <w:top w:val="nil"/>
              <w:left w:val="nil"/>
              <w:bottom w:val="nil"/>
              <w:right w:val="nil"/>
            </w:tcBorders>
          </w:tcPr>
          <w:p>
            <w:pPr>
              <w:pStyle w:val="Normal6a"/>
            </w:pPr>
            <w:r>
              <w:t>12.</w:t>
            </w:r>
            <w:r>
              <w:tab/>
            </w:r>
            <w:r>
              <w:t xml:space="preserve">felicită Ombudsmanul pentru că a redus timpul necesar pentru prelucrarea dosarelor la diferite niveluri ale procedurii, cum ar fi durata medie de soluționare a unei plângeri (de la 39 de zile în 2023, la 36 de zile în 2024) și durata medie de soluționare a unei plângeri în cadrul mandatului (de la 91 de zile în 2023, la 86 de zile în 2024); constată, cu toate acestea, o creștere semnificativă a timpului mediu necesar pentru închiderea cazurilor care se referă la accesul public la documente, de la 42 de zile în 2023, la 85 de zile lucrătoare în 2024; ia act de faptul că Ombudsmanul și-a depășit obiectivul (100 %) în ceea ce privește rata de soluționare (și anume, cazurile închise în comparație cu cazurile noi înregistrate în cursul anului); regretă, cu toate acestea, că durata medie (168 de zile) de soluționare a unei anchete a rămas ridicată în 2024 (în creștere de la 165 de zile în 2023), ceea ce depășește cu mult obiectivul stabilit de 150 de zile; constată, în acest context, cu satisfacție din raportul Ombudsmanului către Parlament privind acțiunile întreprinse în urma descărcării de gestiune pentru exercițiul financiar 2023 („raportul de monitorizare”) că unul dintre principalele obiective strategice ale Ombudsmanului nou ales este de a consolida cooperarea și dialogul cu instituțiile, organele și agențiile Uniunii, cu scopul de a reduce, în cele din urmă, timpul necesar pentru prelucrarea anchetelor; </w:t>
            </w:r>
            <w:r>
              <w:rPr>
                <w:b/>
                <w:i/>
              </w:rPr>
              <w:t>recomandă Ombudsmanului să perfecționeze în continuare indicatorii-cheie de performanță referitori la durata tratării cazurilor, reflectând mai bine complexitatea variabilă a acestora, pentru a asigura o evaluare a performanței mai realistă, mai semnificativă și mai orientată spre eficiență;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felicită Ombudsmanul pentru că a redus timpul necesar pentru prelucrarea dosarelor la diferite niveluri ale procedurii, cum ar fi durata medie de soluționare a unei plângeri (de la 39 de zile în 2023, la 36 de zile în 2024) și durata medie de soluționare a unei plângeri în cadrul mandatului (de la 91 de zile în 2023, la 86 de zile în 2024); constată, cu toate acestea, o creștere semnificativă a timpului mediu necesar pentru închiderea cazurilor care se referă la accesul public la documente, de la 42 de zile în 2023, la 85 de zile lucrătoare în 2024; ia act de faptul că Ombudsmanul și-a depășit obiectivul (100 %) în ceea ce privește rata de soluționare (și anume, cazurile închise în comparație cu cazurile noi înregistrate în cursul anului); regretă, cu toate acestea, că durata medie (168 de zile) de soluționare a unei anchete a rămas ridicată în 2024 (în creștere de la 165 de zile în 2023), ceea ce depășește cu mult obiectivul stabilit de 150 de zile; constată, în acest context, cu satisfacție din raportul Ombudsmanului către Parlament privind acțiunile întreprinse în urma descărcării de gestiune pentru exercițiul financiar 2023 („raportul de monitorizare”) că unul dintre principalele obiective strategice ale Ombudsmanului nou ales este de a consolida cooperarea și dialogul cu instituțiile, organele și agențiile Uniunii, cu scopul de a reduce, în cele din urmă, timpul necesar pentru prelucrarea anchetelor;</w:t>
            </w:r>
          </w:p>
        </w:tc>
        <w:tc>
          <w:tcPr>
            <w:tcW w:w="4876" w:type="dxa"/>
            <w:tcBorders>
              <w:top w:val="nil"/>
              <w:left w:val="nil"/>
              <w:bottom w:val="nil"/>
              <w:right w:val="nil"/>
            </w:tcBorders>
          </w:tcPr>
          <w:p>
            <w:pPr>
              <w:pStyle w:val="Normal6a"/>
            </w:pPr>
            <w:r>
              <w:t>12.</w:t>
            </w:r>
            <w:r>
              <w:tab/>
            </w:r>
            <w:r>
              <w:t xml:space="preserve">felicită Ombudsmanul pentru că a redus timpul necesar pentru prelucrarea dosarelor la diferite niveluri ale procedurii, cum ar fi durata medie de soluționare a unei plângeri (de la 39 de zile în 2023, la 36 de zile în 2024) și durata medie de soluționare a unei plângeri în cadrul mandatului (de la 91 de zile în 2023, la 86 de zile în 2024); constată, cu toate acestea, o creștere semnificativă a timpului mediu necesar pentru închiderea cazurilor care se referă la accesul public la documente, de la 42 de zile în 2023, la 85 de zile lucrătoare în 2024; ia act de faptul că Ombudsmanul și-a depășit obiectivul (100 %) în ceea ce privește rata de soluționare (și anume, cazurile închise în comparație cu cazurile noi înregistrate în cursul anului); regretă, cu toate acestea, că durata medie (168 de zile) de soluționare a unei anchete a rămas ridicată în 2024 (în creștere de la 165 de zile în 2023), ceea ce depășește cu mult obiectivul stabilit de 150 de zile; </w:t>
            </w:r>
            <w:r>
              <w:rPr>
                <w:b/>
                <w:i/>
              </w:rPr>
              <w:t>solicită un plan de abordare a acestor întârzieri;</w:t>
            </w:r>
            <w:r>
              <w:t xml:space="preserve"> </w:t>
            </w:r>
            <w:r>
              <w:rPr>
                <w:b/>
                <w:i/>
              </w:rPr>
              <w:t>sugerează redirecționarea economiilor de 65 % realizate prin traducerea bazată pe IA pentru a consolida echipele de anchetă, în special pentru cazurile de acces public;</w:t>
            </w:r>
            <w:r>
              <w:t xml:space="preserve"> constată, în acest context, cu satisfacție din raportul Ombudsmanului către Parlament privind acțiunile întreprinse în urma descărcării de gestiune pentru exercițiul financiar 2023 („raportul de monitorizare”) că unul dintre principalele obiective strategice ale Ombudsmanului nou ales este de a consolida cooperarea și dialogul cu instituțiile, organele și agențiile Uniunii, cu scopul de a reduce, în cele din urmă, timpul necesar pentru prelucrarea anchetelor;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felicită Ombudsmanul pentru că a redus timpul necesar pentru prelucrarea dosarelor la diferite niveluri ale procedurii, cum ar fi durata medie de soluționare a unei plângeri (de la 39 de zile în 2023, la 36 de zile în 2024) și durata medie de soluționare a unei plângeri în cadrul mandatului (de la 91 de zile în 2023, la 86 de zile în 2024); constată, cu toate acestea, o creștere semnificativă a timpului mediu necesar pentru închiderea cazurilor care se referă la accesul public la documente, de la 42 de zile în 2023, la 85 de zile lucrătoare în 2024; ia act de faptul că Ombudsmanul și-a depășit obiectivul (100 %) în ceea ce privește rata de soluționare (și anume, cazurile închise în comparație cu cazurile noi înregistrate în cursul anului); regretă, cu toate acestea, că durata medie (168 de zile) de soluționare a unei anchete a rămas ridicată în 2024 (în creștere de la 165 de zile în 2023), ceea ce depășește cu mult obiectivul stabilit de 150 de zile; constată, în acest context, cu satisfacție din raportul Ombudsmanului către Parlament privind acțiunile întreprinse în urma descărcării de gestiune pentru exercițiul financiar 2023 („raportul de monitorizare”) că unul dintre principalele obiective strategice ale Ombudsmanului nou ales este de a consolida cooperarea și dialogul cu instituțiile, organele și agențiile Uniunii, cu scopul de a reduce, în cele din urmă, timpul necesar pentru prelucrarea anchetelor;</w:t>
            </w:r>
          </w:p>
        </w:tc>
        <w:tc>
          <w:tcPr>
            <w:tcW w:w="4876" w:type="dxa"/>
            <w:tcBorders>
              <w:top w:val="nil"/>
              <w:left w:val="nil"/>
              <w:bottom w:val="nil"/>
              <w:right w:val="nil"/>
            </w:tcBorders>
          </w:tcPr>
          <w:p>
            <w:pPr>
              <w:pStyle w:val="Normal6a"/>
            </w:pPr>
            <w:r>
              <w:t>12.</w:t>
            </w:r>
            <w:r>
              <w:tab/>
            </w:r>
            <w:r>
              <w:t xml:space="preserve">felicită Ombudsmanul pentru că a redus timpul necesar pentru prelucrarea dosarelor la diferite niveluri ale procedurii, cum ar fi durata medie de soluționare a unei plângeri (de la 39 de zile în 2023, la 36 de zile în 2024) și durata medie de soluționare a unei plângeri în cadrul mandatului (de la 91 de zile în 2023, la 86 de zile în 2024); constată, cu toate acestea, o creștere semnificativă a timpului mediu necesar pentru închiderea cazurilor care se referă la accesul public la documente, de la 42 de zile în 2023, la 85 de zile lucrătoare în 2024; ia act de faptul că Ombudsmanul și-a depășit obiectivul (100 %) în ceea ce privește rata de soluționare (și anume, cazurile închise în comparație cu cazurile noi înregistrate în cursul anului); regretă, cu toate acestea, că durata medie (168 de zile) de soluționare a unei anchete a rămas ridicată în 2024 (în creștere de la 165 de zile în 2023), ceea ce depășește cu mult obiectivul stabilit de 150 de zile; </w:t>
            </w:r>
            <w:r>
              <w:rPr>
                <w:b/>
                <w:i/>
              </w:rPr>
              <w:t>subliniază că întârzierile excesive în tratarea cazurilor de acces la documente subminează în mod direct drepturile cetățenilor și încrederea publicului în administrația UE în general;</w:t>
            </w:r>
            <w:r>
              <w:t xml:space="preserve"> constată, în acest context, cu satisfacție din raportul Ombudsmanului către Parlament privind acțiunile întreprinse în urma descărcării de gestiune pentru exercițiul financiar 2023 („raportul de monitorizare”) că unul dintre principalele obiective strategice ale Ombudsmanului nou ales este de a consolida cooperarea și dialogul cu instituțiile, organele și agențiile Uniunii, cu scopul de a reduce, în cele din urmă, timpul necesar pentru prelucrarea anchetelor;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felicită Ombudsmanul pentru că a redus timpul necesar pentru prelucrarea dosarelor la diferite niveluri ale procedurii, cum ar fi durata medie de soluționare a unei plângeri (de la 39 de zile în 2023, la 36 de zile în 2024) și durata medie de soluționare a unei plângeri în cadrul mandatului (de la 91 de zile în 2023, la 86 de zile în 2024); constată, cu toate acestea, o creștere semnificativă a timpului mediu necesar pentru închiderea cazurilor care se referă la accesul public la documente, de la 42 de zile în 2023, la 85 de zile lucrătoare în 2024; ia act de faptul că Ombudsmanul și-a depășit obiectivul (100 %) în ceea ce privește rata de soluționare (și anume, cazurile închise în comparație cu cazurile noi înregistrate în cursul anului); regretă, cu toate acestea, că durata medie (168 de zile) de soluționare a unei anchete a rămas ridicată în 2024 (în creștere de la 165 de zile în 2023), ceea ce depășește cu mult obiectivul stabilit de 150 de zile; constată, în acest context, cu satisfacție din raportul Ombudsmanului către Parlament privind acțiunile întreprinse în urma descărcării de gestiune pentru exercițiul financiar 2023 („raportul de monitorizare”) că unul dintre principalele obiective strategice ale Ombudsmanului nou ales este de a consolida cooperarea și dialogul cu instituțiile, organele și agențiile Uniunii, cu scopul de a reduce, în cele din urmă, timpul necesar pentru prelucrarea anchetelor;</w:t>
            </w:r>
          </w:p>
        </w:tc>
        <w:tc>
          <w:tcPr>
            <w:tcW w:w="4876" w:type="dxa"/>
            <w:tcBorders>
              <w:top w:val="nil"/>
              <w:left w:val="nil"/>
              <w:bottom w:val="nil"/>
              <w:right w:val="nil"/>
            </w:tcBorders>
          </w:tcPr>
          <w:p>
            <w:pPr>
              <w:pStyle w:val="Normal6a"/>
            </w:pPr>
            <w:r>
              <w:t>12.</w:t>
            </w:r>
            <w:r>
              <w:tab/>
            </w:r>
            <w:r>
              <w:t xml:space="preserve">felicită Ombudsmanul pentru că a redus timpul necesar pentru prelucrarea dosarelor la diferite niveluri ale procedurii, cum ar fi durata medie de soluționare a unei plângeri (de la 39 de zile în 2023, la 36 de zile în 2024) și durata medie de soluționare a unei plângeri în cadrul mandatului (de la 91 de zile în 2023, la 86 de zile în 2024); constată, cu toate acestea, o creștere semnificativă a timpului mediu necesar pentru închiderea cazurilor care se referă la accesul public la documente, de la 42 de zile în 2023, la 85 de zile lucrătoare în 2024; ia act de faptul că Ombudsmanul și-a depășit obiectivul (100 %) în ceea ce privește rata de soluționare (și anume, cazurile închise în comparație cu cazurile noi înregistrate în cursul anului); regretă, cu toate acestea, că durata medie (168 de zile) de soluționare a unei anchete a rămas ridicată în 2024 (în creștere de la 165 de zile în 2023), ceea ce depășește cu mult obiectivul stabilit de 150 de zile; </w:t>
            </w:r>
            <w:r>
              <w:rPr>
                <w:b/>
                <w:i/>
              </w:rPr>
              <w:t>recunoaște că cazurile complexe, în special cele care implică mai multe instituții, pot necesita termene de prelucrare mai lungi;</w:t>
            </w:r>
            <w:r>
              <w:t xml:space="preserve"> constată, în acest context, cu satisfacție din raportul Ombudsmanului către Parlament privind acțiunile întreprinse în urma descărcării de gestiune pentru exercițiul financiar 2023 („raportul de monitorizare”) că unul dintre principalele obiective strategice ale Ombudsmanului nou ales este de a consolida cooperarea și dialogul cu instituțiile, organele și agențiile Uniunii, cu scopul de a reduce, în cele din urmă, timpul necesar pentru prelucrarea anchetelor;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observă, în ceea ce privește constatările, că, în 2024, Ombudsmanul a prezentat o propunere de soluție în 14 cazuri și recomandări în trei cazuri privind accesul public la documente; constată o creștere a răspunsurilor pozitive ale instituțiilor Uniunii la propunerile Ombudsmanului de a-și îmbunătăți administrația, cu o rată globală de acceptare de 82 % în 2024 (față de 81 % în 2023), rata incluzând cazuri soluționate în 2023; solicită Ombudsmanului să depună în continuare eforturi pentru a asigura un nivel ridicat de respectare a constatărilor, recomandărilor și sugestiilor sale;</w:t>
            </w:r>
          </w:p>
        </w:tc>
        <w:tc>
          <w:tcPr>
            <w:tcW w:w="4876" w:type="dxa"/>
            <w:tcBorders>
              <w:top w:val="nil"/>
              <w:left w:val="nil"/>
              <w:bottom w:val="nil"/>
              <w:right w:val="nil"/>
            </w:tcBorders>
          </w:tcPr>
          <w:p>
            <w:pPr>
              <w:pStyle w:val="Normal6a"/>
            </w:pPr>
            <w:r>
              <w:t>13.</w:t>
            </w:r>
            <w:r>
              <w:tab/>
            </w:r>
            <w:r>
              <w:t xml:space="preserve">observă, în ceea ce privește constatările, că, în 2024, Ombudsmanul a prezentat o propunere de soluție în 14 cazuri și recomandări în trei cazuri privind accesul public la documente; constată o creștere a răspunsurilor pozitive ale instituțiilor Uniunii la propunerile Ombudsmanului de a-și îmbunătăți administrația, cu o rată globală de acceptare de 82 % în 2024 (față de 81 % în 2023), rata incluzând cazuri soluționate în 2023; </w:t>
            </w:r>
            <w:r>
              <w:rPr>
                <w:b/>
                <w:i/>
              </w:rPr>
              <w:t>invită Ombudsmanul să elaboreze un plan de acțiune specific menit să identifice și să abordeze cele mai frecvente motive care stau la baza propunerilor neacceptate rămase și</w:t>
            </w:r>
            <w:r>
              <w:t xml:space="preserve"> solicită Ombudsmanului să depună în continuare eforturi pentru a asigura un nivel ridicat de respectare a constatărilor, recomandărilor și sugestiilor sale;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apreciază faptul că Ombudsmanul a continuat să depună eforturi în 2024 pentru a spori gradul de conștientizare și de înțelegere de către cetățeni a mandatului său; observă cu satisfacție, în acest context, o creștere a ponderii plângerilor în cadrul mandatului, de la 33 % în 2022 și 37 % în 2023, la 39 % în 2024; constată, de asemenea, din raportul de monitorizare că unul dintre noile obiective strategice ale Ombudsmanului este de a lansa activități de comunicare specifice pentru a se asigura că cetățenii care au nevoie de Ombudsman sunt conștienți de drepturile lor și de utilizarea serviciilor sale; constată, în acest context, că, prin urmare, se preconizează o creștere a numărului de plângeri, ceea ce va determina necesitatea de a revizui și adapta metodele de lucru și de a îmbunătăți utilizarea instrumentelor digitale, în special a IA, pentru a raționaliza și mai mult procesul de soluționare a plângerilor; invită Ombudsmanul să informeze în permanență autoritatea care acordă descărcarea de gestiune despre progresele înregistrate în acest sens;</w:t>
            </w:r>
          </w:p>
        </w:tc>
        <w:tc>
          <w:tcPr>
            <w:tcW w:w="4876" w:type="dxa"/>
            <w:tcBorders>
              <w:top w:val="nil"/>
              <w:left w:val="nil"/>
              <w:bottom w:val="nil"/>
              <w:right w:val="nil"/>
            </w:tcBorders>
          </w:tcPr>
          <w:p>
            <w:pPr>
              <w:pStyle w:val="Normal6a"/>
            </w:pPr>
            <w:r>
              <w:t>14.</w:t>
            </w:r>
            <w:r>
              <w:tab/>
            </w:r>
            <w:r>
              <w:t xml:space="preserve">apreciază faptul că Ombudsmanul a continuat să depună eforturi în 2024 pentru a spori gradul de conștientizare și de înțelegere de către cetățeni a mandatului său; observă cu satisfacție, în acest context, o creștere a ponderii plângerilor în cadrul mandatului, de la 33 % în 2022 și 37 % în 2023, la 39 % în 2024; constată, de asemenea, din raportul de monitorizare că unul dintre noile obiective strategice ale Ombudsmanului este de a lansa activități de comunicare specifice pentru a se asigura că cetățenii care au nevoie de Ombudsman sunt conștienți de drepturile lor și de utilizarea serviciilor sale; constată, în acest context, că, prin urmare, se preconizează o creștere a numărului de plângeri, ceea ce va determina necesitatea de a revizui și adapta metodele de lucru și de a îmbunătăți utilizarea instrumentelor digitale, în special a IA, pentru a raționaliza și mai mult procesul de soluționare a plângerilor; invită Ombudsmanul să </w:t>
            </w:r>
            <w:r>
              <w:rPr>
                <w:b/>
                <w:i/>
              </w:rPr>
              <w:t>evalueze impactul potențial asupra resurselor bugetare și umane al creșterii preconizate a numărului de plângeri și să</w:t>
            </w:r>
            <w:r>
              <w:t xml:space="preserve"> informeze în permanență autoritatea care acordă descărcarea de gestiune despre progresele înregistrate în acest sens;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constată, pe baza raportului de monitorizare, că Ombudsmanul a continuat să monitorizeze aspectele legate de transparență și responsabilitate legate de Mecanismul de redresare și reziliență (MRR), în cadrul tratării plângerilor în domeniul accesului public la documente, în principal în ceea ce privește negocierile privind planurile naționale de redresare și reziliență (PNRR); ia act, printre aceste probleme, de întârzierile semnificative întâmpinate de Comisie în a răspunde cererilor de acces la informații și de nivelul de acces acordat; apreciază faptul că, într-un caz privind planul de redresare și reziliență al Țărilor de Jos, în urma propunerii de soluție a Ombudsmanului, Comisia a acordat un acces mai larg la 172 de documente; condamnă cu fermitate, cu toate acestea, faptul că Comisia a avut nevoie de 21 de luni pentru a răspunde la cererea de confirmare a reclamantului (jurnalist), și anume în iulie 2024, când accesul acordat la documente nu mai era util în scopul preconizat; este de acord că, în chestiuni de interes public semnificativ, cum ar fi MRR, nu ar trebui să existe întârzieri în furnizarea accesului la documente; reiterează opinia Ombudsmanului potrivit căreia Comisia ar trebui să analizeze cu atenție existența unui interes public superior atunci când aplică excepțiile privind accesul public în temeiul Regulamentului 1049/2001</w:t>
            </w:r>
            <w:r>
              <w:rPr>
                <w:vertAlign w:val="superscript"/>
              </w:rPr>
              <w:t>4</w:t>
            </w:r>
            <w:r>
              <w:t>;</w:t>
            </w:r>
          </w:p>
        </w:tc>
        <w:tc>
          <w:tcPr>
            <w:tcW w:w="4876" w:type="dxa"/>
            <w:tcBorders>
              <w:top w:val="nil"/>
              <w:left w:val="nil"/>
              <w:bottom w:val="nil"/>
              <w:right w:val="nil"/>
            </w:tcBorders>
          </w:tcPr>
          <w:p>
            <w:pPr>
              <w:pStyle w:val="Normal6a"/>
            </w:pPr>
            <w:r>
              <w:t>18.</w:t>
            </w:r>
            <w:r>
              <w:tab/>
            </w:r>
            <w:r>
              <w:t>constată, pe baza raportului de monitorizare, că Ombudsmanul a continuat să monitorizeze aspectele legate de transparență și responsabilitate legate de Mecanismul de redresare și reziliență (MRR), în cadrul tratării plângerilor în domeniul accesului public la documente, în principal în ceea ce privește negocierile privind planurile naționale de redresare și reziliență (PNRR); ia act, printre aceste probleme, de întârzierile semnificative întâmpinate de Comisie în a răspunde cererilor de acces la informații și de nivelul de acces acordat; apreciază faptul că, într-un caz privind planul de redresare și reziliență al Țărilor de Jos, în urma propunerii de soluție a Ombudsmanului, Comisia a acordat un acces mai larg la 172 de documente; condamnă cu fermitate, cu toate acestea, faptul că Comisia a avut nevoie de 21 de luni pentru a răspunde la cererea de confirmare a reclamantului (jurnalist), și anume în iulie 2024, când accesul acordat la documente nu mai era util în scopul preconizat; este de acord că, în chestiuni de interes public semnificativ, cum ar fi MRR, nu ar trebui să existe întârzieri în furnizarea accesului la documente; reiterează opinia Ombudsmanului potrivit căreia Comisia ar trebui să analizeze cu atenție existența unui interes public superior atunci când aplică excepțiile privind accesul public în temeiul Regulamentului 1049/2001</w:t>
            </w:r>
            <w:r>
              <w:rPr>
                <w:vertAlign w:val="superscript"/>
              </w:rPr>
              <w:t>4</w:t>
            </w:r>
            <w:r>
              <w:t xml:space="preserve">; </w:t>
            </w:r>
            <w:r>
              <w:rPr>
                <w:b/>
                <w:i/>
              </w:rPr>
              <w:t>invită Ombudsmanul să acorde în continuare prioritate activității sistemice privind întârzierile nejustificate în procedurile de acces la documente, inclusiv prin identificarea blocajelor administrative recurente și a bunelor practici între instituții;</w:t>
            </w:r>
            <w:r>
              <w:t xml:space="preserve"> </w:t>
            </w:r>
            <w:r>
              <w:rPr>
                <w:b/>
                <w:i/>
              </w:rPr>
              <w:t>sprijină Ombudsmanul în promovarea unei aplicări consecvente a testului privind „interesul public superior”, în special pentru dosarele cu impact ridicat, astfel încât accesul să fie acordat în timp util pentru a fi relevant pentru controlul public;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Regulamentul (CE) nr. 1049/2001 al Parlamentului European și al Consiliului din 30 mai 2001 privind accesul public la documentele Parlamentului European, ale Consiliului și ale Comisiei (JO L 145, 31.5.2001, p. 43-48,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Regulamentul (CE) nr. 1049/2001 al Parlamentului European și al Consiliului din 30 mai 2001 privind accesul public la documentele Parlamentului European, ale Consiliului și ale Comisiei (JO L 145, 31.5.2001, p. 43-48,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constată, pe baza raportului de monitorizare, că Ombudsmanul a continuat să monitorizeze aspectele legate de transparență și responsabilitate legate de Mecanismul de redresare și reziliență (MRR), în cadrul tratării plângerilor în domeniul accesului public la documente, în principal în ceea ce privește negocierile privind planurile naționale de redresare și reziliență (PNRR); ia act, printre aceste probleme, de întârzierile semnificative întâmpinate de Comisie în a răspunde cererilor de acces la informații și de nivelul de acces acordat; apreciază faptul că, într-un caz privind planul de redresare și reziliență al Țărilor de Jos, în urma propunerii de soluție a Ombudsmanului, Comisia a acordat un acces mai larg la 172 de documente; condamnă cu fermitate, cu toate acestea, faptul că Comisia a avut nevoie de 21 de luni pentru a răspunde la cererea de confirmare a reclamantului (jurnalist), și anume în iulie 2024, când accesul acordat la documente nu mai era util în scopul preconizat; este de acord că, în chestiuni de interes public semnificativ, cum ar fi MRR, nu ar trebui să existe întârzieri în furnizarea accesului la documente; reiterează opinia Ombudsmanului potrivit căreia Comisia ar trebui să analizeze cu atenție existența unui interes public superior atunci când aplică excepțiile privind accesul public în temeiul Regulamentului 1049/2001</w:t>
            </w:r>
            <w:r>
              <w:rPr>
                <w:vertAlign w:val="superscript"/>
              </w:rPr>
              <w:t>4</w:t>
            </w:r>
            <w:r>
              <w:t>;</w:t>
            </w:r>
          </w:p>
        </w:tc>
        <w:tc>
          <w:tcPr>
            <w:tcW w:w="4876" w:type="dxa"/>
            <w:tcBorders>
              <w:top w:val="nil"/>
              <w:left w:val="nil"/>
              <w:bottom w:val="nil"/>
              <w:right w:val="nil"/>
            </w:tcBorders>
          </w:tcPr>
          <w:p>
            <w:pPr>
              <w:pStyle w:val="Normal6a"/>
            </w:pPr>
            <w:r>
              <w:t>18.</w:t>
            </w:r>
            <w:r>
              <w:tab/>
            </w:r>
            <w:r>
              <w:t>constată, pe baza raportului de monitorizare, că Ombudsmanul a continuat să monitorizeze aspectele legate de transparență și responsabilitate legate de Mecanismul de redresare și reziliență (MRR), în cadrul tratării plângerilor în domeniul accesului public la documente, în principal în ceea ce privește negocierile privind planurile naționale de redresare și reziliență (PNRR); ia act, printre aceste probleme, de întârzierile semnificative întâmpinate de Comisie în a răspunde cererilor de acces la informații și de nivelul de acces acordat; apreciază faptul că, într-un caz privind planul de redresare și reziliență al Țărilor de Jos, în urma propunerii de soluție a Ombudsmanului, Comisia a acordat un acces mai larg la 172 de documente; condamnă cu fermitate, cu toate acestea, faptul că Comisia a avut nevoie de 21 de luni pentru a răspunde la cererea de confirmare a reclamantului (jurnalist), și anume în iulie 2024, când accesul acordat la documente nu mai era util în scopul preconizat; este de acord că, în chestiuni de interes public semnificativ, cum ar fi MRR, nu ar trebui să existe întârzieri în furnizarea accesului la documente; reiterează opinia Ombudsmanului potrivit căreia Comisia ar trebui să analizeze cu atenție existența unui interes public superior atunci când aplică excepțiile privind accesul public în temeiul Regulamentului 1049/2001</w:t>
            </w:r>
            <w:r>
              <w:rPr>
                <w:vertAlign w:val="superscript"/>
              </w:rPr>
              <w:t>4</w:t>
            </w:r>
            <w:r>
              <w:t xml:space="preserve">; </w:t>
            </w:r>
            <w:r>
              <w:rPr>
                <w:b/>
                <w:i/>
              </w:rPr>
              <w:t>consideră că o astfel de întârziere în chestiuni de interes public semnificativ, cum ar fi MRR, este o negare a transparenței;</w:t>
            </w:r>
            <w:r>
              <w:t xml:space="preserve"> </w:t>
            </w:r>
            <w:r>
              <w:rPr>
                <w:b/>
                <w:i/>
              </w:rPr>
              <w:t>invită Ombudsmanul să informeze în mod oficial comisiile competente ale Parlamentului de îndată ce o întârziere a Comisiei în ceea ce privește documentele legate de MRR depășește șase luni, pentru a permite un control politic în timp util;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Regulamentul (CE) nr. 1049/2001 al Parlamentului European și al Consiliului din 30 mai 2001 privind accesul public la documentele Parlamentului European, ale Consiliului și ale Comisiei (JO L 145, 31.5.2001, p. 43-48,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Regulamentul (CE) nr. 1049/2001 al Parlamentului European și al Consiliului din 30 mai 2001 privind accesul public la documentele Parlamentului European, ale Consiliului și ale Comisiei (JO L 145, 31.5.2001, p. 43-48,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constată, pe baza raportului de monitorizare, că Ombudsmanul a continuat să monitorizeze aspectele legate de transparență și responsabilitate legate de Mecanismul de redresare și reziliență (MRR), în cadrul tratării plângerilor în domeniul accesului public la documente, în principal în ceea ce privește negocierile privind planurile naționale de redresare și reziliență (PNRR); ia act, printre aceste probleme, de întârzierile semnificative întâmpinate de Comisie în a răspunde cererilor de acces la informații și de nivelul de acces acordat; apreciază faptul că, într-un caz privind planul de redresare și reziliență al Țărilor de Jos, în urma propunerii de soluție a Ombudsmanului, Comisia a acordat un acces mai larg la 172 de documente; condamnă cu fermitate, cu toate acestea, faptul că Comisia a avut nevoie de 21 de luni pentru a răspunde la cererea de confirmare a reclamantului (jurnalist), și anume în iulie 2024, când accesul acordat la documente nu mai era util în scopul preconizat; este de acord că, în chestiuni de interes public semnificativ, cum ar fi MRR, nu ar trebui să existe întârzieri în furnizarea accesului la documente; reiterează opinia Ombudsmanului potrivit căreia Comisia ar trebui să analizeze cu atenție existența unui interes public superior atunci când aplică excepțiile privind accesul public în temeiul Regulamentului 1049/2001</w:t>
            </w:r>
            <w:r>
              <w:rPr>
                <w:vertAlign w:val="superscript"/>
              </w:rPr>
              <w:t>4</w:t>
            </w:r>
            <w:r>
              <w:t>;</w:t>
            </w:r>
          </w:p>
        </w:tc>
        <w:tc>
          <w:tcPr>
            <w:tcW w:w="4876" w:type="dxa"/>
            <w:tcBorders>
              <w:top w:val="nil"/>
              <w:left w:val="nil"/>
              <w:bottom w:val="nil"/>
              <w:right w:val="nil"/>
            </w:tcBorders>
          </w:tcPr>
          <w:p>
            <w:pPr>
              <w:pStyle w:val="Normal6a"/>
            </w:pPr>
            <w:r>
              <w:t>18.</w:t>
            </w:r>
            <w:r>
              <w:tab/>
            </w:r>
            <w:r>
              <w:t>constată, pe baza raportului de monitorizare, că Ombudsmanul a continuat să monitorizeze aspectele legate de transparență și responsabilitate legate de Mecanismul de redresare și reziliență (MRR), în cadrul tratării plângerilor în domeniul accesului public la documente, în principal în ceea ce privește negocierile privind planurile naționale de redresare și reziliență (PNRR); ia act, printre aceste probleme, de întârzierile semnificative întâmpinate de Comisie în a răspunde cererilor de acces la informații și de nivelul de acces acordat</w:t>
            </w:r>
            <w:r>
              <w:rPr>
                <w:b/>
                <w:i/>
              </w:rPr>
              <w:t>, care sunt de natură să erodeze încrederea cetățenilor în administrația UE</w:t>
            </w:r>
            <w:r>
              <w:t xml:space="preserve">; apreciază faptul că, într-un caz privind planul de redresare și reziliență al Țărilor de Jos, în urma propunerii de soluție a Ombudsmanului, Comisia a acordat un acces mai larg la 172 de documente; condamnă cu fermitate, cu toate acestea, faptul că Comisia a avut nevoie de 21 de luni pentru a răspunde la cererea de confirmare a reclamantului (jurnalist), și anume în iulie 2024, când accesul acordat la documente nu mai era util în scopul preconizat; </w:t>
            </w:r>
            <w:r>
              <w:rPr>
                <w:b/>
                <w:i/>
              </w:rPr>
              <w:t>constată cu îngrijorare că astfel de întârzieri slăbesc controlul democratic;</w:t>
            </w:r>
            <w:r>
              <w:t xml:space="preserve"> este de acord că, în chestiuni de interes public semnificativ, cum ar fi MRR, nu ar trebui să existe întârzieri în furnizarea accesului la documente; reiterează opinia Ombudsmanului potrivit căreia Comisia ar trebui să analizeze cu atenție existența unui interes public superior atunci când aplică excepțiile privind accesul public în temeiul Regulamentului 1049/2001</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Regulamentul (CE) nr. 1049/2001 al Parlamentului European și al Consiliului din 30 mai 2001 privind accesul public la documentele Parlamentului European, ale Consiliului și ale Comisiei (JO L 145, 31.5.2001, p. 43-48,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Regulamentul (CE) nr. 1049/2001 al Parlamentului European și al Consiliului din 30 mai 2001 privind accesul public la documentele Parlamentului European, ale Consiliului și ale Comisiei (JO L 145, 31.5.2001, p. 43-48,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constată, pe baza raportului de monitorizare, că Ombudsmanul a continuat să monitorizeze aspectele legate de transparență și responsabilitate legate de Mecanismul de redresare și reziliență (MRR), în cadrul tratării plângerilor în domeniul accesului public la documente, în principal în ceea ce privește negocierile privind planurile naționale de redresare și reziliență (PNRR); ia act, printre aceste probleme, de întârzierile semnificative întâmpinate de Comisie în a răspunde cererilor de acces la informații și de nivelul de acces acordat; apreciază faptul că, într-un caz privind planul de redresare și reziliență al Țărilor de Jos, în urma propunerii de soluție a Ombudsmanului, Comisia a acordat un acces mai larg la 172 de documente; condamnă cu fermitate, cu toate acestea, faptul că Comisia a avut nevoie de 21 de luni pentru a răspunde la cererea de confirmare a reclamantului (jurnalist), și anume în iulie 2024, când accesul acordat la documente nu mai era util în scopul preconizat; este de acord că, în chestiuni de interes public semnificativ, cum ar fi MRR, nu ar trebui să existe întârzieri în furnizarea accesului la documente; reiterează opinia Ombudsmanului potrivit căreia Comisia ar trebui să analizeze cu atenție existența unui interes public superior atunci când aplică excepțiile privind accesul public în temeiul Regulamentului 1049/2001</w:t>
            </w:r>
            <w:r>
              <w:rPr>
                <w:vertAlign w:val="superscript"/>
              </w:rPr>
              <w:t>4</w:t>
            </w:r>
            <w:r>
              <w:t>;</w:t>
            </w:r>
          </w:p>
        </w:tc>
        <w:tc>
          <w:tcPr>
            <w:tcW w:w="4876" w:type="dxa"/>
            <w:tcBorders>
              <w:top w:val="nil"/>
              <w:left w:val="nil"/>
              <w:bottom w:val="nil"/>
              <w:right w:val="nil"/>
            </w:tcBorders>
          </w:tcPr>
          <w:p>
            <w:pPr>
              <w:pStyle w:val="Normal6a"/>
            </w:pPr>
            <w:r>
              <w:t>18.</w:t>
            </w:r>
            <w:r>
              <w:tab/>
            </w:r>
            <w:r>
              <w:t xml:space="preserve">constată, pe baza raportului de monitorizare, că Ombudsmanul a continuat să monitorizeze aspectele legate de transparență și responsabilitate legate de Mecanismul de redresare și reziliență (MRR), în cadrul tratării plângerilor în domeniul accesului public la documente, în principal în ceea ce privește negocierile privind planurile naționale de redresare și reziliență (PNRR); ia act, printre aceste probleme, de întârzierile semnificative întâmpinate de Comisie în a răspunde cererilor de acces la informații și de nivelul de acces acordat; apreciază faptul că, într-un caz privind planul de redresare și reziliență al Țărilor de Jos, în urma propunerii de soluție a Ombudsmanului, Comisia a acordat un acces mai larg la 172 de documente; condamnă cu fermitate, cu toate acestea, faptul că Comisia a avut nevoie de 21 de luni pentru a răspunde la cererea de confirmare a reclamantului (jurnalist), și anume în iulie 2024, când accesul acordat la documente nu mai era util în scopul preconizat; </w:t>
            </w:r>
            <w:r>
              <w:rPr>
                <w:b/>
                <w:i/>
              </w:rPr>
              <w:t>își exprimă îngrijorarea cu privire la durata întârzierii;</w:t>
            </w:r>
            <w:r>
              <w:t xml:space="preserve"> este de acord că, în chestiuni de interes public semnificativ, cum ar fi MRR, nu ar trebui să existe întârzieri în furnizarea accesului la documente; reiterează opinia Ombudsmanului potrivit căreia Comisia ar trebui să analizeze cu atenție existența unui interes public superior atunci când aplică excepțiile privind accesul public în temeiul Regulamentului 1049/2001</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Regulamentul (CE) nr. 1049/2001 al Parlamentului European și al Consiliului din 30 mai 2001 privind accesul public la documentele Parlamentului European, ale Consiliului și ale Comisiei (JO L 145, 31.5.2001, p. 43-48,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Regulamentul (CE) nr. 1049/2001 al Parlamentului European și al Consiliului din 30 mai 2001 privind accesul public la documentele Parlamentului European, ale Consiliului și ale Comisiei (JO L 145, 31.5.2001, p. 43-48,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reamintește că, potrivit Ombudsmanului, restricțiile privind accesul la documente, în special la documentele legislative, ar trebui să fie excepționale și să se limiteze la ceea ce este absolut necesar; reamintește, de asemenea, că la baza oricărei decizii prin care se refuză accesul public la documente trebuie să stea excepții prevăzute de legislație și definite în termeni clari și în mod strict, însoțite de justificări fundamentate și concrete, care să le permită cetățenilor să înțeleagă de ce a fost refuzat accesul și să se prevaleze în mod eficient de căile de atac pe care le au la dispoziție; consideră că o abordare mai proactivă ar contribui la asigurarea unei transparențe efective și la prevenirea litigiilor juridice costisitoare și împovărătoare dintre cetățeni și instituții</w:t>
            </w:r>
            <w:r>
              <w:rPr>
                <w:vertAlign w:val="superscript"/>
              </w:rPr>
              <w:t>5</w:t>
            </w:r>
            <w:r>
              <w:t>;</w:t>
            </w:r>
          </w:p>
        </w:tc>
        <w:tc>
          <w:tcPr>
            <w:tcW w:w="4876" w:type="dxa"/>
            <w:tcBorders>
              <w:top w:val="nil"/>
              <w:left w:val="nil"/>
              <w:bottom w:val="nil"/>
              <w:right w:val="nil"/>
            </w:tcBorders>
          </w:tcPr>
          <w:p>
            <w:pPr>
              <w:pStyle w:val="Normal6a"/>
            </w:pPr>
            <w:r>
              <w:t>19.</w:t>
            </w:r>
            <w:r>
              <w:tab/>
            </w:r>
            <w:r>
              <w:t>reamintește că, potrivit Ombudsmanului, restricțiile privind accesul la documente, în special la documentele legislative, ar trebui să fie excepționale și să se limiteze la ceea ce este absolut necesar; reamintește, de asemenea, că la baza oricărei decizii prin care se refuză accesul public la documente trebuie să stea excepții prevăzute de legislație și definite în termeni clari și în mod strict, însoțite de justificări fundamentate și concrete, care să le permită cetățenilor să înțeleagă de ce a fost refuzat accesul și să se prevaleze în mod eficient de căile de atac pe care le au la dispoziție; consideră că o abordare mai proactivă ar contribui la asigurarea unei transparențe efective și la prevenirea litigiilor juridice costisitoare și împovărătoare dintre cetățeni și instituții</w:t>
            </w:r>
            <w:r>
              <w:rPr>
                <w:vertAlign w:val="superscript"/>
              </w:rPr>
              <w:t>5</w:t>
            </w:r>
            <w:r>
              <w:t xml:space="preserve">; </w:t>
            </w:r>
            <w:r>
              <w:rPr>
                <w:b/>
                <w:i/>
              </w:rPr>
              <w:t>încurajează Ombudsmanul să promoveze în continuare practici proactive de publicare, în special pentru documentele legislative și de modelare a politicilor, pentru a consolida transparența încă din faza de proiectare și pentru a reduce sarcina administrativă și riscul de litigii asociate cererilor repetitive de acces la documente;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https://www.europarl.europa.eu/doceo/document/TA-9-2023-0295_RO.html</w:t>
            </w:r>
            <w:r>
              <w:rPr>
                <w:b/>
                <w:i/>
              </w:rPr>
              <w:tab/>
            </w:r>
            <w:r>
              <w:t>.</w:t>
            </w:r>
          </w:p>
        </w:tc>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https://www.europarl.europa.eu/doceo/document/TA-9-2023-0295_RO.html.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constată o scădere cu 4,90 % a numărului total de angajați ai Ombudsmanului, de la 82 în 2023, la 78 în 2024; constată, de asemenea, că, în 2024, 46 de funcționari au fost angajați de Ombudsman, comparativ cu 40 în 2023 și, respectiv, 9 agenți contractuali, la fel ca în 2023; constată o ușoară scădere a ponderii personalului care lucrează în cadrul activității principale a Ombudsmanului (plângeri și anchete), de la 42,68 % în 2023, la 42,30 % în 2024; constată în plus că rata de ocupare a posturilor a crescut de la 95 % în 2023, la 97 % în 2024, iar rata de rotație a crescut de la 5,20 % în 2023, la 6,40 % în 2024; reamintește că este important să se ofere contracte permanente pentru a păstra competențele, continuitatea și un mediu de lucru productiv;</w:t>
            </w:r>
          </w:p>
        </w:tc>
        <w:tc>
          <w:tcPr>
            <w:tcW w:w="4876" w:type="dxa"/>
            <w:tcBorders>
              <w:top w:val="nil"/>
              <w:left w:val="nil"/>
              <w:bottom w:val="nil"/>
              <w:right w:val="nil"/>
            </w:tcBorders>
          </w:tcPr>
          <w:p>
            <w:pPr>
              <w:pStyle w:val="Normal6a"/>
            </w:pPr>
            <w:r>
              <w:t>21.</w:t>
            </w:r>
            <w:r>
              <w:tab/>
            </w:r>
            <w:r>
              <w:t xml:space="preserve">constată o scădere cu 4,90 % a numărului total de angajați ai Ombudsmanului, de la 82 în 2023, la 78 în 2024; constată, de asemenea, că, în 2024, 46 de funcționari au fost angajați de Ombudsman, comparativ cu 40 în 2023 și, respectiv, 9 agenți contractuali, la fel ca în 2023; constată o ușoară scădere a ponderii personalului care lucrează în cadrul activității principale a Ombudsmanului (plângeri și anchete), de la 42,68 % în 2023, la 42,30 % în 2024; constată în plus că rata de ocupare a posturilor a crescut de la 95 % în 2023, la 97 % în 2024, iar rata de rotație a crescut de la 5,20 % în 2023, la 6,40 % în 2024; reamintește că este important să se ofere contracte permanente pentru a păstra competențele, continuitatea și un mediu de lucru productiv; </w:t>
            </w:r>
            <w:r>
              <w:rPr>
                <w:b/>
                <w:i/>
              </w:rPr>
              <w:t>subliniază că scăderea numărului de angajați în principalele domenii operaționale și dependența semnificativă de contractele temporare pot reduce memoria instituțională și eficiența instituției;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reamintește faptul că postul de Secretar General al Ombudsmanului este vacant de peste doi ani, de la 1 septembrie 2022; ia act de faptul că Ombudsmanul a lansat o procedură interinstituțională pentru recrutarea noului său Secretar General prin publicarea unei cereri de exprimare a interesului (nr. OMB/2/2025) la 30 iunie 2025, care a avut ca rezultat 14 candidaturi eligibile; constată, de asemenea, că procedura de selecție a fost finalizată în 2025 și că a fost selectat un nou Secretar General, care urmează să își preia postul la 1 ianuarie 2026; ia act de faptul că, în acest caz, comisia de evaluare a fost formată din trei persoane, dintre care una a fost chiar Ombudsmanul, care a fost implicat în evaluarea eligibilității candidaturilor și în interviuri; </w:t>
            </w:r>
            <w:r>
              <w:rPr>
                <w:b/>
                <w:i/>
              </w:rPr>
              <w:t>consideră că faptul că Secretarul General selectat a ocupat anterior funcția de șef de cabinet al actualului Ombudsman, care a prezidat comisia de evaluare, ridică semne de întrebare cu privire la un posibil favoritism în procesul de selecție, chiar dacă acesta s-a desfășurat în mod legal</w:t>
            </w:r>
            <w:r>
              <w:t>;</w:t>
            </w:r>
          </w:p>
        </w:tc>
        <w:tc>
          <w:tcPr>
            <w:tcW w:w="4876" w:type="dxa"/>
            <w:tcBorders>
              <w:top w:val="nil"/>
              <w:left w:val="nil"/>
              <w:bottom w:val="nil"/>
              <w:right w:val="nil"/>
            </w:tcBorders>
          </w:tcPr>
          <w:p>
            <w:pPr>
              <w:pStyle w:val="Normal6a"/>
            </w:pPr>
            <w:r>
              <w:t>22.</w:t>
            </w:r>
            <w:r>
              <w:tab/>
            </w:r>
            <w:r>
              <w:t xml:space="preserve">reamintește faptul că postul de Secretar General al Ombudsmanului este vacant de peste doi ani, de la 1 septembrie 2022; ia act de faptul că Ombudsmanul a lansat o procedură interinstituțională pentru recrutarea noului său Secretar General prin publicarea unei cereri de exprimare a interesului (nr. OMB/2/2025) la 30 iunie 2025, care a avut ca rezultat 14 candidaturi eligibile; constată, de asemenea, că procedura de selecție a fost finalizată în 2025 și că a fost selectat un nou Secretar General, care urmează să își preia postul la 1 ianuarie 2026; ia act de faptul că, în acest caz, comisia de evaluare a fost formată din trei persoane, dintre care una a fost chiar Ombudsmanul, care a fost implicat în evaluarea eligibilității candidaturilor și în interviuri; </w:t>
            </w:r>
            <w:r>
              <w:rPr>
                <w:b/>
                <w:i/>
              </w:rPr>
              <w:t>subliniază că trebuie asigurate garanții stricte de confidențialitate și discreție, precum și garanții solide pentru a preveni orice formă de influență politică sau ingerință în funcționarea instituției Ombudsmanului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reamintește faptul că postul de Secretar General al Ombudsmanului este vacant de peste doi ani, de la 1 septembrie 2022; ia act de faptul că Ombudsmanul a lansat o procedură interinstituțională pentru recrutarea noului său Secretar General prin publicarea unei cereri de exprimare a interesului (nr. OMB/2/2025) la 30 iunie 2025, care a avut ca rezultat 14 candidaturi eligibile; constată, de asemenea, că procedura de selecție a fost finalizată în 2025 și că a fost selectat un nou Secretar General, care urmează să își preia postul la 1 ianuarie 2026; ia act de faptul că, în acest caz, comisia de evaluare a fost formată din trei persoane, dintre care una a fost chiar Ombudsmanul, </w:t>
            </w:r>
            <w:r>
              <w:rPr>
                <w:b/>
                <w:i/>
              </w:rPr>
              <w:t>care a fost implicat</w:t>
            </w:r>
            <w:r>
              <w:t xml:space="preserve"> în evaluarea eligibilității candidaturilor și în interviuri; </w:t>
            </w:r>
            <w:r>
              <w:rPr>
                <w:b/>
                <w:i/>
              </w:rPr>
              <w:t>consideră că</w:t>
            </w:r>
            <w:r>
              <w:t xml:space="preserve"> faptul că Secretarul General selectat </w:t>
            </w:r>
            <w:r>
              <w:rPr>
                <w:b/>
                <w:i/>
              </w:rPr>
              <w:t>a ocupat anterior funcția de</w:t>
            </w:r>
            <w:r>
              <w:t xml:space="preserve"> șef de cabinet al actualului Ombudsman</w:t>
            </w:r>
            <w:r>
              <w:rPr>
                <w:b/>
                <w:i/>
              </w:rPr>
              <w:t>, care a prezidat comisia de evaluare, ridică semne de întrebare cu privire la un</w:t>
            </w:r>
            <w:r>
              <w:t xml:space="preserve"> posibil favoritism </w:t>
            </w:r>
            <w:r>
              <w:rPr>
                <w:b/>
                <w:i/>
              </w:rPr>
              <w:t>în procesul de selecție, chiar dacă acesta s-a desfășurat în mod legal</w:t>
            </w:r>
            <w:r>
              <w:t>;</w:t>
            </w:r>
          </w:p>
        </w:tc>
        <w:tc>
          <w:tcPr>
            <w:tcW w:w="4876" w:type="dxa"/>
            <w:tcBorders>
              <w:top w:val="nil"/>
              <w:left w:val="nil"/>
              <w:bottom w:val="nil"/>
              <w:right w:val="nil"/>
            </w:tcBorders>
          </w:tcPr>
          <w:p>
            <w:pPr>
              <w:pStyle w:val="Normal6a"/>
            </w:pPr>
            <w:r>
              <w:t>22.</w:t>
            </w:r>
            <w:r>
              <w:tab/>
            </w:r>
            <w:r>
              <w:t>reamintește faptul că postul de Secretar General al Ombudsmanului este vacant de peste doi ani, de la 1 septembrie 2022; ia act de faptul că</w:t>
            </w:r>
            <w:r>
              <w:rPr>
                <w:b/>
                <w:i/>
              </w:rPr>
              <w:t>, în urma mai multor solicitări ale Parlamentului de a ocupa acest post vacant,</w:t>
            </w:r>
            <w:r>
              <w:t xml:space="preserve"> Ombudsmanul a lansat o procedură interinstituțională pentru recrutarea noului său Secretar General prin publicarea unei cereri de exprimare a interesului (nr. OMB/2/2025) la 30 iunie 2025, care a avut ca rezultat 14 candidaturi eligibile; constată, de asemenea, că procedura de selecție a fost finalizată în 2025 și că a fost selectat un nou Secretar General, care urmează să își preia postul la 1 ianuarie 2026; ia act de faptul că, în acest caz, comisia de evaluare a fost formată din trei persoane, dintre care una a fost chiar Ombudsmanul, </w:t>
            </w:r>
            <w:r>
              <w:rPr>
                <w:b/>
                <w:i/>
              </w:rPr>
              <w:t>iar celelalte două au fost membri externi și independenți, care au fost implicați</w:t>
            </w:r>
            <w:r>
              <w:t xml:space="preserve"> în evaluarea eligibilității candidaturilor și în interviuri; </w:t>
            </w:r>
            <w:r>
              <w:rPr>
                <w:b/>
                <w:i/>
              </w:rPr>
              <w:t>susține că Ombudsmanul este o instituție cu un singur membru, în conformitate cu tratatele și cu statutul său;</w:t>
            </w:r>
            <w:r>
              <w:t xml:space="preserve"> </w:t>
            </w:r>
            <w:r>
              <w:rPr>
                <w:b/>
                <w:i/>
              </w:rPr>
              <w:t>ia act de garanțiile suplimentare adoptate în cursul procedurii de selecție, inclusiv de participarea a doi membri ai personalului de conducere la întregul proces;</w:t>
            </w:r>
            <w:r>
              <w:t xml:space="preserve"> </w:t>
            </w:r>
            <w:r>
              <w:rPr>
                <w:b/>
                <w:i/>
              </w:rPr>
              <w:t>ia act de faptul că procedura s-a desfășurat în mod legal;</w:t>
            </w:r>
            <w:r>
              <w:t xml:space="preserve"> </w:t>
            </w:r>
            <w:r>
              <w:rPr>
                <w:b/>
                <w:i/>
              </w:rPr>
              <w:t>ia act de</w:t>
            </w:r>
            <w:r>
              <w:t xml:space="preserve"> faptul că Secretarul General selectat</w:t>
            </w:r>
            <w:r>
              <w:rPr>
                <w:b/>
                <w:i/>
              </w:rPr>
              <w:t>, care a fost numit</w:t>
            </w:r>
            <w:r>
              <w:t xml:space="preserve"> șef de cabinet al actualului Ombudsman </w:t>
            </w:r>
            <w:r>
              <w:rPr>
                <w:b/>
                <w:i/>
              </w:rPr>
              <w:t>în februarie 2025, este funcționar al UE de 30 de ani, cu 10 ani de experiență în funcții de conducere;</w:t>
            </w:r>
            <w:r>
              <w:t xml:space="preserve"> </w:t>
            </w:r>
            <w:r>
              <w:rPr>
                <w:b/>
                <w:i/>
              </w:rPr>
              <w:t>invită Ombudsmanul să reflecteze în continuare asupra modului de protejare a procedurilor de selecție și a deciziilor de numire împotriva oricărui conflict de interese perceput sau a unui</w:t>
            </w:r>
            <w:r>
              <w:t xml:space="preserve"> posibil favoritism;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reamintește faptul că postul de Secretar General al Ombudsmanului este vacant de peste doi ani, de la 1 septembrie 2022; ia act de faptul că Ombudsmanul a lansat o procedură interinstituțională pentru recrutarea noului său Secretar General prin publicarea unei cereri de exprimare a interesului (nr. OMB/2/2025) la 30 iunie 2025, care a avut ca rezultat 14 candidaturi eligibile; constată, de asemenea, că procedura de selecție a fost finalizată în 2025 și că a fost selectat un nou Secretar General, care urmează să își preia postul la 1 ianuarie 2026; ia act de faptul că, în acest caz, comisia de evaluare a fost formată din trei persoane, dintre care una a fost chiar Ombudsmanul, care a fost implicat în evaluarea eligibilității candidaturilor și în interviuri; consideră că faptul că Secretarul General selectat a ocupat anterior funcția de șef de cabinet al actualului Ombudsman</w:t>
            </w:r>
            <w:r>
              <w:rPr>
                <w:b/>
                <w:i/>
              </w:rPr>
              <w:t>, care</w:t>
            </w:r>
            <w:r>
              <w:t xml:space="preserve"> a prezidat comisia de evaluare</w:t>
            </w:r>
            <w:r>
              <w:rPr>
                <w:b/>
                <w:i/>
              </w:rPr>
              <w:t>, ridică</w:t>
            </w:r>
            <w:r>
              <w:t xml:space="preserve"> semne de întrebare cu privire la </w:t>
            </w:r>
            <w:r>
              <w:rPr>
                <w:b/>
                <w:i/>
              </w:rPr>
              <w:t>un posibil favoritism în procesul</w:t>
            </w:r>
            <w:r>
              <w:t xml:space="preserve"> de selecție, chiar dacă acesta s-a desfășurat în mod legal;</w:t>
            </w:r>
          </w:p>
        </w:tc>
        <w:tc>
          <w:tcPr>
            <w:tcW w:w="4876" w:type="dxa"/>
            <w:tcBorders>
              <w:top w:val="nil"/>
              <w:left w:val="nil"/>
              <w:bottom w:val="nil"/>
              <w:right w:val="nil"/>
            </w:tcBorders>
          </w:tcPr>
          <w:p>
            <w:pPr>
              <w:pStyle w:val="Normal6a"/>
            </w:pPr>
            <w:r>
              <w:t>22.</w:t>
            </w:r>
            <w:r>
              <w:tab/>
            </w:r>
            <w:r>
              <w:t xml:space="preserve">reamintește faptul că postul de Secretar General al Ombudsmanului este vacant de peste doi ani, de la 1 septembrie 2022; ia act de faptul că Ombudsmanul a lansat o procedură interinstituțională pentru recrutarea noului său Secretar General prin publicarea unei cereri de exprimare a interesului (nr. OMB/2/2025) la 30 iunie 2025, care a avut ca rezultat 14 candidaturi eligibile; constată, de asemenea, că procedura de selecție a fost finalizată în 2025 și că a fost selectat un nou Secretar General, care urmează să își preia postul la 1 ianuarie 2026; ia act de faptul că, în acest caz, comisia de evaluare a fost formată din trei persoane, dintre care una a fost chiar Ombudsmanul, care a fost implicat în evaluarea eligibilității candidaturilor și în interviuri; consideră că faptul că Secretarul General selectat a ocupat anterior funcția de șef de cabinet al actualului Ombudsman </w:t>
            </w:r>
            <w:r>
              <w:rPr>
                <w:b/>
                <w:i/>
              </w:rPr>
              <w:t>și că cel din urmă</w:t>
            </w:r>
            <w:r>
              <w:t xml:space="preserve"> a prezidat comisia de evaluare </w:t>
            </w:r>
            <w:r>
              <w:rPr>
                <w:b/>
                <w:i/>
              </w:rPr>
              <w:t>poate ridica unele</w:t>
            </w:r>
            <w:r>
              <w:t xml:space="preserve"> semne de întrebare cu privire la </w:t>
            </w:r>
            <w:r>
              <w:rPr>
                <w:b/>
                <w:i/>
              </w:rPr>
              <w:t>echitatea procesului</w:t>
            </w:r>
            <w:r>
              <w:t xml:space="preserve"> de selecție, chiar dacă acesta s-a desfășurat în mod legal; </w:t>
            </w:r>
            <w:r>
              <w:rPr>
                <w:b/>
                <w:i/>
              </w:rPr>
              <w:t>subliniază că Parlamentul nu solicită Ombudsmanului să își delege drepturile și obligațiile în calitate de autoritate împuternicită să facă numiri, dar atrage atenția asupra prezenței sale în comisia de evaluare, deoarece dreptul Uniunii nu impune acest lucru;</w:t>
            </w:r>
            <w:r>
              <w:t xml:space="preserve"> </w:t>
            </w:r>
            <w:r>
              <w:rPr>
                <w:b/>
                <w:i/>
              </w:rPr>
              <w:t>înțelege, cu toate acestea, că într-o instituție cu o singură persoană, cum este Ombudsmanul, este posibil ca titularul de mandat să trebuiască să fie implicat în ultimele etape ale anumitor proceduri de selecție;</w:t>
            </w:r>
            <w:r>
              <w:t xml:space="preserve"> </w:t>
            </w:r>
            <w:r>
              <w:rPr>
                <w:b/>
                <w:i/>
              </w:rPr>
              <w:t>recomandă Ombudsmanului să își revizuiască regulamentul de procedură pentru a se asigura că această implicare se desfășoară cu toate garanțiile de echitate și transparență și numai în măsura strict recomandabilă;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reamintește faptul că postul de Secretar General al Ombudsmanului este vacant de peste doi ani, de la 1 septembrie 2022; ia act de faptul că Ombudsmanul a lansat o procedură interinstituțională pentru recrutarea noului său Secretar General prin publicarea unei cereri de exprimare a interesului (nr. OMB/2/2025) la 30 iunie 2025, care a avut ca rezultat 14 candidaturi eligibile; constată, de asemenea, că procedura de selecție a fost finalizată în 2025 și că a fost selectat un nou Secretar General, care urmează să își preia postul la 1 ianuarie 2026; ia act de faptul că, în acest caz, comisia de evaluare a fost formată din trei persoane, dintre care una a fost chiar Ombudsmanul, care a fost implicat în evaluarea eligibilității candidaturilor și în interviuri; consideră că faptul că Secretarul General selectat a ocupat anterior funcția de șef de cabinet al actualului Ombudsman, care a prezidat comisia de evaluare, ridică semne de întrebare cu privire la un posibil favoritism în procesul de selecție, chiar dacă acesta s-a desfășurat în mod legal;</w:t>
            </w:r>
          </w:p>
        </w:tc>
        <w:tc>
          <w:tcPr>
            <w:tcW w:w="4876" w:type="dxa"/>
            <w:tcBorders>
              <w:top w:val="nil"/>
              <w:left w:val="nil"/>
              <w:bottom w:val="nil"/>
              <w:right w:val="nil"/>
            </w:tcBorders>
          </w:tcPr>
          <w:p>
            <w:pPr>
              <w:pStyle w:val="Normal6a"/>
            </w:pPr>
            <w:r>
              <w:t>22.</w:t>
            </w:r>
            <w:r>
              <w:tab/>
            </w:r>
            <w:r>
              <w:t xml:space="preserve">reamintește faptul că postul de Secretar General al Ombudsmanului este vacant de peste doi ani, de la 1 septembrie 2022; ia act de faptul că Ombudsmanul a lansat o procedură interinstituțională pentru recrutarea noului său Secretar General prin publicarea unei cereri de exprimare a interesului (nr. OMB/2/2025) la 30 iunie 2025, care a avut ca rezultat 14 candidaturi eligibile; constată, de asemenea, că procedura de selecție a fost finalizată în 2025 și că a fost selectat un nou Secretar General, care urmează să își preia postul la 1 ianuarie 2026; ia act de faptul că, în acest caz, comisia de evaluare a fost formată din trei persoane, dintre care una a fost chiar Ombudsmanul, care a fost implicat în evaluarea eligibilității candidaturilor și în interviuri; consideră că faptul că Secretarul General selectat a ocupat anterior funcția de șef de cabinet al actualului Ombudsman, care a prezidat comisia de evaluare, ridică semne de întrebare cu privire la un posibil favoritism în procesul de selecție, chiar dacă acesta s-a desfășurat în mod legal; </w:t>
            </w:r>
            <w:r>
              <w:rPr>
                <w:b/>
                <w:i/>
              </w:rPr>
              <w:t>consideră că chiar și percepția de favoritism sau de conflict de interese este incompatibilă cu standardele de integritate așteptate din partea instituției Ombudsmanului, indiferent de legalitatea formală a procedurii;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reamintește faptul că postul de Secretar General al Ombudsmanului este vacant de peste doi ani, de la 1 septembrie 2022; ia act de faptul că Ombudsmanul a lansat o procedură interinstituțională pentru recrutarea noului său Secretar General prin publicarea unei cereri de exprimare a interesului (nr. OMB/2/2025) la 30 iunie 2025, care a avut ca rezultat 14 candidaturi eligibile; constată, de asemenea, că procedura de selecție a fost finalizată în 2025 și că a fost selectat un nou Secretar General, care urmează să își preia postul la 1 ianuarie 2026; ia act de faptul că, în acest caz, comisia de evaluare a fost formată din trei persoane, dintre care una a fost chiar Ombudsmanul, </w:t>
            </w:r>
            <w:r>
              <w:rPr>
                <w:b/>
                <w:i/>
              </w:rPr>
              <w:t>care a fost implicat</w:t>
            </w:r>
            <w:r>
              <w:t xml:space="preserve"> în evaluarea eligibilității candidaturilor și în interviuri; </w:t>
            </w:r>
            <w:r>
              <w:rPr>
                <w:b/>
                <w:i/>
              </w:rPr>
              <w:t>consideră că</w:t>
            </w:r>
            <w:r>
              <w:t xml:space="preserve"> faptul că </w:t>
            </w:r>
            <w:r>
              <w:rPr>
                <w:b/>
                <w:i/>
              </w:rPr>
              <w:t>Secretarul</w:t>
            </w:r>
            <w:r>
              <w:t xml:space="preserve"> General selectat </w:t>
            </w:r>
            <w:r>
              <w:rPr>
                <w:b/>
                <w:i/>
              </w:rPr>
              <w:t>a ocupat anterior funcția</w:t>
            </w:r>
            <w:r>
              <w:t xml:space="preserve"> de șef de cabinet al actualului Ombudsman, care a prezidat comisia de evaluare, </w:t>
            </w:r>
            <w:r>
              <w:rPr>
                <w:b/>
                <w:i/>
              </w:rPr>
              <w:t>ridică semne de întrebare cu privire la un posibil favoritism în procesul</w:t>
            </w:r>
            <w:r>
              <w:t xml:space="preserve"> de selecție</w:t>
            </w:r>
            <w:r>
              <w:rPr>
                <w:b/>
                <w:i/>
              </w:rPr>
              <w:t>, chiar dacă acesta s-a desfășurat în mod legal</w:t>
            </w:r>
            <w:r>
              <w:t>;</w:t>
            </w:r>
          </w:p>
        </w:tc>
        <w:tc>
          <w:tcPr>
            <w:tcW w:w="4876" w:type="dxa"/>
            <w:tcBorders>
              <w:top w:val="nil"/>
              <w:left w:val="nil"/>
              <w:bottom w:val="nil"/>
              <w:right w:val="nil"/>
            </w:tcBorders>
          </w:tcPr>
          <w:p>
            <w:pPr>
              <w:pStyle w:val="Normal6a"/>
            </w:pPr>
            <w:r>
              <w:t>22.</w:t>
            </w:r>
            <w:r>
              <w:tab/>
            </w:r>
            <w:r>
              <w:t xml:space="preserve">reamintește faptul că postul de Secretar General al Ombudsmanului este vacant de peste doi ani, de la 1 septembrie 2022; ia act de faptul că Ombudsmanul a lansat o procedură interinstituțională pentru recrutarea noului său Secretar General prin publicarea unei cereri de exprimare a interesului (nr. OMB/2/2025) la 30 iunie 2025, care a avut ca rezultat 14 candidaturi eligibile; constată, de asemenea, că procedura de selecție a fost finalizată în 2025 și că a fost selectat un nou Secretar General, care urmează să își preia postul la 1 ianuarie 2026; ia act de faptul că, în acest caz, comisia de evaluare a fost formată din trei persoane, dintre care una a fost chiar Ombudsmanul, </w:t>
            </w:r>
            <w:r>
              <w:rPr>
                <w:b/>
                <w:i/>
              </w:rPr>
              <w:t>iar celelalte două au fost membri externi, care au fost implicați</w:t>
            </w:r>
            <w:r>
              <w:t xml:space="preserve"> în evaluarea eligibilității candidaturilor și în interviuri; </w:t>
            </w:r>
            <w:r>
              <w:rPr>
                <w:b/>
                <w:i/>
              </w:rPr>
              <w:t>ia act de</w:t>
            </w:r>
            <w:r>
              <w:t xml:space="preserve"> faptul că </w:t>
            </w:r>
            <w:r>
              <w:rPr>
                <w:b/>
                <w:i/>
              </w:rPr>
              <w:t>rolul anterior al Secretarului</w:t>
            </w:r>
            <w:r>
              <w:t xml:space="preserve"> General selectat de șef de cabinet al actualului Ombudsman, care a prezidat comisia de evaluare, </w:t>
            </w:r>
            <w:r>
              <w:rPr>
                <w:b/>
                <w:i/>
              </w:rPr>
              <w:t>ar putea fi perceput ca dând naștere unor preocupări, în pofida desfășurării legale a procesului</w:t>
            </w:r>
            <w:r>
              <w:t xml:space="preserve"> de selecție</w:t>
            </w:r>
            <w:r>
              <w:rPr>
                <w:b/>
                <w:i/>
              </w:rPr>
              <w:t>;</w:t>
            </w:r>
            <w:r>
              <w:t xml:space="preserve"> </w:t>
            </w:r>
            <w:r>
              <w:rPr>
                <w:b/>
                <w:i/>
              </w:rPr>
              <w:t>invită Ombudsmanul să reflecteze în continuare asupra unor modalități de protejare a procedurilor de selecție împotriva conflictelor de interese percepute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ia act de faptul că, în urma audierii Ombudsmanului în cadrul reuniunii Comisiei pentru control bugetar a Parlamentului din 6 noiembrie 2025, membrii Comisiei pentru control bugetar a Parlamentului au prezentat o serie de întrebări suplimentare cu solicitare de răspuns scris privind selectarea noului Secretar General (OMB/2/2025) la 18 noiembrie 2025, la care Ombudsmanul a răspuns la 21 noiembrie 2025</w:t>
            </w:r>
            <w:r>
              <w:rPr>
                <w:b/>
                <w:i/>
              </w:rPr>
              <w:t>;</w:t>
            </w:r>
            <w:r>
              <w:t xml:space="preserve"> </w:t>
            </w:r>
            <w:r>
              <w:rPr>
                <w:b/>
                <w:i/>
              </w:rPr>
              <w:t>nu este de acord, în acest context, cu opinia Ombudsmanului potrivit căreia jurisprudența Meroni (C-9/56 și C-10/56) este aplicabilă, deoarece jurisprudența respectivă nu se referă la delegarea de competențe în materie de personal (cum ar fi selectarea unui membru al personalului), ci la delegarea de competențe discreționare către organisme externe/private</w:t>
            </w:r>
            <w:r>
              <w:t xml:space="preserve">; subliniază, de asemenea, că Parlamentul nu solicită Ombudsmanului să își delege drepturile și obligațiile în calitate de autoritate împuternicită să facă numiri, punând în același timp sub semnul întrebării prezența sa în comisia de evaluare, deoarece articolul 3 din anexa III la Statutul funcționarilor prevede în mod explicit că „Comisia de evaluare este compusă dintr-un președinte, desemnat de autoritatea împuternicită să facă numiri, și din membri, desemnați în număr egal de către autoritatea împuternicită să facă numiri și de către comitetul pentru personal”, ceea ce înseamnă că dreptul Uniunii nu impune ca autoritatea împuternicită să facă numiri să fie membră a comisiei de evaluare; </w:t>
            </w:r>
            <w:r>
              <w:rPr>
                <w:b/>
                <w:i/>
              </w:rPr>
              <w:t>subliniază că, prin luarea unei decizii finale, care este o sarcină a autorității împuternicite să facă numiri, aceasta din urmă confirmă, de asemenea, că întreaga procedură de selecție a fost legală, inclusiv respectarea de către candidat a tuturor criteriilor de admisibilitate și de eligibilitate, în timp ce o astfel de sarcină ar deveni doar superficială dacă autoritatea împuternicită să facă numiri ar fi fost, de asemenea, președintele comisiei de evaluare în etapele anterioare ale procedurii/concursului, ceea ce s-a întâmplat cu procedura actuală; ia act, de asemenea, de refuzul Ombudsmanului de a furniza autorității care acordă descărcarea de gestiune toate documentele legate de verificarea eligibilității, evaluarea candidaturilor, interviurile efective ale candidaților preselectați cu comisia de evaluare și interviul bilateral cu Ombudsmanul, invocând printre argumente „limitele cadrului juridic care reglementează confidențialitatea” pentru a evita „riscul de subminare a independenței și integrității procesului de selecție” în cazul în care astfel de documente ar fi divulgate;</w:t>
            </w:r>
            <w:r>
              <w:t xml:space="preserve"> </w:t>
            </w:r>
            <w:r>
              <w:rPr>
                <w:b/>
                <w:i/>
              </w:rPr>
              <w:t>reamintește că Parlamentul are dreptul de a solicita orice informații necesare în temeiul articolului 319 alineatul (2) din Tratatul privind funcționarea Uniunii Europene;</w:t>
            </w:r>
            <w:r>
              <w:t xml:space="preserve"> </w:t>
            </w:r>
            <w:r>
              <w:rPr>
                <w:b/>
                <w:i/>
              </w:rPr>
              <w:t>subliniază că transmiterea informațiilor către Parlament în scopul descărcării de gestiune nu echivalează cu publicarea acestor informații;</w:t>
            </w:r>
            <w:r>
              <w:t xml:space="preserve"> </w:t>
            </w:r>
            <w:r>
              <w:rPr>
                <w:b/>
                <w:i/>
              </w:rPr>
              <w:t>subliniază, de asemenea, că Parlamentul a instituit un set cuprinzător de norme de securitate, care respectă aceleași principii și standarde ca și alte instituții ale Uniunii, inclusiv autorizarea de securitate, principiul necesității de a cunoaște, spații securizate și săli de lectură, sancțiuni pentru încălcări etc.;</w:t>
            </w:r>
            <w:r>
              <w:t xml:space="preserve"> </w:t>
            </w:r>
            <w:r>
              <w:rPr>
                <w:b/>
                <w:i/>
              </w:rPr>
              <w:t>îndeamnă, având în vedere cele de mai sus, Ombudsmanul să furnizeze autorității care acordă descărcarea de gestiune toate documentele privind verificarea eligibilității, evaluarea candidaturilor, interviurile efective ale candidaților de pe lista scurtă cu comisia de evaluare și interviul bilateral cu Ombudsmanul în legătură cu procedura de selecție a Secretarului General al Ombudsmanului (OMB/2/2025);</w:t>
            </w:r>
          </w:p>
        </w:tc>
        <w:tc>
          <w:tcPr>
            <w:tcW w:w="4876" w:type="dxa"/>
            <w:tcBorders>
              <w:top w:val="nil"/>
              <w:left w:val="nil"/>
              <w:bottom w:val="nil"/>
              <w:right w:val="nil"/>
            </w:tcBorders>
          </w:tcPr>
          <w:p>
            <w:pPr>
              <w:pStyle w:val="Normal6a"/>
            </w:pPr>
            <w:r>
              <w:t>23.</w:t>
            </w:r>
            <w:r>
              <w:tab/>
            </w:r>
            <w:r>
              <w:t>ia act de faptul că, în urma audierii Ombudsmanului în cadrul reuniunii Comisiei pentru control bugetar a Parlamentului din 6 noiembrie 2025, membrii Comisiei pentru control bugetar a Parlamentului au prezentat o serie de întrebări suplimentare cu solicitare de răspuns scris privind selectarea noului Secretar General (OMB/2/2025) la 18 noiembrie 2025, la care Ombudsmanul a răspuns la 21 noiembrie 2025; subliniază, de asemenea, că Parlamentul nu solicită Ombudsmanului să își delege drepturile și obligațiile în calitate de autoritate împuternicită să facă numiri, punând în același timp sub semnul întrebării prezența sa în comisia de evaluare, deoarece articolul 3 din anexa III la Statutul funcționarilor prevede în mod explicit că „Comisia de evaluare este compusă dintr-un președinte, desemnat de autoritatea împuternicită să facă numiri, și din membri, desemnați în număr egal de către autoritatea împuternicită să facă numiri și de către comitetul pentru personal”, ceea ce înseamnă că dreptul Uniunii nu impune ca autoritatea împuternicită să facă numiri să fie membră a comisiei de evaluare;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ia act de faptul că, în urma audierii Ombudsmanului în cadrul reuniunii Comisiei pentru control bugetar a Parlamentului din 6 noiembrie 2025, membrii Comisiei pentru control bugetar a Parlamentului au prezentat o serie de întrebări suplimentare cu solicitare de răspuns scris privind selectarea noului Secretar General (OMB/2/2025) la 18 noiembrie 2025, la care Ombudsmanul a răspuns la 21 noiembrie 2025;</w:t>
            </w:r>
            <w:r>
              <w:t xml:space="preserve"> nu este de acord</w:t>
            </w:r>
            <w:r>
              <w:rPr>
                <w:b/>
                <w:i/>
              </w:rPr>
              <w:t>, în acest context,</w:t>
            </w:r>
            <w:r>
              <w:t xml:space="preserve"> cu opinia Ombudsmanului potrivit căreia jurisprudența Meroni (C-9/56 și C-10/56) este aplicabilă, deoarece </w:t>
            </w:r>
            <w:r>
              <w:rPr>
                <w:b/>
                <w:i/>
              </w:rPr>
              <w:t>jurisprudența respectivă</w:t>
            </w:r>
            <w:r>
              <w:t xml:space="preserve"> nu se referă la delegarea de competențe în materie de personal (cum ar fi selectarea unui membru al personalului), ci la delegarea de competențe discreționare către organisme externe/private; </w:t>
            </w:r>
            <w:r>
              <w:rPr>
                <w:b/>
                <w:i/>
              </w:rPr>
              <w:t>subliniază, de asemenea, că Parlamentul nu solicită Ombudsmanului să își delege drepturile și obligațiile în calitate de autoritate împuternicită să facă numiri, punând în același timp sub semnul întrebării prezența sa în comisia de evaluare, deoarece articolul 3 din anexa III la Statutul funcționarilor prevede în mod explicit că „Comisia de evaluare este compusă dintr-un președinte</w:t>
            </w:r>
            <w:r>
              <w:t xml:space="preserve">, </w:t>
            </w:r>
            <w:r>
              <w:rPr>
                <w:b/>
                <w:i/>
              </w:rPr>
              <w:t>desemnat de autoritatea împuternicită să facă numiri, și din membri, desemnați în număr egal de către autoritatea împuternicită să facă numiri și de către comitetul</w:t>
            </w:r>
            <w:r>
              <w:t xml:space="preserve"> pentru </w:t>
            </w:r>
            <w:r>
              <w:rPr>
                <w:b/>
                <w:i/>
              </w:rPr>
              <w:t>personal”, ceea ce înseamnă că dreptul Uniunii nu impune ca autoritatea împuternicită să facă numiri să fie membră a comisiei de evaluare;</w:t>
            </w:r>
            <w:r>
              <w:t xml:space="preserve"> </w:t>
            </w:r>
            <w:r>
              <w:rPr>
                <w:b/>
                <w:i/>
              </w:rPr>
              <w:t>subliniază că, prin luarea unei decizii finale, care este o sarcină a autorității împuternicite să facă numiri, aceasta din urmă confirmă, de asemenea, că întreaga procedură</w:t>
            </w:r>
            <w:r>
              <w:t xml:space="preserve"> de selecție </w:t>
            </w:r>
            <w:r>
              <w:rPr>
                <w:b/>
                <w:i/>
              </w:rPr>
              <w:t>a fost legală</w:t>
            </w:r>
            <w:r>
              <w:t xml:space="preserve">, </w:t>
            </w:r>
            <w:r>
              <w:rPr>
                <w:b/>
                <w:i/>
              </w:rPr>
              <w:t>inclusiv respectarea de către candidat a tuturor criteriilor de admisibilitate și de eligibilitate, în timp ce o astfel de sarcină ar deveni doar superficială dacă autoritatea împuternicită să facă numiri ar fi fost, de asemenea, președintele comisiei de evaluare în etapele anterioare ale procedurii/concursului, ceea ce s-a întâmplat cu procedura actuală; ia act, de asemenea, de refuzul Ombudsmanului de a furniza</w:t>
            </w:r>
            <w:r>
              <w:t xml:space="preserve"> autorității care acordă descărcarea de gestiune toate documentele legate de verificarea eligibilității, evaluarea candidaturilor, interviurile efective ale candidaților preselectați cu comisia de evaluare și interviul bilateral cu Ombudsmanul</w:t>
            </w:r>
            <w:r>
              <w:rPr>
                <w:b/>
                <w:i/>
              </w:rPr>
              <w:t>, invocând printre argumente „limitele cadrului juridic care reglementează confidențialitatea” pentru a evita „riscul de subminare a independenței și integrității procesului de selecție” în cazul în care astfel de documente ar fi divulgate</w:t>
            </w:r>
            <w:r>
              <w:t xml:space="preserve">; reamintește </w:t>
            </w:r>
            <w:r>
              <w:rPr>
                <w:b/>
                <w:i/>
              </w:rPr>
              <w:t>că Parlamentul are</w:t>
            </w:r>
            <w:r>
              <w:t xml:space="preserve"> dreptul </w:t>
            </w:r>
            <w:r>
              <w:rPr>
                <w:b/>
                <w:i/>
              </w:rPr>
              <w:t>de a solicita orice informații</w:t>
            </w:r>
            <w:r>
              <w:t xml:space="preserve"> necesare </w:t>
            </w:r>
            <w:r>
              <w:rPr>
                <w:b/>
                <w:i/>
              </w:rPr>
              <w:t>în temeiul articolului 319 alineatul (2) din Tratatul privind funcționarea Uniunii Europene;</w:t>
            </w:r>
            <w:r>
              <w:t xml:space="preserve"> subliniază că </w:t>
            </w:r>
            <w:r>
              <w:rPr>
                <w:b/>
                <w:i/>
              </w:rPr>
              <w:t>transmiterea informațiilor către Parlament în scopul descărcării de gestiune</w:t>
            </w:r>
            <w:r>
              <w:t xml:space="preserve"> nu echivalează cu publicarea </w:t>
            </w:r>
            <w:r>
              <w:rPr>
                <w:b/>
                <w:i/>
              </w:rPr>
              <w:t>acestor informații;</w:t>
            </w:r>
            <w:r>
              <w:t xml:space="preserve"> </w:t>
            </w:r>
            <w:r>
              <w:rPr>
                <w:b/>
                <w:i/>
              </w:rPr>
              <w:t>subliniază, de asemenea,</w:t>
            </w:r>
            <w:r>
              <w:t xml:space="preserve"> că Parlamentul </w:t>
            </w:r>
            <w:r>
              <w:rPr>
                <w:b/>
                <w:i/>
              </w:rPr>
              <w:t>a instituit un set cuprinzător de norme de securitate, care respectă aceleași principii și standarde ca și alte instituții ale Uniunii, inclusiv autorizarea de securitate, principiul necesității de a cunoaște, spații securizate și săli de lectură, sancțiuni</w:t>
            </w:r>
            <w:r>
              <w:t xml:space="preserve"> pentru </w:t>
            </w:r>
            <w:r>
              <w:rPr>
                <w:b/>
                <w:i/>
              </w:rPr>
              <w:t>încălcări etc.;</w:t>
            </w:r>
            <w:r>
              <w:t xml:space="preserve"> </w:t>
            </w:r>
            <w:r>
              <w:rPr>
                <w:b/>
                <w:i/>
              </w:rPr>
              <w:t>îndeamnă, având în vedere cele de mai sus, Ombudsmanul să furnizeze autorității care acordă descărcarea de gestiune toate documentele privind verificarea eligibilității, evaluarea candidaturilor, interviurile efective ale candidaților de pe lista scurtă cu comisia de evaluare și interviul bilateral cu Ombudsmanul în legătură cu procedura de selecție a Secretarului General al Ombudsmanului (OMB/2/2025)</w:t>
            </w:r>
            <w:r>
              <w:t>;</w:t>
            </w:r>
          </w:p>
        </w:tc>
        <w:tc>
          <w:tcPr>
            <w:tcW w:w="4876" w:type="dxa"/>
            <w:tcBorders>
              <w:top w:val="nil"/>
              <w:left w:val="nil"/>
              <w:bottom w:val="nil"/>
              <w:right w:val="nil"/>
            </w:tcBorders>
          </w:tcPr>
          <w:p>
            <w:pPr>
              <w:pStyle w:val="Normal6a"/>
            </w:pPr>
            <w:r>
              <w:t>23.</w:t>
            </w:r>
            <w:r>
              <w:tab/>
            </w:r>
            <w:r>
              <w:t xml:space="preserve">nu este de acord cu opinia Ombudsmanului potrivit căreia jurisprudența Meroni (C-9/56 și C-10/56) este aplicabilă, deoarece nu se referă la delegarea de competențe în materie de personal (cum ar fi selectarea unui membru al personalului), ci </w:t>
            </w:r>
            <w:r>
              <w:rPr>
                <w:b/>
                <w:i/>
              </w:rPr>
              <w:t>mai degrabă</w:t>
            </w:r>
            <w:r>
              <w:t xml:space="preserve"> la delegarea de competențe discreționare către organisme externe/private; </w:t>
            </w:r>
            <w:r>
              <w:rPr>
                <w:b/>
                <w:i/>
              </w:rPr>
              <w:t>ia act de faptul că Ombudsmanul a susținut că „limitele cadrului juridic care reglementează confidențialitatea”</w:t>
            </w:r>
            <w:r>
              <w:t xml:space="preserve">, pentru </w:t>
            </w:r>
            <w:r>
              <w:rPr>
                <w:b/>
                <w:i/>
              </w:rPr>
              <w:t>a evita „riscul de subminare a independenței și integrității procesului</w:t>
            </w:r>
            <w:r>
              <w:t xml:space="preserve"> de selecție</w:t>
            </w:r>
            <w:r>
              <w:rPr>
                <w:b/>
                <w:i/>
              </w:rPr>
              <w:t>”</w:t>
            </w:r>
            <w:r>
              <w:t xml:space="preserve">, </w:t>
            </w:r>
            <w:r>
              <w:rPr>
                <w:b/>
                <w:i/>
              </w:rPr>
              <w:t>o împiedică să furnizeze</w:t>
            </w:r>
            <w:r>
              <w:t xml:space="preserve"> autorității care acordă descărcarea de gestiune toate documentele legate de verificarea eligibilității, evaluarea candidaturilor, interviurile efective ale candidaților preselectați cu comisia de evaluare și interviul bilateral cu Ombudsmanul; reamintește dreptul </w:t>
            </w:r>
            <w:r>
              <w:rPr>
                <w:b/>
                <w:i/>
              </w:rPr>
              <w:t>Parlamentului de a obține informațiile</w:t>
            </w:r>
            <w:r>
              <w:t xml:space="preserve"> necesare </w:t>
            </w:r>
            <w:r>
              <w:rPr>
                <w:b/>
                <w:i/>
              </w:rPr>
              <w:t>pentru descărcarea de gestiune,</w:t>
            </w:r>
            <w:r>
              <w:t xml:space="preserve"> subliniază că </w:t>
            </w:r>
            <w:r>
              <w:rPr>
                <w:b/>
                <w:i/>
              </w:rPr>
              <w:t>furnizarea acestor informații</w:t>
            </w:r>
            <w:r>
              <w:t xml:space="preserve"> nu echivalează cu publicarea </w:t>
            </w:r>
            <w:r>
              <w:rPr>
                <w:b/>
                <w:i/>
              </w:rPr>
              <w:t>lor și</w:t>
            </w:r>
            <w:r>
              <w:t xml:space="preserve"> că Parlamentul </w:t>
            </w:r>
            <w:r>
              <w:rPr>
                <w:b/>
                <w:i/>
              </w:rPr>
              <w:t>dispune de garanții adecvate</w:t>
            </w:r>
            <w:r>
              <w:t xml:space="preserve"> pentru </w:t>
            </w:r>
            <w:r>
              <w:rPr>
                <w:b/>
                <w:i/>
              </w:rPr>
              <w:t>a gestiona materialele sensibile în condiții de siguranță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ia act de faptul că, în urma audierii Ombudsmanului în cadrul reuniunii Comisiei pentru control bugetar a Parlamentului din 6 noiembrie 2025, membrii Comisiei pentru control bugetar a Parlamentului au prezentat o serie de întrebări suplimentare cu solicitare de răspuns scris privind selectarea noului Secretar General (OMB/2/2025) la 18 noiembrie 2025, la care Ombudsmanul a răspuns la 21 noiembrie 2025; nu este de acord, în acest context, cu opinia Ombudsmanului potrivit căreia jurisprudența Meroni (C-9/56 și C-10/56) este aplicabilă, deoarece jurisprudența respectivă nu se referă la delegarea de competențe în materie de personal (cum ar fi selectarea unui membru al personalului), ci la delegarea de competențe discreționare către organisme externe/private; subliniază, de asemenea, că Parlamentul nu solicită Ombudsmanului să își delege drepturile și obligațiile în calitate de autoritate împuternicită să facă numiri, punând în același timp sub semnul întrebării prezența sa în comisia de evaluare, deoarece articolul 3 din anexa III la Statutul funcționarilor prevede în mod explicit că „Comisia de evaluare este compusă dintr-un președinte, desemnat de autoritatea împuternicită să facă numiri, și din membri, desemnați în număr egal de către autoritatea împuternicită să facă numiri și de către comitetul pentru personal”, ceea ce înseamnă că dreptul Uniunii nu impune ca autoritatea împuternicită să facă numiri să fie membră a comisiei de evaluare; </w:t>
            </w:r>
            <w:r>
              <w:rPr>
                <w:b/>
                <w:i/>
              </w:rPr>
              <w:t>subliniază că, prin luarea unei decizii finale, care este o sarcină a autorității împuternicite să facă numiri, aceasta din urmă confirmă, de asemenea, că întreaga procedură de selecție a fost legală, inclusiv respectarea de către candidat a tuturor criteriilor de admisibilitate și de eligibilitate, în timp ce o astfel de sarcină ar deveni doar superficială dacă autoritatea împuternicită să facă numiri ar fi fost, de asemenea, președintele comisiei de evaluare în etapele anterioare ale procedurii/concursului, ceea ce s-a întâmplat cu procedura actuală;</w:t>
            </w:r>
            <w:r>
              <w:t xml:space="preserve"> ia act, de asemenea, de refuzul Ombudsmanului de a furniza autorității care acordă descărcarea de gestiune toate documentele legate de verificarea eligibilității, evaluarea candidaturilor, interviurile efective ale candidaților preselectați cu comisia de evaluare și interviul bilateral cu Ombudsmanul, invocând printre argumente „limitele cadrului juridic care reglementează confidențialitatea” pentru a evita „riscul de subminare a independenței și integrității procesului de selecție” în cazul în care astfel de documente ar fi divulgate; reamintește că Parlamentul are dreptul de a solicita orice informații necesare în temeiul articolului 319 alineatul (2) din Tratatul privind funcționarea Uniunii Europene; subliniază că transmiterea informațiilor către Parlament în scopul descărcării de gestiune nu echivalează cu publicarea acestor informații; subliniază, de asemenea, că Parlamentul a instituit un set cuprinzător de norme de securitate, care respectă aceleași principii și standarde ca și alte instituții ale Uniunii, inclusiv autorizarea de securitate, principiul necesității de a cunoaște, spații securizate și săli de lectură, sancțiuni pentru încălcări etc.; îndeamnă, având în vedere cele de mai sus, Ombudsmanul să furnizeze autorității care acordă descărcarea de gestiune toate documentele privind verificarea eligibilității, evaluarea candidaturilor, interviurile efective ale candidaților de pe lista scurtă cu comisia de evaluare și interviul bilateral cu Ombudsmanul în legătură cu procedura de selecție a Secretarului General al Ombudsmanului (OMB/2/2025);</w:t>
            </w:r>
          </w:p>
        </w:tc>
        <w:tc>
          <w:tcPr>
            <w:tcW w:w="4876" w:type="dxa"/>
            <w:tcBorders>
              <w:top w:val="nil"/>
              <w:left w:val="nil"/>
              <w:bottom w:val="nil"/>
              <w:right w:val="nil"/>
            </w:tcBorders>
          </w:tcPr>
          <w:p>
            <w:pPr>
              <w:pStyle w:val="Normal6a"/>
            </w:pPr>
            <w:r>
              <w:t>23.</w:t>
            </w:r>
            <w:r>
              <w:tab/>
            </w:r>
            <w:r>
              <w:t xml:space="preserve">ia act de faptul că, în urma audierii Ombudsmanului în cadrul reuniunii Comisiei pentru control bugetar a Parlamentului din 6 noiembrie 2025, membrii Comisiei pentru control bugetar a Parlamentului au prezentat o serie de întrebări suplimentare cu solicitare de răspuns scris privind selectarea noului Secretar General (OMB/2/2025) la 18 noiembrie 2025, la care Ombudsmanul a răspuns la 21 noiembrie 2025; nu este de acord, în acest context, cu opinia Ombudsmanului potrivit căreia jurisprudența Meroni (C-9/56 și C-10/56) este aplicabilă, deoarece jurisprudența respectivă nu se referă la delegarea de competențe în materie de personal (cum ar fi selectarea unui membru al personalului), ci la delegarea de competențe discreționare către organisme externe/private; subliniază, de asemenea, că Parlamentul nu solicită Ombudsmanului să își delege drepturile și obligațiile în calitate de autoritate împuternicită să facă numiri, punând în același timp sub semnul întrebării prezența sa în comisia de evaluare, deoarece articolul 3 din anexa III la Statutul funcționarilor prevede în mod explicit că „Comisia de evaluare este compusă dintr-un președinte, desemnat de autoritatea împuternicită să facă numiri, și din membri, desemnați în număr egal de către autoritatea împuternicită să facă numiri și de către comitetul pentru personal”, ceea ce înseamnă că dreptul Uniunii nu impune ca autoritatea împuternicită să facă numiri să fie membră a comisiei de evaluare; ia act, de asemenea, de refuzul Ombudsmanului de a furniza autorității care acordă descărcarea de gestiune toate documentele legate de verificarea eligibilității, evaluarea candidaturilor, interviurile efective ale candidaților preselectați cu comisia de evaluare și interviul bilateral cu Ombudsmanul, invocând printre argumente „limitele cadrului juridic care reglementează confidențialitatea” pentru a evita „riscul de subminare a independenței și integrității procesului de selecție” în cazul în care astfel de documente ar fi divulgate; reamintește că Parlamentul are dreptul de a solicita orice informații necesare în temeiul articolului 319 alineatul (2) din Tratatul privind funcționarea Uniunii Europene; subliniază că transmiterea informațiilor către Parlament în scopul descărcării de gestiune nu echivalează cu publicarea acestor informații; subliniază, de asemenea, că Parlamentul a instituit un set cuprinzător de norme de securitate, care respectă aceleași principii și standarde ca și alte instituții ale Uniunii, inclusiv autorizarea de securitate, principiul necesității de a cunoaște, spații securizate și săli de lectură, sancțiuni pentru încălcări etc.; îndeamnă, având în vedere cele de mai sus, Ombudsmanul să </w:t>
            </w:r>
            <w:r>
              <w:rPr>
                <w:b/>
                <w:i/>
              </w:rPr>
              <w:t>reevalueze solicitarea Parlamentului și să</w:t>
            </w:r>
            <w:r>
              <w:t xml:space="preserve"> furnizeze autorității care acordă descărcarea de gestiune toate documentele privind verificarea eligibilității, evaluarea candidaturilor, interviurile efective ale candidaților de pe lista scurtă cu comisia de evaluare și interviul bilateral cu Ombudsmanul în legătură cu procedura de selecție a Secretarului General al Ombudsmanului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ia act de faptul că, în urma audierii Ombudsmanului în cadrul reuniunii Comisiei pentru control bugetar a Parlamentului din 6 noiembrie 2025, membrii Comisiei pentru control bugetar a Parlamentului au prezentat o serie de întrebări suplimentare cu solicitare de răspuns scris privind selectarea noului Secretar General (OMB/2/2025) la 18 noiembrie 2025, la care Ombudsmanul a răspuns la 21 noiembrie 2025; nu este de acord, în acest context, cu opinia Ombudsmanului potrivit căreia jurisprudența Meroni (C-9/56 și C-10/56) este aplicabilă, deoarece jurisprudența respectivă nu se referă la delegarea de competențe în materie de personal (cum ar fi selectarea unui membru al personalului), ci la delegarea de competențe discreționare către organisme externe/private; subliniază, de asemenea, că Parlamentul nu solicită Ombudsmanului să își delege drepturile și obligațiile în calitate de autoritate împuternicită să facă numiri, punând în același timp sub semnul întrebării prezența sa în comisia de evaluare, deoarece articolul 3 din anexa III la Statutul funcționarilor prevede în mod explicit că „Comisia de evaluare este compusă dintr-un președinte, desemnat de autoritatea împuternicită să facă numiri, și din membri, desemnați în număr egal de către autoritatea împuternicită să facă numiri și de către comitetul pentru personal”, ceea ce înseamnă că dreptul Uniunii nu impune ca autoritatea împuternicită să facă numiri să fie membră a comisiei de evaluare; subliniază că, prin luarea unei decizii finale, care este o sarcină a autorității împuternicite să facă numiri, aceasta din urmă confirmă, de asemenea, că întreaga procedură de selecție a fost legală, inclusiv respectarea de către candidat a tuturor criteriilor de admisibilitate și de eligibilitate, </w:t>
            </w:r>
            <w:r>
              <w:rPr>
                <w:b/>
                <w:i/>
              </w:rPr>
              <w:t>în timp ce o astfel de sarcină ar deveni doar superficială dacă</w:t>
            </w:r>
            <w:r>
              <w:t xml:space="preserve"> autoritatea împuternicită să facă numiri </w:t>
            </w:r>
            <w:r>
              <w:rPr>
                <w:b/>
                <w:i/>
              </w:rPr>
              <w:t>ar fi fost</w:t>
            </w:r>
            <w:r>
              <w:t xml:space="preserve">, de asemenea, </w:t>
            </w:r>
            <w:r>
              <w:rPr>
                <w:b/>
                <w:i/>
              </w:rPr>
              <w:t>președintele comisiei</w:t>
            </w:r>
            <w:r>
              <w:t xml:space="preserve"> de evaluare în etapele anterioare ale </w:t>
            </w:r>
            <w:r>
              <w:rPr>
                <w:b/>
                <w:i/>
              </w:rPr>
              <w:t>procedurii/concursului, ceea ce</w:t>
            </w:r>
            <w:r>
              <w:t xml:space="preserve"> s-a întâmplat </w:t>
            </w:r>
            <w:r>
              <w:rPr>
                <w:b/>
                <w:i/>
              </w:rPr>
              <w:t>cu procedura actuală</w:t>
            </w:r>
            <w:r>
              <w:t>; ia act, de asemenea, de refuzul Ombudsmanului de a furniza autorității care acordă descărcarea de gestiune toate documentele legate de verificarea eligibilității, evaluarea candidaturilor, interviurile efective ale candidaților preselectați cu comisia de evaluare și interviul bilateral cu Ombudsmanul, invocând printre argumente „limitele cadrului juridic care reglementează confidențialitatea” pentru a evita „riscul de subminare a independenței și integrității procesului de selecție” în cazul în care astfel de documente ar fi divulgate; reamintește că Parlamentul are dreptul de a solicita orice informații necesare în temeiul articolului 319 alineatul (2) din Tratatul privind funcționarea Uniunii Europene; subliniază că transmiterea informațiilor către Parlament în scopul descărcării de gestiune nu echivalează cu publicarea acestor informații; subliniază, de asemenea, că Parlamentul a instituit un set cuprinzător de norme de securitate, care respectă aceleași principii și standarde ca și alte instituții ale Uniunii, inclusiv autorizarea de securitate, principiul necesității de a cunoaște, spații securizate și săli de lectură, sancțiuni pentru încălcări etc.; îndeamnă, având în vedere cele de mai sus, Ombudsmanul să furnizeze autorității care acordă descărcarea de gestiune toate documentele privind verificarea eligibilității, evaluarea candidaturilor, interviurile efective ale candidaților de pe lista scurtă cu comisia de evaluare și interviul bilateral cu Ombudsmanul în legătură cu procedura de selecție a Secretarului General al Ombudsmanului (OMB/2/2025);</w:t>
            </w:r>
          </w:p>
        </w:tc>
        <w:tc>
          <w:tcPr>
            <w:tcW w:w="4876" w:type="dxa"/>
            <w:tcBorders>
              <w:top w:val="nil"/>
              <w:left w:val="nil"/>
              <w:bottom w:val="nil"/>
              <w:right w:val="nil"/>
            </w:tcBorders>
          </w:tcPr>
          <w:p>
            <w:pPr>
              <w:pStyle w:val="Normal6a"/>
            </w:pPr>
            <w:r>
              <w:t>23.</w:t>
            </w:r>
            <w:r>
              <w:tab/>
            </w:r>
            <w:r>
              <w:t>ia act de faptul că, în urma audierii Ombudsmanului în cadrul reuniunii Comisiei pentru control bugetar a Parlamentului din 6 noiembrie 2025, membrii Comisiei pentru control bugetar a Parlamentului au prezentat o serie de întrebări suplimentare cu solicitare de răspuns scris privind selectarea noului Secretar General (OMB/2/2025) la 18 noiembrie 2025, la care Ombudsmanul a răspuns la 21 noiembrie 2025; nu este de acord, în acest context, cu opinia Ombudsmanului potrivit căreia jurisprudența Meroni (C-9/56 și C-10/56) este aplicabilă, deoarece jurisprudența respectivă nu se referă la delegarea de competențe în materie de personal (cum ar fi selectarea unui membru al personalului), ci la delegarea de competențe discreționare către organisme externe/private; subliniază, de asemenea, că Parlamentul nu solicită Ombudsmanului să își delege drepturile și obligațiile în calitate de autoritate împuternicită să facă numiri, punând în același timp sub semnul întrebării prezența sa în comisia de evaluare, deoarece articolul 3 din anexa III la Statutul funcționarilor prevede în mod explicit că „Comisia de evaluare este compusă dintr-un președinte, desemnat de autoritatea împuternicită să facă numiri, și din membri, desemnați în număr egal de către autoritatea împuternicită să facă numiri și de către comitetul pentru personal”, ceea ce înseamnă că dreptul Uniunii nu impune ca autoritatea împuternicită să facă numiri să fie membră a comisiei de evaluare; subliniază că, prin luarea unei decizii finale, care este o sarcină a autorității împuternicite să facă numiri, aceasta din urmă confirmă, de asemenea, că întreaga procedură de selecție a fost legală, inclusiv respectarea de către candidat a tuturor criteriilor de admisibilitate și de eligibilitate</w:t>
            </w:r>
            <w:r>
              <w:rPr>
                <w:b/>
                <w:i/>
              </w:rPr>
              <w:t>;</w:t>
            </w:r>
            <w:r>
              <w:t xml:space="preserve"> </w:t>
            </w:r>
            <w:r>
              <w:rPr>
                <w:b/>
                <w:i/>
              </w:rPr>
              <w:t>constată</w:t>
            </w:r>
            <w:r>
              <w:t xml:space="preserve">, </w:t>
            </w:r>
            <w:r>
              <w:rPr>
                <w:b/>
                <w:i/>
              </w:rPr>
              <w:t>cu toate acestea, că acest rol poate părea mai puțin distinct în cazul în care</w:t>
            </w:r>
            <w:r>
              <w:t xml:space="preserve"> autoritatea împuternicită să facă numiri </w:t>
            </w:r>
            <w:r>
              <w:rPr>
                <w:b/>
                <w:i/>
              </w:rPr>
              <w:t>a prezidat</w:t>
            </w:r>
            <w:r>
              <w:t xml:space="preserve">, de asemenea, </w:t>
            </w:r>
            <w:r>
              <w:rPr>
                <w:b/>
                <w:i/>
              </w:rPr>
              <w:t>comisia</w:t>
            </w:r>
            <w:r>
              <w:t xml:space="preserve"> de evaluare în etapele anterioare ale </w:t>
            </w:r>
            <w:r>
              <w:rPr>
                <w:b/>
                <w:i/>
              </w:rPr>
              <w:t>procedurii, așa cum</w:t>
            </w:r>
            <w:r>
              <w:t xml:space="preserve"> s-a întâmplat </w:t>
            </w:r>
            <w:r>
              <w:rPr>
                <w:b/>
                <w:i/>
              </w:rPr>
              <w:t>în procesul actual</w:t>
            </w:r>
            <w:r>
              <w:t>; ia act, de asemenea, de refuzul Ombudsmanului de a furniza autorității care acordă descărcarea de gestiune toate documentele legate de verificarea eligibilității, evaluarea candidaturilor, interviurile efective ale candidaților preselectați cu comisia de evaluare și interviul bilateral cu Ombudsmanul, invocând printre argumente „limitele cadrului juridic care reglementează confidențialitatea” pentru a evita „riscul de subminare a independenței și integrității procesului de selecție” în cazul în care astfel de documente ar fi divulgate; reamintește că Parlamentul are dreptul de a solicita orice informații necesare în temeiul articolului 319 alineatul (2) din Tratatul privind funcționarea Uniunii Europene; subliniază că transmiterea informațiilor către Parlament în scopul descărcării de gestiune nu echivalează cu publicarea acestor informații; subliniază, de asemenea, că Parlamentul a instituit un set cuprinzător de norme de securitate, care respectă aceleași principii și standarde ca și alte instituții ale Uniunii, inclusiv autorizarea de securitate, principiul necesității de a cunoaște, spații securizate și săli de lectură, sancțiuni pentru încălcări etc.; îndeamnă, având în vedere cele de mai sus, Ombudsmanul să furnizeze autorității care acordă descărcarea de gestiune toate documentele privind verificarea eligibilității, evaluarea candidaturilor, interviurile efective ale candidaților de pe lista scurtă cu comisia de evaluare și interviul bilateral cu Ombudsmanul în legătură cu procedura de selecție a Secretarului General al Ombudsmanului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subliniază că Ombudsmanul are rolul de a promova buna administrare, inclusiv prin asigurarea faptului că cadrul etic al tuturor instituțiilor, organelor și agențiilor Uniunii este solid și capabil să asigure transparența și responsabilitatea; este ferm convins că </w:t>
            </w:r>
            <w:r>
              <w:rPr>
                <w:b/>
                <w:i/>
              </w:rPr>
              <w:t>orice percepție de favoritism sau de conflicte de interese</w:t>
            </w:r>
            <w:r>
              <w:t xml:space="preserve"> trebuie </w:t>
            </w:r>
            <w:r>
              <w:rPr>
                <w:b/>
                <w:i/>
              </w:rPr>
              <w:t>evitată de toate instituțiile, organele și agențiile Uniunii, în special de Ombudsman, deoarece chiar și aparența unor astfel de probleme le-ar submina integritatea și misiunea și ar putea afecta</w:t>
            </w:r>
            <w:r>
              <w:t xml:space="preserve"> în mod </w:t>
            </w:r>
            <w:r>
              <w:rPr>
                <w:b/>
                <w:i/>
              </w:rPr>
              <w:t>negativ</w:t>
            </w:r>
            <w:r>
              <w:t xml:space="preserve"> încrederea cetățenilor Uniunii;</w:t>
            </w:r>
          </w:p>
        </w:tc>
        <w:tc>
          <w:tcPr>
            <w:tcW w:w="4876" w:type="dxa"/>
            <w:tcBorders>
              <w:top w:val="nil"/>
              <w:left w:val="nil"/>
              <w:bottom w:val="nil"/>
              <w:right w:val="nil"/>
            </w:tcBorders>
          </w:tcPr>
          <w:p>
            <w:pPr>
              <w:pStyle w:val="Normal6a"/>
            </w:pPr>
            <w:r>
              <w:t>24.</w:t>
            </w:r>
            <w:r>
              <w:tab/>
            </w:r>
            <w:r>
              <w:t xml:space="preserve">subliniază că Ombudsmanul are rolul de a promova buna administrare, inclusiv prin asigurarea faptului că cadrul etic al tuturor instituțiilor, organelor și agențiilor Uniunii este solid și capabil să asigure transparența și responsabilitatea; este ferm convins că </w:t>
            </w:r>
            <w:r>
              <w:rPr>
                <w:b/>
                <w:i/>
              </w:rPr>
              <w:t>Ombudsmanul</w:t>
            </w:r>
            <w:r>
              <w:t xml:space="preserve"> trebuie </w:t>
            </w:r>
            <w:r>
              <w:rPr>
                <w:b/>
                <w:i/>
              </w:rPr>
              <w:t>să îndeplinească cele mai înalte standarde de independență, imparțialitate și integritate pentru a-și îndeplini mandatul</w:t>
            </w:r>
            <w:r>
              <w:t xml:space="preserve"> în mod </w:t>
            </w:r>
            <w:r>
              <w:rPr>
                <w:b/>
                <w:i/>
              </w:rPr>
              <w:t>credibil și pentru a asigura</w:t>
            </w:r>
            <w:r>
              <w:t xml:space="preserve"> încrederea cetățenilor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subliniază că Ombudsmanul are rolul de a promova buna administrare, inclusiv prin asigurarea faptului că cadrul etic al tuturor instituțiilor, organelor și agențiilor Uniunii este solid și capabil să asigure transparența și responsabilitatea; este ferm convins că orice percepție de favoritism sau de conflicte de interese trebuie evitată de toate instituțiile, organele și agențiile Uniunii, în special de Ombudsman, deoarece chiar și aparența unor astfel de probleme le-ar submina integritatea și misiunea și ar putea afecta în mod negativ încrederea cetățenilor Uniunii;</w:t>
            </w:r>
          </w:p>
        </w:tc>
        <w:tc>
          <w:tcPr>
            <w:tcW w:w="4876" w:type="dxa"/>
            <w:tcBorders>
              <w:top w:val="nil"/>
              <w:left w:val="nil"/>
              <w:bottom w:val="nil"/>
              <w:right w:val="nil"/>
            </w:tcBorders>
          </w:tcPr>
          <w:p>
            <w:pPr>
              <w:pStyle w:val="Normal6a"/>
            </w:pPr>
            <w:r>
              <w:t>24.</w:t>
            </w:r>
            <w:r>
              <w:tab/>
            </w:r>
            <w:r>
              <w:t xml:space="preserve">subliniază că Ombudsmanul are rolul de a promova buna administrare, inclusiv prin asigurarea faptului că cadrul etic al tuturor instituțiilor, organelor și agențiilor Uniunii este solid și capabil să asigure transparența și responsabilitatea; este ferm convins că orice percepție de favoritism sau de conflicte de interese trebuie evitată de toate instituțiile, organele și agențiile Uniunii, în special de Ombudsman, deoarece chiar și aparența unor astfel de probleme le-ar submina integritatea și misiunea și ar putea afecta în mod negativ încrederea cetățenilor Uniunii; </w:t>
            </w:r>
            <w:r>
              <w:rPr>
                <w:b/>
                <w:i/>
              </w:rPr>
              <w:t>reamintește că, în calitate de instituție a Uniunii însărcinată cu promovarea standardelor etice și a bunei administrări în întreaga administrație a UE, se așteaptă din partea Ombudsmanului să aplice standarde deosebit de stricte propriei sale guvernanțe și numirilor în funcții de conducere, pentru a stabili un criteriu de referință pentru alte instituții;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subliniază că Ombudsmanul are rolul de a promova buna administrare, inclusiv prin asigurarea faptului că cadrul etic al tuturor instituțiilor, organelor și agențiilor Uniunii este solid și capabil să asigure transparența și responsabilitatea; este ferm convins că orice percepție de favoritism sau de conflicte de interese trebuie evitată de toate instituțiile, organele și agențiile Uniunii, în special de Ombudsman, deoarece chiar și aparența unor astfel de probleme le-ar submina </w:t>
            </w:r>
            <w:r>
              <w:rPr>
                <w:b/>
                <w:i/>
              </w:rPr>
              <w:t>integritatea și misiunea</w:t>
            </w:r>
            <w:r>
              <w:t xml:space="preserve"> și ar putea afecta în mod negativ încrederea cetățenilor Uniunii;</w:t>
            </w:r>
          </w:p>
        </w:tc>
        <w:tc>
          <w:tcPr>
            <w:tcW w:w="4876" w:type="dxa"/>
            <w:tcBorders>
              <w:top w:val="nil"/>
              <w:left w:val="nil"/>
              <w:bottom w:val="nil"/>
              <w:right w:val="nil"/>
            </w:tcBorders>
          </w:tcPr>
          <w:p>
            <w:pPr>
              <w:pStyle w:val="Normal6a"/>
            </w:pPr>
            <w:r>
              <w:t>24.</w:t>
            </w:r>
            <w:r>
              <w:tab/>
            </w:r>
            <w:r>
              <w:t xml:space="preserve">subliniază că Ombudsmanul are rolul de a promova buna administrare, inclusiv prin asigurarea faptului că cadrul etic al tuturor instituțiilor, organelor și agențiilor Uniunii este solid și capabil să asigure transparența și responsabilitatea; este ferm convins că orice percepție de favoritism sau de conflicte de interese trebuie evitată de toate instituțiile, organele și agențiile Uniunii, în special de Ombudsman, deoarece chiar și aparența unor astfel de probleme le-ar submina </w:t>
            </w:r>
            <w:r>
              <w:rPr>
                <w:b/>
                <w:i/>
              </w:rPr>
              <w:t>credibilitatea</w:t>
            </w:r>
            <w:r>
              <w:t xml:space="preserve"> și ar putea afecta în mod negativ încrederea cetățenilor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subliniază că Ombudsmanul are rolul de a promova buna administrare, inclusiv prin asigurarea faptului că cadrul etic al tuturor instituțiilor, organelor și agențiilor Uniunii este solid și capabil să asigure transparența și responsabilitatea; </w:t>
            </w:r>
            <w:r>
              <w:rPr>
                <w:b/>
                <w:i/>
              </w:rPr>
              <w:t>este ferm convins că orice percepție de favoritism sau de conflicte de interese trebuie evitată de toate</w:t>
            </w:r>
            <w:r>
              <w:t xml:space="preserve"> instituțiile, organele și agențiile Uniunii, în special </w:t>
            </w:r>
            <w:r>
              <w:rPr>
                <w:b/>
                <w:i/>
              </w:rPr>
              <w:t>de Ombudsman</w:t>
            </w:r>
            <w:r>
              <w:t xml:space="preserve">, deoarece </w:t>
            </w:r>
            <w:r>
              <w:rPr>
                <w:b/>
                <w:i/>
              </w:rPr>
              <w:t>chiar și aparența unor</w:t>
            </w:r>
            <w:r>
              <w:t xml:space="preserve"> astfel de </w:t>
            </w:r>
            <w:r>
              <w:rPr>
                <w:b/>
                <w:i/>
              </w:rPr>
              <w:t>probleme le-ar submina</w:t>
            </w:r>
            <w:r>
              <w:t xml:space="preserve"> integritatea și misiunea și </w:t>
            </w:r>
            <w:r>
              <w:rPr>
                <w:b/>
                <w:i/>
              </w:rPr>
              <w:t>ar putea afecta în mod negativ</w:t>
            </w:r>
            <w:r>
              <w:t xml:space="preserve"> încrederea cetățenilor Uniunii;</w:t>
            </w:r>
          </w:p>
        </w:tc>
        <w:tc>
          <w:tcPr>
            <w:tcW w:w="4876" w:type="dxa"/>
            <w:tcBorders>
              <w:top w:val="nil"/>
              <w:left w:val="nil"/>
              <w:bottom w:val="nil"/>
              <w:right w:val="nil"/>
            </w:tcBorders>
          </w:tcPr>
          <w:p>
            <w:pPr>
              <w:pStyle w:val="Normal6a"/>
            </w:pPr>
            <w:r>
              <w:t>24.</w:t>
            </w:r>
            <w:r>
              <w:tab/>
            </w:r>
            <w:r>
              <w:t xml:space="preserve">subliniază că Ombudsmanul are rolul de a promova buna administrare, inclusiv prin asigurarea faptului că cadrul etic al tuturor instituțiilor, organelor și agențiilor Uniunii este solid și capabil să asigure transparența și responsabilitatea; </w:t>
            </w:r>
            <w:r>
              <w:rPr>
                <w:b/>
                <w:i/>
              </w:rPr>
              <w:t>subliniază că este important ca</w:t>
            </w:r>
            <w:r>
              <w:t xml:space="preserve"> instituțiile, organele și agențiile Uniunii, </w:t>
            </w:r>
            <w:r>
              <w:rPr>
                <w:b/>
                <w:i/>
              </w:rPr>
              <w:t>și</w:t>
            </w:r>
            <w:r>
              <w:t xml:space="preserve"> în special </w:t>
            </w:r>
            <w:r>
              <w:rPr>
                <w:b/>
                <w:i/>
              </w:rPr>
              <w:t>Ombudsmanul, să fie conștiente de percepțiile privind favoritismul sau conflictele de interese</w:t>
            </w:r>
            <w:r>
              <w:t xml:space="preserve">, deoarece astfel de </w:t>
            </w:r>
            <w:r>
              <w:rPr>
                <w:b/>
                <w:i/>
              </w:rPr>
              <w:t>percepții ar putea risca să le submineze</w:t>
            </w:r>
            <w:r>
              <w:t xml:space="preserve"> integritatea și misiunea și </w:t>
            </w:r>
            <w:r>
              <w:rPr>
                <w:b/>
                <w:i/>
              </w:rPr>
              <w:t>să afecteze</w:t>
            </w:r>
            <w:r>
              <w:t xml:space="preserve"> încrederea cetățenilor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încurajează Ombudsmanul să ia în considerare efectuarea unui proces intern de reflecție ex post cu privire la procedurile de numire foarte controlate, cu scopul de a identifica lecțiile învățate și posibilele îmbunătățiri pentru procesele viitoare, și să informeze autoritatea care acordă descărcarea de gestiune cu privire la rezultate;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ia act de faptul că, deși este o instituție mică, Ombudsmanul a reușit să aibă 19 naționalități reprezentate în personalul său în 2024, la fel ca în 2023; observă, cu toate acestea, o suprareprezentare a unor naționalități (una dintre acestea reprezentând peste 30 % din personalul Ombudsmanului); </w:t>
            </w:r>
            <w:r>
              <w:rPr>
                <w:b/>
                <w:i/>
              </w:rPr>
              <w:t>îndeamnă</w:t>
            </w:r>
            <w:r>
              <w:t xml:space="preserve"> Ombudsmanul să </w:t>
            </w:r>
            <w:r>
              <w:rPr>
                <w:b/>
                <w:i/>
              </w:rPr>
              <w:t>își intensifice eforturile</w:t>
            </w:r>
            <w:r>
              <w:t xml:space="preserve"> pentru a </w:t>
            </w:r>
            <w:r>
              <w:rPr>
                <w:b/>
                <w:i/>
              </w:rPr>
              <w:t>obține o distribuție geografică mai echilibrată a resortisanților din cât mai multe state membre posibil în rândul personalului său</w:t>
            </w:r>
            <w:r>
              <w:t>;</w:t>
            </w:r>
          </w:p>
        </w:tc>
        <w:tc>
          <w:tcPr>
            <w:tcW w:w="4876" w:type="dxa"/>
            <w:tcBorders>
              <w:top w:val="nil"/>
              <w:left w:val="nil"/>
              <w:bottom w:val="nil"/>
              <w:right w:val="nil"/>
            </w:tcBorders>
          </w:tcPr>
          <w:p>
            <w:pPr>
              <w:pStyle w:val="Normal6a"/>
            </w:pPr>
            <w:r>
              <w:t>25.</w:t>
            </w:r>
            <w:r>
              <w:tab/>
            </w:r>
            <w:r>
              <w:t xml:space="preserve">ia act de faptul că, deși este o instituție mică, Ombudsmanul a reușit să aibă 19 naționalități reprezentate în personalul său în 2024, la fel ca în 2023; observă, cu toate acestea, o suprareprezentare a unor naționalități (una dintre acestea reprezentând peste 30 % din personalul Ombudsmanului); </w:t>
            </w:r>
            <w:r>
              <w:rPr>
                <w:b/>
                <w:i/>
              </w:rPr>
              <w:t>subliniază că, într-o instituție mică, o concentrare atât de mare a unei singure naționalități poate avea un impact asupra percepției interinstituționale a diversității ei;</w:t>
            </w:r>
            <w:r>
              <w:t xml:space="preserve"> </w:t>
            </w:r>
            <w:r>
              <w:rPr>
                <w:b/>
                <w:i/>
              </w:rPr>
              <w:t>invită</w:t>
            </w:r>
            <w:r>
              <w:t xml:space="preserve"> Ombudsmanul să </w:t>
            </w:r>
            <w:r>
              <w:rPr>
                <w:b/>
                <w:i/>
              </w:rPr>
              <w:t>adopte măsuri specifice de recrutare și de informare care să vizeze în mod specific statele membre subreprezentate,</w:t>
            </w:r>
            <w:r>
              <w:t xml:space="preserve"> pentru a </w:t>
            </w:r>
            <w:r>
              <w:rPr>
                <w:b/>
                <w:i/>
              </w:rPr>
              <w:t>se asigura că instituția rămâne o reflectare a diversității Uniunii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constată că, în ceea ce privește echilibrul de gen, Ombudsmanul angajează mai multe femei decât bărbați în toate categoriile de personal, în special la nivel de conducere, unde toate posturile sunt ocupate de femei; constată o reprezentare globală a personalului de 68 % femei și 32 % bărbați, comparativ cu 67 % femei și 33 % bărbați în 2023; invită Ombudsmanul să depună eforturi pentru o reprezentare de gen mai echilibrată a personalului său;</w:t>
            </w:r>
          </w:p>
        </w:tc>
        <w:tc>
          <w:tcPr>
            <w:tcW w:w="4876" w:type="dxa"/>
            <w:tcBorders>
              <w:top w:val="nil"/>
              <w:left w:val="nil"/>
              <w:bottom w:val="nil"/>
              <w:right w:val="nil"/>
            </w:tcBorders>
          </w:tcPr>
          <w:p>
            <w:pPr>
              <w:pStyle w:val="Normal6a"/>
            </w:pPr>
            <w:r>
              <w:t>26.</w:t>
            </w:r>
            <w:r>
              <w:tab/>
            </w:r>
            <w:r>
              <w:t xml:space="preserve">constată că, în ceea ce privește echilibrul de gen, Ombudsmanul angajează mai multe femei decât bărbați în toate categoriile de personal, în special la nivel de conducere, unde toate posturile sunt ocupate de femei; constată o reprezentare globală a personalului de 68 % femei și 32 % bărbați, comparativ cu 67 % femei și 33 % bărbați în 2023; invită Ombudsmanul să depună eforturi pentru o reprezentare de gen mai echilibrată a personalului său; </w:t>
            </w:r>
            <w:r>
              <w:rPr>
                <w:b/>
                <w:i/>
              </w:rPr>
              <w:t>îndeamnă Ombudsmanul să elaboreze o strategie pentru a aborda faptul că, în prezent, bărbații sunt complet absenți din funcțiile de conducere;</w:t>
            </w:r>
            <w:r>
              <w:t xml:space="preserve"> </w:t>
            </w:r>
            <w:r>
              <w:rPr>
                <w:b/>
                <w:i/>
              </w:rPr>
              <w:t>consideră că este esențial să se asigure că instituția reflectă mai bine componența diversă a cetățenilor Uniunii pentru a menține un mediu de lucru echilibrat și favorabil incluziunii la toate nivelurile ierarhice;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ia act de faptul că în 2024 Ombudsmanul a primit 18 stagiari remunerați (același număr ca în 2023), dintre care unul a fost selectat în urma lăudabilului program de stagii al Ombudsmanului pentru persoanele cu dizabilități; subliniază din nou că stagiile ar trebui remunerate, în concordanță cu rezoluția Parlamentului din 14 iunie 2023 referitoare la stagii de calitate în Uniune (2020/2005(INL)), în care se solicită ca toate stagiile din Uniune să fie plătite;</w:t>
            </w:r>
          </w:p>
        </w:tc>
        <w:tc>
          <w:tcPr>
            <w:tcW w:w="4876" w:type="dxa"/>
            <w:tcBorders>
              <w:top w:val="nil"/>
              <w:left w:val="nil"/>
              <w:bottom w:val="nil"/>
              <w:right w:val="nil"/>
            </w:tcBorders>
          </w:tcPr>
          <w:p>
            <w:pPr>
              <w:pStyle w:val="Normal6a"/>
            </w:pPr>
            <w:r>
              <w:t>29.</w:t>
            </w:r>
            <w:r>
              <w:tab/>
            </w:r>
            <w:r>
              <w:t xml:space="preserve">ia act de faptul că în 2024 Ombudsmanul a primit 18 stagiari remunerați (același număr ca în 2023), dintre care unul a fost selectat în urma lăudabilului program de stagii al Ombudsmanului pentru persoanele cu dizabilități; subliniază din nou că stagiile ar trebui remunerate, în concordanță cu rezoluția Parlamentului din 14 iunie 2023 referitoare la stagii de calitate în Uniune (2020/2005(INL)), în care se solicită ca toate stagiile din Uniune să fie plătite; </w:t>
            </w:r>
            <w:r>
              <w:rPr>
                <w:b/>
                <w:i/>
              </w:rPr>
              <w:t>subliniază că stagiile remunerate sunt esențiale pentru a asigura egalitatea de șanse;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salută impactul pozitiv al utilizării de către Ombudsman a traducerilor automate, care a îmbunătățit accesibilitatea site-ului Ombudsmanului, a raționalizat alocarea cazurilor și a accelerat prelucrarea plângerilor, ceea ce a dus la o reducere a costurilor de traducere cu peste 65 % (din 2022 până în 2024) și a sarcinii administrative; încurajează Ombudsmanul să continue testarea și evaluarea instrumentelor IA și a cazurilor de utilizare, adoptând, în același timp, o abordare prudentă în ceea ce privește dezvoltarea și implementarea acestora;</w:t>
            </w:r>
          </w:p>
        </w:tc>
        <w:tc>
          <w:tcPr>
            <w:tcW w:w="4876" w:type="dxa"/>
            <w:tcBorders>
              <w:top w:val="nil"/>
              <w:left w:val="nil"/>
              <w:bottom w:val="nil"/>
              <w:right w:val="nil"/>
            </w:tcBorders>
          </w:tcPr>
          <w:p>
            <w:pPr>
              <w:pStyle w:val="Normal6a"/>
            </w:pPr>
            <w:r>
              <w:t>37.</w:t>
            </w:r>
            <w:r>
              <w:tab/>
            </w:r>
            <w:r>
              <w:t>salută impactul pozitiv al utilizării de către Ombudsman a traducerilor automate, care a îmbunătățit accesibilitatea site-ului Ombudsmanului, a raționalizat alocarea cazurilor și a accelerat prelucrarea plângerilor, ceea ce a dus la o reducere a costurilor de traducere cu peste 65 % (din 2022 până în 2024) și a sarcinii administrative; încurajează Ombudsmanul să continue testarea și evaluarea instrumentelor IA și a cazurilor de utilizare, adoptând, în același timp, o abordare prudentă în ceea ce privește dezvoltarea și implementarea acestora</w:t>
            </w:r>
            <w:r>
              <w:rPr>
                <w:b/>
                <w:i/>
              </w:rPr>
              <w:t>, în special implicațiile bugetare pe termen mediu legate de întreținere, scalabilitate, competențele personalului și potențialele dependențe de instrumentele digitale și de furnizorii de servicii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salută impactul pozitiv al utilizării de către Ombudsman a traducerilor automate, care a îmbunătățit accesibilitatea site-ului Ombudsmanului, a raționalizat alocarea cazurilor și a accelerat prelucrarea plângerilor, ceea ce a dus la o reducere a costurilor de traducere cu peste 65 % (din 2022 până în 2024) și a sarcinii administrative; încurajează Ombudsmanul să continue testarea și evaluarea instrumentelor IA și a cazurilor de utilizare, adoptând, în același timp, o abordare prudentă în ceea ce privește dezvoltarea și implementarea acestora;</w:t>
            </w:r>
          </w:p>
        </w:tc>
        <w:tc>
          <w:tcPr>
            <w:tcW w:w="4876" w:type="dxa"/>
            <w:tcBorders>
              <w:top w:val="nil"/>
              <w:left w:val="nil"/>
              <w:bottom w:val="nil"/>
              <w:right w:val="nil"/>
            </w:tcBorders>
          </w:tcPr>
          <w:p>
            <w:pPr>
              <w:pStyle w:val="Normal6a"/>
            </w:pPr>
            <w:r>
              <w:t>37.</w:t>
            </w:r>
            <w:r>
              <w:tab/>
            </w:r>
            <w:r>
              <w:t>salută impactul pozitiv al utilizării de către Ombudsman a traducerilor automate, care a îmbunătățit accesibilitatea site-ului Ombudsmanului, a raționalizat alocarea cazurilor și a accelerat prelucrarea plângerilor, ceea ce a dus la o reducere a costurilor de traducere cu peste 65 % (din 2022 până în 2024) și a sarcinii administrative; încurajează Ombudsmanul să continue testarea și evaluarea instrumentelor IA și a cazurilor de utilizare, adoptând, în același timp, o abordare prudentă în ceea ce privește dezvoltarea și implementarea acestora</w:t>
            </w:r>
            <w:r>
              <w:rPr>
                <w:b/>
                <w:i/>
              </w:rPr>
              <w:t>, cu condiția ca implementarea lor să rămână sigură, eficientă din punctul de vedere al costurilor și supusă unei supravegheri umane adecvate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constată cu satisfacție, pe baza chestionarului, că Ombudsmanul a instituit orientări interne privind utilizarea instrumentelor de IA generativă ale terților, care ar trebui să ofere claritate și orientare cu privire la integrarea sigură și eficace a instrumentelor de IA în fluxurile de lucru ale Ombudsmanului; așteaptă cu interes extinderea planificată a utilizării IA dincolo de traducere, de exemplu pentru integrarea jurisprudenței Ombudsmanului în cadrul unui model lingvistic de mari dimensiuni al Comisiei și pentru a valorifica jurisprudența istorică care va contribui la anchetele viitoare; </w:t>
            </w:r>
            <w:r>
              <w:rPr>
                <w:b/>
                <w:i/>
              </w:rPr>
              <w:t>recomandă</w:t>
            </w:r>
            <w:r>
              <w:t xml:space="preserve">, cu toate acestea, </w:t>
            </w:r>
            <w:r>
              <w:rPr>
                <w:b/>
                <w:i/>
              </w:rPr>
              <w:t>Ombudsmanului, în ceea ce privește serviciile de interpretare, să acorde prioritate interpretării furnizate de om în detrimentul soluțiilor bazate pe IA;</w:t>
            </w:r>
            <w:r>
              <w:t xml:space="preserve"> </w:t>
            </w:r>
            <w:r>
              <w:rPr>
                <w:b/>
                <w:i/>
              </w:rPr>
              <w:t>ia act de faptul că Ombudsmanul a achiziționat mai multe instrumente de IA</w:t>
            </w:r>
            <w:r>
              <w:t xml:space="preserve"> pentru </w:t>
            </w:r>
            <w:r>
              <w:rPr>
                <w:b/>
                <w:i/>
              </w:rPr>
              <w:t>a sprijini activitățile de comunicare internă și externă</w:t>
            </w:r>
            <w:r>
              <w:t xml:space="preserve">, în special </w:t>
            </w:r>
            <w:r>
              <w:rPr>
                <w:b/>
                <w:i/>
              </w:rPr>
              <w:t>producția de materiale video, sporind astfel eficiența și calitatea creării de conținut în 2024</w:t>
            </w:r>
            <w:r>
              <w:t>;</w:t>
            </w:r>
          </w:p>
        </w:tc>
        <w:tc>
          <w:tcPr>
            <w:tcW w:w="4876" w:type="dxa"/>
            <w:tcBorders>
              <w:top w:val="nil"/>
              <w:left w:val="nil"/>
              <w:bottom w:val="nil"/>
              <w:right w:val="nil"/>
            </w:tcBorders>
          </w:tcPr>
          <w:p>
            <w:pPr>
              <w:pStyle w:val="Normal6a"/>
            </w:pPr>
            <w:r>
              <w:t>38.</w:t>
            </w:r>
            <w:r>
              <w:tab/>
            </w:r>
            <w:r>
              <w:t xml:space="preserve">constată cu satisfacție, pe baza chestionarului, că Ombudsmanul a instituit orientări interne privind utilizarea instrumentelor de IA generativă ale terților, care ar trebui să ofere claritate și orientare cu privire la integrarea sigură și eficace a instrumentelor de IA în fluxurile de lucru ale Ombudsmanului; așteaptă cu interes extinderea planificată a utilizării IA dincolo de traducere, de exemplu pentru integrarea jurisprudenței Ombudsmanului în cadrul unui model lingvistic de mari dimensiuni al Comisiei și pentru a valorifica jurisprudența istorică care va contribui la anchetele viitoare; </w:t>
            </w:r>
            <w:r>
              <w:rPr>
                <w:b/>
                <w:i/>
              </w:rPr>
              <w:t>încurajează Ombudsmanul să continue să testeze și să implementeze instrumente de IA în cazul în care acestea îmbunătățesc în mod demonstrabil accesibilitatea și eficiența;</w:t>
            </w:r>
            <w:r>
              <w:t xml:space="preserve"> </w:t>
            </w:r>
            <w:r>
              <w:rPr>
                <w:b/>
                <w:i/>
              </w:rPr>
              <w:t>subliniază</w:t>
            </w:r>
            <w:r>
              <w:t xml:space="preserve">, cu toate acestea, </w:t>
            </w:r>
            <w:r>
              <w:rPr>
                <w:b/>
                <w:i/>
              </w:rPr>
              <w:t>necesitatea unei guvernanțe clare, a supravegherii umane, a transparenței față de utilizatori și a unor garanții solide de protecție a datelor, inclusiv a unor evaluări documentate ale riscurilor și a unor controale de calitate</w:t>
            </w:r>
            <w:r>
              <w:t xml:space="preserve"> pentru </w:t>
            </w:r>
            <w:r>
              <w:rPr>
                <w:b/>
                <w:i/>
              </w:rPr>
              <w:t>rezultatele automatizate</w:t>
            </w:r>
            <w:r>
              <w:t xml:space="preserve">, în special </w:t>
            </w:r>
            <w:r>
              <w:rPr>
                <w:b/>
                <w:i/>
              </w:rPr>
              <w:t>în cazul în care IA poate influența gestionarea cazurilor, alocarea sau comunicările externe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constată cu satisfacție, pe baza chestionarului, că Ombudsmanul a instituit orientări interne privind utilizarea instrumentelor de IA generativă ale terților, care ar trebui să ofere claritate și orientare cu privire la integrarea sigură și eficace a instrumentelor de IA în fluxurile de lucru ale Ombudsmanului; așteaptă cu interes extinderea planificată a utilizării IA dincolo de traducere, de exemplu pentru integrarea jurisprudenței Ombudsmanului în cadrul unui model lingvistic de mari dimensiuni al Comisiei și pentru a valorifica jurisprudența istorică care va contribui la anchetele viitoare; recomandă, cu toate acestea, Ombudsmanului, în ceea ce privește serviciile de interpretare, să acorde prioritate interpretării furnizate de om în detrimentul soluțiilor bazate pe IA; ia act de faptul că Ombudsmanul a achiziționat mai multe instrumente de IA pentru a sprijini activitățile de comunicare internă și externă, în special producția de materiale video, sporind astfel eficiența și calitatea creării de conținut în 2024;</w:t>
            </w:r>
          </w:p>
        </w:tc>
        <w:tc>
          <w:tcPr>
            <w:tcW w:w="4876" w:type="dxa"/>
            <w:tcBorders>
              <w:top w:val="nil"/>
              <w:left w:val="nil"/>
              <w:bottom w:val="nil"/>
              <w:right w:val="nil"/>
            </w:tcBorders>
          </w:tcPr>
          <w:p>
            <w:pPr>
              <w:pStyle w:val="Normal6a"/>
            </w:pPr>
            <w:r>
              <w:t>38.</w:t>
            </w:r>
            <w:r>
              <w:tab/>
            </w:r>
            <w:r>
              <w:t xml:space="preserve">constată cu satisfacție, pe baza chestionarului, că Ombudsmanul a instituit orientări interne privind utilizarea instrumentelor de IA generativă ale terților, care ar trebui să ofere claritate și orientare cu privire la integrarea sigură și eficace a instrumentelor de IA în fluxurile de lucru ale Ombudsmanului; așteaptă cu interes extinderea planificată a utilizării IA dincolo de traducere, de exemplu pentru integrarea jurisprudenței Ombudsmanului în cadrul unui model lingvistic de mari dimensiuni al Comisiei și pentru a valorifica jurisprudența istorică care va contribui la anchetele viitoare; </w:t>
            </w:r>
            <w:r>
              <w:rPr>
                <w:b/>
                <w:i/>
              </w:rPr>
              <w:t>solicită un protocol care să garanteze că toate informațiile juridice generate de IA sunt verificate de ofițerii umani de anchetă;</w:t>
            </w:r>
            <w:r>
              <w:t xml:space="preserve"> </w:t>
            </w:r>
            <w:r>
              <w:rPr>
                <w:b/>
                <w:i/>
              </w:rPr>
              <w:t>solicită, de asemenea, raportarea cu privire la măsurile tehnice adoptate pentru a elimina părtinirea algoritmică și pentru a proteja obiectivitatea constatărilor instituției;</w:t>
            </w:r>
            <w:r>
              <w:t xml:space="preserve"> recomandă, cu toate acestea, Ombudsmanului, în ceea ce privește serviciile de interpretare, să acorde prioritate interpretării furnizate de om în detrimentul soluțiilor bazate pe IA; ia act de faptul că Ombudsmanul a achiziționat mai multe instrumente de IA pentru a sprijini activitățile de comunicare internă și externă, în special producția de materiale video, sporind astfel eficiența și calitatea creării de conținut în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constată cu satisfacție, pe baza chestionarului, că, în 2024, un membru al personalului a finalizat o formare intensivă de două luni în domeniul științei datelor și al inteligenței artificiale pentru a consolida expertiza Ombudsmanului în acest domeniu și reprezintă în prezent Ombudsmanul în rețeaua de corespondenți pentru IA instituită de Autoritatea Europeană pentru Protecția Datelor (AEPD) în urma intrării în vigoare a Regulamentului (UE) 2024/1689 („Regulamentul privind inteligența artificială”)</w:t>
            </w:r>
            <w:r>
              <w:rPr>
                <w:vertAlign w:val="superscript"/>
              </w:rPr>
              <w:t>6</w:t>
            </w:r>
            <w:r>
              <w:t>; ia act, de asemenea, de angajamentul Ombudsmanului de a dezvolta o formare privind utilizarea sigură și etică a instrumentelor IA pentru întregul său personal; constată în plus că Ombudsmanul a organizat lunar o formare specifică obligatorie pentru a spori gradul de conștientizare și competențele personalului în ceea ce privește cele mai bune practici în materie de securitate cibernetică pe tot parcursul anului 2024; ia act cu satisfacție de faptul că Ombudsmanul solicită întregului său personal să finalizeze cursuri periodice de formare în materie de securitate cibernetică;</w:t>
            </w:r>
          </w:p>
        </w:tc>
        <w:tc>
          <w:tcPr>
            <w:tcW w:w="4876" w:type="dxa"/>
            <w:tcBorders>
              <w:top w:val="nil"/>
              <w:left w:val="nil"/>
              <w:bottom w:val="nil"/>
              <w:right w:val="nil"/>
            </w:tcBorders>
          </w:tcPr>
          <w:p>
            <w:pPr>
              <w:pStyle w:val="Normal6a"/>
            </w:pPr>
            <w:r>
              <w:t>39.</w:t>
            </w:r>
            <w:r>
              <w:tab/>
            </w:r>
            <w:r>
              <w:t>constată cu satisfacție, pe baza chestionarului, că, în 2024, un membru al personalului a finalizat o formare intensivă de două luni în domeniul științei datelor și al inteligenței artificiale pentru a consolida expertiza Ombudsmanului în acest domeniu și reprezintă în prezent Ombudsmanul în rețeaua de corespondenți pentru IA instituită de Autoritatea Europeană pentru Protecția Datelor (AEPD) în urma intrării în vigoare a Regulamentului (UE) 2024/1689 („Regulamentul privind inteligența artificială”)</w:t>
            </w:r>
            <w:r>
              <w:rPr>
                <w:vertAlign w:val="superscript"/>
              </w:rPr>
              <w:t>6</w:t>
            </w:r>
            <w:r>
              <w:t xml:space="preserve">; ia act, de asemenea, de angajamentul Ombudsmanului de a dezvolta o formare privind utilizarea sigură și etică a instrumentelor IA pentru întregul său personal; constată în plus că Ombudsmanul a organizat lunar o formare specifică obligatorie pentru a spori gradul de conștientizare și competențele personalului în ceea ce privește cele mai bune practici în materie de securitate cibernetică pe tot parcursul anului 2024; ia act cu satisfacție de faptul că Ombudsmanul solicită întregului său personal să finalizeze cursuri periodice de formare în materie de securitate cibernetică; </w:t>
            </w:r>
            <w:r>
              <w:rPr>
                <w:b/>
                <w:i/>
              </w:rPr>
              <w:t>încurajează Ombudsmanul să își dezvolte în continuare strategia de digitalizare, asigurându-se că implementarea instrumentelor de inteligență artificială respectă pe deplin principiile utilizării etice, transparenței, protecției datelor, supravegherii umane și protecției împotriva prejudecăților algoritmice sau a utilizării abuzive;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 http://data.europa.eu/eli/reg/2024/1689/oj).</w:t>
            </w:r>
          </w:p>
        </w:tc>
        <w:tc>
          <w:tcPr>
            <w:tcW w:w="4876" w:type="dxa"/>
            <w:tcBorders>
              <w:top w:val="nil"/>
              <w:left w:val="nil"/>
              <w:bottom w:val="nil"/>
              <w:right w:val="nil"/>
            </w:tcBorders>
          </w:tcPr>
          <w:p>
            <w:pPr>
              <w:pStyle w:val="Normal6a"/>
            </w:pPr>
            <w:r>
              <w:rPr>
                <w:vertAlign w:val="superscript"/>
              </w:rPr>
              <w:t>6</w:t>
            </w:r>
            <w:r>
              <w:t xml:space="preserve"> </w:t>
            </w:r>
            <w:r>
              <w:t>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 http://data.europa.eu/eli/reg/2024/1689/oj).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accentuează importanța achizițiilor publice ca instrument de promovare a obiectivelor de politică, precum cele de mediu și agenda socială;</w:t>
            </w:r>
            <w:r>
              <w:t xml:space="preserve"> </w:t>
            </w:r>
            <w:r>
              <w:rPr>
                <w:b/>
                <w:i/>
              </w:rPr>
              <w:t>invită Ombudsmanul să consolideze, în cadrul procedurilor sale de achiziții publice, includerea unor criterii strategice privind responsabilitatea socială și sustenabilitatea mediului;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salută economiile financiare și administrative realizate prin cooperarea interinstituțională, în special gama largă de acorduri privind nivelul serviciilor încheiate de Ombudsman cu Parlamentul și Comisia în mai multe domenii și participarea la procedurile interinstituționale de achiziții publice; salută formalizarea, în octombrie 2024, a colaborării dintre Parlament și Ombudsman în domeniul securității cibernetice printr-un acord interinstituțional revizuit, care oferă un cadru pentru ca Parlamentul să continue să ofere Ombudsmanului un sprijin solid în materie de securitate cibernetică;</w:t>
            </w:r>
          </w:p>
        </w:tc>
        <w:tc>
          <w:tcPr>
            <w:tcW w:w="4876" w:type="dxa"/>
            <w:tcBorders>
              <w:top w:val="nil"/>
              <w:left w:val="nil"/>
              <w:bottom w:val="nil"/>
              <w:right w:val="nil"/>
            </w:tcBorders>
          </w:tcPr>
          <w:p>
            <w:pPr>
              <w:pStyle w:val="Normal6a"/>
            </w:pPr>
            <w:r>
              <w:t>46.</w:t>
            </w:r>
            <w:r>
              <w:tab/>
            </w:r>
            <w:r>
              <w:t xml:space="preserve">salută economiile financiare și administrative realizate prin cooperarea interinstituțională, în special gama largă de acorduri privind nivelul serviciilor încheiate de Ombudsman cu Parlamentul și Comisia în mai multe domenii și participarea la procedurile interinstituționale de achiziții publice; salută formalizarea, în octombrie 2024, a colaborării dintre Parlament și Ombudsman în domeniul securității cibernetice printr-un acord interinstituțional revizuit, care oferă un cadru pentru ca Parlamentul să continue să ofere Ombudsmanului un sprijin solid în materie de securitate cibernetică; </w:t>
            </w:r>
            <w:r>
              <w:rPr>
                <w:b/>
                <w:i/>
              </w:rPr>
              <w:t>încurajează Ombudsmanul să se asigure că întregul personal beneficiază de formare periodică și actualizată în materie de securitate cibernetică, pentru a menține un nivel ridicat de conștientizare și reziliență la amenințările cibernetice în continuă evoluție;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salută economiile financiare și administrative realizate prin cooperarea interinstituțională, în special gama largă de acorduri privind nivelul serviciilor încheiate de Ombudsman cu Parlamentul și Comisia în mai multe domenii și participarea la procedurile interinstituționale de achiziții publice; salută formalizarea, în octombrie 2024, a colaborării dintre Parlament și Ombudsman în domeniul securității cibernetice printr-un acord interinstituțional revizuit, care oferă un cadru pentru ca Parlamentul să continue să ofere Ombudsmanului un sprijin solid în materie de securitate cibernetică;</w:t>
            </w:r>
          </w:p>
        </w:tc>
        <w:tc>
          <w:tcPr>
            <w:tcW w:w="4876" w:type="dxa"/>
            <w:tcBorders>
              <w:top w:val="nil"/>
              <w:left w:val="nil"/>
              <w:bottom w:val="nil"/>
              <w:right w:val="nil"/>
            </w:tcBorders>
          </w:tcPr>
          <w:p>
            <w:pPr>
              <w:pStyle w:val="Normal6a"/>
            </w:pPr>
            <w:r>
              <w:t>46.</w:t>
            </w:r>
            <w:r>
              <w:tab/>
            </w:r>
            <w:r>
              <w:t xml:space="preserve">salută economiile financiare și administrative realizate prin cooperarea interinstituțională, în special gama largă de acorduri privind nivelul serviciilor încheiate de Ombudsman cu Parlamentul și Comisia în mai multe domenii și participarea la procedurile interinstituționale de achiziții publice; salută formalizarea, în octombrie 2024, a colaborării dintre Parlament și Ombudsman în domeniul securității cibernetice printr-un acord interinstituțional revizuit, care oferă un cadru pentru ca Parlamentul să continue să ofere Ombudsmanului un sprijin solid în materie de securitate cibernetică; </w:t>
            </w:r>
            <w:r>
              <w:rPr>
                <w:b/>
                <w:i/>
              </w:rPr>
              <w:t>subliniază că o astfel de cooperare este esențială pentru a evita suprapunerea structurilor și pentru a asigura utilizarea eficientă a resurselor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constată, pe baza chestionarului, că bugetul total pentru activitățile de comunicare și promovare (publicații, organizarea de evenimente, comunicare digitală etc.) a scăzut cu aproximativ 38 %, de la </w:t>
            </w:r>
            <w:r>
              <w:rPr>
                <w:b/>
                <w:i/>
              </w:rPr>
              <w:t>155 200</w:t>
            </w:r>
            <w:r>
              <w:t xml:space="preserve"> EUR în 2023, la </w:t>
            </w:r>
            <w:r>
              <w:rPr>
                <w:b/>
                <w:i/>
              </w:rPr>
              <w:t>96 515</w:t>
            </w:r>
            <w:r>
              <w:t xml:space="preserve"> EUR în 2024;</w:t>
            </w:r>
          </w:p>
        </w:tc>
        <w:tc>
          <w:tcPr>
            <w:tcW w:w="4876" w:type="dxa"/>
            <w:tcBorders>
              <w:top w:val="nil"/>
              <w:left w:val="nil"/>
              <w:bottom w:val="nil"/>
              <w:right w:val="nil"/>
            </w:tcBorders>
          </w:tcPr>
          <w:p>
            <w:pPr>
              <w:pStyle w:val="Normal6a"/>
            </w:pPr>
            <w:r>
              <w:t>50.</w:t>
            </w:r>
            <w:r>
              <w:tab/>
            </w:r>
            <w:r>
              <w:t xml:space="preserve">constată, pe baza chestionarului, că bugetul total pentru activitățile de comunicare și promovare (publicații, organizarea de evenimente, comunicare digitală etc.) a scăzut cu aproximativ 38 %, de la </w:t>
            </w:r>
            <w:r>
              <w:rPr>
                <w:b/>
                <w:i/>
              </w:rPr>
              <w:t>155 200</w:t>
            </w:r>
            <w:r>
              <w:t xml:space="preserve"> EUR în 2023, la </w:t>
            </w:r>
            <w:r>
              <w:rPr>
                <w:b/>
                <w:i/>
              </w:rPr>
              <w:t>96 515</w:t>
            </w:r>
            <w:r>
              <w:t xml:space="preserve"> EUR în 2024; </w:t>
            </w:r>
            <w:r>
              <w:rPr>
                <w:b/>
                <w:i/>
              </w:rPr>
              <w:t>salută această reducere și subliniază că activitățile de comunicare ar trebui să se concentreze în continuare pe informarea cetățenilor cu privire la mandatul Ombudsmanului;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constată, pe baza chestionarului, că bugetul total pentru activitățile de comunicare și promovare (publicații, organizarea de evenimente, comunicare digitală etc.) a scăzut cu aproximativ 38 %, de la </w:t>
            </w:r>
            <w:r>
              <w:rPr>
                <w:b/>
                <w:i/>
              </w:rPr>
              <w:t>155 200</w:t>
            </w:r>
            <w:r>
              <w:t xml:space="preserve"> EUR în 2023, la </w:t>
            </w:r>
            <w:r>
              <w:rPr>
                <w:b/>
                <w:i/>
              </w:rPr>
              <w:t>96 515</w:t>
            </w:r>
            <w:r>
              <w:t xml:space="preserve"> EUR în 2024;</w:t>
            </w:r>
          </w:p>
        </w:tc>
        <w:tc>
          <w:tcPr>
            <w:tcW w:w="4876" w:type="dxa"/>
            <w:tcBorders>
              <w:top w:val="nil"/>
              <w:left w:val="nil"/>
              <w:bottom w:val="nil"/>
              <w:right w:val="nil"/>
            </w:tcBorders>
          </w:tcPr>
          <w:p>
            <w:pPr>
              <w:pStyle w:val="Normal6a"/>
            </w:pPr>
            <w:r>
              <w:t>50.</w:t>
            </w:r>
            <w:r>
              <w:tab/>
            </w:r>
            <w:r>
              <w:t xml:space="preserve">constată, pe baza chestionarului, că bugetul total pentru activitățile de comunicare și promovare (publicații, organizarea de evenimente, comunicare digitală etc.) a scăzut cu aproximativ 38 %, de la </w:t>
            </w:r>
            <w:r>
              <w:rPr>
                <w:b/>
                <w:i/>
              </w:rPr>
              <w:t>155 200</w:t>
            </w:r>
            <w:r>
              <w:t xml:space="preserve"> EUR în 2023, la </w:t>
            </w:r>
            <w:r>
              <w:rPr>
                <w:b/>
                <w:i/>
              </w:rPr>
              <w:t>96 515</w:t>
            </w:r>
            <w:r>
              <w:t xml:space="preserve"> EUR în 2024; </w:t>
            </w:r>
            <w:r>
              <w:rPr>
                <w:b/>
                <w:i/>
              </w:rPr>
              <w:t>subliniază că, deși alocările bugetare trebuie să fie strategice și orientate spre rezultate, Ombudsmanul ar trebui să păstreze o capacitate de comunicare suficientă pentru a asigura sensibilizarea publicului cu privire la rolul, responsabilitățile și serviciile sale, în special pentru cetățenii care se adresează Ombudsmanului pentru a aborda preocupările de la nivelul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constată, pe baza chestionarului, că bugetul total pentru activitățile de comunicare și promovare (publicații, organizarea de evenimente, comunicare digitală etc.) a scăzut cu aproximativ 38 %, de la </w:t>
            </w:r>
            <w:r>
              <w:rPr>
                <w:b/>
                <w:i/>
              </w:rPr>
              <w:t>155 200</w:t>
            </w:r>
            <w:r>
              <w:t xml:space="preserve"> EUR în 2023, la </w:t>
            </w:r>
            <w:r>
              <w:rPr>
                <w:b/>
                <w:i/>
              </w:rPr>
              <w:t>96 515</w:t>
            </w:r>
            <w:r>
              <w:t xml:space="preserve"> EUR în 2024;</w:t>
            </w:r>
          </w:p>
        </w:tc>
        <w:tc>
          <w:tcPr>
            <w:tcW w:w="4876" w:type="dxa"/>
            <w:tcBorders>
              <w:top w:val="nil"/>
              <w:left w:val="nil"/>
              <w:bottom w:val="nil"/>
              <w:right w:val="nil"/>
            </w:tcBorders>
          </w:tcPr>
          <w:p>
            <w:pPr>
              <w:pStyle w:val="Normal6a"/>
            </w:pPr>
            <w:r>
              <w:t>50.</w:t>
            </w:r>
            <w:r>
              <w:tab/>
            </w:r>
            <w:r>
              <w:t xml:space="preserve">constată, pe baza chestionarului, că bugetul total pentru activitățile de comunicare și promovare (publicații, organizarea de evenimente, comunicare digitală etc.) a scăzut cu aproximativ 38 %, de la </w:t>
            </w:r>
            <w:r>
              <w:rPr>
                <w:b/>
                <w:i/>
              </w:rPr>
              <w:t>155 200</w:t>
            </w:r>
            <w:r>
              <w:t xml:space="preserve"> EUR în 2023, la </w:t>
            </w:r>
            <w:r>
              <w:rPr>
                <w:b/>
                <w:i/>
              </w:rPr>
              <w:t>96 515</w:t>
            </w:r>
            <w:r>
              <w:t xml:space="preserve"> EUR în 2024; </w:t>
            </w:r>
            <w:r>
              <w:rPr>
                <w:b/>
                <w:i/>
              </w:rPr>
              <w:t>avertizează că această reducere poate submina obiectivul strategic de capacitare a cetățenilor;</w:t>
            </w:r>
            <w:r>
              <w:t xml:space="preserve"> </w:t>
            </w:r>
            <w:r>
              <w:rPr>
                <w:b/>
                <w:i/>
              </w:rPr>
              <w:t>sugerează realocarea economiilor pentru a se asigura că Ombudsmanul își menține vizibilitatea și raza de acțiune necesare;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 xml:space="preserve">salută nivelul susținut de atenție acordată de mass-media, aproximativ </w:t>
            </w:r>
            <w:r>
              <w:rPr>
                <w:b/>
                <w:i/>
              </w:rPr>
              <w:t>5 000</w:t>
            </w:r>
            <w:r>
              <w:t xml:space="preserve"> de articole referindu-se la activitatea Ombudsmanului în 2024; ia act de faptul că Ombudsmanul măsoară în primul rând implicarea publicului prin intensificarea prezenței pe platformele de comunicare socială și a traficului de pe site-urile web, în timp ce numărul de urmăritori a crescut constant în cursul anului; observă că conturile de Instagram, LinkedIn și X ale Ombudsmanului au câștigat un total de </w:t>
            </w:r>
            <w:r>
              <w:rPr>
                <w:b/>
                <w:i/>
              </w:rPr>
              <w:t>9 186</w:t>
            </w:r>
            <w:r>
              <w:t xml:space="preserve"> de urmăritori suplimentari, depășind țintele sale pentru activitățile de pe platformele de comunicare socială în 2024, precum și în ceea ce privește numărul de vizitatori unici ai site-ului său.</w:t>
            </w:r>
          </w:p>
        </w:tc>
        <w:tc>
          <w:tcPr>
            <w:tcW w:w="4876" w:type="dxa"/>
            <w:tcBorders>
              <w:top w:val="nil"/>
              <w:left w:val="nil"/>
              <w:bottom w:val="nil"/>
              <w:right w:val="nil"/>
            </w:tcBorders>
          </w:tcPr>
          <w:p>
            <w:pPr>
              <w:pStyle w:val="Normal6a"/>
            </w:pPr>
            <w:r>
              <w:t>55.</w:t>
            </w:r>
            <w:r>
              <w:tab/>
            </w:r>
            <w:r>
              <w:t xml:space="preserve">salută nivelul susținut de atenție acordată de mass-media, aproximativ </w:t>
            </w:r>
            <w:r>
              <w:rPr>
                <w:b/>
                <w:i/>
              </w:rPr>
              <w:t>5 000</w:t>
            </w:r>
            <w:r>
              <w:t xml:space="preserve"> de articole referindu-se la activitatea Ombudsmanului în 2024; ia act de faptul că Ombudsmanul măsoară în primul rând implicarea publicului prin intensificarea prezenței pe platformele de comunicare socială și a traficului de pe site-urile web, în timp ce numărul de urmăritori a crescut constant în cursul anului; observă că conturile de Instagram, LinkedIn și X ale Ombudsmanului au câștigat un total de </w:t>
            </w:r>
            <w:r>
              <w:rPr>
                <w:b/>
                <w:i/>
              </w:rPr>
              <w:t>9 186</w:t>
            </w:r>
            <w:r>
              <w:t xml:space="preserve"> de urmăritori suplimentari, depășind țintele sale pentru activitățile de pe platformele de comunicare socială în 2024, precum și în ceea ce privește numărul de vizitatori unici ai site-ului său</w:t>
            </w:r>
            <w:r>
              <w:rPr>
                <w:b/>
                <w:i/>
              </w:rPr>
              <w:t>;</w:t>
            </w:r>
            <w:r>
              <w:t xml:space="preserve"> </w:t>
            </w:r>
            <w:r>
              <w:rPr>
                <w:b/>
                <w:i/>
              </w:rPr>
              <w:t>subliniază că este important să se acorde în continuare prioritate comunicării externe pentru a spori gradul de sensibilizare a publicului cu privire la mandatul Ombudsmanului și la serviciile pe care acesta le oferă cetățenilor Uniunii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48</w:t>
    </w:r>
    <w:r>
      <w:fldChar w:fldCharType="end"/>
    </w:r>
    <w:r>
      <w:tab/>
    </w:r>
    <w:r>
      <w:rPr>
        <w:rStyle w:val="HideTWBExt"/>
      </w:rPr>
      <w:t>&lt;PathFdR&gt;</w:t>
    </w:r>
    <w:r>
      <w:t>AM\1336287RO.docx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AM\1336287RO.docx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48</w:t>
    </w:r>
    <w:r>
      <w:fldChar w:fldCharType="end"/>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AM\1336287RO.docx</w:t>
    </w:r>
    <w:r>
      <w:rPr>
        <w:rStyle w:val="HideTWBExt"/>
      </w:rPr>
      <w:t>&lt;/PathFdR&gt;</w:t>
    </w:r>
    <w:r>
      <w:tab/>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48</Pages>
  <Words>17561</Words>
  <Characters>101379</Characters>
  <Application>Microsoft Office Word</Application>
  <DocSecurity>0</DocSecurity>
  <Lines>1</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374974</vt:lpwstr>
  </property>
  <property fmtid="{D5CDD505-2E9C-101B-9397-08002B2CF9AE}" pid="7" name="dmxml.render.traceId">
    <vt:lpwstr>698c640379d26442f5e7d40d1becbc3a</vt:lpwstr>
  </property>
  <property fmtid="{D5CDD505-2E9C-101B-9397-08002B2CF9AE}" pid="8" name="FooterPath">
    <vt:lpwstr>AM\1336287RO.docx</vt:lpwstr>
  </property>
  <property fmtid="{D5CDD505-2E9C-101B-9397-08002B2CF9AE}" pid="9" name="PE Number">
    <vt:lpwstr>784.148</vt:lpwstr>
  </property>
  <property fmtid="{D5CDD505-2E9C-101B-9397-08002B2CF9AE}" pid="10" name="UID">
    <vt:lpwstr>eu.europa.europarl-DIN1-2026-0000017080_01.00-ro-01.00_text-xml</vt:lpwstr>
  </property>
</Properties>
</file>