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Budgetkontrollutskottet</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Ansvarsfrihet 2024: EU:s allmänna budget – Europeiska ombudsmannen</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tc>
        <w:tc>
          <w:tcPr>
            <w:tcW w:w="4876" w:type="dxa"/>
            <w:tcBorders>
              <w:top w:val="nil"/>
              <w:left w:val="nil"/>
              <w:bottom w:val="nil"/>
              <w:right w:val="nil"/>
            </w:tcBorders>
          </w:tcPr>
          <w:p>
            <w:pPr>
              <w:pStyle w:val="Normal6a"/>
            </w:pPr>
            <w:r>
              <w:t>A.</w:t>
            </w:r>
            <w:r>
              <w:tab/>
            </w:r>
            <w:r>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w:t>
            </w:r>
            <w:r>
              <w:rPr>
                <w:b/>
                <w:i/>
              </w:rPr>
              <w:t>, säkerställa en sund, effektiv och resultatorienterad ekonomisk förvaltning</w:t>
            </w:r>
            <w:r>
              <w:t xml:space="preserve"> och säkra en god förvaltning av personalresurserna.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Att upprätthålla de högsta standarderna för institutionellt oberoende och undvika allt som kan tyda på favorisering vid utnämningar av högre tjänstemän är avgörande för att trygga allmänhetens förtroende för ombudsmannens roll som unionens väktare av god förvaltning.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noterar att insatserna för budgetövervakning under budgetåret 2024 resulterade i ett budgetgenomförande på 97,55 %, vilket är en ökning med 2,16 % jämfört med 2023. Parlamentet noterar att denna andel omfattar anslag som överförts från 2024 till 2025. Genomförandegraden för betalningsbemyndigandena för det innevarande året var 97,08 %, vilket innebär en minskning med 0,50 % jämfört med 2023. Parlamentet noterar en ökning av de anslag som överförts (C8-anslag) med 29,60 %, dvs. från </w:t>
            </w:r>
            <w:r>
              <w:rPr>
                <w:b/>
                <w:i/>
              </w:rPr>
              <w:t>304 550</w:t>
            </w:r>
            <w:r>
              <w:t xml:space="preserve"> EUR 2023 till 394 667 EUR 2024. Parlamentet noterar en förbättrad genomförandegrad för de automatiskt överförda anslagen från föregående år, som 2024 var 76,59 % jämfört med 73,27 % 2023.</w:t>
            </w:r>
          </w:p>
        </w:tc>
        <w:tc>
          <w:tcPr>
            <w:tcW w:w="4876" w:type="dxa"/>
            <w:tcBorders>
              <w:top w:val="nil"/>
              <w:left w:val="nil"/>
              <w:bottom w:val="nil"/>
              <w:right w:val="nil"/>
            </w:tcBorders>
          </w:tcPr>
          <w:p>
            <w:pPr>
              <w:pStyle w:val="Normal6a"/>
            </w:pPr>
            <w:r>
              <w:t>5.</w:t>
            </w:r>
            <w:r>
              <w:tab/>
            </w:r>
            <w:r>
              <w:t xml:space="preserve">Europaparlamentet noterar att insatserna för budgetövervakning under budgetåret 2024 resulterade i ett budgetgenomförande på 97,55 %, vilket är en ökning med 2,16 % jämfört med 2023. Parlamentet noterar att denna andel omfattar anslag som överförts från 2024 till 2025. Genomförandegraden för betalningsbemyndigandena för det innevarande året var 97,08 %, vilket innebär en minskning med 0,50 % jämfört med 2023. Parlamentet noterar en ökning av de anslag som överförts (C8-anslag) med 29,60 %, dvs. från </w:t>
            </w:r>
            <w:r>
              <w:rPr>
                <w:b/>
                <w:i/>
              </w:rPr>
              <w:t>304 550</w:t>
            </w:r>
            <w:r>
              <w:t xml:space="preserve"> EUR 2023 till 394 667 EUR 2024. Parlamentet noterar en förbättrad genomförandegrad för de automatiskt överförda anslagen från föregående år, som 2024 var 76,59 % jämfört med 73,27 % 2023. </w:t>
            </w:r>
            <w:r>
              <w:rPr>
                <w:b/>
                <w:i/>
              </w:rPr>
              <w:t>Parlamentet noterar dock att denna andel förblev låg jämfört med 2022 (92,59 %), och upprepar sin uppmaning till ombudsmannen att öka insatserna för att förbättra denna 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noterar med tillfredsställelse utifrån ombudsmannens årliga verksamhetsrapport för 2024 (årsrapporten)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w:t>
            </w:r>
            <w:r>
              <w:rPr>
                <w:b/>
                <w:i/>
              </w:rPr>
              <w:t>200 000</w:t>
            </w:r>
            <w:r>
              <w:t xml:space="preserve"> EUR för åtkomsträttigheter till detta, samma belopp som andra, mycket större EU-institutioner uppmanas att betala. Parlamentet noterar att detta belopp är dubbelt så stort som ombudsmannens budget för denna typ av tjänster. Parlamentet uppmanar kommissionen att hitta en lösning som gör det möjligt för ombudsmannen att få tillgång till Summa till ett pris som står i proportion till ombudsmannens storlek.</w:t>
            </w:r>
          </w:p>
        </w:tc>
        <w:tc>
          <w:tcPr>
            <w:tcW w:w="4876" w:type="dxa"/>
            <w:tcBorders>
              <w:top w:val="nil"/>
              <w:left w:val="nil"/>
              <w:bottom w:val="nil"/>
              <w:right w:val="nil"/>
            </w:tcBorders>
          </w:tcPr>
          <w:p>
            <w:pPr>
              <w:pStyle w:val="Normal6a"/>
            </w:pPr>
            <w:r>
              <w:t>7.</w:t>
            </w:r>
            <w:r>
              <w:tab/>
            </w:r>
            <w:r>
              <w:t xml:space="preserve">Europaparlamentet noterar med tillfredsställelse utifrån ombudsmannens årliga verksamhetsrapport för 2024 (årsrapporten)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w:t>
            </w:r>
            <w:r>
              <w:rPr>
                <w:b/>
                <w:i/>
              </w:rPr>
              <w:t>200 000</w:t>
            </w:r>
            <w:r>
              <w:t xml:space="preserve"> EUR för åtkomsträttigheter till detta, samma belopp som andra, mycket större EU-institutioner uppmanas att betala. Parlamentet noterar att detta belopp är dubbelt så stort som ombudsmannens budget för denna typ av tjänster. Parlamentet uppmanar kommissionen att hitta en lösning som gör det möjligt för ombudsmannen att få tillgång till Summa till ett pris som står i proportion till ombudsmannens storlek. </w:t>
            </w:r>
            <w:r>
              <w:rPr>
                <w:b/>
                <w:i/>
              </w:rPr>
              <w:t>Parlamentet efterlyser inrättandet av en transparent, objektiv och storleksanpassad kostnadsmodell för tillgång till gemensamma finansiella system för företag, så att små institutioner inte blir oproportionerligt belastade och kan uppfylla kraven på ekonomisk förvaltning utan att tränga ut operativa resurser.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noterar med tillfredsställelse utifrån ombudsmannens årliga verksamhetsrapport för 2024 (årsrapporten)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200 000 EUR för åtkomsträttigheter till detta, samma belopp som andra, mycket större EU-institutioner uppmanas att betala. Parlamentet noterar att detta belopp är dubbelt så stort som ombudsmannens budget för denna typ av tjänster. Parlamentet uppmanar kommissionen att hitta en lösning som gör det möjligt för ombudsmannen att få tillgång till Summa till ett pris som står i proportion till ombudsmannens storlek.</w:t>
            </w:r>
          </w:p>
        </w:tc>
        <w:tc>
          <w:tcPr>
            <w:tcW w:w="4876" w:type="dxa"/>
            <w:tcBorders>
              <w:top w:val="nil"/>
              <w:left w:val="nil"/>
              <w:bottom w:val="nil"/>
              <w:right w:val="nil"/>
            </w:tcBorders>
          </w:tcPr>
          <w:p>
            <w:pPr>
              <w:pStyle w:val="Normal6a"/>
            </w:pPr>
            <w:r>
              <w:t>7.</w:t>
            </w:r>
            <w:r>
              <w:tab/>
            </w:r>
            <w:r>
              <w:t xml:space="preserve">Europaparlamentet noterar med tillfredsställelse utifrån ombudsmannens årliga verksamhetsrapport för 2024 (årsrapporten)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200 000 EUR för åtkomsträttigheter till detta, samma belopp som andra, mycket större EU-institutioner uppmanas att betala. Parlamentet noterar att detta belopp är dubbelt så stort som ombudsmannens budget för denna typ av tjänster. Parlamentet uppmanar kommissionen att hitta en lösning som gör det möjligt för ombudsmannen att få tillgång till Summa till ett pris som står i proportion till ombudsmannens storlek. </w:t>
            </w:r>
            <w:r>
              <w:rPr>
                <w:b/>
                <w:i/>
              </w:rPr>
              <w:t>Parlamentet betonar att obligatoriska interinstitutionella verktyg bör följa en proportionalitetsprincip där avgifterna ska stå i proportion till institutionens budget och antalet användare för att förhindra utarmning av de resurser som är avsedda för institutionens huvudsakliga uppdrag.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noterar med tillfredsställelse utifrån ombudsmannens årliga verksamhetsrapport för 2024 (årsrapporten)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200 000 EUR för åtkomsträttigheter till detta, samma belopp som andra, mycket större EU-institutioner uppmanas att betala. Parlamentet noterar att detta belopp är dubbelt så stort som ombudsmannens budget för denna typ av tjänster. Parlamentet uppmanar kommissionen att hitta en lösning som gör det möjligt för ombudsmannen att få tillgång till Summa till ett pris som står i proportion till ombudsmannens storlek.</w:t>
            </w:r>
          </w:p>
        </w:tc>
        <w:tc>
          <w:tcPr>
            <w:tcW w:w="4876" w:type="dxa"/>
            <w:tcBorders>
              <w:top w:val="nil"/>
              <w:left w:val="nil"/>
              <w:bottom w:val="nil"/>
              <w:right w:val="nil"/>
            </w:tcBorders>
          </w:tcPr>
          <w:p>
            <w:pPr>
              <w:pStyle w:val="Normal6a"/>
            </w:pPr>
            <w:r>
              <w:t>7.</w:t>
            </w:r>
            <w:r>
              <w:tab/>
            </w:r>
            <w:r>
              <w:t xml:space="preserve">Europaparlamentet noterar med tillfredsställelse utifrån ombudsmannens årliga verksamhetsrapport för 2024 (årsrapporten)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200 000 EUR för åtkomsträttigheter till detta, samma belopp som andra, mycket större EU-institutioner uppmanas att betala. Parlamentet noterar att detta belopp är dubbelt så stort som ombudsmannens budget för denna typ av tjänster. Parlamentet uppmanar kommissionen att hitta en lösning som gör det möjligt för ombudsmannen att få tillgång till Summa till ett pris som står i proportion till ombudsmannens storlek </w:t>
            </w:r>
            <w:r>
              <w:rPr>
                <w:b/>
                <w:i/>
              </w:rPr>
              <w:t>och på så sätt säkerställa att små institutioner inte belastas oproportionerligt hårt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noterar att effekterna av Rysslands anfallskrig mot Ukraina </w:t>
            </w:r>
            <w:r>
              <w:rPr>
                <w:b/>
                <w:i/>
              </w:rPr>
              <w:t>fortsatte att pressa ombudsmannens budget under</w:t>
            </w:r>
            <w:r>
              <w:t xml:space="preserve"> 2024. Parlamentet </w:t>
            </w:r>
            <w:r>
              <w:rPr>
                <w:b/>
                <w:i/>
              </w:rPr>
              <w:t>noterar att ombudsmannen påverkades mest av de ökade energikostnaderna</w:t>
            </w:r>
            <w:r>
              <w:t>. Parlamentet noterar i detta sammanhang att det för att anpassa sig till de faktiska kostnaderna var nödvändigt att göra en ny beräkning av den klumpsumma som ombudsmannen betalade till parlamentet för hyreskostnader. Parlamentet noterar att ombudsmannens faktiska energiutgifter under 2024 till följd av detta ökade med 75 %, från 168 900 EUR 2023 till 295 400 EUR 2024. Parlamentet noterar utifrån frågeformuläret ombudsmannens åsikt att den kumulativa effekten av inflationstrycket och begränsningen av de icke lönerelaterade utgifterna till högst 2 % jämfört med föregående år påverkar den långsiktiga hållbarheten i ombudsmannens budget. Parlamentet erkänner behovet av att alla EU-institutioner förbättrar sin budgetförvaltning genom att även ta hänsyn till prisvolatilitet, särskilt inom energisektorn, när de ingår avtal med tjänsteleverantörer.</w:t>
            </w:r>
          </w:p>
        </w:tc>
        <w:tc>
          <w:tcPr>
            <w:tcW w:w="4876" w:type="dxa"/>
            <w:tcBorders>
              <w:top w:val="nil"/>
              <w:left w:val="nil"/>
              <w:bottom w:val="nil"/>
              <w:right w:val="nil"/>
            </w:tcBorders>
          </w:tcPr>
          <w:p>
            <w:pPr>
              <w:pStyle w:val="Normal6a"/>
            </w:pPr>
            <w:r>
              <w:t>8.</w:t>
            </w:r>
            <w:r>
              <w:tab/>
            </w:r>
            <w:r>
              <w:t xml:space="preserve">Europaparlamentet noterar att effekterna av Rysslands anfallskrig mot Ukraina </w:t>
            </w:r>
            <w:r>
              <w:rPr>
                <w:b/>
                <w:i/>
              </w:rPr>
              <w:t>och den kumulativa effekten av inflation, energiprisvolatilitet och strikta tak på icke lönerelaterade utgifter skapar ett strukturellt budgettryck för Europeiska ombudsmannen</w:t>
            </w:r>
            <w:r>
              <w:t xml:space="preserve"> 2024. Parlamentet </w:t>
            </w:r>
            <w:r>
              <w:rPr>
                <w:b/>
                <w:i/>
              </w:rPr>
              <w:t>betonar att ett sådant tryck, om det inte hanteras på lämpligt sätt, riskerar att undergräva kostnadseffektiviteten, förutsägbarheten och hållbarheten i institutionens verksamhet</w:t>
            </w:r>
            <w:r>
              <w:t xml:space="preserve">. Parlamentet noterar i detta sammanhang att det för att anpassa sig till de faktiska kostnaderna var nödvändigt att göra en ny beräkning av den klumpsumma som ombudsmannen betalade till parlamentet för hyreskostnader. Parlamentet noterar att ombudsmannens faktiska energiutgifter under 2024 till följd av detta ökade med 75 %, från 168 900 EUR 2023 till 295 400 EUR 2024. Parlamentet noterar utifrån frågeformuläret ombudsmannens åsikt att den kumulativa effekten av inflationstrycket och begränsningen av de icke lönerelaterade utgifterna till högst 2 % jämfört med föregående år påverkar den långsiktiga hållbarheten i ombudsmannens budget. Parlamentet erkänner behovet av att alla EU-institutioner förbättrar sin budgetförvaltning genom att även ta hänsyn till prisvolatilitet, särskilt inom energisektorn, när de ingår avtal med tjänsteleverantörer. </w:t>
            </w:r>
            <w:r>
              <w:rPr>
                <w:b/>
                <w:i/>
              </w:rPr>
              <w:t>Parlamentet betonar att budgetdisciplin måste förenas med realistiska kostnadsbedömningar för att skydda skattebetalarnas pengar samtidigt som den operativa kontinuiteten upprätthålls.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noterar att effekterna av Rysslands anfallskrig mot Ukraina fortsatte att pressa ombudsmannens budget under 2024. Parlamentet noterar att ombudsmannen påverkades mest av de ökade energikostnaderna. Parlamentet noterar i detta sammanhang att det för att anpassa sig till de faktiska kostnaderna var nödvändigt att göra en ny beräkning av den klumpsumma som ombudsmannen betalade till parlamentet för hyreskostnader. Parlamentet noterar att ombudsmannens faktiska energiutgifter under 2024 till följd av detta ökade med 75 %, från 168 900 EUR 2023 till 295 400 EUR 2024. Parlamentet noterar utifrån frågeformuläret ombudsmannens åsikt att den kumulativa effekten av inflationstrycket och begränsningen av de icke lönerelaterade utgifterna till högst 2 % jämfört med föregående år påverkar den långsiktiga hållbarheten i ombudsmannens budget. Parlamentet erkänner behovet av att alla EU-institutioner förbättrar sin budgetförvaltning genom att även ta hänsyn till prisvolatilitet, särskilt inom energisektorn, när de ingår avtal med tjänsteleverantörer.</w:t>
            </w:r>
          </w:p>
        </w:tc>
        <w:tc>
          <w:tcPr>
            <w:tcW w:w="4876" w:type="dxa"/>
            <w:tcBorders>
              <w:top w:val="nil"/>
              <w:left w:val="nil"/>
              <w:bottom w:val="nil"/>
              <w:right w:val="nil"/>
            </w:tcBorders>
          </w:tcPr>
          <w:p>
            <w:pPr>
              <w:pStyle w:val="Normal6a"/>
            </w:pPr>
            <w:r>
              <w:t>8.</w:t>
            </w:r>
            <w:r>
              <w:tab/>
            </w:r>
            <w:r>
              <w:t xml:space="preserve">Europaparlamentet noterar att effekterna av Rysslands </w:t>
            </w:r>
            <w:r>
              <w:rPr>
                <w:b/>
                <w:i/>
              </w:rPr>
              <w:t>olagliga</w:t>
            </w:r>
            <w:r>
              <w:t xml:space="preserve"> anfallskrig mot Ukraina fortsatte att pressa ombudsmannens budget under 2024. Parlamentet noterar att ombudsmannen påverkades mest av de ökade energikostnaderna. Parlamentet noterar i detta sammanhang att det för att anpassa sig till de faktiska kostnaderna var nödvändigt att göra en ny beräkning av den klumpsumma som ombudsmannen betalade till parlamentet för hyreskostnader. Parlamentet noterar att ombudsmannens faktiska energiutgifter under 2024 till följd av detta ökade med 75 %, från 168 900 EUR 2023 till 295 400 EUR 2024. Parlamentet noterar utifrån frågeformuläret ombudsmannens åsikt att den kumulativa effekten av inflationstrycket och begränsningen av de icke lönerelaterade utgifterna till högst 2 % jämfört med föregående år påverkar den långsiktiga hållbarheten i ombudsmannens budget. Parlamentet erkänner behovet av att alla EU-institutioner förbättrar sin budgetförvaltning genom att även ta hänsyn till prisvolatilitet, särskilt inom energisektorn, när de ingår avtal med tjänsteleverantörer.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noterar att budgeten för personalens tjänsteresor uppgick till 120 000 EUR 2024 (samma belopp som för 2023). Parlamentet noterar dock att en förstärkning av budgetartikeln för tjänsteresor med +38,60 % under 2024 genomfördes genom interna överföringar. Parlamentet noterar ombudsmannens förklaring, enligt vilken denna förstärkning var nödvändig på grund av inflationen och ökade inkvarteringskostnader, en ökning av antalet nödvändiga tjänsteresor för ombudsmannen och budgetberäkningar baserade på resor under tidigare år då resandet var begränsat på grund av covid-19-pandemin. Parlamentet noterar att ombudsmannens ursprungliga budget för tjänsteresor förblev densamma under 2023 som under tidigare år (2022 och 2023), dvs. 35 000 EUR. Parlamentet noterar att efter en förstärkning av denna budget genom interna överföringar uppgick de faktiska utgifterna för ombudsmannens tjänsteresor till totalt 41 326 EUR under 2024</w:t>
            </w:r>
            <w:r>
              <w:rPr>
                <w:vertAlign w:val="superscript"/>
              </w:rPr>
              <w:t>3</w:t>
            </w:r>
            <w:r>
              <w:t>.</w:t>
            </w:r>
          </w:p>
        </w:tc>
        <w:tc>
          <w:tcPr>
            <w:tcW w:w="4876" w:type="dxa"/>
            <w:tcBorders>
              <w:top w:val="nil"/>
              <w:left w:val="nil"/>
              <w:bottom w:val="nil"/>
              <w:right w:val="nil"/>
            </w:tcBorders>
          </w:tcPr>
          <w:p>
            <w:pPr>
              <w:pStyle w:val="Normal6a"/>
            </w:pPr>
            <w:r>
              <w:t>9.</w:t>
            </w:r>
            <w:r>
              <w:tab/>
            </w:r>
            <w:r>
              <w:t>Europaparlamentet noterar att budgeten för personalens tjänsteresor uppgick till 120 000 EUR 2024 (samma belopp som för 2023). Parlamentet noterar dock att en förstärkning av budgetartikeln för tjänsteresor med +38,60 % under 2024 genomfördes genom interna överföringar. Parlamentet noterar ombudsmannens förklaring, enligt vilken denna förstärkning var nödvändig på grund av inflationen och ökade inkvarteringskostnader, en ökning av antalet nödvändiga tjänsteresor för ombudsmannen och budgetberäkningar baserade på resor under tidigare år då resandet var begränsat på grund av covid-19-pandemin. Parlamentet noterar att ombudsmannens ursprungliga budget för tjänsteresor förblev densamma under 2023 som under tidigare år (2022 och 2023), dvs. 35 000 EUR. Parlamentet noterar att efter en förstärkning av denna budget genom interna överföringar uppgick de faktiska utgifterna för ombudsmannens tjänsteresor till totalt 41 326 EUR under 2024</w:t>
            </w:r>
            <w:r>
              <w:rPr>
                <w:vertAlign w:val="superscript"/>
              </w:rPr>
              <w:t>3</w:t>
            </w:r>
            <w:r>
              <w:t xml:space="preserve">. </w:t>
            </w:r>
            <w:r>
              <w:rPr>
                <w:b/>
                <w:i/>
              </w:rPr>
              <w:t>Parlamentet efterlyser mer realistiska inledande budgetprognoser för resor för att minimera beroendet av stora överföringar i mitten av året och säkerställa en stabil finansiell planering.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och https://www.ombudsman.europa.eu/en/doc/declarations-and-transparency/en/198831.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och https://www.ombudsman.europa.eu/en/doc/declarations-and-transparency/en/198831.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c>
          <w:tcPr>
            <w:tcW w:w="4876" w:type="dxa"/>
            <w:tcBorders>
              <w:top w:val="nil"/>
              <w:left w:val="nil"/>
              <w:bottom w:val="nil"/>
              <w:right w:val="nil"/>
            </w:tcBorders>
          </w:tcPr>
          <w:p>
            <w:pPr>
              <w:pStyle w:val="Normal6a"/>
            </w:pPr>
            <w:r>
              <w:t>12.</w:t>
            </w:r>
            <w:r>
              <w:tab/>
            </w:r>
            <w:r>
              <w:t xml:space="preserve">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 </w:t>
            </w:r>
            <w:r>
              <w:rPr>
                <w:b/>
                <w:i/>
              </w:rPr>
              <w:t>Parlamentet rekommenderar att ombudsmannen ytterligare förfinar de nyckelprestationsindikatorer som rör handläggningstiden genom att bättre återspegla ärendenas varierande komplexitet, i syfte att säkerställa en mer realistisk, meningsfull och effektivitetsinriktad resultatbedömning.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c>
          <w:tcPr>
            <w:tcW w:w="4876" w:type="dxa"/>
            <w:tcBorders>
              <w:top w:val="nil"/>
              <w:left w:val="nil"/>
              <w:bottom w:val="nil"/>
              <w:right w:val="nil"/>
            </w:tcBorders>
          </w:tcPr>
          <w:p>
            <w:pPr>
              <w:pStyle w:val="Normal6a"/>
            </w:pPr>
            <w:r>
              <w:t>12.</w:t>
            </w:r>
            <w:r>
              <w:tab/>
            </w:r>
            <w:r>
              <w:t xml:space="preserve">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w:t>
            </w:r>
            <w:r>
              <w:rPr>
                <w:b/>
                <w:i/>
              </w:rPr>
              <w:t>efterlyser en plan för att åtgärda dessa förseningar.</w:t>
            </w:r>
            <w:r>
              <w:t xml:space="preserve"> </w:t>
            </w:r>
            <w:r>
              <w:rPr>
                <w:b/>
                <w:i/>
              </w:rPr>
              <w:t>Parlamentet föreslår att de besparingar på 65 % som uppnåtts genom AI-översättning omdirigeras för att stärka utredningsgrupper, särskilt för fall som rör allmänhetens tillgång.</w:t>
            </w:r>
            <w:r>
              <w:t xml:space="preserve"> </w:t>
            </w:r>
            <w:r>
              <w:rPr>
                <w:b/>
                <w:i/>
              </w:rPr>
              <w:t>Parlamentet</w:t>
            </w:r>
            <w:r>
              <w:t xml:space="preserve">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c>
          <w:tcPr>
            <w:tcW w:w="4876" w:type="dxa"/>
            <w:tcBorders>
              <w:top w:val="nil"/>
              <w:left w:val="nil"/>
              <w:bottom w:val="nil"/>
              <w:right w:val="nil"/>
            </w:tcBorders>
          </w:tcPr>
          <w:p>
            <w:pPr>
              <w:pStyle w:val="Normal6a"/>
            </w:pPr>
            <w:r>
              <w:t>12.</w:t>
            </w:r>
            <w:r>
              <w:tab/>
            </w:r>
            <w:r>
              <w:t xml:space="preserve">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w:t>
            </w:r>
            <w:r>
              <w:rPr>
                <w:b/>
                <w:i/>
              </w:rPr>
              <w:t>betonar att omfattande förseningar i hanteringen av ärenden om tillgång till handlingar direkt undergräver medborgarnas rättigheter och allmänhetens förtroende för EU:s förvaltning överlag.</w:t>
            </w:r>
            <w:r>
              <w:t xml:space="preserve"> </w:t>
            </w:r>
            <w:r>
              <w:rPr>
                <w:b/>
                <w:i/>
              </w:rPr>
              <w:t>Parlamentet</w:t>
            </w:r>
            <w:r>
              <w:t xml:space="preserve">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c>
          <w:tcPr>
            <w:tcW w:w="4876" w:type="dxa"/>
            <w:tcBorders>
              <w:top w:val="nil"/>
              <w:left w:val="nil"/>
              <w:bottom w:val="nil"/>
              <w:right w:val="nil"/>
            </w:tcBorders>
          </w:tcPr>
          <w:p>
            <w:pPr>
              <w:pStyle w:val="Normal6a"/>
            </w:pPr>
            <w:r>
              <w:t>12.</w:t>
            </w:r>
            <w:r>
              <w:tab/>
            </w:r>
            <w:r>
              <w:t xml:space="preserve">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w:t>
            </w:r>
            <w:r>
              <w:rPr>
                <w:b/>
                <w:i/>
              </w:rPr>
              <w:t>erkänner att komplicerade ärenden, särskilt sådana som involverar flera institutioner, kan kräva längre handläggningstider.</w:t>
            </w:r>
            <w:r>
              <w:t xml:space="preserve"> </w:t>
            </w:r>
            <w:r>
              <w:rPr>
                <w:b/>
                <w:i/>
              </w:rPr>
              <w:t>Parlamentet</w:t>
            </w:r>
            <w:r>
              <w:t xml:space="preserve"> noterar i detta sammanhang med tillfredsställelse utifrån ombudsmannens rapport till parlamentet om uppföljningen av ansvarsfrihetsförfarandet för budgetåret 2023 (uppföljningsrapporten) att ett av den nyvalda ombudsmannens viktigaste strategiska mål är att stärka samarbetet och dialogen med unionens institutioner, organ och byråer, i syfte att i slutändan minska den tid som krävs för att behandla undersökningar.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noterar när det gäller iakttagelser att ombudsmannen under 2024 lade fram ett förslag till lösning i 14 fall och rekommendationer i tre fall som gällde allmänhetens tillgång till handlingar. Parlamentet noterar en förbättring när det gäller EU-institutionernas positiva svar på ombudsmannens förslag om att förbättra deras administration, med en total acceptansgrad på 82 % 2024 (jämfört med 81 % 2023), vilket inkluderar fall som avslutades 2023. Parlamentet uppmanar ombudsmannen att fortsätta arbetet för att uppnå en hög efterlevnadsgrad när det gäller dess iakttagelser, rekommendationer och förslag.</w:t>
            </w:r>
          </w:p>
        </w:tc>
        <w:tc>
          <w:tcPr>
            <w:tcW w:w="4876" w:type="dxa"/>
            <w:tcBorders>
              <w:top w:val="nil"/>
              <w:left w:val="nil"/>
              <w:bottom w:val="nil"/>
              <w:right w:val="nil"/>
            </w:tcBorders>
          </w:tcPr>
          <w:p>
            <w:pPr>
              <w:pStyle w:val="Normal6a"/>
            </w:pPr>
            <w:r>
              <w:t>13.</w:t>
            </w:r>
            <w:r>
              <w:tab/>
            </w:r>
            <w:r>
              <w:t xml:space="preserve">Europaparlamentet noterar när det gäller iakttagelser att ombudsmannen under 2024 lade fram ett förslag till lösning i 14 fall och rekommendationer i tre fall som gällde allmänhetens tillgång till handlingar. Parlamentet noterar en förbättring när det gäller EU-institutionernas positiva svar på ombudsmannens förslag om att förbättra deras administration, med en total acceptansgrad på 82 % 2024 (jämfört med 81 % 2023), vilket inkluderar fall som avslutades 2023. Parlamentet uppmanar ombudsmannen att </w:t>
            </w:r>
            <w:r>
              <w:rPr>
                <w:b/>
                <w:i/>
              </w:rPr>
              <w:t>utarbeta en riktad handlingsplan som syftar till att identifiera och hantera de vanligaste orsakerna till de återstående icke godtagna förslagen, och uppmanar ombudsmannen att</w:t>
            </w:r>
            <w:r>
              <w:t xml:space="preserve"> fortsätta arbetet för att uppnå en hög efterlevnadsgrad när det gäller dess iakttagelser, rekommendationer och förslag.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uppskattar att ombudsmannen fortsatte att göra ansträngningar under 2024 för att öka medborgarnas medvetenhet om och förståelse för ombudsmannens mandat. Parlamentet noterar i detta sammanhang med tillfredsställelse en ökning av andelen klagomål inom mandatet, från 33 % 2022 och 37 % 2023 till 39 % 2024. Parlamentet noterar vidare från uppföljningsrapporten att ett av ombudsmannens nya strategiska mål är att inleda riktad kommunikationsverksamhet för att se till att medborgare som behöver ombudsmannen är medvetna om sin rätt och användningen av ombudsmannens tjänster. Parlamentet noterar i detta sammanhang att antalet klagomål därför förväntas öka, vilket kommer att leda till ett behov av att se över och anpassa arbetsmetoderna och öka användningen av digitala verktyg, särskilt AI, för att ytterligare effektivisera processen för hantering av klagomål. Parlamentet uppmanar ombudsmannen att hålla den </w:t>
            </w:r>
            <w:r>
              <w:rPr>
                <w:b/>
                <w:i/>
              </w:rPr>
              <w:t>ansvarsbefrielsebeviljande</w:t>
            </w:r>
            <w:r>
              <w:t xml:space="preserve"> myndigheten informerad om de framsteg som görs i detta avseende.</w:t>
            </w:r>
          </w:p>
        </w:tc>
        <w:tc>
          <w:tcPr>
            <w:tcW w:w="4876" w:type="dxa"/>
            <w:tcBorders>
              <w:top w:val="nil"/>
              <w:left w:val="nil"/>
              <w:bottom w:val="nil"/>
              <w:right w:val="nil"/>
            </w:tcBorders>
          </w:tcPr>
          <w:p>
            <w:pPr>
              <w:pStyle w:val="Normal6a"/>
            </w:pPr>
            <w:r>
              <w:t>14.</w:t>
            </w:r>
            <w:r>
              <w:tab/>
            </w:r>
            <w:r>
              <w:t xml:space="preserve">Europaparlamentet uppskattar att ombudsmannen fortsatte att göra ansträngningar under 2024 för att öka medborgarnas medvetenhet om och förståelse för ombudsmannens mandat. Parlamentet noterar i detta sammanhang med tillfredsställelse en ökning av andelen klagomål inom mandatet, från 33 % 2022 och 37 % 2023 till 39 % 2024. Parlamentet noterar vidare från uppföljningsrapporten att ett av ombudsmannens nya strategiska mål är att inleda riktad kommunikationsverksamhet för att se till att medborgare som behöver ombudsmannen är medvetna om sin rätt och användningen av ombudsmannens tjänster. Parlamentet noterar i detta sammanhang att antalet klagomål därför förväntas öka, vilket kommer att leda till ett behov av att se över och anpassa arbetsmetoderna och öka användningen av digitala verktyg, särskilt AI, för att ytterligare effektivisera processen för hantering av klagomål. Parlamentet uppmanar ombudsmannen att </w:t>
            </w:r>
            <w:r>
              <w:rPr>
                <w:b/>
                <w:i/>
              </w:rPr>
              <w:t>bedöma de potentiella budget- och personalkonsekvenserna av den förväntade ökningen av klagomål och att</w:t>
            </w:r>
            <w:r>
              <w:t xml:space="preserve"> hålla den </w:t>
            </w:r>
            <w:r>
              <w:rPr>
                <w:b/>
                <w:i/>
              </w:rPr>
              <w:t>ansvarsfrihetsbeviljande</w:t>
            </w:r>
            <w:r>
              <w:t xml:space="preserve"> myndigheten informerad om de framsteg som görs i detta avseende.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w:t>
            </w:r>
          </w:p>
        </w:tc>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 xml:space="preserve">. </w:t>
            </w:r>
            <w:r>
              <w:rPr>
                <w:b/>
                <w:i/>
              </w:rPr>
              <w:t>Parlamentet uppmanar ombudsmannen att fortsätta att prioritera det systematiska arbetet med otillbörliga förseningar i förfarandena för tillgång till handlingar, bland annat genom att identifiera återkommande administrativa flaskhalsar och god praxis inom de olika institutionerna.</w:t>
            </w:r>
            <w:r>
              <w:t xml:space="preserve"> </w:t>
            </w:r>
            <w:r>
              <w:rPr>
                <w:b/>
                <w:i/>
              </w:rPr>
              <w:t>Parlamentet stöder ombudsmannen när det gäller att främja en konsekvent tillämpning av testet om ”övervägande allmänintresse”, särskilt för ärenden med stor genomslagskraft, så att tillgång ges i tid för att den ska vara meningsfull för offentlig granskning.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w:t>
            </w:r>
          </w:p>
        </w:tc>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 xml:space="preserve">. </w:t>
            </w:r>
            <w:r>
              <w:rPr>
                <w:b/>
                <w:i/>
              </w:rPr>
              <w:t>Parlamentet anser att en sådan försening i frågor av betydande allmänintresse, såsom faciliteten för återhämtning och resiliens, utgör ett förnekande av transparens.</w:t>
            </w:r>
            <w:r>
              <w:t xml:space="preserve"> </w:t>
            </w:r>
            <w:r>
              <w:rPr>
                <w:b/>
                <w:i/>
              </w:rPr>
              <w:t>Parlamentet uppmanar ombudsmannen att formellt underrätta parlamentets berörda utskott så snart kommissionens dröjsmål med handlingar som rör faciliteten för återhämtning och resiliens överstiger sex månader, för att möjliggöra en rättidig politisk granskning.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w:t>
            </w:r>
          </w:p>
        </w:tc>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w:t>
            </w:r>
            <w:r>
              <w:rPr>
                <w:b/>
                <w:i/>
              </w:rPr>
              <w:t>, vilket sannolikt urholkar medborgarnas förtroende för EU-förvaltningen</w:t>
            </w:r>
            <w:r>
              <w:t xml:space="preserve">.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w:t>
            </w:r>
            <w:r>
              <w:rPr>
                <w:b/>
                <w:i/>
              </w:rPr>
              <w:t>noterar med oro att sådana förseningar försvagar den demokratiska kontrollen.</w:t>
            </w:r>
            <w:r>
              <w:t xml:space="preserve"> </w:t>
            </w:r>
            <w:r>
              <w:rPr>
                <w:b/>
                <w:i/>
              </w:rPr>
              <w:t>Parlamentet</w:t>
            </w:r>
            <w:r>
              <w:t xml:space="preserve">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w:t>
            </w:r>
          </w:p>
        </w:tc>
        <w:tc>
          <w:tcPr>
            <w:tcW w:w="4876" w:type="dxa"/>
            <w:tcBorders>
              <w:top w:val="nil"/>
              <w:left w:val="nil"/>
              <w:bottom w:val="nil"/>
              <w:right w:val="nil"/>
            </w:tcBorders>
          </w:tcPr>
          <w:p>
            <w:pPr>
              <w:pStyle w:val="Normal6a"/>
            </w:pPr>
            <w:r>
              <w:t>18.</w:t>
            </w:r>
            <w:r>
              <w:tab/>
            </w:r>
            <w:r>
              <w:t xml:space="preserve">Europaparlamentet noterar utifrån uppföljningsrapporten att ombudsmannen fortsatte att övervaka frågor som rör transparens och ansvarsskyldighet i samband med faciliteten för återhämtning och resiliens, inom ramen för hanteringen av klagomål på området allmänhetens tillgång till handlingar, främst när det gäller förhandlingar om de nationella planerna för återhämtning och resiliens. Parlamentet noterar bland annat de betydande förseningar som kommissionen stött på när det gäller att besvara begäranden om tillgång till information och den nivå av tillgång som beviljats. Parlamentet uppskattar att kommissionen, i ett fall som rör Nederländernas nationella plan för återhämtning och resiliens,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w:t>
            </w:r>
            <w:r>
              <w:rPr>
                <w:b/>
                <w:i/>
              </w:rPr>
              <w:t>uttrycker oro över förseningens längd.</w:t>
            </w:r>
            <w:r>
              <w:t xml:space="preserve"> </w:t>
            </w:r>
            <w:r>
              <w:rPr>
                <w:b/>
                <w:i/>
              </w:rPr>
              <w:t>Parlamentet</w:t>
            </w:r>
            <w:r>
              <w:t xml:space="preserve"> håller med om att det i frågor av betydande allmänintresse, såsom faciliteten för återhämtning och resiliens, inte bör förekomma några förseningar när det gäller att ge tillgång till handlingar. Parlamentet upprepar ombudsmannens åsikt att kommissionen noggrant bör beakta förekomsten av ett övervägande allmänintresse när den tillämpar undantagen från allmänhetens tillgång enligt förordning (EG) nr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Europaparlamentets och rådets förordning (EG) nr 1049/2001 av den 30 maj 2001 om allmänhetens tillgång till Europaparlamentets, rådets och kommissionens handlingar (EGT L 145,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påminner om att enligt ombudsmannen bör begränsningar av tillgången till handlingar, särskilt lagstiftningshandlingar, utgöra ett undantag och begränsas till vad som är absolut nödvändigt. Parlamentet påminner även om att alla avslag angående allmänhetens tillgång till handlingar måste bygga på tydligt och noggrant fastställda rättsliga undantag och åtföljas av motiverade och specifika skäl så att medborgarna kan förstå varför tillgång till handlingen nekats och på ett effektivt sätt använda sig av de rättsmedel som finns att tillgå. Parlamentet anser att en mer proaktiv strategi skulle bidra till att säkerställa effektiv transparens och förhindra kostsamma och betungande rättstvister mellan medborgarna och institutionerna</w:t>
            </w:r>
            <w:r>
              <w:rPr>
                <w:vertAlign w:val="superscript"/>
              </w:rPr>
              <w:t>5</w:t>
            </w:r>
            <w:r>
              <w:t>.</w:t>
            </w:r>
          </w:p>
        </w:tc>
        <w:tc>
          <w:tcPr>
            <w:tcW w:w="4876" w:type="dxa"/>
            <w:tcBorders>
              <w:top w:val="nil"/>
              <w:left w:val="nil"/>
              <w:bottom w:val="nil"/>
              <w:right w:val="nil"/>
            </w:tcBorders>
          </w:tcPr>
          <w:p>
            <w:pPr>
              <w:pStyle w:val="Normal6a"/>
            </w:pPr>
            <w:r>
              <w:t>19.</w:t>
            </w:r>
            <w:r>
              <w:tab/>
            </w:r>
            <w:r>
              <w:t>Europaparlamentet påminner om att enligt ombudsmannen bör begränsningar av tillgången till handlingar, särskilt lagstiftningshandlingar, utgöra ett undantag och begränsas till vad som är absolut nödvändigt. Parlamentet påminner även om att alla avslag angående allmänhetens tillgång till handlingar måste bygga på tydligt och noggrant fastställda rättsliga undantag och åtföljas av motiverade och specifika skäl så att medborgarna kan förstå varför tillgång till handlingen nekats och på ett effektivt sätt använda sig av de rättsmedel som finns att tillgå. Parlamentet anser att en mer proaktiv strategi skulle bidra till att säkerställa effektiv transparens och förhindra kostsamma och betungande rättstvister mellan medborgarna och institutionerna</w:t>
            </w:r>
            <w:r>
              <w:rPr>
                <w:vertAlign w:val="superscript"/>
              </w:rPr>
              <w:t>5</w:t>
            </w:r>
            <w:r>
              <w:t xml:space="preserve">. </w:t>
            </w:r>
            <w:r>
              <w:rPr>
                <w:b/>
                <w:i/>
              </w:rPr>
              <w:t>Parlamentet uppmuntrar ombudsmannen att ytterligare främja proaktiva publiceringsmetoder, särskilt för lagstiftnings- och policydokument, i syfte att stärka den inbyggda transparensen och minska den administrativa bördan och risken för rättstvister i samband med upprepade begäranden om tillgång till handlingar.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https://www.europarl.europa.eu/doceo/document/TA-9-2023-0295_SV.html.</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https://www.europarl.europa.eu/doceo/document/TA-9-2023-0295_SV.html.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Europaparlamentet noterar en minskning av det totala antalet anställda vid ombudsmannen med 4,90 %, från 82 anställda 2023 till 78 anställda 2024. Parlamentet noterar vidare att ombudsmannen under 2024 hade 46 anställda tjänstemän, jämfört med 40 under 2023, respektive 9 kontraktsanställda, samma som 2023. Parlamentet noterar en liten minskning av andelen anställda som arbetar med ombudsmannens kärnverksamhet (klagomål och undersökningar), från 42,68 % 2023 till 42,30 % 2024. Parlamentet noterar vidare att andelen tillsatta tjänster ökade från 95 % 2023 till 97 % 2024 och att personalomsättningen ökade från 5,20 % 2023 till 6,40 % 2024. Parlamentet påminner om vikten av att erbjuda fast anställning för att behålla kompetens, upprätthålla kontinuitet och sörja för en produktiv arbetsmiljö.</w:t>
            </w:r>
          </w:p>
        </w:tc>
        <w:tc>
          <w:tcPr>
            <w:tcW w:w="4876" w:type="dxa"/>
            <w:tcBorders>
              <w:top w:val="nil"/>
              <w:left w:val="nil"/>
              <w:bottom w:val="nil"/>
              <w:right w:val="nil"/>
            </w:tcBorders>
          </w:tcPr>
          <w:p>
            <w:pPr>
              <w:pStyle w:val="Normal6a"/>
            </w:pPr>
            <w:r>
              <w:t>21.</w:t>
            </w:r>
            <w:r>
              <w:tab/>
            </w:r>
            <w:r>
              <w:t xml:space="preserve">Europaparlamentet noterar en minskning av det totala antalet anställda vid ombudsmannen med 4,90 %, från 82 anställda 2023 till 78 anställda 2024. Parlamentet noterar vidare att ombudsmannen under 2024 hade 46 anställda tjänstemän, jämfört med 40 under 2023, respektive 9 kontraktsanställda, samma som 2023. Parlamentet noterar en liten minskning av andelen anställda som arbetar med ombudsmannens kärnverksamhet (klagomål och undersökningar), från 42,68 % 2023 till 42,30 % 2024. Parlamentet noterar vidare att andelen tillsatta tjänster ökade från 95 % 2023 till 97 % 2024 och att personalomsättningen ökade från 5,20 % 2023 till 6,40 % 2024. Parlamentet påminner om vikten av att erbjuda fast anställning för att behålla kompetens, upprätthålla kontinuitet och sörja för en produktiv arbetsmiljö. </w:t>
            </w:r>
            <w:r>
              <w:rPr>
                <w:b/>
                <w:i/>
              </w:rPr>
              <w:t>Parlamentet understryker att det minskande antalet anställda inom centrala operativa områden och det betydande beroendet av tillfälliga kontrakt kan minska det institutionella minnet och institutionens effektivitet.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w:t>
            </w:r>
            <w:r>
              <w:rPr>
                <w:b/>
                <w:i/>
              </w:rPr>
              <w:t>anser</w:t>
            </w:r>
            <w:r>
              <w:t xml:space="preserve"> att det </w:t>
            </w:r>
            <w:r>
              <w:rPr>
                <w:b/>
                <w:i/>
              </w:rPr>
              <w:t>faktum att den valda generalsekreteraren tidigare tjänstgjort som kanslichef för den nuvarande ombudsmannen, som var ordförande för uttagningskommittén, väcker farhågor om eventuell favorisering i urvalsprocessen, även om den genomförts på ett lagligt sätt</w:t>
            </w:r>
            <w:r>
              <w:t>.</w:t>
            </w:r>
          </w:p>
        </w:tc>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w:t>
            </w:r>
            <w:r>
              <w:rPr>
                <w:b/>
                <w:i/>
              </w:rPr>
              <w:t>betonar</w:t>
            </w:r>
            <w:r>
              <w:t xml:space="preserve"> att det </w:t>
            </w:r>
            <w:r>
              <w:rPr>
                <w:b/>
                <w:i/>
              </w:rPr>
              <w:t>måste säkerställas strikta garantier för konfidentialitet och diskretion samt robusta skyddsåtgärder för att förhindra alla former av politiskt inflytande eller inblandning i ombudsmannainstitutionens verksamhet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w:t>
            </w:r>
            <w:r>
              <w:rPr>
                <w:b/>
                <w:i/>
              </w:rPr>
              <w:t>anser att det faktum</w:t>
            </w:r>
            <w:r>
              <w:t xml:space="preserve"> att den valda generalsekreteraren </w:t>
            </w:r>
            <w:r>
              <w:rPr>
                <w:b/>
                <w:i/>
              </w:rPr>
              <w:t>tidigare tjänstgjort som</w:t>
            </w:r>
            <w:r>
              <w:t xml:space="preserve"> kanslichef </w:t>
            </w:r>
            <w:r>
              <w:rPr>
                <w:b/>
                <w:i/>
              </w:rPr>
              <w:t>för</w:t>
            </w:r>
            <w:r>
              <w:t xml:space="preserve"> den nuvarande ombudsmannen</w:t>
            </w:r>
            <w:r>
              <w:rPr>
                <w:b/>
                <w:i/>
              </w:rPr>
              <w:t>, som var ordförande för uttagningskommittén, väcker farhågor om</w:t>
            </w:r>
            <w:r>
              <w:t xml:space="preserve"> eventuell favorisering </w:t>
            </w:r>
            <w:r>
              <w:rPr>
                <w:b/>
                <w:i/>
              </w:rPr>
              <w:t>i urvalsprocessen, även om den genomförts på ett lagligt sätt</w:t>
            </w:r>
            <w:r>
              <w:t>.</w:t>
            </w:r>
          </w:p>
        </w:tc>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w:t>
            </w:r>
            <w:r>
              <w:rPr>
                <w:b/>
                <w:i/>
              </w:rPr>
              <w:t>efter flera uppmaningar från parlamentet att tillsätta denna vakanta post</w:t>
            </w:r>
            <w:r>
              <w:t xml:space="preserve">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w:t>
            </w:r>
            <w:r>
              <w:rPr>
                <w:b/>
                <w:i/>
              </w:rPr>
              <w:t>och de övriga två var utomstående och oberoende medlemmar,</w:t>
            </w:r>
            <w:r>
              <w:t xml:space="preserve"> som deltog i bedömningen av ansökningarnas behörighet och intervjuer. Parlamentet </w:t>
            </w:r>
            <w:r>
              <w:rPr>
                <w:b/>
                <w:i/>
              </w:rPr>
              <w:t>vidhåller att ombudsmannen är en institution som består av en enda ledamot, i enlighet med fördragen och dess stadga.</w:t>
            </w:r>
            <w:r>
              <w:t xml:space="preserve"> </w:t>
            </w:r>
            <w:r>
              <w:rPr>
                <w:b/>
                <w:i/>
              </w:rPr>
              <w:t>Parlamentet noterar de ytterligare skyddsåtgärder som antogs under urvalsförfarandet, inbegripet att två högre tjänstemän deltog i hela processen.</w:t>
            </w:r>
            <w:r>
              <w:t xml:space="preserve"> </w:t>
            </w:r>
            <w:r>
              <w:rPr>
                <w:b/>
                <w:i/>
              </w:rPr>
              <w:t>Parlamentet noterar att förfarandet genomfördes på ett lagligt sätt.</w:t>
            </w:r>
            <w:r>
              <w:t xml:space="preserve"> </w:t>
            </w:r>
            <w:r>
              <w:rPr>
                <w:b/>
                <w:i/>
              </w:rPr>
              <w:t>Parlamentet noterar</w:t>
            </w:r>
            <w:r>
              <w:t xml:space="preserve"> att den valda generalsekreteraren</w:t>
            </w:r>
            <w:r>
              <w:rPr>
                <w:b/>
                <w:i/>
              </w:rPr>
              <w:t>, som utnämnts till</w:t>
            </w:r>
            <w:r>
              <w:t xml:space="preserve"> kanslichef </w:t>
            </w:r>
            <w:r>
              <w:rPr>
                <w:b/>
                <w:i/>
              </w:rPr>
              <w:t>hos</w:t>
            </w:r>
            <w:r>
              <w:t xml:space="preserve"> den nuvarande ombudsmannen </w:t>
            </w:r>
            <w:r>
              <w:rPr>
                <w:b/>
                <w:i/>
              </w:rPr>
              <w:t>i februari 2025, har varit EU-tjänsteman i 30 år, med 10 års erfarenhet av ledarskap.</w:t>
            </w:r>
            <w:r>
              <w:t xml:space="preserve"> </w:t>
            </w:r>
            <w:r>
              <w:rPr>
                <w:b/>
                <w:i/>
              </w:rPr>
              <w:t>Parlamentet uppmanar ombudsmannen att ytterligare reflektera över hur urvalsförfaranden och utnämningsbeslut kan skyddas från eventuella upplevda intressekonflikter eller</w:t>
            </w:r>
            <w:r>
              <w:t xml:space="preserve"> eventuell favorisering.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anser att det faktum att den valda generalsekreteraren tidigare tjänstgjort som kanslichef för den nuvarande ombudsmannen</w:t>
            </w:r>
            <w:r>
              <w:rPr>
                <w:b/>
                <w:i/>
              </w:rPr>
              <w:t>, som</w:t>
            </w:r>
            <w:r>
              <w:t xml:space="preserve"> var ordförande för uttagningskommittén</w:t>
            </w:r>
            <w:r>
              <w:rPr>
                <w:b/>
                <w:i/>
              </w:rPr>
              <w:t>, väcker</w:t>
            </w:r>
            <w:r>
              <w:t xml:space="preserve"> farhågor om </w:t>
            </w:r>
            <w:r>
              <w:rPr>
                <w:b/>
                <w:i/>
              </w:rPr>
              <w:t>eventuell favorisering i</w:t>
            </w:r>
            <w:r>
              <w:t xml:space="preserve"> urvalsprocessen, även om den genomförts på ett lagligt sätt.</w:t>
            </w:r>
          </w:p>
        </w:tc>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anser att det faktum att den valda generalsekreteraren tidigare tjänstgjort som kanslichef för den nuvarande ombudsmannen </w:t>
            </w:r>
            <w:r>
              <w:rPr>
                <w:b/>
                <w:i/>
              </w:rPr>
              <w:t>och att den sistnämnda</w:t>
            </w:r>
            <w:r>
              <w:t xml:space="preserve"> var ordförande för uttagningskommittén </w:t>
            </w:r>
            <w:r>
              <w:rPr>
                <w:b/>
                <w:i/>
              </w:rPr>
              <w:t>kan väcka vissa</w:t>
            </w:r>
            <w:r>
              <w:t xml:space="preserve"> farhågor om </w:t>
            </w:r>
            <w:r>
              <w:rPr>
                <w:b/>
                <w:i/>
              </w:rPr>
              <w:t>huruvida</w:t>
            </w:r>
            <w:r>
              <w:t xml:space="preserve"> urvalsprocessen </w:t>
            </w:r>
            <w:r>
              <w:rPr>
                <w:b/>
                <w:i/>
              </w:rPr>
              <w:t>varit rättvis</w:t>
            </w:r>
            <w:r>
              <w:t xml:space="preserve">, även om den genomförts på ett lagligt sätt. </w:t>
            </w:r>
            <w:r>
              <w:rPr>
                <w:b/>
                <w:i/>
              </w:rPr>
              <w:t>Parlamentet betonar att parlamentet inte kräver att ombudsmannen ska delegera sina rättigheter och skyldigheter som tillsättningsmyndighet, men noterar hennes närvaro i uttagningskommittén trots att unionsrätten inte kräver det.</w:t>
            </w:r>
            <w:r>
              <w:t xml:space="preserve"> </w:t>
            </w:r>
            <w:r>
              <w:rPr>
                <w:b/>
                <w:i/>
              </w:rPr>
              <w:t>Parlamentet förstår dock att i en institution bestående av en enda person, såsom ombudsmannen, kan befattningshavaren behöva delta i de sista skedena av vissa urvalsförfaranden.</w:t>
            </w:r>
            <w:r>
              <w:t xml:space="preserve"> </w:t>
            </w:r>
            <w:r>
              <w:rPr>
                <w:b/>
                <w:i/>
              </w:rPr>
              <w:t>Parlamentet rekommenderar ombudsmannen att se över sin arbetsordning för att säkerställa att detta deltagande sker med alla garantier för rättvisa och transparens och endast i den utsträckning som är strikt tillrådlig.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anser att det faktum att den valda generalsekreteraren tidigare tjänstgjort som kanslichef för den nuvarande ombudsmannen, som var ordförande för uttagningskommittén, väcker farhågor om eventuell favorisering i urvalsprocessen, även om den genomförts på ett lagligt sätt.</w:t>
            </w:r>
          </w:p>
        </w:tc>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anser att det faktum att den valda generalsekreteraren tidigare tjänstgjort som kanslichef för den nuvarande ombudsmannen, som var ordförande för uttagningskommittén, väcker farhågor om eventuell favorisering i urvalsprocessen, även om den genomförts på ett lagligt sätt. </w:t>
            </w:r>
            <w:r>
              <w:rPr>
                <w:b/>
                <w:i/>
              </w:rPr>
              <w:t>Parlamentet anser att även något som kan uppfattas som favorisering eller en intressekonflikt är oförenligt med de integritetsstandarder som förväntas av ombudsmannainstitutionen, oavsett förfarandets formella laglighet.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som deltog i bedömningen av ansökningarnas behörighet och intervjuer. Parlamentet </w:t>
            </w:r>
            <w:r>
              <w:rPr>
                <w:b/>
                <w:i/>
              </w:rPr>
              <w:t>anser att det faktum att</w:t>
            </w:r>
            <w:r>
              <w:t xml:space="preserve"> den valda generalsekreteraren </w:t>
            </w:r>
            <w:r>
              <w:rPr>
                <w:b/>
                <w:i/>
              </w:rPr>
              <w:t>tidigare tjänstgjort</w:t>
            </w:r>
            <w:r>
              <w:t xml:space="preserve"> som kanslichef för den nuvarande ombudsmannen, som var ordförande för uttagningskommittén, </w:t>
            </w:r>
            <w:r>
              <w:rPr>
                <w:b/>
                <w:i/>
              </w:rPr>
              <w:t>väcker farhågor om eventuell favorisering i</w:t>
            </w:r>
            <w:r>
              <w:t xml:space="preserve"> urvalsprocessen</w:t>
            </w:r>
            <w:r>
              <w:rPr>
                <w:b/>
                <w:i/>
              </w:rPr>
              <w:t>, även om den genomförts på ett lagligt sätt</w:t>
            </w:r>
            <w:r>
              <w:t>.</w:t>
            </w:r>
          </w:p>
        </w:tc>
        <w:tc>
          <w:tcPr>
            <w:tcW w:w="4876" w:type="dxa"/>
            <w:tcBorders>
              <w:top w:val="nil"/>
              <w:left w:val="nil"/>
              <w:bottom w:val="nil"/>
              <w:right w:val="nil"/>
            </w:tcBorders>
          </w:tcPr>
          <w:p>
            <w:pPr>
              <w:pStyle w:val="Normal6a"/>
            </w:pPr>
            <w:r>
              <w:t>22.</w:t>
            </w:r>
            <w:r>
              <w:tab/>
            </w:r>
            <w:r>
              <w:t xml:space="preserve">Europaparlamentet påminner om att tjänsten som generalsekreterare hos ombudsmannen har varit vakant i mer än två år, sedan den 1 september 2022. Parlamentet noterar att ombudsmannen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varav en var ombudsmannen själv </w:t>
            </w:r>
            <w:r>
              <w:rPr>
                <w:b/>
                <w:i/>
              </w:rPr>
              <w:t>och de övriga två utomstående medlemmar</w:t>
            </w:r>
            <w:r>
              <w:t xml:space="preserve">, som deltog i bedömningen av ansökningarnas behörighet och intervjuer. Parlamentet </w:t>
            </w:r>
            <w:r>
              <w:rPr>
                <w:b/>
                <w:i/>
              </w:rPr>
              <w:t>noterar att den tidigare rollen för</w:t>
            </w:r>
            <w:r>
              <w:t xml:space="preserve"> den valda generalsekreteraren som kanslichef för den nuvarande ombudsmannen, som var ordförande för uttagningskommittén, </w:t>
            </w:r>
            <w:r>
              <w:rPr>
                <w:b/>
                <w:i/>
              </w:rPr>
              <w:t>skulle kunna uppfattas som oroväckande, trots det lagliga genomförandet av</w:t>
            </w:r>
            <w:r>
              <w:t xml:space="preserve"> urvalsprocessen</w:t>
            </w:r>
            <w:r>
              <w:rPr>
                <w:b/>
                <w:i/>
              </w:rPr>
              <w:t>.</w:t>
            </w:r>
            <w:r>
              <w:t xml:space="preserve"> </w:t>
            </w:r>
            <w:r>
              <w:rPr>
                <w:b/>
                <w:i/>
              </w:rPr>
              <w:t>Parlamentet uppmanar ombudsmannen att ytterligare reflektera över sätt att skydda urvalsförfarandena mot upplevda intressekonflikter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w:t>
            </w:r>
            <w:r>
              <w:rPr>
                <w:b/>
                <w:i/>
              </w:rPr>
              <w:t>.</w:t>
            </w:r>
            <w:r>
              <w:t xml:space="preserve"> </w:t>
            </w:r>
            <w:r>
              <w:rPr>
                <w:b/>
                <w:i/>
              </w:rPr>
              <w:t>Parlamentet håller i detta sammanhang inte med ombudsmannen om att rättspraxis enligt Meroni-målet (C-9/56 och C-10/56) är tillämplig, eftersom denna rättspraxis inte rör delegering av befogenheter i personalfrågor (såsom val av en anställd), utan delegering av skönsmässiga befogenheter till externa/privata organ</w:t>
            </w:r>
            <w:r>
              <w:t xml:space="preserve">. Parlamentet betonar vidare att det inte kräver att ombudsmannen ska delegera sina rättigheter och skyldigheter som tillsättningsmyndighet, samtidigt som det ifrågasätter ombudsmannens närvaro i uttagningskommittén, eftersom det i artikel 3 i bilaga III till tjänsteföreskrifterna uttryckligen anges att ”uttagningskommittén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 </w:t>
            </w:r>
            <w:r>
              <w:rPr>
                <w:b/>
                <w:i/>
              </w:rPr>
              <w:t>Parlamentet understryker att genom att fatta ett slutligt beslut, vilket är en uppgift för tillsättningsmyndigheten, bekräftar den senare också att hela urvalsförfarandet har varit lagligt, inbegripet sökandens efterlevnad av alla kriterier för tillåtlighet och behörighet, medan en sådan uppgift endast skulle bli ytlig om tillsättningsmyndigheten också har varit ordförande för uttagningskommittén i de tidigare skedena av förfarandet/uttagningsprovet, vilket är vad som hände i det berörda förfarandet. Parlamentet noterar dessutom ombudsmannens vägran att förse den ansvarsfrihetsbeviljande myndigheten med alla handlingar som rör kontrollen av behörighet, bedömningen av ansökningar, de faktiska intervjuerna av kandidaterna på slutlistan med uttagningskommittén och intervjun på tu man hand med ombudsmannen, bland annat med motiveringen att ”gränserna för den rättsliga ramen för sekretess” för att undvika ”risken för att urvalsprocessens oberoende och integritet undergrävs” om sådana handlingar skulle lämnas ut. Parlamentet påminner om att parlamentet enligt artikel 319.2 i fördraget om Europeiska unionens funktionssätt har rätt att begära all nödvändig information.</w:t>
            </w:r>
            <w:r>
              <w:t xml:space="preserve"> </w:t>
            </w:r>
            <w:r>
              <w:rPr>
                <w:b/>
                <w:i/>
              </w:rPr>
              <w:t>Parlamentet understryker att vidarebefordran av information till parlamentet för ansvarsfrihetsändamål inte innebär att denna information offentliggörs.</w:t>
            </w:r>
            <w:r>
              <w:t xml:space="preserve"> </w:t>
            </w:r>
            <w:r>
              <w:rPr>
                <w:b/>
                <w:i/>
              </w:rPr>
              <w:t>Parlamentet betonar vidare att det har infört en omfattande uppsättning säkerhetsbestämmelser som överensstämmer med samma principer och standarder som andra EU-institutioner, inbegripet säkerhetsgodkännande, principen om behovsenlig behörighet, säkra utrymmen och läsrum, påföljder för överträdelser osv.</w:t>
            </w:r>
            <w:r>
              <w:t xml:space="preserve"> </w:t>
            </w:r>
            <w:r>
              <w:rPr>
                <w:b/>
                <w:i/>
              </w:rPr>
              <w:t>Mot bakgrund av ovanstående uppmanar parlamentet med kraft ombudsmannen att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w:t>
            </w:r>
          </w:p>
        </w:tc>
        <w:tc>
          <w:tcPr>
            <w:tcW w:w="4876" w:type="dxa"/>
            <w:tcBorders>
              <w:top w:val="nil"/>
              <w:left w:val="nil"/>
              <w:bottom w:val="nil"/>
              <w:right w:val="nil"/>
            </w:tcBorders>
          </w:tcPr>
          <w:p>
            <w:pPr>
              <w:pStyle w:val="Normal6a"/>
            </w:pPr>
            <w:r>
              <w:t>23.</w:t>
            </w:r>
            <w:r>
              <w:tab/>
            </w:r>
            <w:r>
              <w:t>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 Parlamentet betonar vidare att det inte kräver att ombudsmannen ska delegera sina rättigheter och skyldigheter som tillsättningsmyndighet, samtidigt som det ifrågasätter ombudsmannens närvaro i uttagningskommittén, eftersom det i artikel 3 i bilaga III till tjänsteföreskrifterna uttryckligen anges att ”uttagningskommittén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Europaparlamentet </w:t>
            </w:r>
            <w:r>
              <w:rPr>
                <w:b/>
                <w:i/>
              </w:rPr>
              <w:t>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w:t>
            </w:r>
            <w:r>
              <w:t xml:space="preserve"> </w:t>
            </w:r>
            <w:r>
              <w:rPr>
                <w:b/>
                <w:i/>
              </w:rPr>
              <w:t>Parlamentet</w:t>
            </w:r>
            <w:r>
              <w:t xml:space="preserve"> håller </w:t>
            </w:r>
            <w:r>
              <w:rPr>
                <w:b/>
                <w:i/>
              </w:rPr>
              <w:t>i detta sammanhang</w:t>
            </w:r>
            <w:r>
              <w:t xml:space="preserve"> inte med ombudsmannen om att rättspraxis enligt Meroni-målet (C-9/56 och C-10/56) är tillämplig, eftersom </w:t>
            </w:r>
            <w:r>
              <w:rPr>
                <w:b/>
                <w:i/>
              </w:rPr>
              <w:t>denna rättspraxis</w:t>
            </w:r>
            <w:r>
              <w:t xml:space="preserve"> inte rör delegering av befogenheter i personalfrågor (såsom val av en anställd), utan delegering av skönsmässiga befogenheter till externa/privata organ. Parlamentet </w:t>
            </w:r>
            <w:r>
              <w:rPr>
                <w:b/>
                <w:i/>
              </w:rPr>
              <w:t>betonar vidare att det inte kräver</w:t>
            </w:r>
            <w:r>
              <w:t xml:space="preserve"> att ombudsmannen </w:t>
            </w:r>
            <w:r>
              <w:rPr>
                <w:b/>
                <w:i/>
              </w:rPr>
              <w:t>ska delegera sina rättigheter och skyldigheter som tillsättningsmyndighet, samtidigt som det ifrågasätter ombudsmannens närvaro i uttagningskommittén, eftersom det i artikel 3 i bilaga III till tjänsteföreskrifterna uttryckligen anges</w:t>
            </w:r>
            <w:r>
              <w:t xml:space="preserve"> att ”</w:t>
            </w:r>
            <w:r>
              <w:rPr>
                <w:b/>
                <w:i/>
              </w:rPr>
              <w:t>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w:t>
            </w:r>
            <w:r>
              <w:t xml:space="preserve"> </w:t>
            </w:r>
            <w:r>
              <w:rPr>
                <w:b/>
                <w:i/>
              </w:rPr>
              <w:t>Parlamentet understryker att genom att fatta ett slutligt beslut, vilket är en uppgift för tillsättningsmyndigheten, bekräftar den senare också att hela urvalsförfarandet har varit lagligt, inbegripet sökandens efterlevnad av alla kriterier för tillåtlighet och behörighet, medan en sådan uppgift endast skulle bli ytlig om tillsättningsmyndigheten också har varit ordförande för uttagningskommittén i de tidigare skedena av förfarandet/uttagningsprovet, vilket är vad som hände i det berörda förfarandet. Parlamentet noterar dessutom ombudsmannens vägran</w:t>
            </w:r>
            <w:r>
              <w:t xml:space="preserve"> att förse den ansvarsfrihetsbeviljande myndigheten med alla handlingar som rör kontrollen av behörighet, bedömningen av ansökningar, de faktiska intervjuerna av kandidaterna på slutlistan med uttagningskommittén och intervjun på tu man hand med ombudsmannen</w:t>
            </w:r>
            <w:r>
              <w:rPr>
                <w:b/>
                <w:i/>
              </w:rPr>
              <w:t>, bland annat med motiveringen att ”gränserna för den rättsliga ramen för sekretess” för att undvika ”risken för att urvalsprocessens oberoende och integritet undergrävs” om sådana handlingar skulle lämnas ut</w:t>
            </w:r>
            <w:r>
              <w:t xml:space="preserve">. Parlamentet påminner om </w:t>
            </w:r>
            <w:r>
              <w:rPr>
                <w:b/>
                <w:i/>
              </w:rPr>
              <w:t>att parlamentet enligt artikel 319.2 i fördraget om Europeiska unionens funktionssätt har</w:t>
            </w:r>
            <w:r>
              <w:t xml:space="preserve"> rätt att </w:t>
            </w:r>
            <w:r>
              <w:rPr>
                <w:b/>
                <w:i/>
              </w:rPr>
              <w:t>begära all nödvändig</w:t>
            </w:r>
            <w:r>
              <w:t xml:space="preserve"> information</w:t>
            </w:r>
            <w:r>
              <w:rPr>
                <w:b/>
                <w:i/>
              </w:rPr>
              <w:t>.</w:t>
            </w:r>
            <w:r>
              <w:t xml:space="preserve"> </w:t>
            </w:r>
            <w:r>
              <w:rPr>
                <w:b/>
                <w:i/>
              </w:rPr>
              <w:t>Parlamentet</w:t>
            </w:r>
            <w:r>
              <w:t xml:space="preserve"> understryker att </w:t>
            </w:r>
            <w:r>
              <w:rPr>
                <w:b/>
                <w:i/>
              </w:rPr>
              <w:t>vidarebefordran av</w:t>
            </w:r>
            <w:r>
              <w:t xml:space="preserve"> information </w:t>
            </w:r>
            <w:r>
              <w:rPr>
                <w:b/>
                <w:i/>
              </w:rPr>
              <w:t>till parlamentet för ansvarsfrihetsändamål</w:t>
            </w:r>
            <w:r>
              <w:t xml:space="preserve"> inte innebär att </w:t>
            </w:r>
            <w:r>
              <w:rPr>
                <w:b/>
                <w:i/>
              </w:rPr>
              <w:t>denna information</w:t>
            </w:r>
            <w:r>
              <w:t xml:space="preserve"> offentliggörs</w:t>
            </w:r>
            <w:r>
              <w:rPr>
                <w:b/>
                <w:i/>
              </w:rPr>
              <w:t>.</w:t>
            </w:r>
            <w:r>
              <w:t xml:space="preserve"> Parlamentet </w:t>
            </w:r>
            <w:r>
              <w:rPr>
                <w:b/>
                <w:i/>
              </w:rPr>
              <w:t>betonar vidare att det har infört en omfattande uppsättning säkerhetsbestämmelser som överensstämmer med samma principer och standarder som andra EU-institutioner, inbegripet säkerhetsgodkännande, principen om behovsenlig behörighet, säkra utrymmen och läsrum, påföljder för överträdelser osv.</w:t>
            </w:r>
            <w:r>
              <w:t xml:space="preserve"> </w:t>
            </w:r>
            <w:r>
              <w:rPr>
                <w:b/>
                <w:i/>
              </w:rPr>
              <w:t>Mot bakgrund av ovanstående uppmanar parlamentet med kraft ombudsmannen att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w:t>
            </w:r>
            <w:r>
              <w:t>.</w:t>
            </w:r>
          </w:p>
        </w:tc>
        <w:tc>
          <w:tcPr>
            <w:tcW w:w="4876" w:type="dxa"/>
            <w:tcBorders>
              <w:top w:val="nil"/>
              <w:left w:val="nil"/>
              <w:bottom w:val="nil"/>
              <w:right w:val="nil"/>
            </w:tcBorders>
          </w:tcPr>
          <w:p>
            <w:pPr>
              <w:pStyle w:val="Normal6a"/>
            </w:pPr>
            <w:r>
              <w:t>23.</w:t>
            </w:r>
            <w:r>
              <w:tab/>
            </w:r>
            <w:r>
              <w:t xml:space="preserve">Europaparlamentet håller inte med ombudsmannen om att rättspraxis enligt Meroni-målet (C-9/56 och C-10/56) är tillämplig, eftersom </w:t>
            </w:r>
            <w:r>
              <w:rPr>
                <w:b/>
                <w:i/>
              </w:rPr>
              <w:t>den</w:t>
            </w:r>
            <w:r>
              <w:t xml:space="preserve"> inte rör delegering av befogenheter i personalfrågor (såsom val av en anställd), utan </w:t>
            </w:r>
            <w:r>
              <w:rPr>
                <w:b/>
                <w:i/>
              </w:rPr>
              <w:t>snarare</w:t>
            </w:r>
            <w:r>
              <w:t xml:space="preserve"> delegering av skönsmässiga befogenheter till externa/privata organ. Parlamentet </w:t>
            </w:r>
            <w:r>
              <w:rPr>
                <w:b/>
                <w:i/>
              </w:rPr>
              <w:t>noterar</w:t>
            </w:r>
            <w:r>
              <w:t xml:space="preserve"> att ombudsmannen </w:t>
            </w:r>
            <w:r>
              <w:rPr>
                <w:b/>
                <w:i/>
              </w:rPr>
              <w:t>har hävdat</w:t>
            </w:r>
            <w:r>
              <w:t xml:space="preserve"> att ”</w:t>
            </w:r>
            <w:r>
              <w:rPr>
                <w:b/>
                <w:i/>
              </w:rPr>
              <w:t>gränserna för den rättsliga ramen för sekretess” för att undvika ”risken för att urvalsprocessens oberoende och integritet undergrävs”, hindrar henne från</w:t>
            </w:r>
            <w:r>
              <w:t xml:space="preserve"> att förse den ansvarsfrihetsbeviljande myndigheten med alla handlingar som rör kontrollen av behörighet, bedömningen av ansökningar, de faktiska intervjuerna av kandidaterna på slutlistan med uttagningskommittén och intervjun på tu man hand med ombudsmannen. Parlamentet påminner om </w:t>
            </w:r>
            <w:r>
              <w:rPr>
                <w:b/>
                <w:i/>
              </w:rPr>
              <w:t>sin</w:t>
            </w:r>
            <w:r>
              <w:t xml:space="preserve"> rätt att </w:t>
            </w:r>
            <w:r>
              <w:rPr>
                <w:b/>
                <w:i/>
              </w:rPr>
              <w:t>få den</w:t>
            </w:r>
            <w:r>
              <w:t xml:space="preserve"> information </w:t>
            </w:r>
            <w:r>
              <w:rPr>
                <w:b/>
                <w:i/>
              </w:rPr>
              <w:t>som krävs för beviljande av ansvarsfrihet,</w:t>
            </w:r>
            <w:r>
              <w:t xml:space="preserve"> understryker att </w:t>
            </w:r>
            <w:r>
              <w:rPr>
                <w:b/>
                <w:i/>
              </w:rPr>
              <w:t>tillhandahållandet av sådan</w:t>
            </w:r>
            <w:r>
              <w:t xml:space="preserve"> information inte innebär att </w:t>
            </w:r>
            <w:r>
              <w:rPr>
                <w:b/>
                <w:i/>
              </w:rPr>
              <w:t>den</w:t>
            </w:r>
            <w:r>
              <w:t xml:space="preserve"> offentliggörs</w:t>
            </w:r>
            <w:r>
              <w:rPr>
                <w:b/>
                <w:i/>
              </w:rPr>
              <w:t>, och betonar att</w:t>
            </w:r>
            <w:r>
              <w:t xml:space="preserve"> parlamentet </w:t>
            </w:r>
            <w:r>
              <w:rPr>
                <w:b/>
                <w:i/>
              </w:rPr>
              <w:t>har tillräckliga skyddsåtgärder för att hantera känsligt material på ett säkert sätt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 Parlamentet håller i detta sammanhang inte med ombudsmannen om att rättspraxis enligt Meroni-målet (C-9/56 och C-10/56) är tillämplig, eftersom denna rättspraxis inte rör delegering av befogenheter i personalfrågor (såsom val av en anställd), utan delegering av skönsmässiga befogenheter till externa/privata organ. Parlamentet betonar vidare att det inte kräver att ombudsmannen ska delegera sina rättigheter och skyldigheter som tillsättningsmyndighet, samtidigt som det ifrågasätter ombudsmannens närvaro i uttagningskommittén, eftersom det i artikel 3 i bilaga III till tjänsteföreskrifterna uttryckligen anges att ”uttagningskommittén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 Parlamentet </w:t>
            </w:r>
            <w:r>
              <w:rPr>
                <w:b/>
                <w:i/>
              </w:rPr>
              <w:t>understryker att genom att fatta ett slutligt beslut, vilket är en uppgift för tillsättningsmyndigheten, bekräftar den senare också att hela urvalsförfarandet har varit lagligt, inbegripet sökandens efterlevnad av alla kriterier för tillåtlighet och behörighet, medan en sådan uppgift endast skulle bli ytlig om tillsättningsmyndigheten också har varit ordförande för uttagningskommittén i de tidigare skedena av förfarandet/uttagningsprovet, vilket är vad som hände i det berörda förfarandet. Parlamentet</w:t>
            </w:r>
            <w:r>
              <w:t xml:space="preserve"> noterar dessutom ombudsmannens vägran att förse den ansvarsfrihetsbeviljande myndigheten med alla handlingar som rör kontrollen av behörighet, bedömningen av ansökningar, de faktiska intervjuerna av kandidaterna på slutlistan med uttagningskommittén och intervjun på tu man hand med ombudsmannen, bland annat med motiveringen att ”gränserna för den rättsliga ramen för sekretess” för att undvika ”risken för att urvalsprocessens oberoende och integritet undergrävs” om sådana handlingar skulle lämnas ut. Parlamentet påminner om att parlamentet enligt artikel 319.2 i fördraget om Europeiska unionens funktionssätt har rätt att begära all nödvändig information. Parlamentet understryker att vidarebefordran av information till parlamentet för ansvarsfrihetsändamål inte innebär att denna information offentliggörs. Parlamentet betonar vidare att det har infört en omfattande uppsättning säkerhetsbestämmelser som överensstämmer med samma principer och standarder som andra EU-institutioner, inbegripet säkerhetsgodkännande, principen om behovsenlig behörighet, säkra utrymmen och läsrum, påföljder för överträdelser osv. Mot bakgrund av ovanstående uppmanar parlamentet med kraft ombudsmannen att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w:t>
            </w:r>
          </w:p>
        </w:tc>
        <w:tc>
          <w:tcPr>
            <w:tcW w:w="4876" w:type="dxa"/>
            <w:tcBorders>
              <w:top w:val="nil"/>
              <w:left w:val="nil"/>
              <w:bottom w:val="nil"/>
              <w:right w:val="nil"/>
            </w:tcBorders>
          </w:tcPr>
          <w:p>
            <w:pPr>
              <w:pStyle w:val="Normal6a"/>
            </w:pPr>
            <w:r>
              <w:t>23.</w:t>
            </w:r>
            <w:r>
              <w:tab/>
            </w:r>
            <w:r>
              <w:t xml:space="preserve">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 Parlamentet håller i detta sammanhang inte med ombudsmannen om att rättspraxis enligt Meroni-målet (C-9/56 och C-10/56) är tillämplig, eftersom denna rättspraxis inte rör delegering av befogenheter i personalfrågor (såsom val av en anställd), utan delegering av skönsmässiga befogenheter till externa/privata organ. Parlamentet betonar vidare att det inte kräver att ombudsmannen ska delegera sina rättigheter och skyldigheter som tillsättningsmyndighet, samtidigt som det ifrågasätter ombudsmannens närvaro i uttagningskommittén, eftersom det i artikel 3 i bilaga III till tjänsteföreskrifterna uttryckligen anges att ”uttagningskommittén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 Parlamentet noterar dessutom ombudsmannens vägran att förse den ansvarsfrihetsbeviljande myndigheten med alla handlingar som rör kontrollen av behörighet, bedömningen av ansökningar, de faktiska intervjuerna av kandidaterna på slutlistan med uttagningskommittén och intervjun på tu man hand med ombudsmannen, bland annat med motiveringen att ”gränserna för den rättsliga ramen för sekretess” för att undvika ”risken för att urvalsprocessens oberoende och integritet undergrävs” om sådana handlingar skulle lämnas ut. Parlamentet påminner om att parlamentet enligt artikel 319.2 i fördraget om Europeiska unionens funktionssätt har rätt att begära all nödvändig information. Parlamentet understryker att vidarebefordran av information till parlamentet för ansvarsfrihetsändamål inte innebär att denna information offentliggörs. Parlamentet betonar vidare att det har infört en omfattande uppsättning säkerhetsbestämmelser som överensstämmer med samma principer och standarder som andra EU-institutioner, inbegripet säkerhetsgodkännande, principen om behovsenlig behörighet, säkra utrymmen och läsrum, påföljder för överträdelser osv. Mot bakgrund av ovanstående uppmanar parlamentet med kraft ombudsmannen att </w:t>
            </w:r>
            <w:r>
              <w:rPr>
                <w:b/>
                <w:i/>
              </w:rPr>
              <w:t>ytterligare överväga parlamentets begäran och</w:t>
            </w:r>
            <w:r>
              <w:t xml:space="preserve">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 Parlamentet håller i detta sammanhang inte med ombudsmannen om att rättspraxis enligt Meroni-målet (C-9/56 och C-10/56) är tillämplig, eftersom denna rättspraxis inte rör delegering av befogenheter i personalfrågor (såsom val av en anställd), utan delegering av skönsmässiga befogenheter till externa/privata organ. Parlamentet betonar vidare att det inte kräver att ombudsmannen ska delegera sina rättigheter och skyldigheter som tillsättningsmyndighet, samtidigt som det ifrågasätter ombudsmannens närvaro i uttagningskommittén, eftersom det i artikel 3 i bilaga III till tjänsteföreskrifterna uttryckligen anges att ”uttagningskommittén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 Parlamentet understryker att genom att fatta ett slutligt beslut, vilket är en uppgift för tillsättningsmyndigheten, bekräftar den senare också att hela urvalsförfarandet har varit lagligt, inbegripet sökandens efterlevnad av alla kriterier för tillåtlighet och behörighet</w:t>
            </w:r>
            <w:r>
              <w:rPr>
                <w:b/>
                <w:i/>
              </w:rPr>
              <w:t>, medan en sådan uppgift endast skulle bli ytlig</w:t>
            </w:r>
            <w:r>
              <w:t xml:space="preserve"> om tillsättningsmyndigheten också har varit ordförande för uttagningskommittén i </w:t>
            </w:r>
            <w:r>
              <w:rPr>
                <w:b/>
                <w:i/>
              </w:rPr>
              <w:t>de</w:t>
            </w:r>
            <w:r>
              <w:t xml:space="preserve"> tidigare </w:t>
            </w:r>
            <w:r>
              <w:rPr>
                <w:b/>
                <w:i/>
              </w:rPr>
              <w:t>skedena av förfarandet/uttagningsprovet, vilket är vad som hände i det berörda</w:t>
            </w:r>
            <w:r>
              <w:t xml:space="preserve"> förfarandet. Parlamentet noterar dessutom ombudsmannens vägran att förse den ansvarsfrihetsbeviljande myndigheten med alla handlingar som rör kontrollen av behörighet, bedömningen av ansökningar, de faktiska intervjuerna av kandidaterna på slutlistan med uttagningskommittén och intervjun på tu man hand med ombudsmannen, bland annat med motiveringen att ”gränserna för den rättsliga ramen för sekretess” för att undvika ”risken för att urvalsprocessens oberoende och integritet undergrävs” om sådana handlingar skulle lämnas ut. Parlamentet påminner om att parlamentet enligt artikel 319.2 i fördraget om Europeiska unionens funktionssätt har rätt att begära all nödvändig information. Parlamentet understryker att vidarebefordran av information till parlamentet för ansvarsfrihetsändamål inte innebär att denna information offentliggörs. Parlamentet betonar vidare att det har infört en omfattande uppsättning säkerhetsbestämmelser som överensstämmer med samma principer och standarder som andra EU-institutioner, inbegripet säkerhetsgodkännande, principen om behovsenlig behörighet, säkra utrymmen och läsrum, påföljder för överträdelser osv. Mot bakgrund av ovanstående uppmanar parlamentet med kraft ombudsmannen att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w:t>
            </w:r>
          </w:p>
        </w:tc>
        <w:tc>
          <w:tcPr>
            <w:tcW w:w="4876" w:type="dxa"/>
            <w:tcBorders>
              <w:top w:val="nil"/>
              <w:left w:val="nil"/>
              <w:bottom w:val="nil"/>
              <w:right w:val="nil"/>
            </w:tcBorders>
          </w:tcPr>
          <w:p>
            <w:pPr>
              <w:pStyle w:val="Normal6a"/>
            </w:pPr>
            <w:r>
              <w:t>23.</w:t>
            </w:r>
            <w:r>
              <w:tab/>
            </w:r>
            <w:r>
              <w:t>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 Parlamentet håller i detta sammanhang inte med ombudsmannen om att rättspraxis enligt Meroni-målet (C-9/56 och C-10/56) är tillämplig, eftersom denna rättspraxis inte rör delegering av befogenheter i personalfrågor (såsom val av en anställd), utan delegering av skönsmässiga befogenheter till externa/privata organ. Parlamentet betonar vidare att det inte kräver att ombudsmannen ska delegera sina rättigheter och skyldigheter som tillsättningsmyndighet, samtidigt som det ifrågasätter ombudsmannens närvaro i uttagningskommittén, eftersom det i artikel 3 i bilaga III till tjänsteföreskrifterna uttryckligen anges att ”uttagningskommittén skall bestå av en ordförande som utses av tillsättningsmyndigheten samt ledamöter som utses av tillsättningsmyndigheten och personalkommittén, som utser lika många ledamöter vardera”, vilket innebär att unionsrätten inte kräver att tillsättningsmyndigheten ska vara medlem i uttagningskommittén. Parlamentet understryker att genom att fatta ett slutligt beslut, vilket är en uppgift för tillsättningsmyndigheten, bekräftar den senare också att hela urvalsförfarandet har varit lagligt, inbegripet sökandens efterlevnad av alla kriterier för tillåtlighet och behörighet</w:t>
            </w:r>
            <w:r>
              <w:rPr>
                <w:b/>
                <w:i/>
              </w:rPr>
              <w:t>.</w:t>
            </w:r>
            <w:r>
              <w:t xml:space="preserve"> </w:t>
            </w:r>
            <w:r>
              <w:rPr>
                <w:b/>
                <w:i/>
              </w:rPr>
              <w:t>Parlamentet noterar dock att denna roll kan framstå som mindre distinkt</w:t>
            </w:r>
            <w:r>
              <w:t xml:space="preserve"> om tillsättningsmyndigheten också har varit ordförande för uttagningskommittén i tidigare </w:t>
            </w:r>
            <w:r>
              <w:rPr>
                <w:b/>
                <w:i/>
              </w:rPr>
              <w:t>skeden av</w:t>
            </w:r>
            <w:r>
              <w:t xml:space="preserve"> förfarandet</w:t>
            </w:r>
            <w:r>
              <w:rPr>
                <w:b/>
                <w:i/>
              </w:rPr>
              <w:t>, vilket var fallet i den nuvarande processen</w:t>
            </w:r>
            <w:r>
              <w:t>. Parlamentet noterar dessutom ombudsmannens vägran att förse den ansvarsfrihetsbeviljande myndigheten med alla handlingar som rör kontrollen av behörighet, bedömningen av ansökningar, de faktiska intervjuerna av kandidaterna på slutlistan med uttagningskommittén och intervjun på tu man hand med ombudsmannen, bland annat med motiveringen att ”gränserna för den rättsliga ramen för sekretess” för att undvika ”risken för att urvalsprocessens oberoende och integritet undergrävs” om sådana handlingar skulle lämnas ut. Parlamentet påminner om att parlamentet enligt artikel 319.2 i fördraget om Europeiska unionens funktionssätt har rätt att begära all nödvändig information. Parlamentet understryker att vidarebefordran av information till parlamentet för ansvarsfrihetsändamål inte innebär att denna information offentliggörs. Parlamentet betonar vidare att det har infört en omfattande uppsättning säkerhetsbestämmelser som överensstämmer med samma principer och standarder som andra EU-institutioner, inbegripet säkerhetsgodkännande, principen om behovsenlig behörighet, säkra utrymmen och läsrum, påföljder för överträdelser osv. Mot bakgrund av ovanstående uppmanar parlamentet med kraft ombudsmannen att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är fast övertygat om att </w:t>
            </w:r>
            <w:r>
              <w:rPr>
                <w:b/>
                <w:i/>
              </w:rPr>
              <w:t>alla unionens institutioner, organ och byråer, särskilt</w:t>
            </w:r>
            <w:r>
              <w:t xml:space="preserve"> ombudsmannen</w:t>
            </w:r>
            <w:r>
              <w:rPr>
                <w:b/>
                <w:i/>
              </w:rPr>
              <w:t>, bör undvika allt som kan tyda på favorisering eller intressekonflikter, eftersom redan en antydan om detta skulle undergräva deras</w:t>
            </w:r>
            <w:r>
              <w:t xml:space="preserve"> integritet </w:t>
            </w:r>
            <w:r>
              <w:rPr>
                <w:b/>
                <w:i/>
              </w:rPr>
              <w:t>och uppdrag och skulle</w:t>
            </w:r>
            <w:r>
              <w:t xml:space="preserve"> kunna </w:t>
            </w:r>
            <w:r>
              <w:rPr>
                <w:b/>
                <w:i/>
              </w:rPr>
              <w:t>inverka negativt på</w:t>
            </w:r>
            <w:r>
              <w:t xml:space="preserve"> unionsmedborgarnas förtroende.</w:t>
            </w:r>
          </w:p>
        </w:tc>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är fast övertygat om att ombudsmannen </w:t>
            </w:r>
            <w:r>
              <w:rPr>
                <w:b/>
                <w:i/>
              </w:rPr>
              <w:t>måste uppfylla de högsta standarderna för oberoende, opartiskhet och</w:t>
            </w:r>
            <w:r>
              <w:t xml:space="preserve"> integritet </w:t>
            </w:r>
            <w:r>
              <w:rPr>
                <w:b/>
                <w:i/>
              </w:rPr>
              <w:t>för att på ett trovärdigt sätt</w:t>
            </w:r>
            <w:r>
              <w:t xml:space="preserve"> kunna </w:t>
            </w:r>
            <w:r>
              <w:rPr>
                <w:b/>
                <w:i/>
              </w:rPr>
              <w:t>fullgöra sitt mandat och säkerställa</w:t>
            </w:r>
            <w:r>
              <w:t xml:space="preserve"> unionsmedborgarnas förtroende.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understryker att ombudsmannen har till uppgift att främja god förvaltning, bland annat genom att se till att den etiska ramen för alla unionens institutioner, organ och byråer är solid och kan säkerställa transparens och ansvarsskyldighet. Parlamentet är fast övertygat om att alla unionens institutioner, organ och byråer, särskilt ombudsmannen, bör undvika allt som kan tyda på favorisering eller intressekonflikter, eftersom redan en antydan om detta skulle undergräva deras integritet och uppdrag och skulle kunna inverka negativt på unionsmedborgarnas förtroende.</w:t>
            </w:r>
          </w:p>
        </w:tc>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är fast övertygat om att alla unionens institutioner, organ och byråer, särskilt ombudsmannen, bör undvika allt som kan tyda på favorisering eller intressekonflikter, eftersom redan en antydan om detta skulle undergräva deras integritet och uppdrag och skulle kunna inverka negativt på unionsmedborgarnas förtroende. </w:t>
            </w:r>
            <w:r>
              <w:rPr>
                <w:b/>
                <w:i/>
              </w:rPr>
              <w:t>Parlamentet påminner om att ombudsmannen, i egenskap av den unionsinstitution som ansvarar för att främja etiska normer och god förvaltning inom hela EU-förvaltningen, förväntas tillämpa särskilt stränga normer för sin egen styrning och utnämningar av högre tjänstemän, för att föregå med gott exempel för andra institutioner.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är fast övertygat om att alla unionens institutioner, organ och byråer, särskilt ombudsmannen, bör undvika allt som kan tyda på favorisering eller intressekonflikter, eftersom redan en antydan om detta skulle undergräva deras </w:t>
            </w:r>
            <w:r>
              <w:rPr>
                <w:b/>
                <w:i/>
              </w:rPr>
              <w:t>integritet och uppdrag</w:t>
            </w:r>
            <w:r>
              <w:t xml:space="preserve"> och skulle kunna inverka negativt på unionsmedborgarnas förtroende.</w:t>
            </w:r>
          </w:p>
        </w:tc>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är fast övertygat om att alla unionens institutioner, organ och byråer, särskilt ombudsmannen, bör undvika allt som kan tyda på favorisering eller intressekonflikter, eftersom redan en antydan om detta skulle undergräva deras </w:t>
            </w:r>
            <w:r>
              <w:rPr>
                <w:b/>
                <w:i/>
              </w:rPr>
              <w:t>trovärdighet</w:t>
            </w:r>
            <w:r>
              <w:t xml:space="preserve"> och skulle kunna inverka negativt på unionsmedborgarnas förtroende.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w:t>
            </w:r>
            <w:r>
              <w:rPr>
                <w:b/>
                <w:i/>
              </w:rPr>
              <w:t>är fast övertygat om att alla</w:t>
            </w:r>
            <w:r>
              <w:t xml:space="preserve"> unionens institutioner, organ och byråer, särskilt ombudsmannen, </w:t>
            </w:r>
            <w:r>
              <w:rPr>
                <w:b/>
                <w:i/>
              </w:rPr>
              <w:t>bör undvika allt som kan tyda på</w:t>
            </w:r>
            <w:r>
              <w:t xml:space="preserve"> favorisering eller intressekonflikter, eftersom </w:t>
            </w:r>
            <w:r>
              <w:rPr>
                <w:b/>
                <w:i/>
              </w:rPr>
              <w:t>redan en antydan om detta skulle</w:t>
            </w:r>
            <w:r>
              <w:t xml:space="preserve"> undergräva deras integritet och uppdrag och </w:t>
            </w:r>
            <w:r>
              <w:rPr>
                <w:b/>
                <w:i/>
              </w:rPr>
              <w:t>skulle kunna inverka negativt på</w:t>
            </w:r>
            <w:r>
              <w:t xml:space="preserve"> unionsmedborgarnas förtroende.</w:t>
            </w:r>
          </w:p>
        </w:tc>
        <w:tc>
          <w:tcPr>
            <w:tcW w:w="4876" w:type="dxa"/>
            <w:tcBorders>
              <w:top w:val="nil"/>
              <w:left w:val="nil"/>
              <w:bottom w:val="nil"/>
              <w:right w:val="nil"/>
            </w:tcBorders>
          </w:tcPr>
          <w:p>
            <w:pPr>
              <w:pStyle w:val="Normal6a"/>
            </w:pPr>
            <w:r>
              <w:t>24.</w:t>
            </w:r>
            <w:r>
              <w:tab/>
            </w:r>
            <w:r>
              <w:t xml:space="preserve">Europaparlamentet understryker att ombudsmannen har till uppgift att främja god förvaltning, bland annat genom att se till att den etiska ramen för alla unionens institutioner, organ och byråer är solid och kan säkerställa transparens och ansvarsskyldighet. Parlamentet </w:t>
            </w:r>
            <w:r>
              <w:rPr>
                <w:b/>
                <w:i/>
              </w:rPr>
              <w:t>betonar att det är viktigt att</w:t>
            </w:r>
            <w:r>
              <w:t xml:space="preserve"> unionens institutioner, organ och byråer, </w:t>
            </w:r>
            <w:r>
              <w:rPr>
                <w:b/>
                <w:i/>
              </w:rPr>
              <w:t>och</w:t>
            </w:r>
            <w:r>
              <w:t xml:space="preserve"> särskilt ombudsmannen, </w:t>
            </w:r>
            <w:r>
              <w:rPr>
                <w:b/>
                <w:i/>
              </w:rPr>
              <w:t>är medvetna om uppfattningar om</w:t>
            </w:r>
            <w:r>
              <w:t xml:space="preserve"> favorisering eller intressekonflikter, eftersom </w:t>
            </w:r>
            <w:r>
              <w:rPr>
                <w:b/>
                <w:i/>
              </w:rPr>
              <w:t>sådana uppfattningar kan riskera att</w:t>
            </w:r>
            <w:r>
              <w:t xml:space="preserve"> undergräva deras integritet och uppdrag och </w:t>
            </w:r>
            <w:r>
              <w:rPr>
                <w:b/>
                <w:i/>
              </w:rPr>
              <w:t>påverka</w:t>
            </w:r>
            <w:r>
              <w:t xml:space="preserve"> unionsmedborgarnas förtroende.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Europaparlamentet uppmuntrar ombudsmannen att överväga att genomföra en intern efterhandsprövning över noggrant granskade utnämningsförfaranden, i syfte att identifiera tillvaratagna erfarenheter och möjliga förbättringar för framtida processer, och att informera den ansvarsfrihetsbeviljande myndigheten om resultaten.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Europaparlamentet noterar att hela 19 nationaliteter var representerade hos ombudsmannen under 2024, samma som under 2023, trots att det är en liten institution. Parlamentet konstaterar dock att vissa nationaliteter är överrepresenterade (en av dem står för mer än 30 % av ombudsmannens personal). Parlamentet uppmanar </w:t>
            </w:r>
            <w:r>
              <w:rPr>
                <w:b/>
                <w:i/>
              </w:rPr>
              <w:t>bestämt</w:t>
            </w:r>
            <w:r>
              <w:t xml:space="preserve"> ombudsmannen att </w:t>
            </w:r>
            <w:r>
              <w:rPr>
                <w:b/>
                <w:i/>
              </w:rPr>
              <w:t>intensifiera sina insatser för att uppnå en mer balanserad geografisk spridning av medborgare från så många</w:t>
            </w:r>
            <w:r>
              <w:t xml:space="preserve"> medlemsstater </w:t>
            </w:r>
            <w:r>
              <w:rPr>
                <w:b/>
                <w:i/>
              </w:rPr>
              <w:t>som möjligt bland sin personal</w:t>
            </w:r>
            <w:r>
              <w:t>.</w:t>
            </w:r>
          </w:p>
        </w:tc>
        <w:tc>
          <w:tcPr>
            <w:tcW w:w="4876" w:type="dxa"/>
            <w:tcBorders>
              <w:top w:val="nil"/>
              <w:left w:val="nil"/>
              <w:bottom w:val="nil"/>
              <w:right w:val="nil"/>
            </w:tcBorders>
          </w:tcPr>
          <w:p>
            <w:pPr>
              <w:pStyle w:val="Normal6a"/>
            </w:pPr>
            <w:r>
              <w:t>25.</w:t>
            </w:r>
            <w:r>
              <w:tab/>
            </w:r>
            <w:r>
              <w:t xml:space="preserve">Europaparlamentet noterar att hela 19 nationaliteter var representerade hos ombudsmannen under 2024, samma som under 2023, trots att det är en liten institution. Parlamentet konstaterar dock att vissa nationaliteter är överrepresenterade (en av dem står för mer än 30 % av ombudsmannens personal). Parlamentet </w:t>
            </w:r>
            <w:r>
              <w:rPr>
                <w:b/>
                <w:i/>
              </w:rPr>
              <w:t>betonar att en så hög koncentration av en enda nationalitet i en liten institution kan påverka den interinstitutionella uppfattningen om kontorets mångfald.</w:t>
            </w:r>
            <w:r>
              <w:t xml:space="preserve"> </w:t>
            </w:r>
            <w:r>
              <w:rPr>
                <w:b/>
                <w:i/>
              </w:rPr>
              <w:t>Parlamentet</w:t>
            </w:r>
            <w:r>
              <w:t xml:space="preserve"> uppmanar ombudsmannen att </w:t>
            </w:r>
            <w:r>
              <w:rPr>
                <w:b/>
                <w:i/>
              </w:rPr>
              <w:t>anta riktade rekryteringsåtgärder och utåtriktad verksamhet som särskilt riktar sig till underrepresenterade</w:t>
            </w:r>
            <w:r>
              <w:t xml:space="preserve"> medlemsstater </w:t>
            </w:r>
            <w:r>
              <w:rPr>
                <w:b/>
                <w:i/>
              </w:rPr>
              <w:t>för att säkerställa att kontoret fortfarande återspeglar unionens mångfald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Europaparlamentet noterar att ombudsmannen, när det gäller könsfördelningen, sysselsätter fler kvinnor än män i alla personalkategorier, särskilt på ledningsnivå, där samtliga befattningar innehas av kvinnor. Parlamentet noterar att personalen totalt består av 68 % kvinnor och 32 % män, jämfört med 67 % kvinnor och 33 % män 2023. Parlamentet uppmanar ombudsmannen att sträva efter en jämnare könsfördelning bland sin personal.</w:t>
            </w:r>
          </w:p>
        </w:tc>
        <w:tc>
          <w:tcPr>
            <w:tcW w:w="4876" w:type="dxa"/>
            <w:tcBorders>
              <w:top w:val="nil"/>
              <w:left w:val="nil"/>
              <w:bottom w:val="nil"/>
              <w:right w:val="nil"/>
            </w:tcBorders>
          </w:tcPr>
          <w:p>
            <w:pPr>
              <w:pStyle w:val="Normal6a"/>
            </w:pPr>
            <w:r>
              <w:t>26.</w:t>
            </w:r>
            <w:r>
              <w:tab/>
            </w:r>
            <w:r>
              <w:t xml:space="preserve">Europaparlamentet noterar att ombudsmannen, när det gäller könsfördelningen, sysselsätter fler kvinnor än män i alla personalkategorier, särskilt på ledningsnivå, där samtliga befattningar innehas av kvinnor. Parlamentet noterar att personalen totalt består av 68 % kvinnor och 32 % män, jämfört med 67 % kvinnor och 33 % män 2023. Parlamentet uppmanar ombudsmannen att sträva efter en jämnare könsfördelning bland sin personal. </w:t>
            </w:r>
            <w:r>
              <w:rPr>
                <w:b/>
                <w:i/>
              </w:rPr>
              <w:t>Parlamentet uppmanar med kraft ombudsmannen att utveckla en strategi för att åtgärda det faktum att det för närvarande inte finns en enda man som innehar en ledande befattning.</w:t>
            </w:r>
            <w:r>
              <w:t xml:space="preserve"> </w:t>
            </w:r>
            <w:r>
              <w:rPr>
                <w:b/>
                <w:i/>
              </w:rPr>
              <w:t>Parlamentet anser att det är viktigt att se till att institutionen bättre återspeglar unionsmedborgarnas mångfald för att upprätthålla en balanserad och inkluderande arbetsmiljö på alla nivåer i hierarkin.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Europaparlamentet noterar att ombudsmannen välkomnade 18 avlönade praktikanter under 2024 (samma antal som 2023), varav en valdes ut inom ramen för ombudsmannens lovvärda praktikprogram för personer med funktionsnedsättning. Parlamentet betonar på nytt att praktiktjänstgöring bör vara avlönad i enlighet med parlamentets resolution av den 14 juni 2023 om kvalitetspraktik i unionen (2020/2005(INL)), där man förespråkar att alla praktikplatser i unionen bör vara avlönade.</w:t>
            </w:r>
          </w:p>
        </w:tc>
        <w:tc>
          <w:tcPr>
            <w:tcW w:w="4876" w:type="dxa"/>
            <w:tcBorders>
              <w:top w:val="nil"/>
              <w:left w:val="nil"/>
              <w:bottom w:val="nil"/>
              <w:right w:val="nil"/>
            </w:tcBorders>
          </w:tcPr>
          <w:p>
            <w:pPr>
              <w:pStyle w:val="Normal6a"/>
            </w:pPr>
            <w:r>
              <w:t>29.</w:t>
            </w:r>
            <w:r>
              <w:tab/>
            </w:r>
            <w:r>
              <w:t xml:space="preserve">Europaparlamentet noterar att ombudsmannen välkomnade 18 avlönade praktikanter under 2024 (samma antal som 2023), varav en valdes ut inom ramen för ombudsmannens lovvärda praktikprogram för personer med funktionsnedsättning. Parlamentet betonar på nytt att praktiktjänstgöring bör vara avlönad i enlighet med parlamentets resolution av den 14 juni 2023 om kvalitetspraktik i unionen (2020/2005(INL)), där man förespråkar att alla praktikplatser i unionen bör vara avlönade. </w:t>
            </w:r>
            <w:r>
              <w:rPr>
                <w:b/>
                <w:i/>
              </w:rPr>
              <w:t>Parlamentet betonar att avlönad praktik är avgörande för att säkerställa lika möjligheter.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välkomnar de positiva effekterna av ombudsmannens användning av maskinöversättning, som ökade tillgängligheten till ombudsmannens webbplats, effektiviserade fördelningen av ärenden och påskyndade handläggningen av klagomål, vilket ledde till en minskning av översättningskostnaderna med över 65 % (från 2022 till 2024) och av den administrativa bördan. Parlamentet uppmuntrar ombudsmannen att fortsätta att testa och utvärdera AI-verktyg och AI-användningsfall, samtidigt som man intar en försiktig hållning till deras utveckling och införande.</w:t>
            </w:r>
          </w:p>
        </w:tc>
        <w:tc>
          <w:tcPr>
            <w:tcW w:w="4876" w:type="dxa"/>
            <w:tcBorders>
              <w:top w:val="nil"/>
              <w:left w:val="nil"/>
              <w:bottom w:val="nil"/>
              <w:right w:val="nil"/>
            </w:tcBorders>
          </w:tcPr>
          <w:p>
            <w:pPr>
              <w:pStyle w:val="Normal6a"/>
            </w:pPr>
            <w:r>
              <w:t>37.</w:t>
            </w:r>
            <w:r>
              <w:tab/>
            </w:r>
            <w:r>
              <w:t>Europaparlamentet välkomnar de positiva effekterna av ombudsmannens användning av maskinöversättning, som ökade tillgängligheten till ombudsmannens webbplats, effektiviserade fördelningen av ärenden och påskyndade handläggningen av klagomål, vilket ledde till en minskning av översättningskostnaderna med över 65 % (från 2022 till 2024) och av den administrativa bördan. Parlamentet uppmuntrar ombudsmannen att fortsätta att testa och utvärdera AI-verktyg och AI-användningsfall, samtidigt som man intar en försiktig hållning till deras utveckling och införande</w:t>
            </w:r>
            <w:r>
              <w:rPr>
                <w:b/>
                <w:i/>
              </w:rPr>
              <w:t>, särskilt de budgetkonsekvenser på medellång sikt som rör underhåll, skalbarhet, personalens kompetens och potentiella beroenden av digitala verktyg och tjänsteleverantörer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välkomnar de positiva effekterna av ombudsmannens användning av maskinöversättning, som ökade tillgängligheten till ombudsmannens webbplats, effektiviserade fördelningen av ärenden och påskyndade handläggningen av klagomål, vilket ledde till en minskning av översättningskostnaderna med över 65 % (från 2022 till 2024) och av den administrativa bördan. Parlamentet uppmuntrar ombudsmannen att fortsätta att testa och utvärdera AI-verktyg och AI-användningsfall, samtidigt som man intar en försiktig hållning till deras utveckling och införande.</w:t>
            </w:r>
          </w:p>
        </w:tc>
        <w:tc>
          <w:tcPr>
            <w:tcW w:w="4876" w:type="dxa"/>
            <w:tcBorders>
              <w:top w:val="nil"/>
              <w:left w:val="nil"/>
              <w:bottom w:val="nil"/>
              <w:right w:val="nil"/>
            </w:tcBorders>
          </w:tcPr>
          <w:p>
            <w:pPr>
              <w:pStyle w:val="Normal6a"/>
            </w:pPr>
            <w:r>
              <w:t>37.</w:t>
            </w:r>
            <w:r>
              <w:tab/>
            </w:r>
            <w:r>
              <w:t>Europaparlamentet välkomnar de positiva effekterna av ombudsmannens användning av maskinöversättning, som ökade tillgängligheten till ombudsmannens webbplats, effektiviserade fördelningen av ärenden och påskyndade handläggningen av klagomål, vilket ledde till en minskning av översättningskostnaderna med över 65 % (från 2022 till 2024) och av den administrativa bördan. Parlamentet uppmuntrar ombudsmannen att fortsätta att testa och utvärdera AI-verktyg och AI-användningsfall, samtidigt som man intar en försiktig hållning till deras utveckling och införande</w:t>
            </w:r>
            <w:r>
              <w:rPr>
                <w:b/>
                <w:i/>
              </w:rPr>
              <w:t>, förutsatt att införandet av dem förblir säkert, kostnadseffektivt och föremål för lämplig mänsklig tillsyn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Europaparlamentet noterar med tillfredsställelse utifrån frågeformuläret att ombudsmannen har infört interna riktlinjer för användningen av generativa AI-verktyg från tredje part som bör ge klarhet och vägledning om säker och effektiv integrering av AI-verktyg i ombudsmannens arbetsflöden. Parlamentet ser fram emot den planerade utvidgningen av AI-användningen utöver översättning, till exempel för att integrera ombudsmannens rättspraxis i kommissionens stora språkmodell och för att utnyttja historisk rättspraxis som kommer att ligga till grund för framtida undersökningar. Parlamentet </w:t>
            </w:r>
            <w:r>
              <w:rPr>
                <w:b/>
                <w:i/>
              </w:rPr>
              <w:t>rekommenderar dock</w:t>
            </w:r>
            <w:r>
              <w:t xml:space="preserve"> ombudsmannen att </w:t>
            </w:r>
            <w:r>
              <w:rPr>
                <w:b/>
                <w:i/>
              </w:rPr>
              <w:t>när det gäller tolktjänster prioritera tolkning som tillhandahålls av människor framför AI-baserade lösningar.</w:t>
            </w:r>
            <w:r>
              <w:t xml:space="preserve"> </w:t>
            </w:r>
            <w:r>
              <w:rPr>
                <w:b/>
                <w:i/>
              </w:rPr>
              <w:t>Parlamentet noterar att ombudsmannen förvärvade flera</w:t>
            </w:r>
            <w:r>
              <w:t xml:space="preserve"> AI-verktyg </w:t>
            </w:r>
            <w:r>
              <w:rPr>
                <w:b/>
                <w:i/>
              </w:rPr>
              <w:t>för att stödja intern och extern kommunikationsverksamhet, särskilt videoproduktion, och därigenom öka</w:t>
            </w:r>
            <w:r>
              <w:t xml:space="preserve"> effektiviteten </w:t>
            </w:r>
            <w:r>
              <w:rPr>
                <w:b/>
                <w:i/>
              </w:rPr>
              <w:t>och kvaliteten i skapandet av innehåll under 2024</w:t>
            </w:r>
            <w:r>
              <w:t>.</w:t>
            </w:r>
          </w:p>
        </w:tc>
        <w:tc>
          <w:tcPr>
            <w:tcW w:w="4876" w:type="dxa"/>
            <w:tcBorders>
              <w:top w:val="nil"/>
              <w:left w:val="nil"/>
              <w:bottom w:val="nil"/>
              <w:right w:val="nil"/>
            </w:tcBorders>
          </w:tcPr>
          <w:p>
            <w:pPr>
              <w:pStyle w:val="Normal6a"/>
            </w:pPr>
            <w:r>
              <w:t>38.</w:t>
            </w:r>
            <w:r>
              <w:tab/>
            </w:r>
            <w:r>
              <w:t xml:space="preserve">Europaparlamentet noterar med tillfredsställelse utifrån frågeformuläret att ombudsmannen har infört interna riktlinjer för användningen av generativa AI-verktyg från tredje part som bör ge klarhet och vägledning om säker och effektiv integrering av AI-verktyg i ombudsmannens arbetsflöden. Parlamentet ser fram emot den planerade utvidgningen av AI-användningen utöver översättning, till exempel för att integrera ombudsmannens rättspraxis i kommissionens stora språkmodell och för att utnyttja historisk rättspraxis som kommer att ligga till grund för framtida undersökningar. Parlamentet </w:t>
            </w:r>
            <w:r>
              <w:rPr>
                <w:b/>
                <w:i/>
              </w:rPr>
              <w:t>uppmuntrar</w:t>
            </w:r>
            <w:r>
              <w:t xml:space="preserve"> ombudsmannen att </w:t>
            </w:r>
            <w:r>
              <w:rPr>
                <w:b/>
                <w:i/>
              </w:rPr>
              <w:t>fortsätta att testa och använda</w:t>
            </w:r>
            <w:r>
              <w:t xml:space="preserve"> AI-verktyg </w:t>
            </w:r>
            <w:r>
              <w:rPr>
                <w:b/>
                <w:i/>
              </w:rPr>
              <w:t>där de bevisligen förbättrar tillgängligheten och</w:t>
            </w:r>
            <w:r>
              <w:t xml:space="preserve"> effektiviteten</w:t>
            </w:r>
            <w:r>
              <w:rPr>
                <w:b/>
                <w:i/>
              </w:rPr>
              <w:t>.</w:t>
            </w:r>
            <w:r>
              <w:t xml:space="preserve"> </w:t>
            </w:r>
            <w:r>
              <w:rPr>
                <w:b/>
                <w:i/>
              </w:rPr>
              <w:t>Parlamentet betonar dock behovet av tydlig styrning, mänsklig tillsyn, transparens gentemot användarna och tillförlitligt uppgiftsskydd, inbegripet dokumenterade riskbedömningar och kvalitetskontroller för automatiserade utdata, särskilt när AI kan påverka ärendehantering, tilldelning eller extern kommunikation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Europaparlamentet noterar med tillfredsställelse utifrån frågeformuläret att ombudsmannen har infört interna riktlinjer för användningen av generativa AI-verktyg från tredje part som bör ge klarhet och vägledning om säker och effektiv integrering av AI-verktyg i ombudsmannens arbetsflöden. Parlamentet ser fram emot den planerade utvidgningen av AI-användningen utöver översättning, till exempel för att integrera ombudsmannens rättspraxis i kommissionens stora språkmodell och för att utnyttja historisk rättspraxis som kommer att ligga till grund för framtida undersökningar. Parlamentet rekommenderar dock ombudsmannen att när det gäller tolktjänster prioritera tolkning som tillhandahålls av människor framför AI-baserade lösningar. Parlamentet noterar att ombudsmannen förvärvade flera AI-verktyg för att stödja intern och extern kommunikationsverksamhet, särskilt videoproduktion, och därigenom öka effektiviteten och kvaliteten i skapandet av innehåll under 2024.</w:t>
            </w:r>
          </w:p>
        </w:tc>
        <w:tc>
          <w:tcPr>
            <w:tcW w:w="4876" w:type="dxa"/>
            <w:tcBorders>
              <w:top w:val="nil"/>
              <w:left w:val="nil"/>
              <w:bottom w:val="nil"/>
              <w:right w:val="nil"/>
            </w:tcBorders>
          </w:tcPr>
          <w:p>
            <w:pPr>
              <w:pStyle w:val="Normal6a"/>
            </w:pPr>
            <w:r>
              <w:t>38.</w:t>
            </w:r>
            <w:r>
              <w:tab/>
            </w:r>
            <w:r>
              <w:t xml:space="preserve">Europaparlamentet noterar med tillfredsställelse utifrån frågeformuläret att ombudsmannen har infört interna riktlinjer för användningen av generativa AI-verktyg från tredje part som bör ge klarhet och vägledning om säker och effektiv integrering av AI-verktyg i ombudsmannens arbetsflöden. Parlamentet ser fram emot den planerade utvidgningen av AI-användningen utöver översättning, till exempel för att integrera ombudsmannens rättspraxis i kommissionens stora språkmodell och för att utnyttja historisk rättspraxis som kommer att ligga till grund för framtida undersökningar. Parlamentet </w:t>
            </w:r>
            <w:r>
              <w:rPr>
                <w:b/>
                <w:i/>
              </w:rPr>
              <w:t>efterlyser ett protokoll som säkerställer att alla AI-genererade rättsliga insikter verifieras av mänskliga utredare.</w:t>
            </w:r>
            <w:r>
              <w:t xml:space="preserve"> </w:t>
            </w:r>
            <w:r>
              <w:rPr>
                <w:b/>
                <w:i/>
              </w:rPr>
              <w:t>Parlamentet begär vidare rapportering om de tekniska åtgärder som vidtagits för att undanröja algoritmisk snedvridning och skydda objektiviteten i institutets slutsatser.</w:t>
            </w:r>
            <w:r>
              <w:t xml:space="preserve"> </w:t>
            </w:r>
            <w:r>
              <w:rPr>
                <w:b/>
                <w:i/>
              </w:rPr>
              <w:t>Parlamentet</w:t>
            </w:r>
            <w:r>
              <w:t xml:space="preserve"> rekommenderar dock ombudsmannen att när det gäller tolktjänster prioritera tolkning som tillhandahålls av människor framför AI-baserade lösningar. Parlamentet noterar att ombudsmannen förvärvade flera AI-verktyg för att stödja intern och extern kommunikationsverksamhet, särskilt videoproduktion, och därigenom öka effektiviteten och kvaliteten i skapandet av innehåll under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Europaparlamentet noterar med tillfredsställelse utifrån frågeformuläret att en anställd under 2024 slutförde en intensiv tvåmånaders utbildning i datavetenskap och artificiell intelligens för att stärka ombudsmannens expertis på detta område och nu företräder ombudsmannen i det nätverk för AI-korrespondenter som inrättades av Europeiska datatillsynsmannen efter ikraftträdandet av förordning (EU) 2024/1689 (förordningen om artificiell intelligens)</w:t>
            </w:r>
            <w:r>
              <w:rPr>
                <w:vertAlign w:val="superscript"/>
              </w:rPr>
              <w:t>6</w:t>
            </w:r>
            <w:r>
              <w:t>. Parlamentet noterar vidare ombudsmannens åtagande att utveckla en utbildning om säker och etisk användning av AI-verktyg för all sin personal. Parlamentet noterar vidare att ombudsmannen varje månad under hela 2024 höll en riktad obligatorisk utbildning för att öka personalens medvetenhet och kompetens när det gäller bästa praxis för cybersäkerhet. Parlamentet noterar med tillfredsställelse att ombudsmannen kräver att all personal ska genomgå regelbundna cybersäkerhetsutbildningar.</w:t>
            </w:r>
          </w:p>
        </w:tc>
        <w:tc>
          <w:tcPr>
            <w:tcW w:w="4876" w:type="dxa"/>
            <w:tcBorders>
              <w:top w:val="nil"/>
              <w:left w:val="nil"/>
              <w:bottom w:val="nil"/>
              <w:right w:val="nil"/>
            </w:tcBorders>
          </w:tcPr>
          <w:p>
            <w:pPr>
              <w:pStyle w:val="Normal6a"/>
            </w:pPr>
            <w:r>
              <w:t>39.</w:t>
            </w:r>
            <w:r>
              <w:tab/>
            </w:r>
            <w:r>
              <w:t>Europaparlamentet noterar med tillfredsställelse utifrån frågeformuläret att en anställd under 2024 slutförde en intensiv tvåmånaders utbildning i datavetenskap och artificiell intelligens för att stärka ombudsmannens expertis på detta område och nu företräder ombudsmannen i det nätverk för AI-korrespondenter som inrättades av Europeiska datatillsynsmannen efter ikraftträdandet av förordning (EU) 2024/1689 (förordningen om artificiell intelligens)</w:t>
            </w:r>
            <w:r>
              <w:rPr>
                <w:vertAlign w:val="superscript"/>
              </w:rPr>
              <w:t>6</w:t>
            </w:r>
            <w:r>
              <w:t xml:space="preserve">. Parlamentet noterar vidare ombudsmannens åtagande att utveckla en utbildning om säker och etisk användning av AI-verktyg för all sin personal. Parlamentet noterar vidare att ombudsmannen varje månad under hela 2024 höll en riktad obligatorisk utbildning för att öka personalens medvetenhet och kompetens när det gäller bästa praxis för cybersäkerhet. Parlamentet noterar med tillfredsställelse att ombudsmannen kräver att all personal ska genomgå regelbundna cybersäkerhetsutbildningar. </w:t>
            </w:r>
            <w:r>
              <w:rPr>
                <w:b/>
                <w:i/>
              </w:rPr>
              <w:t>Parlamentet uppmuntrar ombudsmannen att fortsätta att utveckla sin digitaliseringsstrategi och säkerställa att användningen av AI-verktyg förblir helt förenlig med principerna om etisk användning, transparens, dataskydd, mänsklig tillsyn och skydd mot algoritmisk snedvridning eller missbruk.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Europaparlamentet betonar att upphandling är ett viktigt verktyg för att främja politiska mål såsom miljöagendan och den sociala agendan.</w:t>
            </w:r>
            <w:r>
              <w:t xml:space="preserve"> </w:t>
            </w:r>
            <w:r>
              <w:rPr>
                <w:b/>
                <w:i/>
              </w:rPr>
              <w:t>Parlamentet uppmanar ombudsmannen att i sina upphandlingsförfaranden stärka införandet av strategiska kriterier för socialt ansvar och miljömässig hållbarhet.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Europaparlamentet välkomnar de ekonomiska och administrativa besparingar som uppnåtts genom interinstitutionellt samarbete, särskilt det breda spektrum av servicenivåavtal som ombudsmannen ingått med parlamentet och kommissionen inom ett antal olika områden och deltagandet i interinstitutionella upphandlingsförfaranden. Parlamentet välkomnar formaliseringen av samarbetet mellan parlamentet och ombudsmannen på cybersäkerhetsområdet i oktober 2024 genom ett reviderat interinstitutionellt avtal som ger parlamentet en ram för att fortsätta att tillhandahålla ett stabilt cybersäkerhetsstöd till ombudsmannen.</w:t>
            </w:r>
          </w:p>
        </w:tc>
        <w:tc>
          <w:tcPr>
            <w:tcW w:w="4876" w:type="dxa"/>
            <w:tcBorders>
              <w:top w:val="nil"/>
              <w:left w:val="nil"/>
              <w:bottom w:val="nil"/>
              <w:right w:val="nil"/>
            </w:tcBorders>
          </w:tcPr>
          <w:p>
            <w:pPr>
              <w:pStyle w:val="Normal6a"/>
            </w:pPr>
            <w:r>
              <w:t>46.</w:t>
            </w:r>
            <w:r>
              <w:tab/>
            </w:r>
            <w:r>
              <w:t xml:space="preserve">Europaparlamentet välkomnar de ekonomiska och administrativa besparingar som uppnåtts genom interinstitutionellt samarbete, särskilt det breda spektrum av servicenivåavtal som ombudsmannen ingått med parlamentet och kommissionen inom ett antal olika områden och deltagandet i interinstitutionella upphandlingsförfaranden. Parlamentet välkomnar formaliseringen av samarbetet mellan parlamentet och ombudsmannen på cybersäkerhetsområdet i oktober 2024 genom ett reviderat interinstitutionellt avtal som ger parlamentet en ram för att fortsätta att tillhandahålla ett stabilt cybersäkerhetsstöd till ombudsmannen. </w:t>
            </w:r>
            <w:r>
              <w:rPr>
                <w:b/>
                <w:i/>
              </w:rPr>
              <w:t>Parlamentet uppmuntrar ombudsmannen att se till att all personal får regelbunden och aktuell utbildning i cybersäkerhet för att upprätthålla en hög nivå av medvetenhet och motståndskraft mot framväxande cyberhot.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Europaparlamentet välkomnar de ekonomiska och administrativa besparingar som uppnåtts genom interinstitutionellt samarbete, särskilt det breda spektrum av servicenivåavtal som ombudsmannen ingått med parlamentet och kommissionen inom ett antal olika områden och deltagandet i interinstitutionella upphandlingsförfaranden. Parlamentet välkomnar formaliseringen av samarbetet mellan parlamentet och ombudsmannen på cybersäkerhetsområdet i oktober 2024 genom ett reviderat interinstitutionellt avtal som ger parlamentet en ram för att fortsätta att tillhandahålla ett stabilt cybersäkerhetsstöd till ombudsmannen.</w:t>
            </w:r>
          </w:p>
        </w:tc>
        <w:tc>
          <w:tcPr>
            <w:tcW w:w="4876" w:type="dxa"/>
            <w:tcBorders>
              <w:top w:val="nil"/>
              <w:left w:val="nil"/>
              <w:bottom w:val="nil"/>
              <w:right w:val="nil"/>
            </w:tcBorders>
          </w:tcPr>
          <w:p>
            <w:pPr>
              <w:pStyle w:val="Normal6a"/>
            </w:pPr>
            <w:r>
              <w:t>46.</w:t>
            </w:r>
            <w:r>
              <w:tab/>
            </w:r>
            <w:r>
              <w:t xml:space="preserve">Europaparlamentet välkomnar de ekonomiska och administrativa besparingar som uppnåtts genom interinstitutionellt samarbete, särskilt det breda spektrum av servicenivåavtal som ombudsmannen ingått med parlamentet och kommissionen inom ett antal olika områden och deltagandet i interinstitutionella upphandlingsförfaranden. Parlamentet välkomnar formaliseringen av samarbetet mellan parlamentet och ombudsmannen på cybersäkerhetsområdet i oktober 2024 genom ett reviderat interinstitutionellt avtal som ger parlamentet en ram för att fortsätta att tillhandahålla ett stabilt cybersäkerhetsstöd till ombudsmannen. </w:t>
            </w:r>
            <w:r>
              <w:rPr>
                <w:b/>
                <w:i/>
              </w:rPr>
              <w:t>Parlamentet betonar att ett sådant samarbete är avgörande för att undvika dubbla strukturer och säkerställa en effektiv användning av unionens resurser.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Europaparlamentet noterar utifrån frågeformuläret att den totala budgeten för kommunikations- och marknadsföringsverksamhet (publikationer, anordnande av evenemang, digital kommunikation osv.) minskade med cirka 38 % från 155 200 EUR 2023 till 96 515 EUR 2024.</w:t>
            </w:r>
          </w:p>
        </w:tc>
        <w:tc>
          <w:tcPr>
            <w:tcW w:w="4876" w:type="dxa"/>
            <w:tcBorders>
              <w:top w:val="nil"/>
              <w:left w:val="nil"/>
              <w:bottom w:val="nil"/>
              <w:right w:val="nil"/>
            </w:tcBorders>
          </w:tcPr>
          <w:p>
            <w:pPr>
              <w:pStyle w:val="Normal6a"/>
            </w:pPr>
            <w:r>
              <w:t>50.</w:t>
            </w:r>
            <w:r>
              <w:tab/>
            </w:r>
            <w:r>
              <w:t xml:space="preserve">Europaparlamentet noterar utifrån frågeformuläret att den totala budgeten för kommunikations- och marknadsföringsverksamhet (publikationer, anordnande av evenemang, digital kommunikation osv.) minskade med cirka 38 % från 155 200 EUR 2023 till 96 515 EUR 2024. </w:t>
            </w:r>
            <w:r>
              <w:rPr>
                <w:b/>
                <w:i/>
              </w:rPr>
              <w:t>Parlamentet välkomnar denna minskning och understryker att kommunikationsverksamheten även i fortsättningen bör inriktas på att informera medborgarna om ombudsmannens mandat.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Europaparlamentet noterar utifrån frågeformuläret att den totala budgeten för kommunikations- och marknadsföringsverksamhet (publikationer, anordnande av evenemang, digital kommunikation osv.) minskade med cirka 38 % från 155 200 EUR 2023 till 96 515 EUR 2024.</w:t>
            </w:r>
          </w:p>
        </w:tc>
        <w:tc>
          <w:tcPr>
            <w:tcW w:w="4876" w:type="dxa"/>
            <w:tcBorders>
              <w:top w:val="nil"/>
              <w:left w:val="nil"/>
              <w:bottom w:val="nil"/>
              <w:right w:val="nil"/>
            </w:tcBorders>
          </w:tcPr>
          <w:p>
            <w:pPr>
              <w:pStyle w:val="Normal6a"/>
            </w:pPr>
            <w:r>
              <w:t>50.</w:t>
            </w:r>
            <w:r>
              <w:tab/>
            </w:r>
            <w:r>
              <w:t xml:space="preserve">Europaparlamentet noterar utifrån frågeformuläret att den totala budgeten för kommunikations- och marknadsföringsverksamhet (publikationer, anordnande av evenemang, digital kommunikation osv.) minskade med cirka 38 % från 155 200 EUR 2023 till 96 515 EUR 2024. </w:t>
            </w:r>
            <w:r>
              <w:rPr>
                <w:b/>
                <w:i/>
              </w:rPr>
              <w:t>Parlamentet betonar att även om budgetanslagen måste vara strategiska och resultatinriktade bör ombudsmannen behålla tillräcklig kommunikationskapacitet för att säkerställa allmänhetens medvetenhet om ombudsmannens roll, ansvar och tjänster, särskilt när det gäller medborgare som vänder sig till ombudsmannen för att påpeka problem på unionsnivå.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Europaparlamentet noterar utifrån frågeformuläret att den totala budgeten för kommunikations- och marknadsföringsverksamhet (publikationer, anordnande av evenemang, digital kommunikation osv.) minskade med cirka 38 % från 155 200 EUR 2023 till 96 515 EUR 2024.</w:t>
            </w:r>
          </w:p>
        </w:tc>
        <w:tc>
          <w:tcPr>
            <w:tcW w:w="4876" w:type="dxa"/>
            <w:tcBorders>
              <w:top w:val="nil"/>
              <w:left w:val="nil"/>
              <w:bottom w:val="nil"/>
              <w:right w:val="nil"/>
            </w:tcBorders>
          </w:tcPr>
          <w:p>
            <w:pPr>
              <w:pStyle w:val="Normal6a"/>
            </w:pPr>
            <w:r>
              <w:t>50.</w:t>
            </w:r>
            <w:r>
              <w:tab/>
            </w:r>
            <w:r>
              <w:t xml:space="preserve">Europaparlamentet noterar utifrån frågeformuläret att den totala budgeten för kommunikations- och marknadsföringsverksamhet (publikationer, anordnande av evenemang, digital kommunikation osv.) minskade med cirka 38 % från 155 200 EUR 2023 till 96 515 EUR 2024. </w:t>
            </w:r>
            <w:r>
              <w:rPr>
                <w:b/>
                <w:i/>
              </w:rPr>
              <w:t>Parlamentet varnar för att denna minskning kan undergräva det strategiska målet att ge medborgarna egenmakt.</w:t>
            </w:r>
            <w:r>
              <w:t xml:space="preserve"> </w:t>
            </w:r>
            <w:r>
              <w:rPr>
                <w:b/>
                <w:i/>
              </w:rPr>
              <w:t>Parlamentet föreslår att besparingar omfördelas för att säkerställa att ombudsmannens nödvändiga synlighet och genomslag bibehålls.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Europaparlamentet välkomnar den fortsatta uppmärksamheten i medierna, med omkring 5 000 artiklar som hänvisar till ombudsmannens arbete under 2024. Parlamentet noterar att ombudsmannen mäter allmänhetens engagemang främst genom tillväxt på sociala medier och webbplatstrafik och att antalet följare stadigt ökade under året. Parlamentet konstaterar att ombudsmannens Instagram-, LinkedIn- och X-konton fick totalt 9 186 nya följare, vilket överträffade dess mål för verksamhet på sociala medier under 2024, samt när det gäller antalet unika besökare på dess webbplats.</w:t>
            </w:r>
          </w:p>
        </w:tc>
        <w:tc>
          <w:tcPr>
            <w:tcW w:w="4876" w:type="dxa"/>
            <w:tcBorders>
              <w:top w:val="nil"/>
              <w:left w:val="nil"/>
              <w:bottom w:val="nil"/>
              <w:right w:val="nil"/>
            </w:tcBorders>
          </w:tcPr>
          <w:p>
            <w:pPr>
              <w:pStyle w:val="Normal6a"/>
            </w:pPr>
            <w:r>
              <w:t>55.</w:t>
            </w:r>
            <w:r>
              <w:tab/>
            </w:r>
            <w:r>
              <w:t xml:space="preserve">Europaparlamentet välkomnar den fortsatta uppmärksamheten i medierna, med omkring 5 000 artiklar som hänvisar till ombudsmannens arbete under 2024. Parlamentet noterar att ombudsmannen mäter allmänhetens engagemang främst genom tillväxt på sociala medier och webbplatstrafik och att antalet följare stadigt ökade under året. Parlamentet konstaterar att ombudsmannens Instagram-, LinkedIn- och X-konton fick totalt 9 186 nya följare, vilket överträffade dess mål för verksamhet på sociala medier under 2024, samt när det gäller antalet unika besökare på dess webbplats. </w:t>
            </w:r>
            <w:r>
              <w:rPr>
                <w:b/>
                <w:i/>
              </w:rPr>
              <w:t>Parlamentet betonar vikten av att fortsätta att prioritera extern kommunikation för att öka allmänhetens medvetenhet om ombudsmannens uppdrag och de tjänster som ombudsmannen tillhandahåller unionsmedborgarna.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AM\1336287SV.docx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AM\1336287SV.docx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AM\1336287SV.docx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15216</Words>
  <Characters>100834</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365476</vt:lpwstr>
  </property>
  <property fmtid="{D5CDD505-2E9C-101B-9397-08002B2CF9AE}" pid="7" name="dmxml.render.traceId">
    <vt:lpwstr>6985bc58d0ee7daa4949d4cb3e6f2947</vt:lpwstr>
  </property>
  <property fmtid="{D5CDD505-2E9C-101B-9397-08002B2CF9AE}" pid="8" name="FooterPath">
    <vt:lpwstr>AM\1336287SV.docx</vt:lpwstr>
  </property>
  <property fmtid="{D5CDD505-2E9C-101B-9397-08002B2CF9AE}" pid="9" name="PE Number">
    <vt:lpwstr>784.148</vt:lpwstr>
  </property>
  <property fmtid="{D5CDD505-2E9C-101B-9397-08002B2CF9AE}" pid="10" name="UID">
    <vt:lpwstr>eu.europa.europarl-DIN1-2026-0000017080_01.00-sv-01.00_text-xml</vt:lpwstr>
  </property>
</Properties>
</file>