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2025/2150</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{30/01/2026}</w:t>
      </w:r>
      <w:r>
        <w:t>30.1.2026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112</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(PE778.061v01-00)</w:t>
      </w:r>
      <w:r>
        <w:rPr>
          <w:rStyle w:val="HideTWBExt"/>
        </w:rPr>
        <w:t>&lt;/DocRefPE&gt;</w:t>
      </w:r>
    </w:p>
    <w:p>
      <w:pPr>
        <w:pStyle w:val="CoverNormal"/>
      </w:pPr>
      <w:r>
        <w:rPr>
          <w:rStyle w:val="HideTWBExt"/>
        </w:rPr>
        <w:t>&lt;Titre&gt;</w:t>
      </w:r>
      <w:r>
        <w:t>Udělení absolutoria za rozpočtový rok 2024: Souhrnný rozpočet EU – Evropská služba pro vnější činnost</w:t>
      </w:r>
      <w:r>
        <w:rPr>
          <w:rStyle w:val="HideTWBExt"/>
        </w:rPr>
        <w:t>&lt;/Titre&gt;</w:t>
      </w:r>
    </w:p>
    <w:p>
      <w:pPr>
        <w:pStyle w:val="CoverNormal24a"/>
      </w:pPr>
      <w:r>
        <w:rPr>
          <w:rStyle w:val="HideTWBExt"/>
        </w:rPr>
        <w:t>&lt;DocRef&gt;</w:t>
      </w:r>
      <w:r>
        <w:t>(2025/2150(DEC))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vzhledem k tomu, že účinnost a nákladová efektivnost vnější činnosti Evropské unie závisí na úzké koordinaci s diplomatickými institucemi a sítěmi členských států, zejména ve třetích zemích, kde ESVČ i členské státy udržují stálou přítomnost, aby se zabránilo zdvojování struktur a výdajů;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konstatuje, že rozpočet ESVČ spadá do okruhu 7 VFR „Evropská veřejná správa“, který v roce 2024 činil 13,3 miliardy EUR (což představuje 6,9 % celkového rozpočtu Unie); konstatuje, že rozpočet ve výši přibližně </w:t>
            </w:r>
            <w:r>
              <w:rPr>
                <w:b/>
                <w:i/>
              </w:rPr>
              <w:t>1 293</w:t>
            </w:r>
            <w:r>
              <w:t xml:space="preserve"> miliardy EUR řízený ESVČ představuje přibližně 9,54 % celkových správních výdajů Unie v roce 2024;</w:t>
            </w:r>
          </w:p>
        </w:tc>
        <w:tc>
          <w:tcPr>
            <w:tcW w:w="4876" w:type="dxa"/>
            <w:tcBorders>
              <w:top w:val="nil"/>
              <w:left w:val="nil"/>
              <w:bottom w:val="nil"/>
              <w:right w:val="nil"/>
            </w:tcBorders>
          </w:tcPr>
          <w:p>
            <w:pPr>
              <w:pStyle w:val="Normal6a"/>
            </w:pPr>
            <w:r>
              <w:t>1.</w:t>
            </w:r>
            <w:r>
              <w:tab/>
            </w:r>
            <w:r>
              <w:t xml:space="preserve">konstatuje, že rozpočet ESVČ spadá do okruhu 7 VFR „Evropská veřejná správa“, který v roce 2024 činil 13,3 miliardy EUR (což představuje 6,9 % celkového rozpočtu Unie); konstatuje, že rozpočet ve výši přibližně </w:t>
            </w:r>
            <w:r>
              <w:rPr>
                <w:b/>
                <w:i/>
              </w:rPr>
              <w:t>1,239</w:t>
            </w:r>
            <w:r>
              <w:t xml:space="preserve"> miliardy EUR řízený ESVČ představuje přibližně 9,54 % celkových správních výdajů Unie v roce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připomíná, že občané Unie nadále čelí rostoucímu fiskálnímu tlaku;</w:t>
            </w:r>
            <w:r>
              <w:t xml:space="preserve"> </w:t>
            </w:r>
            <w:r>
              <w:rPr>
                <w:b/>
                <w:i/>
              </w:rPr>
              <w:t>zdůrazňuje proto, že orgány Unie musí prokázat nejvyšší míru rozpočtové zdrženlivosti a účinnosti;</w:t>
            </w:r>
            <w:r>
              <w:t xml:space="preserve"> </w:t>
            </w:r>
            <w:r>
              <w:rPr>
                <w:b/>
                <w:i/>
              </w:rPr>
              <w:t>vyzývá ESVČ, aby upřednostnila kontrolu nákladů, zabránila zbytečnému byrokratickému růstu a zajistila, aby jakékoli zvýšení správních výdajů přinášelo občanům jasnou přidanou hodnotu;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konstatuje, že v roce 2024 činila míra plnění rozpočtu za běžný rok u prostředků na závazky 100 %, zatímco u prostředků na platby činila 88,4 % ve srovnání s 90,6 % v roce 2023; konstatuje, že průměrná doba splatnosti činila 13,43 dne, avšak 10,69 % z celkového počtu plateb uskutečněných v roce 2024 (což odpovídá celkové částce </w:t>
            </w:r>
            <w:r>
              <w:rPr>
                <w:b/>
                <w:i/>
              </w:rPr>
              <w:t>57 357 324,68</w:t>
            </w:r>
            <w:r>
              <w:t xml:space="preserve"> EUR) představovaly opožděné platby, v důsledku čehož bylo v roce 2024 za platby úroků z prodlení vyplaceno </w:t>
            </w:r>
            <w:r>
              <w:rPr>
                <w:b/>
                <w:i/>
              </w:rPr>
              <w:t>37 862,61</w:t>
            </w:r>
            <w:r>
              <w:t xml:space="preserve"> EUR; vyzývá ESVČ, aby pokračovala ve svém úsilí o zvýšení počtu elektronických plateb a digitalizaci pracovních toků, zejména pokud jde o elektronické faktury při delegacích Unie;</w:t>
            </w:r>
          </w:p>
        </w:tc>
        <w:tc>
          <w:tcPr>
            <w:tcW w:w="4876" w:type="dxa"/>
            <w:tcBorders>
              <w:top w:val="nil"/>
              <w:left w:val="nil"/>
              <w:bottom w:val="nil"/>
              <w:right w:val="nil"/>
            </w:tcBorders>
          </w:tcPr>
          <w:p>
            <w:pPr>
              <w:pStyle w:val="Normal6a"/>
            </w:pPr>
            <w:r>
              <w:t>6.</w:t>
            </w:r>
            <w:r>
              <w:tab/>
            </w:r>
            <w:r>
              <w:t xml:space="preserve">konstatuje, že v roce 2024 činila míra plnění rozpočtu za běžný rok u prostředků na závazky 100 %, zatímco u prostředků na platby činila 88,4 % ve srovnání s 90,6 % v roce 2023; konstatuje, že průměrná doba splatnosti činila 13,43 dne, avšak 10,69 % z celkového počtu plateb uskutečněných v roce 2024 (což odpovídá celkové částce </w:t>
            </w:r>
            <w:r>
              <w:rPr>
                <w:b/>
                <w:i/>
              </w:rPr>
              <w:t>57 357 324,68</w:t>
            </w:r>
            <w:r>
              <w:t xml:space="preserve"> EUR) představovaly opožděné platby, v důsledku čehož bylo v roce 2024 za platby úroků z prodlení vyplaceno </w:t>
            </w:r>
            <w:r>
              <w:rPr>
                <w:b/>
                <w:i/>
              </w:rPr>
              <w:t>37 862,61</w:t>
            </w:r>
            <w:r>
              <w:t xml:space="preserve"> EUR; vyzývá ESVČ, aby pokračovala ve svém úsilí o zvýšení počtu elektronických plateb a digitalizaci pracovních toků, zejména pokud jde o elektronické faktury při delegacích Unie; </w:t>
            </w:r>
            <w:r>
              <w:rPr>
                <w:b/>
                <w:i/>
              </w:rPr>
              <w:t>vyzývá ESVČ, aby stanovila roční cíle pro omezení opožděných plateb a nákladů na úroky z prodlení a aby standardizovala komplexní postupy elektronické fakturace a elektronického zadávání veřejných zakázek napříč delegacemi;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vyjadřuje hluboké znepokojení nad rostoucím dluhovým zatížením a výpůjčními náklady EU;</w:t>
            </w:r>
            <w:r>
              <w:t xml:space="preserve"> </w:t>
            </w:r>
            <w:r>
              <w:rPr>
                <w:b/>
                <w:i/>
              </w:rPr>
              <w:t>konstatuje, že podle výroční zprávy Evropského účetního dvora by nesplacené úvěry, které si EU vzala, mohly do roku 2027 přesáhnout 900 miliard EUR, což je téměř desetinásobek úrovně z roku 2020 před zavedením ozdravného balíčku nástroje NextGenerationEU;</w:t>
            </w:r>
            <w:r>
              <w:t xml:space="preserve"> </w:t>
            </w:r>
            <w:r>
              <w:rPr>
                <w:b/>
                <w:i/>
              </w:rPr>
              <w:t>varuje, že rostoucí výpůjční náklady představují riziko pro budoucí rozpočty a omezují fiskální prostor pro nové priority;</w:t>
            </w:r>
            <w:r>
              <w:t xml:space="preserve"> </w:t>
            </w:r>
            <w:r>
              <w:rPr>
                <w:b/>
                <w:i/>
              </w:rPr>
              <w:t>trvá proto na tom, že tento bezprecedentní fiskální tlak vyžaduje důsledné hledání úspor v rámci správního rozpočtu ESVČ;</w:t>
            </w:r>
            <w:r>
              <w:t xml:space="preserve"> </w:t>
            </w:r>
            <w:r>
              <w:rPr>
                <w:b/>
                <w:i/>
              </w:rPr>
              <w:t>vyzývá ESVČ, aby předložila plán na snížení strukturálních nákladů, a prokázala tak institucionální odpovědnost v době vysokého veřejného dluhu;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konstatuje, že ESVČ čelila několika výzvám, pokud jde o plnění rozpočtu v roce 2024, a to v důsledku silného dopadu útočné války Ruska proti Ukrajině, inflačních tlaků, nepříznivých směnných kurzů a dvouprocentního limitu na výdaje nesouvisející s platy, což vedlo k deficitu ve výši 33 milionů EUR pro delegace Unie; konstatuje, že ESVČ tyto problémy řešila kombinací strategických úspor a přerozdělováním/převody rozpočtových prostředků; konstatuje, že snížení se týkalo především rozpočtů na služební cesty a reprezentaci, infrastrukturu a bezpečnost; uznává, že je třeba, aby všechny orgány Unie zlepšily své rozpočtové řízení tím, že při uzavírání smluv s poskytovateli služeb zohlední také kolísání cen, zejména v odvětví energetiky;</w:t>
            </w:r>
          </w:p>
        </w:tc>
        <w:tc>
          <w:tcPr>
            <w:tcW w:w="4876" w:type="dxa"/>
            <w:tcBorders>
              <w:top w:val="nil"/>
              <w:left w:val="nil"/>
              <w:bottom w:val="nil"/>
              <w:right w:val="nil"/>
            </w:tcBorders>
          </w:tcPr>
          <w:p>
            <w:pPr>
              <w:pStyle w:val="Normal6a"/>
            </w:pPr>
            <w:r>
              <w:t>8.</w:t>
            </w:r>
            <w:r>
              <w:tab/>
            </w:r>
            <w:r>
              <w:t xml:space="preserve">konstatuje, že ESVČ čelila několika výzvám, pokud jde o plnění rozpočtu v roce 2024, a to v důsledku silného dopadu útočné války Ruska proti Ukrajině, inflačních tlaků, nepříznivých směnných kurzů a dvouprocentního limitu na výdaje nesouvisející s platy, což vedlo k deficitu ve výši 33 milionů EUR pro delegace Unie; </w:t>
            </w:r>
            <w:r>
              <w:rPr>
                <w:b/>
                <w:i/>
              </w:rPr>
              <w:t>s uspokojením</w:t>
            </w:r>
            <w:r>
              <w:t xml:space="preserve"> konstatuje, že ESVČ tyto problémy řešila kombinací strategických úspor a přerozdělováním/převody rozpočtových prostředků; konstatuje, že snížení se týkalo především rozpočtů na služební cesty a reprezentaci, infrastrukturu a bezpečnost; </w:t>
            </w:r>
            <w:r>
              <w:rPr>
                <w:b/>
                <w:i/>
              </w:rPr>
              <w:t>je znepokojen tím, že rozpočtová omezení mohou mít dopad na povinnost ESVČ pečovat o své zaměstnance, zejména pokud jde o údržbu infrastruktury a bezpečnostní standardy v delegacích;</w:t>
            </w:r>
            <w:r>
              <w:t xml:space="preserve"> </w:t>
            </w:r>
            <w:r>
              <w:rPr>
                <w:b/>
                <w:i/>
              </w:rPr>
              <w:t>vítá balíček nápravných opatření, opakuje však svou výzvu, aby byl rozpočet v souladu s potřebami a cíli ESVČ;</w:t>
            </w:r>
            <w:r>
              <w:t xml:space="preserve"> uznává, že je třeba, aby všechny orgány Unie zlepšily své rozpočtové řízení tím, že při uzavírání smluv s poskytovateli služeb zohlední také kolísání cen, zejména v odvětví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konstatuje, že ESVČ čelila několika výzvám, pokud jde o plnění rozpočtu v roce 2024, a to v důsledku silného dopadu útočné války Ruska proti Ukrajině, inflačních tlaků, nepříznivých směnných kurzů a dvouprocentního limitu na výdaje nesouvisející s platy, což vedlo k deficitu ve výši 33 milionů EUR pro delegace Unie; konstatuje, že ESVČ tyto problémy řešila kombinací strategických úspor a přerozdělováním/převody rozpočtových prostředků; konstatuje, že snížení se týkalo především rozpočtů na služební cesty a reprezentaci, infrastrukturu a bezpečnost; uznává, že je třeba, aby všechny orgány Unie zlepšily své rozpočtové řízení tím, že při uzavírání smluv s poskytovateli služeb zohlední také kolísání cen, zejména v odvětví energetiky;</w:t>
            </w:r>
          </w:p>
        </w:tc>
        <w:tc>
          <w:tcPr>
            <w:tcW w:w="4876" w:type="dxa"/>
            <w:tcBorders>
              <w:top w:val="nil"/>
              <w:left w:val="nil"/>
              <w:bottom w:val="nil"/>
              <w:right w:val="nil"/>
            </w:tcBorders>
          </w:tcPr>
          <w:p>
            <w:pPr>
              <w:pStyle w:val="Normal6a"/>
            </w:pPr>
            <w:r>
              <w:t>8.</w:t>
            </w:r>
            <w:r>
              <w:tab/>
            </w:r>
            <w:r>
              <w:t xml:space="preserve">konstatuje, že ESVČ čelila několika výzvám, pokud jde o plnění rozpočtu v roce 2024, a to v důsledku silného dopadu </w:t>
            </w:r>
            <w:r>
              <w:rPr>
                <w:b/>
                <w:i/>
              </w:rPr>
              <w:t>protiprávní</w:t>
            </w:r>
            <w:r>
              <w:t xml:space="preserve"> útočné války Ruska proti Ukrajině, inflačních tlaků, nepříznivých směnných kurzů a dvouprocentního limitu na výdaje nesouvisející s platy, což vedlo k deficitu ve výši 33 milionů EUR pro delegace </w:t>
            </w:r>
            <w:r>
              <w:rPr>
                <w:b/>
                <w:i/>
              </w:rPr>
              <w:t>Unie a výrazně to omezilo operační kapacitu delegací</w:t>
            </w:r>
            <w:r>
              <w:t xml:space="preserve"> Unie; konstatuje, že ESVČ tyto problémy řešila kombinací strategických úspor a přerozdělováním/převody rozpočtových prostředků; konstatuje, že snížení se týkalo především rozpočtů na služební cesty a reprezentaci, infrastrukturu a bezpečnost; uznává, že je třeba, aby všechny orgány Unie zlepšily své rozpočtové řízení tím, že při uzavírání smluv s poskytovateli služeb zohlední také kolísání cen, zejména v odvětví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službě je přitom svěřován stále širší mandát, čímž rostou i její náklady a potřeby v souvislosti se sítí 145 delegací; bere na vědomí názor ESVČ, že existuje nepoměr mezi úkoly a zdroji, který představuje značnou výzvu pro schopnost ESVČ plně plnit své cíle a účinně podporovat program zahraniční a bezpečnostní politiky Unie;</w:t>
            </w:r>
          </w:p>
        </w:tc>
        <w:tc>
          <w:tcPr>
            <w:tcW w:w="4876" w:type="dxa"/>
            <w:tcBorders>
              <w:top w:val="nil"/>
              <w:left w:val="nil"/>
              <w:bottom w:val="nil"/>
              <w:right w:val="nil"/>
            </w:tcBorders>
          </w:tcPr>
          <w:p>
            <w:pPr>
              <w:pStyle w:val="Normal6a"/>
            </w:pPr>
            <w:r>
              <w:t>9.</w:t>
            </w:r>
            <w:r>
              <w:tab/>
            </w:r>
            <w:r>
              <w:t xml:space="preserve">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službě je přitom svěřován stále širší mandát, čímž rostou i její náklady a potřeby v souvislosti se sítí 145 delegací; bere na vědomí názor ESVČ, že existuje nepoměr mezi úkoly a zdroji, který představuje značnou výzvu pro schopnost ESVČ plně plnit své cíle a účinně podporovat program zahraniční a bezpečnostní politiky Unie; </w:t>
            </w:r>
            <w:r>
              <w:rPr>
                <w:b/>
                <w:i/>
              </w:rPr>
              <w:t>vyzývá ESVČ, aby své strategické ambice více sladila s dostupnými finančními zdroji a upřednostňovala opatření, která přinášejí jasnou přidanou hodnotu pro Unii a její občany, a zároveň se vyhýbala činnostem a projektům, které by mohly ohrozit účinnost a dobré pracovní podmínky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službě je přitom svěřován stále širší mandát, čímž rostou i její náklady a potřeby v souvislosti se sítí 145 delegací; bere na vědomí názor ESVČ, že existuje nepoměr mezi úkoly a zdroji, který představuje značnou výzvu pro schopnost ESVČ plně plnit své cíle a účinně podporovat program zahraniční a bezpečnostní politiky Unie;</w:t>
            </w:r>
          </w:p>
        </w:tc>
        <w:tc>
          <w:tcPr>
            <w:tcW w:w="4876" w:type="dxa"/>
            <w:tcBorders>
              <w:top w:val="nil"/>
              <w:left w:val="nil"/>
              <w:bottom w:val="nil"/>
              <w:right w:val="nil"/>
            </w:tcBorders>
          </w:tcPr>
          <w:p>
            <w:pPr>
              <w:pStyle w:val="Normal6a"/>
            </w:pPr>
            <w:r>
              <w:t>9.</w:t>
            </w:r>
            <w:r>
              <w:tab/>
            </w:r>
            <w:r>
              <w:t xml:space="preserve">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službě je přitom svěřován stále širší mandát, čímž rostou i její náklady a potřeby v souvislosti se sítí 145 delegací; bere na vědomí názor ESVČ, že existuje nepoměr mezi úkoly a zdroji, který představuje značnou výzvu pro schopnost ESVČ plně plnit své cíle a účinně podporovat program zahraniční a bezpečnostní politiky Unie; </w:t>
            </w:r>
            <w:r>
              <w:rPr>
                <w:b/>
                <w:i/>
              </w:rPr>
              <w:t>vyzývá ESVČ, aby urychleně napravila nedostatek zaměstnanců v delegacích EU, zejména na místech, která čelí složitým bezpečnostním nebo geopolitickým výzvám, a aby posílila transparentnost a odpovědnost v náborových řízeních.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službě je přitom svěřován stále širší mandát, čímž rostou i její náklady a potřeby v souvislosti se sítí 145 delegací; bere na vědomí názor ESVČ, že existuje nepoměr mezi úkoly a zdroji, který představuje značnou výzvu pro schopnost ESVČ plně plnit své cíle a účinně podporovat program zahraniční a bezpečnostní politiky Unie;</w:t>
            </w:r>
          </w:p>
        </w:tc>
        <w:tc>
          <w:tcPr>
            <w:tcW w:w="4876" w:type="dxa"/>
            <w:tcBorders>
              <w:top w:val="nil"/>
              <w:left w:val="nil"/>
              <w:bottom w:val="nil"/>
              <w:right w:val="nil"/>
            </w:tcBorders>
          </w:tcPr>
          <w:p>
            <w:pPr>
              <w:pStyle w:val="Normal6a"/>
            </w:pPr>
            <w:r>
              <w:t>9.</w:t>
            </w:r>
            <w:r>
              <w:tab/>
            </w:r>
            <w:r>
              <w:t xml:space="preserve">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službě je přitom svěřován stále širší mandát, čímž rostou i její náklady a potřeby v souvislosti se sítí 145 delegací; bere na vědomí názor ESVČ, že existuje nepoměr mezi úkoly a zdroji, který představuje značnou výzvu pro schopnost ESVČ plně plnit své cíle a účinně podporovat program zahraniční a bezpečnostní politiky Unie </w:t>
            </w:r>
            <w:r>
              <w:rPr>
                <w:b/>
                <w:i/>
              </w:rPr>
              <w:t>a podkopává její věrohodnost jako globálního aktéra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službě je přitom svěřován stále širší mandát, čímž rostou i její náklady a potřeby v souvislosti se sítí 145 delegací; </w:t>
            </w:r>
            <w:r>
              <w:rPr>
                <w:b/>
                <w:i/>
              </w:rPr>
              <w:t>bere na vědomí</w:t>
            </w:r>
            <w:r>
              <w:t xml:space="preserve"> názor ESVČ, že existuje nepoměr mezi úkoly a zdroji, který představuje značnou výzvu pro schopnost ESVČ plně plnit své cíle a účinně podporovat program zahraniční a bezpečnostní politiky Unie;</w:t>
            </w:r>
          </w:p>
        </w:tc>
        <w:tc>
          <w:tcPr>
            <w:tcW w:w="4876" w:type="dxa"/>
            <w:tcBorders>
              <w:top w:val="nil"/>
              <w:left w:val="nil"/>
              <w:bottom w:val="nil"/>
              <w:right w:val="nil"/>
            </w:tcBorders>
          </w:tcPr>
          <w:p>
            <w:pPr>
              <w:pStyle w:val="Normal6a"/>
            </w:pPr>
            <w:r>
              <w:t>9.</w:t>
            </w:r>
            <w:r>
              <w:tab/>
            </w:r>
            <w:r>
              <w:t xml:space="preserve">na základě slyšení místopředsedkyně Komise, vysoké představitelky na schůzi parlamentního Výboru pro rozpočtovou kontrolu (CONT) dne 17. listopadu 2025 (dále jen „slyšení“) konstatuje, že ESVČ se v posledních několika letech potýká se značnými rozpočtovými omezeními, službě je přitom svěřován stále širší mandát, čímž rostou i její náklady a potřeby v souvislosti se sítí 145 delegací; </w:t>
            </w:r>
            <w:r>
              <w:rPr>
                <w:b/>
                <w:i/>
              </w:rPr>
              <w:t>podporuje</w:t>
            </w:r>
            <w:r>
              <w:t xml:space="preserve"> názor ESVČ, že existuje nepoměr mezi úkoly a zdroji, který představuje značnou výzvu pro schopnost ESVČ plně plnit své cíle a účinně podporovat program zahraniční a bezpečnostní politiky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zdůrazňuje, že současná mezinárodní situace přivedla zahraniční politiku Unie do popředí zájmu občanů, členských států a orgánů EU;</w:t>
            </w:r>
            <w:r>
              <w:t xml:space="preserve"> </w:t>
            </w:r>
            <w:r>
              <w:rPr>
                <w:b/>
                <w:i/>
              </w:rPr>
              <w:t>zdůrazňuje, že ESVČ a její delegace hrají zásadní úlohu, pokud jde o provádění vnější politiky Unie a boj proti zahraniční manipulaci s informacemi a vměšování;</w:t>
            </w:r>
            <w:r>
              <w:t xml:space="preserve"> </w:t>
            </w:r>
            <w:r>
              <w:rPr>
                <w:b/>
                <w:i/>
              </w:rPr>
              <w:t>zdůrazňuje význam ESVČ pro 25 až 30 milionů občanů Unie, kteří žijí mimo EU;</w:t>
            </w:r>
            <w:r>
              <w:t xml:space="preserve"> </w:t>
            </w:r>
            <w:r>
              <w:rPr>
                <w:b/>
                <w:i/>
              </w:rPr>
              <w:t>vyjadřuje politování nad tím, že nedostatečné financování ESVČ není strukturálně řešeno a musí být řešeno opakovaně v rámci ročního rozpočtu EU;</w:t>
            </w:r>
            <w:r>
              <w:t xml:space="preserve"> </w:t>
            </w:r>
            <w:r>
              <w:rPr>
                <w:b/>
                <w:i/>
              </w:rPr>
              <w:t>je znepokojen negativními důsledky pro ESVČ a výkon zahraniční politiky Unie ve vztazích se třetími zeměmi, zejména zeměmi globálního Jihu, v době rychlých geopolitických změn;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Evropský účetní dvůr, aby provedl komplexní audit výkonnosti ESVČ s cílem vyhodnotit účinnost jejích činností ve srovnání s diplomatickými službami zemí OECD;</w:t>
            </w:r>
            <w:r>
              <w:t xml:space="preserve"> </w:t>
            </w:r>
            <w:r>
              <w:rPr>
                <w:b/>
                <w:i/>
              </w:rPr>
              <w:t>žádá, aby tento audit identifikoval oblasti, v nichž ESVČ poskytuje jedinečnou a nenahraditelnou přidanou hodnotu, a oblasti, v nichž se její činnosti překrývají s činnostmi členských států;</w:t>
            </w:r>
            <w:r>
              <w:t xml:space="preserve"> </w:t>
            </w:r>
            <w:r>
              <w:rPr>
                <w:b/>
                <w:i/>
              </w:rPr>
              <w:t>současně vyzývá ESVČ, aby provedla analýzu nákladů a přínosů své globální sítě a aby upřednostňovala přidělování zdrojů delegacím v zemích, které jasně přispívají k bezprostředním zájmům EU, jako je hospodářská prosperita, energetická bezpečnost, ochrana hranic a předcházení nelegálním migračním tokům;</w:t>
            </w:r>
            <w:r>
              <w:t xml:space="preserve"> </w:t>
            </w:r>
            <w:r>
              <w:rPr>
                <w:b/>
                <w:i/>
              </w:rPr>
              <w:t>trvá na tom, aby byly stanoveny jasné a měřitelné ukazatele výkonnosti s cílem prokázat „efektivnost vynaložených prostředků“ pro občany Unie, a požaduje, aby ESVČ ukončila veškeré činnosti nebo mise, které jsou na základě těchto posouzení vyhodnoceny jako neúčinné nebo nadbytečné;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dále konstatuje, že v roce 2024 byly odloženy investice do nemovitostí a projektů v oblasti informačních technologií a byl snížen počet stážistů; bere na vědomí názor ESVČ, že tato omezení by v konečném důsledku mohla mít dopad na celosvětovou přítomnost Unie a bezpečnost jejích zaměstnanců; očekává, že dodatečných 10 milionů EUR, které byly ESVČ přiděleny v rámci rozpočtu na rok 2025, přispěje k lepšímu plnění rozpočtu ESVČ, pokud jde o dosahování cílů, a zabrání situacím, v nichž by byla ohrožena povinnost péče ESVČ s ohledem na zaměstnance vyslané do delegací Unie;</w:t>
            </w:r>
          </w:p>
        </w:tc>
        <w:tc>
          <w:tcPr>
            <w:tcW w:w="4876" w:type="dxa"/>
            <w:tcBorders>
              <w:top w:val="nil"/>
              <w:left w:val="nil"/>
              <w:bottom w:val="nil"/>
              <w:right w:val="nil"/>
            </w:tcBorders>
          </w:tcPr>
          <w:p>
            <w:pPr>
              <w:pStyle w:val="Normal6a"/>
            </w:pPr>
            <w:r>
              <w:t>10.</w:t>
            </w:r>
            <w:r>
              <w:tab/>
            </w:r>
            <w:r>
              <w:t xml:space="preserve">dále konstatuje, že v roce 2024 byly odloženy investice do nemovitostí a projektů v oblasti informačních technologií a byl snížen počet stážistů; bere na vědomí názor ESVČ, že tato omezení by v konečném důsledku mohla mít dopad na celosvětovou přítomnost Unie a bezpečnost jejích zaměstnanců; očekává, že dodatečných 10 milionů EUR, které byly ESVČ přiděleny v rámci rozpočtu na rok 2025, přispěje k lepšímu plnění rozpočtu ESVČ, pokud jde o dosahování cílů, a zabrání situacím, v nichž by byla ohrožena povinnost péče ESVČ s ohledem na zaměstnance vyslané do delegací Unie; </w:t>
            </w:r>
            <w:r>
              <w:rPr>
                <w:b/>
                <w:i/>
              </w:rPr>
              <w:t>vyzývá ESVČ, aby předložila seznam prioritních investic do kritické infrastruktury IT, kybernetické bezpečnosti a služeb péče, včetně analýzy nákladů a přínosů a očekávaného operačního dopadu, aby se zabránilo opakovaným odkladům, které ohrožují efektivitu a bezpečnost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dále konstatuje, že v roce 2024 byly odloženy investice do nemovitostí a projektů v oblasti informačních technologií a byl snížen počet stážistů; </w:t>
            </w:r>
            <w:r>
              <w:rPr>
                <w:b/>
                <w:i/>
              </w:rPr>
              <w:t>bere na vědomí názor ESVČ, že tato omezení by v konečném důsledku mohla mít dopad na celosvětovou přítomnost Unie</w:t>
            </w:r>
            <w:r>
              <w:t xml:space="preserve"> a bezpečnost </w:t>
            </w:r>
            <w:r>
              <w:rPr>
                <w:b/>
                <w:i/>
              </w:rPr>
              <w:t>jejích zaměstnanců</w:t>
            </w:r>
            <w:r>
              <w:t>; očekává, že dodatečných 10 milionů EUR, které byly ESVČ přiděleny v rámci rozpočtu na rok 2025, přispěje k lepšímu plnění rozpočtu ESVČ, pokud jde o dosahování cílů</w:t>
            </w:r>
            <w:r>
              <w:rPr>
                <w:b/>
                <w:i/>
              </w:rPr>
              <w:t>, a zabrání situacím, v nichž by byla ohrožena povinnost péče ESVČ s ohledem na zaměstnance vyslané do delegací Unie</w:t>
            </w:r>
            <w:r>
              <w:t>;</w:t>
            </w:r>
          </w:p>
        </w:tc>
        <w:tc>
          <w:tcPr>
            <w:tcW w:w="4876" w:type="dxa"/>
            <w:tcBorders>
              <w:top w:val="nil"/>
              <w:left w:val="nil"/>
              <w:bottom w:val="nil"/>
              <w:right w:val="nil"/>
            </w:tcBorders>
          </w:tcPr>
          <w:p>
            <w:pPr>
              <w:pStyle w:val="Normal6a"/>
            </w:pPr>
            <w:r>
              <w:t>10.</w:t>
            </w:r>
            <w:r>
              <w:tab/>
            </w:r>
            <w:r>
              <w:t xml:space="preserve">dále konstatuje, že v roce 2024 byly odloženy investice do nemovitostí a projektů v oblasti informačních technologií a byl snížen počet stážistů; </w:t>
            </w:r>
            <w:r>
              <w:rPr>
                <w:b/>
                <w:i/>
              </w:rPr>
              <w:t>varuje, že pokračující odkládání investic a snižování počtu zaměstnanců může ohrozit povinnost ESVČ jednat s náležitou péčí, zejména pokud jde o bezpečnost zaměstnanců, duševní zdraví</w:t>
            </w:r>
            <w:r>
              <w:t xml:space="preserve"> a bezpečnost </w:t>
            </w:r>
            <w:r>
              <w:rPr>
                <w:b/>
                <w:i/>
              </w:rPr>
              <w:t>ve vysoce rizikových lokalitách;</w:t>
            </w:r>
            <w:r>
              <w:t xml:space="preserve"> </w:t>
            </w:r>
            <w:r>
              <w:rPr>
                <w:b/>
                <w:i/>
              </w:rPr>
              <w:t>očekává, že budoucí rozpočtová rozhodnutí tyto povinnosti upřednostní</w:t>
            </w:r>
            <w:r>
              <w:t>; očekává, že dodatečných 10 milionů EUR, které byly ESVČ přiděleny v rámci rozpočtu na rok 2025, přispěje k lepšímu plnění rozpočtu ESVČ, pokud jde o dosahování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konstatuje, že finanční strop Evropského mírového nástroje spravovaného v rámci úřadu místopředsedkyně Komise, vysoké představitelky, se zvýšil z 12 miliard EUR v roce 2023 na 17 miliard EUR v roce 2024, přičemž těchto dodatečných 5 miliard EUR je určeno na vojenskou podporu Ukrajiny; vyzývá ESVČ, aby spolupracovala s Generálním ředitelstvím Komise pro rozšíření a východní sousedství (GŘ ENEST) na zajištění účinného dohledu a monitorování projektů financovaných z Evropského mírového nástroje;</w:t>
            </w:r>
          </w:p>
        </w:tc>
        <w:tc>
          <w:tcPr>
            <w:tcW w:w="4876" w:type="dxa"/>
            <w:tcBorders>
              <w:top w:val="nil"/>
              <w:left w:val="nil"/>
              <w:bottom w:val="nil"/>
              <w:right w:val="nil"/>
            </w:tcBorders>
          </w:tcPr>
          <w:p>
            <w:pPr>
              <w:pStyle w:val="Normal6a"/>
            </w:pPr>
            <w:r>
              <w:t>11.</w:t>
            </w:r>
            <w:r>
              <w:tab/>
            </w:r>
            <w:r>
              <w:t xml:space="preserve">konstatuje, že finanční strop Evropského mírového nástroje spravovaného v rámci úřadu místopředsedkyně Komise, vysoké představitelky, se zvýšil z 12 miliard EUR v roce 2023 na 17 miliard EUR v roce 2024, přičemž těchto dodatečných 5 miliard EUR je určeno na vojenskou podporu Ukrajiny; vyzývá ESVČ, aby spolupracovala s Generálním ředitelstvím Komise pro rozšíření a východní sousedství (GŘ ENEST) na zajištění účinného dohledu a monitorování projektů financovaných z Evropského mírového nástroje; </w:t>
            </w:r>
            <w:r>
              <w:rPr>
                <w:b/>
                <w:i/>
              </w:rPr>
              <w:t>uznává, že Evropský mírový nástroj je v době geopolitického soupeření nezbytným nástrojem k posílení úlohy EU jako zajišťovatele bezpečnosti, a zároveň prosazuje silnější a jednotnější evropskou obrannou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výrazné navýšení prostředků v Evropském mírovém nástroji vyžaduje větší transparentnost a parlamentní dohled;</w:t>
            </w:r>
            <w:r>
              <w:t xml:space="preserve"> </w:t>
            </w:r>
            <w:r>
              <w:rPr>
                <w:b/>
                <w:i/>
              </w:rPr>
              <w:t>vyzývá k pravidelnému a strukturovanému podávání zpráv orgánu příslušnému k udělení absolutoria o řízení rizik, opatřeních pro monitorování a dodržování hodnot Unie a mezinárodního humanitárního práva;</w:t>
            </w:r>
            <w:r>
              <w:t xml:space="preserve"> </w:t>
            </w:r>
            <w:r>
              <w:rPr>
                <w:b/>
                <w:i/>
              </w:rPr>
              <w:t>naléhavě vyzývá k zavedení závazných posouzení lidských práv pro veškerou bezpečnostní a vojenskou pomoc poskytovanou v rámci Evropského mírového nástroje;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připomíná ESVČ doporučení Účetního dvora, že je nezbytné stanovit přísnější podmínky pomoci na Ukrajině při poskytování institucionální podpory soudním a donucovacím orgánům a státním zastupitelstvím, zdůrazňovat kritéria integrity a odhodlání k reformám, zejména pokud jde o boj proti korupci na Ukrajině, a zaměřit se přitom na příspěvky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 základě odpovědí ESVČ na dotazník Výboru pro rozpočtovou kontrolu k udělení absolutoria za rok 2024 (dále jen „dotazník“) konstatuje, že ESVČ ve svém ústředí i v delegacích Unie zahájila v roce 2024 celkem 71 zadávacích řízení na zakázky vysoké hodnoty, tj. zakázky přesahující prahovou hodnotu </w:t>
            </w:r>
            <w:r>
              <w:rPr>
                <w:b/>
                <w:i/>
              </w:rPr>
              <w:t>143 000</w:t>
            </w:r>
            <w:r>
              <w:t xml:space="preserve"> EUR na dodávky a služby stanovenou směrnicí Evropského parlamentu a Rady 2014/24/EU</w:t>
            </w:r>
            <w:r>
              <w:rPr>
                <w:vertAlign w:val="superscript"/>
              </w:rPr>
              <w:t>1</w:t>
            </w:r>
            <w:r>
              <w:t>; konstatuje, že 63 z těchto řízení bylo úspěšných a bylo podepsáno 63 smluv, přičemž 8 řízení bylo neúspěšných; konstatuje, že po vstupu nového finančního nařízení v platnost dne 29. září 2024 bylo řízení zadávání veřejných zakázek pro delegace Unie ve třetích zemích zjednodušeno zavedením samostatného souboru stropů pro zakázky velmi nízké, nízké a střední hodnoty, čímž se řeší dlouhodobý problém související s omezenou schopností místních hospodářských subjektů plnit složité požadavky pravidel Unie pro zadávání veřejných zakázek; očekává, že tato zjednodušení budou lépe odpovídat potřebám hostitelských zemí i delegací Unie, pokud jde o zadávací řízení; vyzývá ESVČ, aby orgán příslušný k udělení absolutoria průběžně informovala o výsledcích provádění nových ustanovení finančního nařízení;</w:t>
            </w:r>
          </w:p>
        </w:tc>
        <w:tc>
          <w:tcPr>
            <w:tcW w:w="4876" w:type="dxa"/>
            <w:tcBorders>
              <w:top w:val="nil"/>
              <w:left w:val="nil"/>
              <w:bottom w:val="nil"/>
              <w:right w:val="nil"/>
            </w:tcBorders>
          </w:tcPr>
          <w:p>
            <w:pPr>
              <w:pStyle w:val="Normal6a"/>
            </w:pPr>
            <w:r>
              <w:t>12.</w:t>
            </w:r>
            <w:r>
              <w:tab/>
            </w:r>
            <w:r>
              <w:t xml:space="preserve">na základě odpovědí ESVČ na dotazník Výboru pro rozpočtovou kontrolu k udělení absolutoria za rok 2024 (dále jen „dotazník“) konstatuje, že ESVČ ve svém ústředí i v delegacích Unie zahájila v roce 2024 celkem 71 zadávacích řízení na zakázky vysoké hodnoty, tj. zakázky přesahující prahovou hodnotu </w:t>
            </w:r>
            <w:r>
              <w:rPr>
                <w:b/>
                <w:i/>
              </w:rPr>
              <w:t>143 000</w:t>
            </w:r>
            <w:r>
              <w:t xml:space="preserve"> EUR na dodávky a služby stanovenou směrnicí Evropského parlamentu a Rady 2014/24/EU</w:t>
            </w:r>
            <w:r>
              <w:rPr>
                <w:vertAlign w:val="superscript"/>
              </w:rPr>
              <w:t>1</w:t>
            </w:r>
            <w:r>
              <w:t xml:space="preserve">; konstatuje, že 63 z těchto řízení bylo úspěšných a bylo podepsáno 63 smluv, přičemž 8 řízení bylo neúspěšných; konstatuje, že po vstupu nového finančního nařízení v platnost dne 29. září 2024 bylo řízení zadávání veřejných zakázek pro delegace Unie ve třetích zemích zjednodušeno zavedením samostatného souboru stropů pro zakázky velmi nízké, nízké a střední hodnoty, čímž se řeší dlouhodobý problém související s omezenou schopností místních hospodářských subjektů plnit složité požadavky pravidel Unie pro zadávání veřejných zakázek; očekává, že tato zjednodušení budou lépe odpovídat potřebám hostitelských zemí i delegací Unie, pokud jde o zadávací řízení; </w:t>
            </w:r>
            <w:r>
              <w:rPr>
                <w:b/>
                <w:i/>
              </w:rPr>
              <w:t>zdůrazňuje, že zjednodušení zadávacích řízení ve třetích zemích nesmí nikdy vést ke snížení standardů EU pro zadávání veřejných zakázek, ani být používáno jako odůvodnění pro omezenou kontrolu, a že musí být vždy dodrženy nejvyšší standardy transparentnosti, hospodářské soutěže a prevence podvodů;</w:t>
            </w:r>
            <w:r>
              <w:t xml:space="preserve"> vyzývá ESVČ, aby orgán příslušný k udělení absolutoria průběžně informovala o výsledcích provádění nových ustanovení finančního nařízení;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Směrnice Evropského parlamentu a Rady 2014/24/EU ze dne 26. února 2014 o zadávání veřejných zakázek a o zrušení směrnice 2004/18/ES (Úř. věst. L 94, 28.3.2014, s.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Směrnice Evropského parlamentu a Rady 2014/24/EU ze dne 26. února 2014 o zadávání veřejných zakázek a o zrušení směrnice 2004/18/ES (Úř. věst. L 94, 28.3.2014, s.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 základě odpovědí ESVČ na dotazník Výboru pro rozpočtovou kontrolu k udělení absolutoria za rok 2024 (dále jen „dotazník“) konstatuje, že ESVČ ve svém ústředí i v delegacích Unie zahájila v roce 2024 celkem 71 zadávacích řízení na zakázky vysoké hodnoty, tj. zakázky přesahující prahovou hodnotu </w:t>
            </w:r>
            <w:r>
              <w:rPr>
                <w:b/>
                <w:i/>
              </w:rPr>
              <w:t>143 000</w:t>
            </w:r>
            <w:r>
              <w:t xml:space="preserve"> EUR na dodávky a služby stanovenou směrnicí Evropského parlamentu a Rady 2014/24/EU</w:t>
            </w:r>
            <w:r>
              <w:rPr>
                <w:vertAlign w:val="superscript"/>
              </w:rPr>
              <w:t>1</w:t>
            </w:r>
            <w:r>
              <w:rPr>
                <w:b/>
                <w:i/>
              </w:rPr>
              <w:t>;</w:t>
            </w:r>
            <w:r>
              <w:t xml:space="preserve"> </w:t>
            </w:r>
            <w:r>
              <w:rPr>
                <w:b/>
                <w:i/>
              </w:rPr>
              <w:t>konstatuje, že 63 z těchto řízení bylo úspěšných a bylo podepsáno 63 smluv, přičemž 8 řízení bylo neúspěšných</w:t>
            </w:r>
            <w:r>
              <w:t>; konstatuje, že po vstupu nového finančního nařízení v platnost dne 29. září 2024 bylo řízení zadávání veřejných zakázek pro delegace Unie ve třetích zemích zjednodušeno zavedením samostatného souboru stropů pro zakázky velmi nízké, nízké a střední hodnoty, čímž se řeší dlouhodobý problém související s omezenou schopností místních hospodářských subjektů plnit složité požadavky pravidel Unie pro zadávání veřejných zakázek; očekává, že tato zjednodušení budou lépe odpovídat potřebám hostitelských zemí i delegací Unie, pokud jde o zadávací řízení; vyzývá ESVČ, aby orgán příslušný k udělení absolutoria průběžně informovala o výsledcích provádění nových ustanovení finančního nařízení;</w:t>
            </w:r>
          </w:p>
        </w:tc>
        <w:tc>
          <w:tcPr>
            <w:tcW w:w="4876" w:type="dxa"/>
            <w:tcBorders>
              <w:top w:val="nil"/>
              <w:left w:val="nil"/>
              <w:bottom w:val="nil"/>
              <w:right w:val="nil"/>
            </w:tcBorders>
          </w:tcPr>
          <w:p>
            <w:pPr>
              <w:pStyle w:val="Normal6a"/>
            </w:pPr>
            <w:r>
              <w:t>12.</w:t>
            </w:r>
            <w:r>
              <w:tab/>
            </w:r>
            <w:r>
              <w:t xml:space="preserve">na základě odpovědí ESVČ na dotazník Výboru pro rozpočtovou kontrolu k udělení absolutoria za rok 2024 (dále jen „dotazník“) konstatuje, že ESVČ ve svém ústředí i v delegacích Unie zahájila v roce 2024 celkem 71 zadávacích řízení na zakázky vysoké hodnoty, tj. zakázky přesahující prahovou hodnotu </w:t>
            </w:r>
            <w:r>
              <w:rPr>
                <w:b/>
                <w:i/>
              </w:rPr>
              <w:t>143 000</w:t>
            </w:r>
            <w:r>
              <w:t xml:space="preserve"> EUR na dodávky a služby stanovenou směrnicí Evropského parlamentu a Rady 2014/24/EU</w:t>
            </w:r>
            <w:r>
              <w:rPr>
                <w:vertAlign w:val="superscript"/>
              </w:rPr>
              <w:t>1</w:t>
            </w:r>
            <w:r>
              <w:t xml:space="preserve">; konstatuje, že po vstupu nového finančního nařízení v platnost dne 29. září 2024 bylo řízení zadávání veřejných zakázek pro delegace Unie ve třetích zemích zjednodušeno zavedením samostatného souboru stropů pro zakázky velmi nízké, nízké a střední hodnoty, čímž se řeší dlouhodobý problém související s omezenou schopností místních hospodářských subjektů plnit složité požadavky pravidel Unie pro zadávání veřejných zakázek; </w:t>
            </w:r>
            <w:r>
              <w:rPr>
                <w:b/>
                <w:i/>
              </w:rPr>
              <w:t>konstatuje, že 63 z těchto řízení bylo úspěšných a bylo podepsáno 63 smluv, přičemž 8 řízení bylo neúspěšných;</w:t>
            </w:r>
            <w:r>
              <w:t xml:space="preserve"> očekává, že tato zjednodušení budou lépe odpovídat potřebám hostitelských zemí i delegací Unie, pokud jde o zadávací řízení; vyzývá ESVČ, aby orgán příslušný k udělení absolutoria průběžně informovala o výsledcích provádění nových ustanovení finančního nařízení; </w:t>
            </w:r>
            <w:r>
              <w:rPr>
                <w:b/>
                <w:i/>
              </w:rPr>
              <w:t>zdůrazňuje, že zjednodušená pravidla pro zadávání veřejných zakázek ve třetích zemích nesmí vést k oslabení transparentnosti, hospodářské soutěže nebo záruk proti podvodům;</w:t>
            </w:r>
            <w:r>
              <w:t xml:space="preserve"> </w:t>
            </w:r>
            <w:r>
              <w:rPr>
                <w:b/>
                <w:i/>
              </w:rPr>
              <w:t>vyzývá ESVČ, aby posoudila dopad těchto změn na míru chyb a rizika pro integritu a podala o něm zprávu;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Směrnice Evropského parlamentu a Rady 2014/24/EU ze dne 26. února 2014 o zadávání veřejných zakázek a o zrušení směrnice 2004/18/ES (Úř. věst. L 94, 28.3.2014, s.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Směrnice Evropského parlamentu a Rady 2014/24/EU ze dne 26. února 2014 o zadávání veřejných zakázek a o zrušení směrnice 2004/18/ES (Úř. věst. L 94, 28.3.2014, s.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bere na vědomí, že v roce 2024 byla zřízena zvláštní pracovní skupina s cílem zlepšit zadávací řízení ESVČ jak v ústředí, tak v delegacích;</w:t>
            </w:r>
            <w:r>
              <w:t xml:space="preserve"> </w:t>
            </w:r>
            <w:r>
              <w:rPr>
                <w:b/>
                <w:i/>
              </w:rPr>
              <w:t>je si vědom toho, že oddělení interního auditu provedlo v roce 2024 poradenskou činnost s cílem zajistit nezávislý přezkum procesu zadávání veřejných zakázek a výsledky jsou v současné době projednávány s příslušnými útvary;</w:t>
            </w:r>
            <w:r>
              <w:t xml:space="preserve"> </w:t>
            </w:r>
            <w:r>
              <w:rPr>
                <w:b/>
                <w:i/>
              </w:rPr>
              <w:t>vyzývá ESVČ, aby zveřejnila závěry tohoto přezkumu, jakož i seznam opatření přijatých v reakci na zjištěné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na základě dotazníku konstatuje, že rozpočet na služební cesty v roce 2024 činil </w:t>
            </w:r>
            <w:r>
              <w:rPr>
                <w:b/>
                <w:i/>
              </w:rPr>
              <w:t>21 582 843</w:t>
            </w:r>
            <w:r>
              <w:t xml:space="preserve"> EUR, což představuje nárůst přibližně o 2,33 % ve srovnání s </w:t>
            </w:r>
            <w:r>
              <w:rPr>
                <w:b/>
                <w:i/>
              </w:rPr>
              <w:t>21 091 935</w:t>
            </w:r>
            <w:r>
              <w:t xml:space="preserve"> EUR (aktualizovaný údaj) v roce 2023; konstatuje, že ESVČ nemá samostatnou rozpočtovou položku pro služební cesty a cestovní náklady místopředsedkyně Komise, vysoké představitelky, a že náklady na služební cesty a cestovní náklady místopředsedkyně Komise, vysoké představitelky se dělí mezi ESVČ a Komisi v závislosti na účelu služební cesty; bere však na vědomí monitorovací zprávu ESVČ přijatou v návaznosti na připomínky Parlamentu obsažené v usnesení o udělení absolutoria za rok 2023 (dále jen „monitorovací zpráva“), že systém vnitřního řízení ESVČ odděluje služební cesty místopředsedkyně Komise, vysoké představitelky a cesty kolegů, kteří ji doprovázejí, v rámci zvláštního přídělu v rozpočtové položce pro hlavní služební cesty; na základě dotazníku dále konstatuje, že v roce 2024 odstupující místopředseda Komise, vysoký představitel ani nově jmenovaná místopředsedkyně Komise, vysoká představitelka nepodnikli žádnou služební cestu financovanou ESVČ; z monitorovací zprávy vyrozumívá, že konkurenční závazky místopředsedkyně Komise, vysoké představitelky a její velmi nabitý program, často určovaný geopolitickou situací, jí někdy brání při plnění pracovních povinností cestovat pravidelnými leteckými linkami nebo jinými dopravními prostředky; zdůrazňuje, že vedoucí představitelé orgánů Unie by měli být dobrým příkladem pro veřejnost a občany, zejména pokud při plnění svých povinností využívají zdroje Unie; zdůrazňuje, že volba leteckého spojení by se v případě, že se nabízí více možností, které lze skloubit s harmonogramem a místem konání schůzí, měla řídit kritérii řádného finančního řízení; zdůrazňuje, že transparentnost a řádné finanční řízení při využívání veřejných prostředků Unie musí zůstat základní zásadou pro všechny orgány Unie;</w:t>
            </w:r>
          </w:p>
        </w:tc>
        <w:tc>
          <w:tcPr>
            <w:tcW w:w="4876" w:type="dxa"/>
            <w:tcBorders>
              <w:top w:val="nil"/>
              <w:left w:val="nil"/>
              <w:bottom w:val="nil"/>
              <w:right w:val="nil"/>
            </w:tcBorders>
          </w:tcPr>
          <w:p>
            <w:pPr>
              <w:pStyle w:val="Normal6a"/>
            </w:pPr>
            <w:r>
              <w:t>14.</w:t>
            </w:r>
            <w:r>
              <w:tab/>
            </w:r>
            <w:r>
              <w:t xml:space="preserve">na základě dotazníku konstatuje, že rozpočet na služební cesty v roce 2024 činil </w:t>
            </w:r>
            <w:r>
              <w:rPr>
                <w:b/>
                <w:i/>
              </w:rPr>
              <w:t>21 582 843</w:t>
            </w:r>
            <w:r>
              <w:t xml:space="preserve"> EUR, což představuje nárůst přibližně o 2,33 % ve srovnání s </w:t>
            </w:r>
            <w:r>
              <w:rPr>
                <w:b/>
                <w:i/>
              </w:rPr>
              <w:t>21 091 935</w:t>
            </w:r>
            <w:r>
              <w:t xml:space="preserve"> EUR (aktualizovaný údaj) v roce 2023; konstatuje, že ESVČ nemá samostatnou rozpočtovou položku pro služební cesty a cestovní náklady místopředsedkyně Komise, vysoké představitelky, a že náklady na služební cesty a cestovní náklady místopředsedkyně Komise, vysoké představitelky se dělí mezi ESVČ a Komisi v závislosti na účelu služební cesty; bere však na vědomí monitorovací zprávu ESVČ přijatou v návaznosti na připomínky Parlamentu obsažené v usnesení o udělení absolutoria za rok 2023 (dále jen „monitorovací zpráva“), že systém vnitřního řízení ESVČ odděluje služební cesty místopředsedkyně Komise, vysoké představitelky a cesty kolegů, kteří ji doprovázejí, v rámci zvláštního přídělu v rozpočtové položce pro hlavní služební cesty; na základě dotazníku dále konstatuje, že v roce 2024 odstupující místopředseda Komise, vysoký představitel ani nově jmenovaná místopředsedkyně Komise, vysoká představitelka nepodnikli žádnou služební cestu financovanou ESVČ; z monitorovací zprávy vyrozumívá, že konkurenční závazky místopředsedkyně Komise, vysoké představitelky a její velmi nabitý program, často určovaný geopolitickou situací, jí někdy brání při plnění pracovních povinností cestovat pravidelnými leteckými linkami nebo jinými dopravními prostředky; zdůrazňuje, že vedoucí představitelé orgánů Unie by měli být dobrým příkladem pro veřejnost a občany, zejména pokud při plnění svých povinností využívají zdroje Unie; zdůrazňuje, že volba leteckého spojení by se v případě, že se nabízí více možností, které lze skloubit s harmonogramem a místem konání schůzí, měla řídit kritérii řádného finančního řízení; zdůrazňuje, že transparentnost a řádné finanční řízení při využívání veřejných prostředků Unie musí zůstat základní zásadou pro všechny orgány Unie; </w:t>
            </w:r>
            <w:r>
              <w:rPr>
                <w:b/>
                <w:i/>
              </w:rPr>
              <w:t>vyzývá ESVČ, aby do plánování cest systematicky začleňovala environmentální aspekty, mimo jiné upřednostňovala cesty vlakem a lety v ekonomické třídě, je-li to proveditelné, a aby orgán příslušný k udělení absolutoria informovala o dosaženém pokroku;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konstatuje, že ESVČ v roce 2024 nadále čelila rostoucím politickým a finančním problémům, jakož i problémům v oblasti lidských práv a právního státu; konstatuje, že útočná válka Ruska proti Ukrajině a její geopolitické důsledky zůstaly klíčovým tématem i v roce 2024; v této souvislosti zdůrazňuje, že je důležité a potřebné, aby ESVČ hrála klíčovou úlohu při budování strategické autonomie Unie, která by měla být zajišťována také prostřednictvím boje proti zahraniční manipulaci s informacemi a vměšování a proti dezinformačním kampaním; konstatuje, že v roce 2024 ESVČ zveřejnila svou druhou zprávu o hrozbách spojených se zahraničními manipulacemi s informacemi a vměšováním, v níž podrobně popsala 750 incidentů a odhalila operaci nazvanou Falešná fasáda (systém na praní informací ze strany prokremelských subjektů), využívala systém včasného varování jako ústřední koordinační mechanismus pro případy zahraniční manipulace s informacemi a vměšování v rámci ochrany neporušenosti voleb do Evropského parlamentu </w:t>
            </w:r>
            <w:r>
              <w:rPr>
                <w:b/>
                <w:i/>
              </w:rPr>
              <w:t>a vydala soubor</w:t>
            </w:r>
            <w:r>
              <w:t xml:space="preserve"> nástrojů pro odhalování zahraniční manipulace s informacemi a vměšování založených na identitě, </w:t>
            </w:r>
            <w:r>
              <w:rPr>
                <w:b/>
                <w:i/>
              </w:rPr>
              <w:t>uspořádala</w:t>
            </w:r>
            <w:r>
              <w:t xml:space="preserve"> výroční </w:t>
            </w:r>
            <w:r>
              <w:rPr>
                <w:b/>
                <w:i/>
              </w:rPr>
              <w:t>konferenci</w:t>
            </w:r>
            <w:r>
              <w:t xml:space="preserve"> na vysoké úrovni na téma zahraniční manipulace s informacemi a vměšování, </w:t>
            </w:r>
            <w:r>
              <w:rPr>
                <w:b/>
                <w:i/>
              </w:rPr>
              <w:t>vypracovala příručku</w:t>
            </w:r>
            <w:r>
              <w:t xml:space="preserve"> pro společnou bezpečnostní a obrannou politiku (SBOP) zaměřenou na zahraniční manipulace s informacemi a vměšování s cílem posílit schopnost misí SBOP odhalovat útoky založené na zahraničních manipulacích s informacemi a vměšování a reagovat na ně a </w:t>
            </w:r>
            <w:r>
              <w:rPr>
                <w:b/>
                <w:i/>
              </w:rPr>
              <w:t>přispěla</w:t>
            </w:r>
            <w:r>
              <w:t xml:space="preserve"> k posílení odolnosti sdělovacích prostředků na akci Connecting Media Communities v Kosovu, které se zúčastnilo 130 novinářů a ověřovatelů faktů; chválí ESVČ za kampaň EUvsDisinfo, která analyzuje a odhaluje ruské snahy o zahraniční manipulace s informacemi a vměšování v roce 2024; se znepokojením konstatuje, že počet případů kremelských dezinformací přesáhl 18 000 záznamů; konstatuje, že některé delegace Unie mají úředníka pro strategickou komunikaci, jehož úkolem je analyzovat a řešit zahraniční manipulace s informacemi a vměšování, ale schopnost shromažďovat zpravodajské informace zůstává v odpovědnosti členských států; chválí ESVČ za spuštění Centra pro sdílení a analýzu informací o zahraniční manipulaci s informacemi a vměšování, které má posílit spolupráci a sdílenou znalost situace; uznává, že toto úsilí, podpořené posíleným rozpočtem na kapacity v oblasti strategické komunikace ve výši 6,12 milionu EUR v roce 2024, zajistilo důraznější, koordinovanější a komplexnější reakci celé Unie na hrozby zahraniční manipulace s informacemi a vměšování; podporuje další rozvoj a rozšiřování sítě „obránců před zahraniční manipulací s informacemi a vměšováním“ prostřednictvím iniciativ na budování kapacit;</w:t>
            </w:r>
          </w:p>
        </w:tc>
        <w:tc>
          <w:tcPr>
            <w:tcW w:w="4876" w:type="dxa"/>
            <w:tcBorders>
              <w:top w:val="nil"/>
              <w:left w:val="nil"/>
              <w:bottom w:val="nil"/>
              <w:right w:val="nil"/>
            </w:tcBorders>
          </w:tcPr>
          <w:p>
            <w:pPr>
              <w:pStyle w:val="Normal6a"/>
            </w:pPr>
            <w:r>
              <w:t>15.</w:t>
            </w:r>
            <w:r>
              <w:tab/>
            </w:r>
            <w:r>
              <w:t xml:space="preserve">konstatuje, že ESVČ v roce 2024 nadále čelila rostoucím politickým a finančním problémům, jakož i problémům v oblasti lidských práv a právního státu </w:t>
            </w:r>
            <w:r>
              <w:rPr>
                <w:b/>
                <w:i/>
              </w:rPr>
              <w:t>ve stále nestabilnějším geopolitickém prostředí, které se vyznačuje intenzivnějšími hybridními hrozbami pro demokratické systémy</w:t>
            </w:r>
            <w:r>
              <w:t xml:space="preserve">; konstatuje, že </w:t>
            </w:r>
            <w:r>
              <w:rPr>
                <w:b/>
                <w:i/>
              </w:rPr>
              <w:t>protiprávní</w:t>
            </w:r>
            <w:r>
              <w:t xml:space="preserve"> útočná válka Ruska proti Ukrajině a její geopolitické důsledky zůstaly klíčovým tématem i v roce 2024; v této souvislosti zdůrazňuje, že je důležité a potřebné, aby ESVČ hrála </w:t>
            </w:r>
            <w:r>
              <w:rPr>
                <w:b/>
                <w:i/>
              </w:rPr>
              <w:t>ústřední a posílenou</w:t>
            </w:r>
            <w:r>
              <w:t xml:space="preserve"> klíčovou úlohu při budování strategické autonomie</w:t>
            </w:r>
            <w:r>
              <w:rPr>
                <w:b/>
                <w:i/>
              </w:rPr>
              <w:t>, odolnosti a bezpečnosti</w:t>
            </w:r>
            <w:r>
              <w:t xml:space="preserve"> Unie, která by měla být zajišťována také prostřednictvím </w:t>
            </w:r>
            <w:r>
              <w:rPr>
                <w:b/>
                <w:i/>
              </w:rPr>
              <w:t>systematického a důsledného</w:t>
            </w:r>
            <w:r>
              <w:t xml:space="preserve"> boje proti zahraniční manipulaci s informacemi a vměšování a proti dezinformačním kampaním; konstatuje, že v roce 2024 ESVČ zveřejnila svou druhou zprávu o hrozbách spojených se zahraničními manipulacemi s informacemi a vměšováním, v níž podrobně popsala 750 incidentů a odhalila operaci nazvanou Falešná fasáda (systém na praní informací ze strany prokremelských subjektů), </w:t>
            </w:r>
            <w:r>
              <w:rPr>
                <w:b/>
                <w:i/>
              </w:rPr>
              <w:t>čímž přispěla k veřejné atribuci a strategickému povědomí o nepřátelském vměšování ze strany určitých států;</w:t>
            </w:r>
            <w:r>
              <w:t xml:space="preserve"> využívala systém včasného varování jako ústřední koordinační mechanismus pro případy zahraniční manipulace s informacemi a vměšování v rámci ochrany neporušenosti voleb do Evropského parlamentu</w:t>
            </w:r>
            <w:r>
              <w:rPr>
                <w:b/>
                <w:i/>
              </w:rPr>
              <w:t>; vítá vydání souboru</w:t>
            </w:r>
            <w:r>
              <w:t xml:space="preserve"> nástrojů pro odhalování zahraniční manipulace s informacemi a vměšování založených na identitě, </w:t>
            </w:r>
            <w:r>
              <w:rPr>
                <w:b/>
                <w:i/>
              </w:rPr>
              <w:t>uspořádání</w:t>
            </w:r>
            <w:r>
              <w:t xml:space="preserve"> výroční </w:t>
            </w:r>
            <w:r>
              <w:rPr>
                <w:b/>
                <w:i/>
              </w:rPr>
              <w:t>konference</w:t>
            </w:r>
            <w:r>
              <w:t xml:space="preserve"> na vysoké úrovni na téma zahraniční manipulace s informacemi a vměšování, </w:t>
            </w:r>
            <w:r>
              <w:rPr>
                <w:b/>
                <w:i/>
              </w:rPr>
              <w:t>vypracování příručky</w:t>
            </w:r>
            <w:r>
              <w:t xml:space="preserve"> pro společnou bezpečnostní a obrannou politiku (SBOP) zaměřenou na zahraniční manipulace s informacemi a vměšování s cílem posílit schopnost misí SBOP odhalovat útoky založené na zahraničních manipulacích s informacemi a vměšování a reagovat na ně a </w:t>
            </w:r>
            <w:r>
              <w:rPr>
                <w:b/>
                <w:i/>
              </w:rPr>
              <w:t>příspěvek</w:t>
            </w:r>
            <w:r>
              <w:t xml:space="preserve"> k posílení odolnosti sdělovacích prostředků na akci Connecting Media Communities v Kosovu, které se zúčastnilo 130 novinářů a ověřovatelů faktů; </w:t>
            </w:r>
            <w:r>
              <w:rPr>
                <w:b/>
                <w:i/>
              </w:rPr>
              <w:t>důrazně</w:t>
            </w:r>
            <w:r>
              <w:t xml:space="preserve"> chválí ESVČ za kampaň EUvsDisinfo, která analyzuje a odhaluje ruské snahy o zahraniční manipulace s informacemi a vměšování v roce 2024; se znepokojením konstatuje, že počet případů kremelských dezinformací přesáhl 18 000 záznamů</w:t>
            </w:r>
            <w:r>
              <w:rPr>
                <w:b/>
                <w:i/>
              </w:rPr>
              <w:t>, což potvrzuje rozsah, vytrvalost a strategickou povahu hrozby, kterou představuje zejména Rusko, ale i další nepřátelští aktéři</w:t>
            </w:r>
            <w:r>
              <w:t xml:space="preserve">; konstatuje, že některé delegace Unie mají úředníka pro strategickou komunikaci, jehož úkolem je analyzovat a řešit zahraniční manipulace s informacemi a vměšování, ale schopnost shromažďovat zpravodajské informace zůstává v odpovědnosti členských států; </w:t>
            </w:r>
            <w:r>
              <w:rPr>
                <w:b/>
                <w:i/>
              </w:rPr>
              <w:t>zdůrazňuje proto, že je třeba posílit koordinaci, strukturované sdílení informací a užší spolupráci s členskými státy a důvěryhodnými partnery,</w:t>
            </w:r>
            <w:r>
              <w:t xml:space="preserve"> chválí ESVČ za spuštění Centra pro sdílení a analýzu informací o zahraniční manipulaci s informacemi a vměšování, které má posílit spolupráci a sdílenou znalost situace; uznává, že toto úsilí, podpořené posíleným rozpočtem na kapacity v oblasti strategické komunikace ve výši 6,12 milionu EUR v roce 2024, zajistilo důraznější, koordinovanější a komplexnější reakci celé Unie na hrozby zahraniční manipulace s informacemi a vměšování; </w:t>
            </w:r>
            <w:r>
              <w:rPr>
                <w:b/>
                <w:i/>
              </w:rPr>
              <w:t>zdůrazňuje, že pro zajištění kontinuity a efektivity boje proti hybridním hrozbám je naprosto zásadní trvalé a předvídatelné financování;</w:t>
            </w:r>
            <w:r>
              <w:t xml:space="preserve"> podporuje další rozvoj a rozšiřování sítě „obránců před zahraniční manipulací s informacemi a vměšováním“ prostřednictvím iniciativ na budování kapacit;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konstatuje, že ESVČ v roce 2024 nadále čelila rostoucím politickým a finančním problémům, jakož i problémům v oblasti lidských práv a právního státu; konstatuje, že útočná válka Ruska proti Ukrajině a její geopolitické důsledky zůstaly klíčovým tématem i v roce 2024; v této souvislosti zdůrazňuje, že je důležité a potřebné, aby ESVČ hrála klíčovou úlohu při budování strategické autonomie Unie, která by měla být zajišťována také prostřednictvím boje proti zahraniční manipulaci s informacemi a vměšování a proti dezinformačním kampaním; konstatuje, že v roce 2024 ESVČ zveřejnila svou druhou zprávu o hrozbách spojených se zahraničními manipulacemi s informacemi a vměšováním, v níž podrobně popsala 750 incidentů a odhalila operaci nazvanou Falešná fasáda (systém na praní informací ze strany prokremelských subjektů), využívala systém včasného varování jako ústřední koordinační mechanismus pro případy zahraniční manipulace s informacemi a vměšování v rámci ochrany neporušenosti voleb do Evropského parlamentu a vydala soubor nástrojů pro odhalování zahraniční manipulace s informacemi a vměšování založených na identitě, uspořádala výroční konferenci na vysoké úrovni na téma zahraniční manipulace s informacemi a vměšování, vypracovala příručku pro společnou bezpečnostní a obrannou politiku (SBOP) zaměřenou na zahraniční manipulace s informacemi a vměšování s cílem posílit schopnost misí SBOP odhalovat útoky založené na zahraničních manipulacích s informacemi a vměšování a reagovat na ně a přispěla k posílení odolnosti sdělovacích prostředků na akci Connecting Media Communities v Kosovu, které se zúčastnilo 130 novinářů a ověřovatelů faktů; chválí ESVČ za kampaň EUvsDisinfo, která analyzuje a odhaluje ruské snahy o zahraniční manipulace s informacemi a vměšování v roce 2024; se znepokojením konstatuje, že počet případů kremelských dezinformací přesáhl </w:t>
            </w:r>
            <w:r>
              <w:rPr>
                <w:b/>
                <w:i/>
              </w:rPr>
              <w:t>18 000</w:t>
            </w:r>
            <w:r>
              <w:t xml:space="preserve"> záznamů; konstatuje, že některé delegace Unie mají úředníka pro strategickou komunikaci, jehož úkolem je analyzovat a řešit zahraniční manipulace s informacemi a vměšování, ale schopnost shromažďovat zpravodajské informace zůstává v odpovědnosti členských států; chválí ESVČ za spuštění Centra pro sdílení a analýzu informací o zahraniční manipulaci s informacemi a vměšování, které má posílit spolupráci a sdílenou znalost situace; uznává, že toto úsilí, podpořené posíleným rozpočtem na kapacity v oblasti strategické komunikace ve výši 6,12 milionu EUR v roce 2024, zajistilo důraznější, koordinovanější a komplexnější reakci celé Unie na hrozby zahraniční manipulace s informacemi a vměšování; podporuje další rozvoj a rozšiřování sítě „obránců před zahraniční manipulací s informacemi a vměšováním“ prostřednictvím iniciativ na budování kapacit;</w:t>
            </w:r>
          </w:p>
        </w:tc>
        <w:tc>
          <w:tcPr>
            <w:tcW w:w="4876" w:type="dxa"/>
            <w:tcBorders>
              <w:top w:val="nil"/>
              <w:left w:val="nil"/>
              <w:bottom w:val="nil"/>
              <w:right w:val="nil"/>
            </w:tcBorders>
          </w:tcPr>
          <w:p>
            <w:pPr>
              <w:pStyle w:val="Normal6a"/>
            </w:pPr>
            <w:r>
              <w:t>15.</w:t>
            </w:r>
            <w:r>
              <w:tab/>
            </w:r>
            <w:r>
              <w:t xml:space="preserve">konstatuje, že ESVČ v roce 2024 nadále čelila rostoucím politickým a finančním problémům, jakož i problémům v oblasti lidských práv a právního státu; konstatuje, že útočná válka Ruska proti Ukrajině a její geopolitické důsledky zůstaly klíčovým tématem i v roce 2024; v této souvislosti zdůrazňuje, že je důležité a potřebné, aby ESVČ hrála klíčovou úlohu při budování strategické autonomie Unie, která by měla být zajišťována také prostřednictvím boje proti zahraniční manipulaci s informacemi a vměšování a proti dezinformačním kampaním; konstatuje, že v roce 2024 ESVČ zveřejnila svou druhou zprávu o hrozbách spojených se zahraničními manipulacemi s informacemi a vměšováním, v níž podrobně popsala 750 incidentů a odhalila operaci nazvanou Falešná fasáda (systém na praní informací ze strany prokremelských subjektů), využívala systém včasného varování jako ústřední koordinační mechanismus pro případy zahraniční manipulace s informacemi a vměšování v rámci ochrany neporušenosti voleb do Evropského parlamentu a vydala soubor nástrojů pro odhalování zahraniční manipulace s informacemi a vměšování založených na identitě, uspořádala výroční konferenci na vysoké úrovni na téma zahraniční manipulace s informacemi a vměšování, vypracovala příručku pro společnou bezpečnostní a obrannou politiku (SBOP) zaměřenou na zahraniční manipulace s informacemi a vměšování s cílem posílit schopnost misí SBOP odhalovat útoky založené na zahraničních manipulacích s informacemi a vměšování a reagovat na ně a přispěla k posílení odolnosti sdělovacích prostředků na akci Connecting Media Communities v Kosovu, které se zúčastnilo 130 novinářů a ověřovatelů faktů; chválí ESVČ za kampaň EUvsDisinfo, která analyzuje a odhaluje ruské snahy o zahraniční manipulace s informacemi a vměšování v roce 2024; se znepokojením konstatuje, že počet případů kremelských dezinformací přesáhl </w:t>
            </w:r>
            <w:r>
              <w:rPr>
                <w:b/>
                <w:i/>
              </w:rPr>
              <w:t>18 000</w:t>
            </w:r>
            <w:r>
              <w:t xml:space="preserve"> záznamů; konstatuje, že některé delegace Unie mají úředníka pro strategickou komunikaci, jehož úkolem je analyzovat a řešit zahraniční manipulace s informacemi a vměšování, ale schopnost shromažďovat zpravodajské informace zůstává v odpovědnosti členských států; chválí ESVČ za spuštění Centra pro sdílení a analýzu informací o zahraniční manipulaci s informacemi a vměšování, které má posílit spolupráci a sdílenou znalost situace; uznává, že toto úsilí, podpořené posíleným rozpočtem na kapacity v oblasti strategické komunikace ve výši 6,12 milionu EUR v roce 2024, zajistilo důraznější, koordinovanější a komplexnější reakci celé Unie na hrozby zahraniční manipulace s informacemi a vměšování; podporuje další rozvoj a rozšiřování sítě „obránců před zahraniční manipulací s informacemi a vměšováním“ prostřednictvím iniciativ na budování kapacit; </w:t>
            </w:r>
            <w:r>
              <w:rPr>
                <w:b/>
                <w:i/>
              </w:rPr>
              <w:t>zdůrazňuje proto, že je třeba poskytnout odpovídající zdroje oddělení ESVČ pro strategickou komunikaci a strategický výhled, aby mohlo účinně bojovat proti dezinformačním kampaním a narativům namířeným proti EU, které strategicky šíří autoritářské a neliberální režimy, jež se snaží podkopávat vnější činnost EU ve třetích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připomíná výzvy Strategického kompasu a Evropského parlamentu k posílení schopností Unie v oblasti zpravodajství a znalosti situace;</w:t>
            </w:r>
            <w:r>
              <w:t xml:space="preserve"> </w:t>
            </w:r>
            <w:r>
              <w:rPr>
                <w:b/>
                <w:i/>
              </w:rPr>
              <w:t>zdůrazňuje, že rostoucí potřeby Unie v oblasti analýzy a řešení krizí vyžadují navýšení zdrojů přidělených Zpravodajskému a informačnímu centru Evropské unie (EU INTCEN) a Středisku ESVČ pro reakci na krize, aby bylo zajištěno, že budou odpovídajícím způsobem vybaveny k plnění svých mandátů ve stále složitějším a náročnějším geopolitickém prostředí;</w:t>
            </w:r>
            <w:r>
              <w:t xml:space="preserve"> </w:t>
            </w:r>
            <w:r>
              <w:rPr>
                <w:b/>
                <w:i/>
              </w:rPr>
              <w:t>zdůrazňuje ústřední úlohu centra EU INTCEN při poskytování integrovaných analytických hodnocení ze všech zdrojů na podporu rozhodování v oblasti SZBP a SBOP a upozorňuje na potenciál sítě delegací EU, aniž by byly dotčeny pravomoci členských států, jako klíčového přispěvatele ke znalosti situace prostřednictvím začlenění příslušných informací, které jsou již na místě k dispozici;</w:t>
            </w:r>
            <w:r>
              <w:t xml:space="preserve"> </w:t>
            </w:r>
            <w:r>
              <w:rPr>
                <w:b/>
                <w:i/>
              </w:rPr>
              <w:t>domnívá se, že jasnější a viditelnější přidělování rozpočtových prostředků pro EU INTCEN by mohlo umožnit větší transparentnost, demokratickou kontrolu a odpovědnost v rámci postupu udělování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vítá zřízení Evropského štítu pro demokracii a vytvoření Evropského střediska pro odolnost demokracie jako důležité kroky k posílení schopnosti EU bojovat proti zahraniční manipulaci s informacemi a vměšování;</w:t>
            </w:r>
            <w:r>
              <w:t xml:space="preserve"> </w:t>
            </w:r>
            <w:r>
              <w:rPr>
                <w:b/>
                <w:i/>
              </w:rPr>
              <w:t>vítá záměr rozšířit navrhovaný Evropský štít pro demokracii na přistupující země, a posílit tak jejich schopnost reagovat na hrozby, jako jsou zahraniční manipulace s informacemi a vměšování a dezinformační kampaně;</w:t>
            </w:r>
            <w:r>
              <w:t xml:space="preserve"> </w:t>
            </w:r>
            <w:r>
              <w:rPr>
                <w:b/>
                <w:i/>
              </w:rPr>
              <w:t>vyzývá Komisi a ESVČ, aby prohloubily spolupráci se zranitelnými zeměmi procesu rozšíření v oblasti informační odolnosti, kybernetické bezpečnosti a hybridních hrozeb;</w:t>
            </w:r>
            <w:r>
              <w:t xml:space="preserve"> </w:t>
            </w:r>
            <w:r>
              <w:rPr>
                <w:b/>
                <w:i/>
              </w:rPr>
              <w:t>vyzývá ESVČ a delegace EU ve třetích zemích, aby dále posílily své příslušné kapacity v boji proti dezinformacím a propagandě namířeným proti SZBP EU, a to i prostřednictvím investic do komunikačních kampaní zaměřených na boj proti zahraničnímu vlivu;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zdůrazňuje, že je třeba poskytnout odpovídající zdroje oddělení strategické komunikace a výhledu Evropské služby pro vnější činnost (ESVČ), aby mohlo bojovat proti dezinformacím používaným autoritářskými režimy, jako je zejména Kreml;</w:t>
            </w:r>
            <w:r>
              <w:t xml:space="preserve"> </w:t>
            </w:r>
            <w:r>
              <w:rPr>
                <w:b/>
                <w:i/>
              </w:rPr>
              <w:t>připomíná, že v Moldavsku a Ukrajině aktéři napojení na Rusko využívají náboženství, včetně pravoslavné církve pod moskevským patriarchátem, k podrývání demokratické odolnosti;</w:t>
            </w:r>
            <w:r>
              <w:t xml:space="preserve"> </w:t>
            </w:r>
            <w:r>
              <w:rPr>
                <w:b/>
                <w:i/>
              </w:rPr>
              <w:t>zdůrazňuje, že je důležité posílit diplomacii založenou na víře v rámci vnější činnosti EU, a vyzývá k vytvoření zvláštní rozpočtové položky ESVČ na podporu dialogu, prosazování mezináboženské tolerance a boje proti geopolitickému zneužívání náboženství.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 písm.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připomíná Komisi, že Parlament vyzýval k tomu, aby byli zaměstnanci ESVČ adekvátně vybaveni k vedení dialogu o náboženské svobodě, a aby to učinila důležitou prioritou v rámci své vnější činnosti</w:t>
            </w:r>
            <w:r>
              <w:rPr>
                <w:b/>
                <w:i/>
                <w:vertAlign w:val="superscript"/>
              </w:rPr>
              <w:t>1 a</w:t>
            </w:r>
            <w:r>
              <w:rPr>
                <w:b/>
                <w:i/>
              </w:rPr>
              <w:t>;</w:t>
            </w:r>
            <w:r>
              <w:t xml:space="preserve"> </w:t>
            </w:r>
            <w:r>
              <w:rPr>
                <w:b/>
                <w:i/>
              </w:rPr>
              <w:t>vyzývá ESVČ, aby na tuto výzvu reagovala rozhodně a své zdroje uvedla na požadovanou úroveň.</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usnesení P10_TA(2025)0086, bod 83.</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orgán, aby posoudil, jak selhal regulační rámec Evropské služby pro vnější činnost pro předcházení korupci a podvodům a umožnil aktivní zapojení úředníků orgánů i na nejvyšších úrovních správy orgánů do korupce a praní peněz po několik let, aniž by byli odhaleni;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ESVČ, aby zajistila, aby byly kapacity pro boj proti zahraniční manipulaci s informacemi a vměšování strukturálně zakotveny a udržitelně financovány, mimo jiné prostřednictvím specializovaných zaměstnanců, odborné přípravy a dlouhodobého plánování nad rámec ročních rozpočtových cyklů;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vyzývá vysokou představitelku, místopředsedkyni Komise, aby posílila mise a operace SBOP EU prostřednictvím odpovídajícího personálu, zdrojů a flexibilních mandátů, aby mohly účinně reagovat na bezpečnostní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zdůrazňuje, že je důležité zachovat misi EUMM v Gruzii, aby sledovala situaci na okupovaných územích a zajistila včasné varování a podávání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vyzývá ESVČ, aby zejména s ohledem na současnou geopolitickou situaci zachovala svou spolupráci s Gruzií na podporu demokratických reforem a evropské perspektivy této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zdůrazňuje, že důležitým nástrojem boje proti zahraniční manipulaci s informacemi a vměšování je zřízení specializovaného oddělení pro diplomacii založenou na víře v rámci ESVČ, jehož úkolem by bylo navazovat vztahy s náboženskými komunitami, podporovat mezikulturní porozumění a posilovat odolnost vůči dezinformacím založeným na identitě;</w:t>
            </w:r>
            <w:r>
              <w:t xml:space="preserve"> </w:t>
            </w:r>
            <w:r>
              <w:rPr>
                <w:b/>
                <w:i/>
              </w:rPr>
              <w:t>zdůrazňuje, že toto oddělení by mohlo podpořit včasné odhalování zahraničních manipulací s informacemi a vměšování zaměřených na náboženské nebo kulturní narativy, posílit dialog s náboženskými aktéry a doplnit stávající nástroje ESVČ, jako je systém včasného varování a kampaň EUvsDisinfo, a tím přispět k důraznější celounijní reakci na dezinformační kampaně;</w:t>
            </w:r>
            <w:r>
              <w:t xml:space="preserve"> </w:t>
            </w:r>
            <w:r>
              <w:rPr>
                <w:b/>
                <w:i/>
              </w:rPr>
              <w:t>připomíná, že stanovisko výboru AFET pro Výbor pro rozpočtovou kontrolu k udělení absolutoria za plnění souhrnného rozpočtu Evropské unie na rozpočtový rok 2023, oddíl X – Evropská služba pro vnější činnost</w:t>
            </w:r>
            <w:r>
              <w:rPr>
                <w:b/>
                <w:i/>
                <w:vertAlign w:val="superscript"/>
              </w:rPr>
              <w:t>1a</w:t>
            </w:r>
            <w:r>
              <w:rPr>
                <w:b/>
                <w:i/>
              </w:rPr>
              <w:t> zdůraznilo, že svoboda náboženského vyznání a přesvědčení je základní hodnotou Unie, a naléhavě vyzývá ESVČ, aby do své činnosti systematicky začleňovala diplomacii založenou na víře a uznala náboženství jako konstruktivní prvek při řešení globálních výzev a podpoře míru, odolnosti a sociální soudržnosti;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https://www.europarl.europa.eu/doceo/document/AFET-AD-765237_CS.pdf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připomíná, že Smlouva o Evropské unii stanoví, že cílem EU a jejích orgánů a institucí je podporovat mír, unijní hodnoty a blahobyt obyvatel Unie, zachovávat mír, předcházet konfliktům a posilovat mezinárodní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vyzývá Parlament, aby s maximálním nasazením a všemi dostupnými opatřeními a prostředky usiloval o podporu míru a co nejrychlejší ukončení války na Ukrajině, zachování míru a posílení evropské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připomíná, že je mimořádně důležité, abychom více podporovali lidská práva, demokracii a rozvoj ve třetích zemích prostřednictvím finančního rámce nástroje NDICI – Globální Evropa;</w:t>
            </w:r>
            <w:r>
              <w:t xml:space="preserve"> </w:t>
            </w:r>
            <w:r>
              <w:rPr>
                <w:b/>
                <w:i/>
              </w:rPr>
              <w:t>zdůrazňuje, že zachování zvláštního financování lidských práv a demokracie, jakož i přístup založený na lidských právech a zohledňování lidských práv v naší podpoře a partnerstvích se třetími zeměmi může posílit postavení Unie v celosvětovém měřítku a podpořit její hodnoty;</w:t>
            </w:r>
            <w:r>
              <w:t xml:space="preserve"> </w:t>
            </w:r>
            <w:r>
              <w:rPr>
                <w:b/>
                <w:i/>
              </w:rPr>
              <w:t>zdůrazňuje, že vzhledem k současné situaci, která se vyznačuje rychlým technologickým pokrokem a geopolitickým soupeřením, by měly být dále navýšeny zdroje určené na digitální diplomacii Unie;</w:t>
            </w:r>
            <w:r>
              <w:t xml:space="preserve"> </w:t>
            </w:r>
            <w:r>
              <w:rPr>
                <w:b/>
                <w:i/>
              </w:rPr>
              <w:t>trvá na tom, že ve vztahu ke třetím zemím by prostřednictvím vnější činnosti Unie mělo dojít k posílení „environmentální diplomacie“ a ekologické transformace, což jsou jedny z priorit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připomíná, že je mimořádně důležité, abychom více podporovali lidská práva, demokracii a rozvoj ve třetích zemích prostřednictvím finančního rámce nástroje NDICI – Globální Evropa; zdůrazňuje, že zachování zvláštního financování lidských práv a demokracie, jakož i přístup založený na lidských právech a zohledňování lidských práv v naší podpoře a partnerstvích se třetími zeměmi může posílit postavení Unie v celosvětovém měřítku a podpořit její hodnoty; zdůrazňuje, že vzhledem k současné situaci, která se vyznačuje rychlým technologickým pokrokem a geopolitickým soupeřením, by měly být dále navýšeny zdroje určené na digitální diplomacii Unie; trvá na tom, že ve vztahu ke třetím zemím by prostřednictvím vnější činnosti Unie mělo dojít k posílení „environmentální diplomacie“ a ekologické transformace, což jsou jedny z priorit Unie;</w:t>
            </w:r>
          </w:p>
        </w:tc>
        <w:tc>
          <w:tcPr>
            <w:tcW w:w="4876" w:type="dxa"/>
            <w:tcBorders>
              <w:top w:val="nil"/>
              <w:left w:val="nil"/>
              <w:bottom w:val="nil"/>
              <w:right w:val="nil"/>
            </w:tcBorders>
          </w:tcPr>
          <w:p>
            <w:pPr>
              <w:pStyle w:val="Normal6a"/>
            </w:pPr>
            <w:r>
              <w:t>17.</w:t>
            </w:r>
            <w:r>
              <w:tab/>
            </w:r>
            <w:r>
              <w:t>připomíná, že je mimořádně důležité, abychom více podporovali lidská práva, demokracii a rozvoj ve třetích zemích prostřednictvím finančního rámce nástroje NDICI – Globální Evropa; zdůrazňuje, že zachování zvláštního financování lidských práv a demokracie, jakož i přístup založený na lidských právech a zohledňování lidských práv v naší podpoře a partnerstvích se třetími zeměmi může posílit postavení Unie v celosvětovém měřítku a podpořit její hodnoty; zdůrazňuje, že vzhledem k současné situaci, která se vyznačuje rychlým technologickým pokrokem a geopolitickým soupeřením, by měly být dále navýšeny zdroje určené na digitální diplomacii Unie</w:t>
            </w:r>
            <w:r>
              <w:rPr>
                <w:b/>
                <w:i/>
              </w:rPr>
              <w:t>, zejména s cílem bojovat proti digitálnímu autoritářství, zahraničnímu vměšování a zneužívání vznikajících technologií</w:t>
            </w:r>
            <w:r>
              <w:t>; trvá na tom, že ve vztahu ke třetím zemím by prostřednictvím vnější činnosti Unie mělo dojít k posílení „environmentální diplomacie“ a ekologické transformace, což jsou jedny z priorit Unie</w:t>
            </w:r>
            <w:r>
              <w:rPr>
                <w:b/>
                <w:i/>
              </w:rPr>
              <w:t>, a zároveň by měla být zajištěna soudržnost s konkurenceschopností, energetickou bezpečností a hospodářskou odolností partnerských zemí a mělo by se zabránit nepřiměřené zátěži, která by mohla ohrozit strategická partnerství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připomíná, že je mimořádně důležité, abychom více podporovali lidská práva, demokracii a rozvoj ve třetích zemích prostřednictvím finančního rámce nástroje NDICI – Globální Evropa; zdůrazňuje, že zachování zvláštního financování lidských práv a demokracie, jakož i přístup založený na lidských právech a zohledňování lidských práv v naší podpoře a partnerstvích se třetími zeměmi může posílit postavení Unie v celosvětovém měřítku a podpořit její hodnoty; zdůrazňuje, že vzhledem k současné situaci, která se vyznačuje rychlým technologickým pokrokem a geopolitickým soupeřením, by měly být dále navýšeny zdroje určené na digitální diplomacii Unie; trvá na tom, že ve vztahu ke třetím zemím by prostřednictvím vnější činnosti Unie mělo dojít k posílení „environmentální diplomacie“ a ekologické transformace, což jsou jedny z priorit Unie;</w:t>
            </w:r>
          </w:p>
        </w:tc>
        <w:tc>
          <w:tcPr>
            <w:tcW w:w="4876" w:type="dxa"/>
            <w:tcBorders>
              <w:top w:val="nil"/>
              <w:left w:val="nil"/>
              <w:bottom w:val="nil"/>
              <w:right w:val="nil"/>
            </w:tcBorders>
          </w:tcPr>
          <w:p>
            <w:pPr>
              <w:pStyle w:val="Normal6a"/>
            </w:pPr>
            <w:r>
              <w:t>17.</w:t>
            </w:r>
            <w:r>
              <w:tab/>
            </w:r>
            <w:r>
              <w:t xml:space="preserve">připomíná, že je mimořádně důležité, abychom více podporovali lidská práva, demokracii a rozvoj ve třetích zemích prostřednictvím finančního rámce nástroje NDICI – Globální Evropa; zdůrazňuje, že zachování zvláštního financování lidských práv a demokracie, jakož i přístup založený na lidských právech a zohledňování lidských práv v naší podpoře a partnerstvích se třetími zeměmi může posílit postavení Unie v celosvětovém měřítku a podpořit její hodnoty; zdůrazňuje, že vzhledem k současné situaci, která se vyznačuje rychlým technologickým pokrokem a geopolitickým soupeřením, by měly být dále navýšeny zdroje určené na digitální diplomacii Unie; trvá na tom, že ve vztahu ke třetím zemím by prostřednictvím vnější činnosti Unie mělo dojít k posílení „environmentální diplomacie“ a ekologické transformace, což jsou jedny z priorit Unie; </w:t>
            </w:r>
            <w:r>
              <w:rPr>
                <w:b/>
                <w:i/>
              </w:rPr>
              <w:t>trvá na tom, že environmentální diplomacie a ekologická transformace musí být podpořeny odpovídajícími finančními a lidskými zdroji v ESVČ a v delegacích Unie a musí být důsledně začleňovány do politických dialogů, partnerství a vnějších výdajů, a to i ve třetích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připomíná, že je mimořádně důležité, abychom více podporovali lidská práva, demokracii a rozvoj ve třetích zemích prostřednictvím finančního rámce nástroje NDICI – Globální Evropa; zdůrazňuje, že zachování zvláštního financování lidských práv a demokracie, jakož i přístup založený na lidských právech a zohledňování lidských práv v naší podpoře a partnerstvích se třetími zeměmi může posílit postavení Unie v celosvětovém měřítku a podpořit její hodnoty; zdůrazňuje, že vzhledem k současné situaci, která se vyznačuje rychlým technologickým pokrokem a geopolitickým soupeřením, by měly být dále navýšeny zdroje určené na digitální diplomacii Unie; trvá na tom, že ve vztahu ke třetím zemím by prostřednictvím vnější činnosti Unie mělo dojít k posílení „environmentální diplomacie“ a ekologické transformace, což jsou jedny z priorit Unie;</w:t>
            </w:r>
          </w:p>
        </w:tc>
        <w:tc>
          <w:tcPr>
            <w:tcW w:w="4876" w:type="dxa"/>
            <w:tcBorders>
              <w:top w:val="nil"/>
              <w:left w:val="nil"/>
              <w:bottom w:val="nil"/>
              <w:right w:val="nil"/>
            </w:tcBorders>
          </w:tcPr>
          <w:p>
            <w:pPr>
              <w:pStyle w:val="Normal6a"/>
            </w:pPr>
            <w:r>
              <w:t>17.</w:t>
            </w:r>
            <w:r>
              <w:tab/>
            </w:r>
            <w:r>
              <w:t xml:space="preserve">připomíná, že je mimořádně důležité, abychom více podporovali lidská práva, demokracii a rozvoj ve třetích zemích prostřednictvím finančního rámce nástroje NDICI – Globální Evropa; zdůrazňuje, že zachování zvláštního financování lidských práv a demokracie, jakož i přístup založený na lidských právech a zohledňování lidských práv v naší podpoře a partnerstvích se třetími zeměmi může posílit postavení Unie v celosvětovém měřítku a podpořit její hodnoty; </w:t>
            </w:r>
            <w:r>
              <w:rPr>
                <w:b/>
                <w:i/>
              </w:rPr>
              <w:t>vyzývá ESVČ, aby systematicky prováděla posouzení rizik, pokud jde o omezení občanského prostoru v partnerských a třetích zemích, a zajistila, aby se finanční prostředky dostaly k nezávislým aktérům občanské společnosti;</w:t>
            </w:r>
            <w:r>
              <w:t xml:space="preserve"> zdůrazňuje, že vzhledem k současné situaci, která se vyznačuje rychlým technologickým pokrokem a geopolitickým soupeřením, by měly být dále navýšeny zdroje určené na digitální diplomacii Unie; trvá na tom, že ve vztahu ke třetím zemím by prostřednictvím vnější činnosti Unie mělo dojít k posílení „environmentální diplomacie“ a ekologické transformace, což jsou jedny z priorit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w:t>
            </w:r>
            <w:r>
              <w:rPr>
                <w:b/>
                <w:i/>
              </w:rPr>
              <w:t>v této souvislosti vítá názor místopředsedkyně Komise, vysoké představitelky, který vyjádřila během slyšení, podle něhož jednou ze základních zásad je, že škodu, by měl uhradit ten, kdo ji způsobil;</w:t>
            </w:r>
            <w:r>
              <w:t xml:space="preserve"> </w:t>
            </w:r>
            <w:r>
              <w:rPr>
                <w:b/>
                <w:i/>
              </w:rPr>
              <w:t>konstatuje, že odhad škod není možné provést, dokud nebude umožněn přístup do Gazy;</w:t>
            </w:r>
          </w:p>
        </w:tc>
        <w:tc>
          <w:tcPr>
            <w:tcW w:w="4876" w:type="dxa"/>
            <w:tcBorders>
              <w:top w:val="nil"/>
              <w:left w:val="nil"/>
              <w:bottom w:val="nil"/>
              <w:right w:val="nil"/>
            </w:tcBorders>
          </w:tcPr>
          <w:p>
            <w:pPr>
              <w:pStyle w:val="Normal6a"/>
            </w:pPr>
            <w:r>
              <w:t>18.</w:t>
            </w:r>
            <w:r>
              <w:tab/>
            </w:r>
            <w:r>
              <w:t>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v této souvislosti vítá názor místopředsedkyně Komise, vysoké představitelky, který vyjádřila během slyšení, podle něhož jednou ze základních zásad je, že škodu, by měl uhradit ten, kdo ji způsobil; konstatuje, že odhad škod není možné provést, dokud nebude umožněn přístup do Gazy;</w:t>
            </w:r>
          </w:p>
        </w:tc>
        <w:tc>
          <w:tcPr>
            <w:tcW w:w="4876" w:type="dxa"/>
            <w:tcBorders>
              <w:top w:val="nil"/>
              <w:left w:val="nil"/>
              <w:bottom w:val="nil"/>
              <w:right w:val="nil"/>
            </w:tcBorders>
          </w:tcPr>
          <w:p>
            <w:pPr>
              <w:pStyle w:val="Normal6a"/>
            </w:pPr>
            <w:r>
              <w:t>18.</w:t>
            </w:r>
            <w:r>
              <w:tab/>
            </w:r>
            <w:r>
              <w:t xml:space="preserve">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w:t>
            </w:r>
            <w:r>
              <w:rPr>
                <w:b/>
                <w:i/>
              </w:rPr>
              <w:t>konstatuje, že od začátku krize v Gaze využila Unie všechny dostupné humanitární nástroje ke zmírnění utrpení Palestinců v Gaze a na Západním břehu Jordánu, přičemž od října 2023 poskytla humanitární pomoc ve výši 450 milionů EUR, včetně počátečního balíčku pomoci ve výši 120 milionů EUR na rok 2025 a ve zvláštním případě podpory Palestině ze strany Unie, zavedené mechanismy „jsou spolehlivé a účinně fungují“ a „dosud nebyly nalezeny žádné důkazy o tom, že by finanční prostředky byly přesměrovány na nezamýšlené účely, což bylo znovu potvrzeno během finančního přezkumu pomoci EU určené Palestině, který se uskutečnil v listopadu 2023“;</w:t>
            </w:r>
            <w:r>
              <w:t xml:space="preserve"> </w:t>
            </w:r>
            <w:r>
              <w:rPr>
                <w:b/>
                <w:i/>
              </w:rPr>
              <w:t>dále konstatuje, že v dubnu 2025 přijala Komise komplexní víceletý program pro Palestinu v hodnotě až 1,6 miliardy EUR na období 2025–2027 na podporu hospodářského oživení, odolnosti a správy na Západním břehu Jordánu, ve východním Jeruzalémě a v Gaze, přičemž až 620 milionů EUR z tohoto financování je určeno na přímou finanční podporu Palestinské správy;</w:t>
            </w:r>
            <w:r>
              <w:t xml:space="preserve"> </w:t>
            </w:r>
            <w:r>
              <w:rPr>
                <w:b/>
                <w:i/>
              </w:rPr>
              <w:t>konstatuje, že v květnu 2024 Komise oznámila balíček finanční pomoci ve výši 1 miliardy EUR na pomoc Libanonu při řešení domácích a regionálních problémů;</w:t>
            </w:r>
            <w:r>
              <w:t xml:space="preserve"> v této souvislosti vítá názor místopředsedkyně Komise, vysoké představitelky, který vyjádřila během slyšení, podle něhož jednou ze základních zásad je, že škodu, by měl uhradit ten, kdo ji způsobil; konstatuje, že odhad škod není možné provést, dokud nebude umožněn přístup do Gazy;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v této souvislosti vítá názor místopředsedkyně Komise, vysoké představitelky, který vyjádřila během slyšení, podle něhož jednou ze základních zásad je, že škodu, by měl uhradit ten, kdo ji způsobil; konstatuje, že odhad škod není možné provést, dokud nebude umožněn přístup do Gazy;</w:t>
            </w:r>
          </w:p>
        </w:tc>
        <w:tc>
          <w:tcPr>
            <w:tcW w:w="4876" w:type="dxa"/>
            <w:tcBorders>
              <w:top w:val="nil"/>
              <w:left w:val="nil"/>
              <w:bottom w:val="nil"/>
              <w:right w:val="nil"/>
            </w:tcBorders>
          </w:tcPr>
          <w:p>
            <w:pPr>
              <w:pStyle w:val="Normal6a"/>
            </w:pPr>
            <w:r>
              <w:t>18.</w:t>
            </w:r>
            <w:r>
              <w:tab/>
            </w:r>
            <w:r>
              <w:t xml:space="preserve">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v této souvislosti vítá názor místopředsedkyně Komise, vysoké představitelky, který vyjádřila během slyšení, podle něhož jednou ze základních zásad je, že škodu, by měl uhradit ten, kdo ji způsobil; konstatuje, že odhad škod není možné provést, dokud nebude umožněn přístup do Gazy; </w:t>
            </w:r>
            <w:r>
              <w:rPr>
                <w:b/>
                <w:i/>
              </w:rPr>
              <w:t>zdůrazňuje význam spolehlivých mechanismů monitorování a odpovědnosti, včetně nezávislého ověřování škod a potřeb, jakmile bude umožněn přístup;</w:t>
            </w:r>
            <w:r>
              <w:t xml:space="preserve"> </w:t>
            </w:r>
            <w:r>
              <w:rPr>
                <w:b/>
                <w:i/>
              </w:rPr>
              <w:t>vyzývá ESVČ, aby i nadále využívala všechny dostupné nástroje, včetně případných humanitárních, diplomatických, finančních a omezujících opatření, k prosazování mezinárodního řádu založeného na pravidlech a k podpoře trvalého míru a bezpečnosti v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v této souvislosti vítá názor místopředsedkyně Komise, vysoké představitelky, který vyjádřila během slyšení, podle něhož jednou ze základních zásad je, že </w:t>
            </w:r>
            <w:r>
              <w:rPr>
                <w:b/>
                <w:i/>
              </w:rPr>
              <w:t>škodu, by měl uhradit ten, kdo ji způsobil</w:t>
            </w:r>
            <w:r>
              <w:t xml:space="preserve">; konstatuje, že </w:t>
            </w:r>
            <w:r>
              <w:rPr>
                <w:b/>
                <w:i/>
              </w:rPr>
              <w:t>odhad škod není možné provést</w:t>
            </w:r>
            <w:r>
              <w:t>, dokud nebude umožněn přístup do Gazy;</w:t>
            </w:r>
          </w:p>
        </w:tc>
        <w:tc>
          <w:tcPr>
            <w:tcW w:w="4876" w:type="dxa"/>
            <w:tcBorders>
              <w:top w:val="nil"/>
              <w:left w:val="nil"/>
              <w:bottom w:val="nil"/>
              <w:right w:val="nil"/>
            </w:tcBorders>
          </w:tcPr>
          <w:p>
            <w:pPr>
              <w:pStyle w:val="Normal6a"/>
            </w:pPr>
            <w:r>
              <w:t>18.</w:t>
            </w:r>
            <w:r>
              <w:tab/>
            </w:r>
            <w:r>
              <w:t xml:space="preserve">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w:t>
            </w:r>
            <w:r>
              <w:rPr>
                <w:b/>
                <w:i/>
              </w:rPr>
              <w:t>zdůrazňuje, že humanitární pomoc musí být poskytována bezpečným, účinným a odpolitizovaným způsobem a nesmí být odkloněna nebo zneužita teroristickými nebo ozbrojenými skupinami;</w:t>
            </w:r>
            <w:r>
              <w:t xml:space="preserve"> v této souvislosti vítá názor místopředsedkyně Komise, vysoké představitelky, který vyjádřila během slyšení, podle něhož jednou ze základních zásad je, že </w:t>
            </w:r>
            <w:r>
              <w:rPr>
                <w:b/>
                <w:i/>
              </w:rPr>
              <w:t>odpovědnost za škody by měla být řešena v souladu s mezinárodním právem a zavedenými právními rámci</w:t>
            </w:r>
            <w:r>
              <w:t xml:space="preserve">; konstatuje, že </w:t>
            </w:r>
            <w:r>
              <w:rPr>
                <w:b/>
                <w:i/>
              </w:rPr>
              <w:t>jakékoli komplexní posouzení škod je i nadále předčasné</w:t>
            </w:r>
            <w:r>
              <w:t xml:space="preserve">, dokud nebude umožněn přístup do Gazy; </w:t>
            </w:r>
            <w:r>
              <w:rPr>
                <w:b/>
                <w:i/>
              </w:rPr>
              <w:t>zdůrazňuje význam spolehlivých, nezávislých a ověřitelných informací jako základu pro jakékoli budoucí hodnocení;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v této souvislosti vítá názor místopředsedkyně Komise, vysoké představitelky, který vyjádřila během slyšení, podle něhož jednou ze základních zásad je, že škodu, by měl uhradit ten, kdo ji způsobil; konstatuje, že odhad škod není možné provést, dokud nebude umožněn přístup do Gazy;</w:t>
            </w:r>
          </w:p>
        </w:tc>
        <w:tc>
          <w:tcPr>
            <w:tcW w:w="4876" w:type="dxa"/>
            <w:tcBorders>
              <w:top w:val="nil"/>
              <w:left w:val="nil"/>
              <w:bottom w:val="nil"/>
              <w:right w:val="nil"/>
            </w:tcBorders>
          </w:tcPr>
          <w:p>
            <w:pPr>
              <w:pStyle w:val="Normal6a"/>
            </w:pPr>
            <w:r>
              <w:t>18.</w:t>
            </w:r>
            <w:r>
              <w:tab/>
            </w:r>
            <w:r>
              <w:t xml:space="preserve">na základě monitorovací zprávy s uspokojením bere na vědomí ústřední úlohu a činnost ESVČ při prosazování míru a stability na Blízkém východě, včetně výzvy k neomezenému přístupu a trvalé distribuci humanitární pomoci ve velkém měřítku v souladu s mezinárodními humanitárními zásadami; v této souvislosti vítá názor místopředsedkyně Komise, vysoké představitelky, který vyjádřila během slyšení, podle něhož jednou ze základních zásad je, že škodu, by měl uhradit ten, kdo ji způsobil; konstatuje, že odhad škod není možné provést, dokud nebude umožněn přístup do Gazy; </w:t>
            </w:r>
            <w:r>
              <w:rPr>
                <w:b/>
                <w:i/>
              </w:rPr>
              <w:t>vyjadřuje hluboké znepokojení nad pokračující podporou agentury UNRWA ze strany ESVČ, a to navzdory tvrzením o zneužívání zdrojů a napojení zaměstnanců agentury UNRWA na Hamás;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připomíná svůj postoj k rozpočtu EU na rok 2026 a význam podpory politických, hospodářských a sociálních reforem v regionu jižního sousedství, včetně řešení rostoucích humanitárních potřeb;</w:t>
            </w:r>
            <w:r>
              <w:t xml:space="preserve"> </w:t>
            </w:r>
            <w:r>
              <w:rPr>
                <w:b/>
                <w:i/>
              </w:rPr>
              <w:t>připomíná, že Evropská služba pro vnější činnost je odpovědná za poskytování politického vedení a strategického dohledu v oblasti vnější činností Unie, zatímco Komise si ponechává plnou odpovědnost za řízení, uzavírání smluv a vyplácení rozpočtových zdrojů EU poskytovaných prováděcím partnerům a mezinárodním organizacím;</w:t>
            </w:r>
            <w:r>
              <w:t xml:space="preserve"> </w:t>
            </w:r>
            <w:r>
              <w:rPr>
                <w:b/>
                <w:i/>
              </w:rPr>
              <w:t>bere na vědomí reakci OSN na obvinění týkající se 19 z 13 000 zaměstnanců agentury UNRWA v Pásmu Gazy kvůli jejich možnému zapojení do teroristických útoků proti Izraeli ze dne 7. října 2023, včetně vyšetřování organizace OIOS provedeného ve spolupráci s Izraelem, které vedlo k propuštění 9 zaměstnanců ve služebním zájmu, a doporučení vydaných v rámci přezkumu C. Colonnové;</w:t>
            </w:r>
            <w:r>
              <w:t xml:space="preserve"> </w:t>
            </w:r>
            <w:r>
              <w:rPr>
                <w:b/>
                <w:i/>
              </w:rPr>
              <w:t>bere na vědomí poradní stanovisko Mezinárodního soudního dvora ze dne 22. října 2025, v němž dospěl k závěru, že dostupné informace nepostačují k prokázání nedostatečné neutrality agentury UNRWA jako organizace;</w:t>
            </w:r>
            <w:r>
              <w:t xml:space="preserve"> </w:t>
            </w:r>
            <w:r>
              <w:rPr>
                <w:b/>
                <w:i/>
              </w:rPr>
              <w:t>vítá hodnocení Komise, že agentura UNRWA je i nadále plně odhodlána provádět doporučení C. Colonnové, a bere na vědomí splnění všech podmínek dohodnutých s EU pro další financování v roce 2024, včetně dokončení auditu odborníky jmenovanými EU;</w:t>
            </w:r>
            <w:r>
              <w:t xml:space="preserve"> </w:t>
            </w:r>
            <w:r>
              <w:rPr>
                <w:b/>
                <w:i/>
              </w:rPr>
              <w:t>vybízí v této souvislosti Komisi, aby se i nadále angažovala a situaci bedlivě sledovala s cílem zajistit trvalé financování se zárukami neutrality, transparentnosti a odpovědnosti;</w:t>
            </w:r>
            <w:r>
              <w:t xml:space="preserve"> </w:t>
            </w:r>
            <w:r>
              <w:rPr>
                <w:b/>
                <w:i/>
              </w:rPr>
              <w:t>bere na vědomí, že v souladu s mezinárodní praxí agentur OSN působících v oblasti vzdělávání využívá agentura UNRWA ve svých školách osnovy hostitelských zemí a místně vydávané učebnice, které jsou však systematicky přezkoumávány s cílem řešit případný problematický obsah;</w:t>
            </w:r>
            <w:r>
              <w:t xml:space="preserve"> </w:t>
            </w:r>
            <w:r>
              <w:rPr>
                <w:b/>
                <w:i/>
              </w:rPr>
              <w:t>konstatuje, že Unie nefinancuje palestinské učebnice;</w:t>
            </w:r>
            <w:r>
              <w:t xml:space="preserve"> </w:t>
            </w:r>
            <w:r>
              <w:rPr>
                <w:b/>
                <w:i/>
              </w:rPr>
              <w:t>vítá spolupráci Komise s Palestinskou správou na reformě učebních osnov a bere na vědomí pokrok, jehož bylo dosaženo při slaďování učebních materiálů s normami UNESCO;</w:t>
            </w:r>
            <w:r>
              <w:t xml:space="preserve"> </w:t>
            </w:r>
            <w:r>
              <w:rPr>
                <w:b/>
                <w:i/>
              </w:rPr>
              <w:t>připomíná, že je nezbytné, aby Palestinská správa odstranila všechny vzdělávací materiály a obsah, které normy UNESCO nesplňují;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uznává, že Unie nefinancuje palestinské učebnice a že v souladu s mezinárodní praxí agentur OSN působících v oblasti vzdělávání využívá agentura UNRWA ve svých školách osnovy hostitelských zemí a místně vydávané učebnice;</w:t>
            </w:r>
            <w:r>
              <w:t xml:space="preserve"> </w:t>
            </w:r>
            <w:r>
              <w:rPr>
                <w:b/>
                <w:i/>
              </w:rPr>
              <w:t>vítá nicméně spolupráci Komise s Palestinskou správou na reformě učebních osnov na základě norem 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vyzývá ESVČ, aby úzce spolupracovala s Komisí s cílem zajistit, aby Palestinská správa neprodleně odstranila veškeré vzdělávací materiály, které nesplňují normy UNESCO týkající se míru a tolerance;</w:t>
            </w:r>
            <w:r>
              <w:t xml:space="preserve"> </w:t>
            </w:r>
            <w:r>
              <w:rPr>
                <w:b/>
                <w:i/>
              </w:rPr>
              <w:t>trvá na tom, že financování EU musí být podmíněno odstraněním nenávistných verbálních projevů a podněcování k násilí ze školních osnov;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vyjadřuje hluboké znepokojení nad zprávami, že zaměstnanci agentury UNRWA v pásmu Gazy byli údajně zapojeni do hanebných teroristických útoků organizace Hamás na Izrael ze dne 7. října;</w:t>
            </w:r>
            <w:r>
              <w:t xml:space="preserve"> </w:t>
            </w:r>
            <w:r>
              <w:rPr>
                <w:b/>
                <w:i/>
              </w:rPr>
              <w:t>vyzývá Komisi a ESVČ, aby zajistily, že žádné finanční prostředky Unie nebudou přidělovány jednotlivcům nebo organizacím spojeným s jakýmkoli druhem teroristických hnutí nebo jakýmkoli jiným hnutím vyjadřujícím extremistické názory, které jsou v přímém rozporu se základními hodnotami Evropské unie;</w:t>
            </w:r>
            <w:r>
              <w:t xml:space="preserve"> </w:t>
            </w:r>
            <w:r>
              <w:rPr>
                <w:b/>
                <w:i/>
              </w:rPr>
              <w:t>připomíná, že je důležité, aby Komise a ESVČ zaručily nezávislé kontroly agentury UNRWA prováděné externími odborníky, Účetním dvorem a zkušenými mezinárodními partnery;</w:t>
            </w:r>
            <w:r>
              <w:t xml:space="preserve"> </w:t>
            </w:r>
            <w:r>
              <w:rPr>
                <w:b/>
                <w:i/>
              </w:rPr>
              <w:t>vyzývá ESVČ, aby v případě potřeby spolupracovala s dalšími spolehlivými partnery v Gaze a na palestinských územích s cílem zajistit nepřetržité dodávky humanitární pomoci palestinskému obyvatelstvu;</w:t>
            </w:r>
            <w:r>
              <w:t xml:space="preserve"> </w:t>
            </w:r>
            <w:r>
              <w:rPr>
                <w:b/>
                <w:i/>
              </w:rPr>
              <w:t>vítá nedávné závazky zaměřené na ukončení války v Gaze a bere na vědomí dvacetibodový mírový plán navržený vládou USA;</w:t>
            </w:r>
            <w:r>
              <w:t xml:space="preserve"> </w:t>
            </w:r>
            <w:r>
              <w:rPr>
                <w:b/>
                <w:i/>
              </w:rPr>
              <w:t>vyzývá ESVČ, aby spolupracovala s Radou pro mír s cílem dosáhnout spravedlivého, trvalého a udržitelného míru v Gaze a na celém Blízkém východě;</w:t>
            </w:r>
            <w:r>
              <w:t xml:space="preserve"> </w:t>
            </w:r>
            <w:r>
              <w:rPr>
                <w:b/>
                <w:i/>
              </w:rPr>
              <w:t>vítá jmenování vysokého představitele pro Gazu jako krok směrem k posílenému dialogu a budování důvěry mezi všemi příslušnými zúčastněnými stranami;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připomíná, že Evropská služba pro vnější činnost je odpovědná za poskytování politického vedení a strategického dohledu v oblasti vnější činností Unie, zatímco Komise si ponechává plnou odpovědnost za řízení, uzavírání smluv a vyplácení rozpočtových zdrojů EU poskytovaných prováděcím partnerům a mezinárodním organizacím;</w:t>
            </w:r>
            <w:r>
              <w:t xml:space="preserve"> </w:t>
            </w:r>
            <w:r>
              <w:rPr>
                <w:b/>
                <w:i/>
              </w:rPr>
              <w:t>vítá v této souvislosti hodnocení Komise, že agentura UNRWA splnila všechny podmínky dohodnuté s EU pro další financování v roce 2024, včetně dokončení auditu odborníky jmenovanými EU;</w:t>
            </w:r>
            <w:r>
              <w:t xml:space="preserve"> </w:t>
            </w:r>
            <w:r>
              <w:rPr>
                <w:b/>
                <w:i/>
              </w:rPr>
              <w:t>vybízí v této souvislosti Komisi, aby se i nadále angažovala a situaci bedlivě sledovala s cílem zajistit trvalé financování se zárukami neutrality, transparentnosti a odpovědnosti;</w:t>
            </w:r>
            <w:r>
              <w:t xml:space="preserve"> </w:t>
            </w:r>
            <w:r>
              <w:rPr>
                <w:b/>
                <w:i/>
              </w:rPr>
              <w:t>zdůrazňuje ústřední úlohu agentury UNRWA při poskytování humanitární pomoci palestinským uprchlíkům v souladu s cílem Unie podporovat politické, hospodářské a sociální reformy v regionu jižního sousedství a opakuje svou výzvu uvedenou v usnesení ze dne 20. ledna 2026 o humanitární pomoci v době mnohačetných krizí;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připomíná, že je nezbytné, aby Palestinská správa odstranila veškeré vzdělávací materiály a texty, které nejsou v souladu s normami organizace UNESCO, zejména ty, které obsahují antisemitismus, jak je definován na základě klasifikace Mezinárodní aliance na památku holokaustu schválené Unií, dále ty, které podněcují k násilí, obsahují nenávistné verbální projevy nebo glorifikují terorismus;</w:t>
            </w:r>
            <w:r>
              <w:t xml:space="preserve"> </w:t>
            </w:r>
            <w:r>
              <w:rPr>
                <w:b/>
                <w:i/>
              </w:rPr>
              <w:t>zdůrazňuje, že finanční podpora Unie Palestinské správě v oblasti vzdělávání by měla být poskytována pod podmínkou, že obsah učebnic bude v souladu se standardy UNESCO, že všechny antisemitské odkazy budou vypuštěny a že budou odstraněny příklady podněcující k nenávisti a násilí, jak bylo opakovaně požadováno v usneseních připojených k rozhodnutím o udělení absolutoria;</w:t>
            </w:r>
            <w:r>
              <w:t xml:space="preserve"> </w:t>
            </w:r>
            <w:r>
              <w:rPr>
                <w:b/>
                <w:i/>
              </w:rPr>
              <w:t>připomíná zjištění zprávy Institutu Georga Eckerta financované Unií, která odhalila komplexní situaci v souvislosti s učebnicemi;</w:t>
            </w:r>
            <w:r>
              <w:t xml:space="preserve"> </w:t>
            </w:r>
            <w:r>
              <w:rPr>
                <w:b/>
                <w:i/>
              </w:rPr>
              <w:t>vyzývá ESVČ, aby společně s Komisí zajistily, že žádné finanční prostředky Unie nebudou přímo ani nepřímo přidělovány na vypracování takových vzdělávacích materiálů, jejich používání při výuce nebo jejich zpřístupnění palestinským dětem, včetně materiálů poskytovaných organizacemi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vyjadřuje znepokojení nad zprávou o podezřelých interních dokumentech Hamásu z let 2018 až 2022, které izraelské obranné síly původně nalezly v Pásmu Gazy a které byly později odtajněny a šířeny prostřednictvím nevládní organizace Monitor a které údajně svědčí o pokusech o infiltraci a monitorování v rámci humanitárních projektů financovaných EU v Pásmu Gazy;</w:t>
            </w:r>
            <w:r>
              <w:t xml:space="preserve"> </w:t>
            </w:r>
            <w:r>
              <w:rPr>
                <w:b/>
                <w:i/>
              </w:rPr>
              <w:t>bere na vědomí, že jak organizace uvedené ve zprávě, tak Komise tato tvrzení důrazně odmítly a dospěly k závěru, že jim chybí podložené důkazy;</w:t>
            </w:r>
            <w:r>
              <w:t xml:space="preserve"> </w:t>
            </w:r>
            <w:r>
              <w:rPr>
                <w:b/>
                <w:i/>
              </w:rPr>
              <w:t>připomíná, že v souladu s finančním nařízením má EU spolehlivý kontrolní systém, včetně systémů náležité péče, protiteroristického prověřování a ověřování zaměstnanců, které se povinně vztahují na všechny prováděcí partnery;</w:t>
            </w:r>
            <w:r>
              <w:t xml:space="preserve"> </w:t>
            </w:r>
            <w:r>
              <w:rPr>
                <w:b/>
                <w:i/>
              </w:rPr>
              <w:t>připomíná, že do značné míry v reakci na požadavky Evropského parlamentu byly od roku 2023 ověřovací mechanismy dále posilovány, včetně zvláštních auditů, analýz rizik a dodatečného externího monitorování;</w:t>
            </w:r>
            <w:r>
              <w:t xml:space="preserve"> </w:t>
            </w:r>
            <w:r>
              <w:rPr>
                <w:b/>
                <w:i/>
              </w:rPr>
              <w:t>zdůrazňuje, že veškerá tvrzení o možném zneužití finančních prostředků daňových poplatníků EU by měla být pečlivě ověřena, a naléhavě vyzývá Komisi, aby prošetřila veškerá obvinění z jakéhokoli druhu nepatřičné infiltrace a ovlivňování v rámci humanitárních projektů financovaných EU ve vysoce rizikových oblastech a aby pozastavila nebo získala zpět finanční prostředky EU, pokud se porušení předpisů potvrdí;</w:t>
            </w:r>
            <w:r>
              <w:t xml:space="preserve"> </w:t>
            </w:r>
            <w:r>
              <w:rPr>
                <w:b/>
                <w:i/>
              </w:rPr>
              <w:t>varuje, že v ozbrojených konfliktech jsou dezinformace a informační válka vedená pro strategické účely běžnými postupy;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vyjadřuje hluboké znepokojení nad nedávnými zprávami, vycházejícími z odtajněných interních dokumentů Hamásu, které ukazují na systematickou infiltraci a monitorování, často prostřednictvím tzv. „ručitelů“ mezinárodních nevládních organizací působících v Pásmu Gazy, včetně organizací, které dostávají přímou finanční podporu EU, kdy tito „ručitelé“ byli přidruženi k Hamásu;</w:t>
            </w:r>
            <w:r>
              <w:t xml:space="preserve"> </w:t>
            </w:r>
            <w:r>
              <w:rPr>
                <w:b/>
                <w:i/>
              </w:rPr>
              <w:t>zdůrazňuje, že tato odhalení představují vážné riziko, že finanční prostředky daňových poplatníků EU mohly být nepřímo směrovány určené teroristické organizaci, čímž byla narušena integrita pomoci EU;</w:t>
            </w:r>
            <w:r>
              <w:t xml:space="preserve"> </w:t>
            </w:r>
            <w:r>
              <w:rPr>
                <w:b/>
                <w:i/>
              </w:rPr>
              <w:t>naléhavě vyzývá Komisi, aby urychleně a důkladně prošetřila všechna obvinění z infiltrace Hamásu a nepatřičného ovlivňování z jeho strany v rámci humanitárních projektů financovaných EU v Pásmu Gazy a aby v případě, že se porušení předpisů potvrdí, finanční prostředky EU pozastavila nebo získala zpět;</w:t>
            </w:r>
            <w:r>
              <w:t xml:space="preserve"> </w:t>
            </w:r>
            <w:r>
              <w:rPr>
                <w:b/>
                <w:i/>
              </w:rPr>
              <w:t>vyzývá Komisi a ESVČ, aby zavedly posílené mechanismy prověřování, náležité péče a monitorování pro nevládní organizace působící ve vysoce rizikových oblastech, jako je Gaza, s cílem zabránit infiltraci ze strany teroristických skupin a zaručit, aby finanční prostředky EU byly využívány výhradně k legitimním humanitárním účelům;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se znepokojením konstatuje, že izraelské obranné síly (IDF) v této oblasti údajně nalezly a šířily prostřednictvím nevládní organizace Monitor interní dokumenty Hamásu, které naznačují pokusy o infiltraci do humanitárních projektů financovaných EU v Pásmu Gazy;</w:t>
            </w:r>
            <w:r>
              <w:t xml:space="preserve"> </w:t>
            </w:r>
            <w:r>
              <w:rPr>
                <w:b/>
                <w:i/>
              </w:rPr>
              <w:t>konstatuje, že Komise a dotčené organizace tato tvrzení zamítly jako neopodstatněná;</w:t>
            </w:r>
            <w:r>
              <w:t xml:space="preserve"> </w:t>
            </w:r>
            <w:r>
              <w:rPr>
                <w:b/>
                <w:i/>
              </w:rPr>
              <w:t>připomíná, že EU má spolehlivý kontrolní systém, který je od roku 2023 dále posilován;</w:t>
            </w:r>
            <w:r>
              <w:t xml:space="preserve"> </w:t>
            </w:r>
            <w:r>
              <w:rPr>
                <w:b/>
                <w:i/>
              </w:rPr>
              <w:t>varuje před riziky informační války vedené pro strategické účely a naléhavě vyzývá Komisi, aby pravost důkazů potvrdila prostřednictvím nezávislého ověřování a aby následně před tím, než přijme vhodná následná opatření, uvedená tvrzení vyhodnotila;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základě monitorovací zprávy bere na vědomí pokračující úsilí ESVČ o podporu dialogu o politické, ekonomické a sociální situaci, právním státě a boji proti korupci a o posílení demokracie a lidských práv v různých zemích; vítá skutečnost, že ESVČ a delegace Unie pokračují ve spolupráci se zástupci vnitrostátních správních orgánů a institucí, organizací občanské společnosti, zúčastněných stran se zaměřením na demokratickou správu věcí veřejných, lidská práva, sdělovací prostředky, sociální partnery a mezinárodní a regionální organizace; konstatuje, že podpora lidských práv a obránkyň lidských práv, včetně obránců a obránkyň z řad původního obyvatelstva, patří mezi klíčové priority ESVČ v souladu s akčním plánem Unie pro lidská práva a demokracii na období 2020–2027 a je rozvíjena prostřednictvím řady činností, jako jsou politický dialog, politické zpravodajství, veřejná diplomacie, mnohostranná fóra či výroční zprávy o dodržování lidských práv;</w:t>
            </w:r>
          </w:p>
        </w:tc>
        <w:tc>
          <w:tcPr>
            <w:tcW w:w="4876" w:type="dxa"/>
            <w:tcBorders>
              <w:top w:val="nil"/>
              <w:left w:val="nil"/>
              <w:bottom w:val="nil"/>
              <w:right w:val="nil"/>
            </w:tcBorders>
          </w:tcPr>
          <w:p>
            <w:pPr>
              <w:pStyle w:val="Normal6a"/>
            </w:pPr>
            <w:r>
              <w:t>19.</w:t>
            </w:r>
            <w:r>
              <w:tab/>
            </w:r>
            <w:r>
              <w:t xml:space="preserve">na základě monitorovací zprávy bere na vědomí pokračující úsilí ESVČ o podporu dialogu o politické, ekonomické a sociální situaci, právním státě a boji proti korupci a o posílení demokracie a lidských práv v různých zemích; vítá skutečnost, že ESVČ a delegace Unie pokračují ve spolupráci se zástupci vnitrostátních správních orgánů a institucí, organizací občanské společnosti, zúčastněných stran se zaměřením na demokratickou správu věcí veřejných, lidská práva, sdělovací prostředky, sociální partnery a mezinárodní a regionální organizace; </w:t>
            </w:r>
            <w:r>
              <w:rPr>
                <w:b/>
                <w:i/>
              </w:rPr>
              <w:t>zdůrazňuje však, že k hlavním cílům vnější činnosti Unie musí patřit spolupráce třetích zemí v oblasti migrace, včetně předcházení nelegální migraci, účinné správy hranic a zpětného přebírání jejich vlastních státních příslušníků;</w:t>
            </w:r>
            <w:r>
              <w:t xml:space="preserve"> </w:t>
            </w:r>
            <w:r>
              <w:rPr>
                <w:b/>
                <w:i/>
              </w:rPr>
              <w:t>zdůrazňuje, že tato spolupráce by měla být důležitým prvkem rozvoje a provádění partnerství, politického dialogu a přidělování finančních prostředků a pobídek EU;</w:t>
            </w:r>
            <w:r>
              <w:t xml:space="preserve"> konstatuje, že podpora lidských práv a obránkyň lidských práv, včetně obránců a obránkyň z řad původního obyvatelstva, patří mezi klíčové priority ESVČ v souladu s akčním plánem Unie pro lidská práva a demokracii na období 2020–2027 a je rozvíjena prostřednictvím řady činností, jako jsou politický dialog, politické zpravodajství, veřejná diplomacie, mnohostranná fóra či výroční zprávy o dodržování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základě monitorovací zprávy bere na vědomí pokračující úsilí ESVČ o podporu dialogu o politické, ekonomické a sociální situaci, právním státě a boji proti korupci a o posílení demokracie a lidských práv v různých zemích; vítá skutečnost, že ESVČ a delegace Unie pokračují ve spolupráci se zástupci vnitrostátních správních orgánů a institucí, organizací občanské společnosti, zúčastněných stran se zaměřením na demokratickou správu věcí veřejných, lidská práva, sdělovací prostředky, sociální partnery a mezinárodní a regionální organizace; konstatuje, že podpora lidských práv a obránkyň lidských práv, včetně obránců a obránkyň z řad původního obyvatelstva, patří mezi klíčové priority ESVČ v souladu s akčním plánem Unie pro lidská práva a demokracii na období 2020–2027 a je rozvíjena prostřednictvím řady činností, jako jsou politický dialog, politické zpravodajství, veřejná diplomacie, mnohostranná fóra či výroční zprávy o dodržování lidských práv;</w:t>
            </w:r>
          </w:p>
        </w:tc>
        <w:tc>
          <w:tcPr>
            <w:tcW w:w="4876" w:type="dxa"/>
            <w:tcBorders>
              <w:top w:val="nil"/>
              <w:left w:val="nil"/>
              <w:bottom w:val="nil"/>
              <w:right w:val="nil"/>
            </w:tcBorders>
          </w:tcPr>
          <w:p>
            <w:pPr>
              <w:pStyle w:val="Normal6a"/>
            </w:pPr>
            <w:r>
              <w:t>19.</w:t>
            </w:r>
            <w:r>
              <w:tab/>
            </w:r>
            <w:r>
              <w:t xml:space="preserve">na základě monitorovací zprávy bere na vědomí pokračující úsilí ESVČ o podporu dialogu o politické, ekonomické a sociální situaci, právním státě a boji proti korupci a o posílení demokracie a lidských práv v různých zemích; vítá skutečnost, že ESVČ a delegace Unie pokračují ve spolupráci se zástupci vnitrostátních správních orgánů a institucí, organizací občanské společnosti, zúčastněných stran se zaměřením na demokratickou správu věcí veřejných, lidská práva, sdělovací prostředky, sociální partnery a mezinárodní a regionální organizace; konstatuje, že podpora lidských práv a obránkyň lidských práv, včetně obránců a obránkyň z řad původního obyvatelstva, patří mezi klíčové priority ESVČ v souladu s akčním plánem Unie pro lidská práva a demokracii na období 2020–2027 a je rozvíjena prostřednictvím řady činností, jako jsou politický dialog, politické zpravodajství, veřejná diplomacie, mnohostranná fóra či výroční zprávy o dodržování lidských práv; </w:t>
            </w:r>
            <w:r>
              <w:rPr>
                <w:b/>
                <w:i/>
              </w:rPr>
              <w:t>vyzývá ESVČ a delegace Unie, aby posílily svou vynikající práci při poskytování pomoci a logistické a technologické podpory obráncům lidských práv a spolupráci s nimi v souladu s obecnými zásadami EU týkajícími se ochránců lidských práv, se zvláštním zaměřením na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vyjadřuje politování nad tím, že stále neexistuje evropský koordinátor, který by byl pověřen bojem proti křesťanofobii, a to navzdory existenci specializovaných koordinátorů pro boj proti antisemitismu a nenávisti vůči muslimům;</w:t>
            </w:r>
            <w:r>
              <w:t xml:space="preserve"> </w:t>
            </w:r>
            <w:r>
              <w:rPr>
                <w:b/>
                <w:i/>
              </w:rPr>
              <w:t>konstatuje, že tato institucionální nerovnováha oslabuje soudržnost a důvěryhodnost přístupu EU k ochraně svobody náboženského vyznání nebo přesvědčení;</w:t>
            </w:r>
            <w:r>
              <w:t xml:space="preserve"> </w:t>
            </w:r>
            <w:r>
              <w:rPr>
                <w:b/>
                <w:i/>
              </w:rPr>
              <w:t>připomíná, že více než 380 milionů křesťanů na celém světě je kvůli své víře vystaveno diskriminaci, pronásledování nebo násilným útokům;</w:t>
            </w:r>
            <w:r>
              <w:t xml:space="preserve"> </w:t>
            </w:r>
            <w:r>
              <w:rPr>
                <w:b/>
                <w:i/>
              </w:rPr>
              <w:t>vyzývá Komisi a ESVČ, aby v rámci svých příslušných pravomocí zajistily stejnou politickou pozornost, koordinaci a odpovědnost při řešení všech forem náboženské nenávisti, včetně nenávisti vůči křesťanům, a aby informovaly Parlament o přijatých opatřeních a zdrojích přidělených na tento účel;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vyjadřuje politování nad tím, že ačkoli Unie jmenovala koordinátory pro boj proti antisemitismu a islamofobii, v současné době neexistuje rovnocenný koordinátor pro boj proti diskriminaci a nenávisti vůči křesťanům;</w:t>
            </w:r>
            <w:r>
              <w:t xml:space="preserve"> </w:t>
            </w:r>
            <w:r>
              <w:rPr>
                <w:b/>
                <w:i/>
              </w:rPr>
              <w:t>domnívá se, že tato absence je diskriminační, a vyzývá k tomu, aby byla věnována stejná pozornost všem formám náboženské nesnášenlivosti;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 základě dotazníku konstatuje, že útvar správy a řízení (Corporate Governance Service – CGS), zřízený v roce 2023, plní důležitou úlohu při zlepšování správy a řízení ESVČ tím, že poskytuje podporu při přípravě ročních plánů řízení ESVČ a výročních zpráv o činnosti, při posilování procesů řízení rizik, při řešení systémových problémů služby v delegacích Unie a při provádění koncepce „jedné delegace“, jejímž cílem je snížit roztříštěnost v oblasti řízení a podávání zpráv a dokumentovat opakující se problémy a osvědčené postupy v ústředí i v delegacích Unie;</w:t>
            </w:r>
          </w:p>
        </w:tc>
        <w:tc>
          <w:tcPr>
            <w:tcW w:w="4876" w:type="dxa"/>
            <w:tcBorders>
              <w:top w:val="nil"/>
              <w:left w:val="nil"/>
              <w:bottom w:val="nil"/>
              <w:right w:val="nil"/>
            </w:tcBorders>
          </w:tcPr>
          <w:p>
            <w:pPr>
              <w:pStyle w:val="Normal6a"/>
            </w:pPr>
            <w:r>
              <w:t>20.</w:t>
            </w:r>
            <w:r>
              <w:tab/>
            </w:r>
            <w:r>
              <w:t xml:space="preserve">na základě dotazníku konstatuje, že útvar správy a řízení (Corporate Governance Service – CGS), zřízený v roce 2023, plní důležitou úlohu při zlepšování správy a řízení ESVČ tím, že poskytuje podporu při přípravě ročních plánů řízení ESVČ a výročních zpráv o činnosti, při posilování procesů řízení rizik, při řešení systémových problémů služby v delegacích Unie a při provádění koncepce „jedné delegace“, jejímž cílem je snížit roztříštěnost v oblasti řízení a podávání zpráv a dokumentovat opakující se problémy a osvědčené postupy v ústředí i v delegacích Unie; </w:t>
            </w:r>
            <w:r>
              <w:rPr>
                <w:b/>
                <w:i/>
              </w:rPr>
              <w:t>vyzývá ESVČ, aby urychleně řešila nedostatky ve vnitřních kontrolách a správě dokumentů, na které upozornil Evropský účetní dvůr, s cílem zlepšit integritu správy informací a zajistit jednotné podávání zpráv napříč delegacemi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na základě monitorovací zprávy a dotazníku s uspokojením konstatuje, že ESVČ vyvíjí úsilí o feministickou diplomacii, přestože hlavní úlohu při stanovování hlavních směrů vnější činnosti Unie mají členské státy;</w:t>
            </w:r>
            <w:r>
              <w:t xml:space="preserve"> </w:t>
            </w:r>
            <w:r>
              <w:rPr>
                <w:b/>
                <w:i/>
              </w:rPr>
              <w:t>vítá zejména opatření přijatá k urychlení plnění závazků Unie v rámci akčního plánu EU pro rovnost žen a mužů (GAP) III;</w:t>
            </w:r>
            <w:r>
              <w:t xml:space="preserve"> </w:t>
            </w:r>
            <w:r>
              <w:rPr>
                <w:b/>
                <w:i/>
              </w:rPr>
              <w:t>konstatuje, že velvyslankyně Unie pro rovnost žen a mužů a rozmanitost se zapojila do úsilí o začlenění genderového hlediska do dialogů o lidských právech a do klíčových mnohostranných prohlášení a rezolucí;</w:t>
            </w:r>
            <w:r>
              <w:t xml:space="preserve"> </w:t>
            </w:r>
            <w:r>
              <w:rPr>
                <w:b/>
                <w:i/>
              </w:rPr>
              <w:t>dále konstatuje, že klíčovým prvkem institucionalizace začleňování hlediska rovnosti žen a mužů je i nadále vedení zohledňující genderové hledisko;</w:t>
            </w:r>
            <w:r>
              <w:t xml:space="preserve"> </w:t>
            </w:r>
            <w:r>
              <w:rPr>
                <w:b/>
                <w:i/>
              </w:rPr>
              <w:t>v této souvislosti vítá jmenování kontaktních míst pro rovnost žen a mužů v listopadu 2024;</w:t>
            </w:r>
            <w:r>
              <w:t xml:space="preserve"> </w:t>
            </w:r>
            <w:r>
              <w:rPr>
                <w:b/>
                <w:i/>
              </w:rPr>
              <w:t>konstatuje, že akční plán GAP III skončí v roce 2027, a naléhavě vyzývá ESVČ, aby za tímto účelem vypracovala ambicióznější akční plán GAP IV, který zajistí silnější vazbu mezi právy žen a posílením jejich postavení na jedné straně a zahraniční a bezpečnostní politikou Unie na straně druhé a bude připraven k provádění od roku 2028;</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připomíná, že Smlouva o Evropské unii stanoví, že EU a její orgány a instituce podporují solidaritu a rovnost žen a mužů;</w:t>
            </w:r>
            <w:r>
              <w:t xml:space="preserve"> </w:t>
            </w:r>
            <w:r>
              <w:rPr>
                <w:b/>
                <w:i/>
              </w:rPr>
              <w:t>vyzývá orgán, aby se zdržel propagace, šíření a podpory genderové a „woke“ ideologie a aby dodržoval Smlouvu a její ustanovení a respektoval národní identitu členských států, která je neoddělitelnou součástí jejich základních struktur, historie, náboženství a tradic;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zdůrazňuje, že Unie musí navýšit financování s cílem posílit zvláštní rozpočtovou položku v rámci zahraniční politiky Unie, která je konkrétně zaměřena na podporu genderové rovnosti a agendy žen, míru a bezpečnosti, aby se zajistilo konzistentní financování iniciativ, které podporují vedení zohledňující genderovou rovnost, chrání práva žen a bojují proti sexuálnímu a genderově podmíněnému násilí v konfliktním a postkonfliktním prostředí;</w:t>
            </w:r>
            <w:r>
              <w:t xml:space="preserve"> </w:t>
            </w:r>
            <w:r>
              <w:rPr>
                <w:b/>
                <w:i/>
              </w:rPr>
              <w:t>zdůrazňuje, že toto financování má zásadní význam pro podporu místních organizací občanské společnosti, poskytování podpory zaměřené na oběti a začleňování hlediska genderové rovnosti do diplomatických a bezpečnostních aktivit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považuje volební pozorovatelskou misi za praktický a účinný nástroj zahraniční politiky, který je i nadále ústředním prvkem politik a strategií Unie na podporu demokracie; na základě monitorovací zprávy konstatuje, že ESVČ nemá vyhlídky na rozšíření pozorovatelské činnosti na kandidátské a sousední země, protože pozorovatelské mise v těchto zemích jsou dostatečně pokryty pod vedením Úřadu OBSE pro demokratické instituce a lidská práva, který používá podobnou metodiku jako Unie a často získává odborníky ze stejného okruhu specialistů; opakuje však svou výzvu Unii, aby </w:t>
            </w:r>
            <w:r>
              <w:rPr>
                <w:b/>
                <w:i/>
              </w:rPr>
              <w:t>zajistila odpovídající zdroje</w:t>
            </w:r>
            <w:r>
              <w:t xml:space="preserve"> pro své volební pozorovatelské mise;</w:t>
            </w:r>
          </w:p>
        </w:tc>
        <w:tc>
          <w:tcPr>
            <w:tcW w:w="4876" w:type="dxa"/>
            <w:tcBorders>
              <w:top w:val="nil"/>
              <w:left w:val="nil"/>
              <w:bottom w:val="nil"/>
              <w:right w:val="nil"/>
            </w:tcBorders>
          </w:tcPr>
          <w:p>
            <w:pPr>
              <w:pStyle w:val="Normal6a"/>
            </w:pPr>
            <w:r>
              <w:t>23.</w:t>
            </w:r>
            <w:r>
              <w:tab/>
            </w:r>
            <w:r>
              <w:t>považuje volební pozorovatelskou misi za praktický a účinný nástroj zahraniční politiky, který je i nadále ústředním prvkem politik a strategií Unie na podporu demokracie; na základě monitorovací zprávy konstatuje, že ESVČ nemá vyhlídky na rozšíření pozorovatelské činnosti na kandidátské a sousední země, protože pozorovatelské mise v těchto zemích jsou dostatečně pokryty pod vedením Úřadu OBSE pro demokratické instituce a lidská práva, který používá podobnou metodiku jako Unie a často získává odborníky ze stejného okruhu specialistů; opakuje však svou výzvu Unii, aby pro své volební pozorovatelské mise</w:t>
            </w:r>
            <w:r>
              <w:rPr>
                <w:b/>
                <w:i/>
              </w:rPr>
              <w:t> zajistila odpovídající zdroje, včetně odborných znalostí v rámci metodik pozorování voleb, pokud jde o integritu informací na internetu a rizicích vměšování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připomíná, že v roce 2021 </w:t>
            </w:r>
            <w:r>
              <w:rPr>
                <w:b/>
                <w:i/>
              </w:rPr>
              <w:t>navrhl Evropský parlament</w:t>
            </w:r>
            <w:r>
              <w:t xml:space="preserve"> pilotní projekt nazvaný Směrem ke zřízení evropské diplomatické akademie (</w:t>
            </w:r>
            <w:r>
              <w:rPr>
                <w:b/>
                <w:i/>
              </w:rPr>
              <w:t>EUDA</w:t>
            </w:r>
            <w:r>
              <w:t xml:space="preserve">) s cílem </w:t>
            </w:r>
            <w:r>
              <w:rPr>
                <w:b/>
                <w:i/>
              </w:rPr>
              <w:t>připravit potřebné množství evropských diplomatů vyškolených v oblasti zahraničních vztahů a bezpečnosti Unie a vytvořit</w:t>
            </w:r>
            <w:r>
              <w:t xml:space="preserve"> evropskou diplomatickou kulturu</w:t>
            </w:r>
            <w:r>
              <w:rPr>
                <w:b/>
                <w:i/>
              </w:rPr>
              <w:t>, jejímž cílem je</w:t>
            </w:r>
            <w:r>
              <w:t xml:space="preserve"> posílit </w:t>
            </w:r>
            <w:r>
              <w:rPr>
                <w:b/>
                <w:i/>
              </w:rPr>
              <w:t>úlohu Unie jako účinného aktéra zahraniční politiky;</w:t>
            </w:r>
            <w:r>
              <w:t xml:space="preserve"> </w:t>
            </w:r>
            <w:r>
              <w:rPr>
                <w:b/>
                <w:i/>
              </w:rPr>
              <w:t>konstatuje, že první fáze tohoto pilotního projektu, která proběhla v akademickém roce 2022–2023, se zúčastnilo 42 mladých diplomatů, zatímco druhá fáze, která proběhla v akademickém roce 2023–2024, se zúčastnilo 50 mladých diplomatů;</w:t>
            </w:r>
            <w:r>
              <w:t xml:space="preserve"> </w:t>
            </w:r>
            <w:r>
              <w:rPr>
                <w:b/>
                <w:i/>
              </w:rPr>
              <w:t>konstatuje, že druhá fáze proběhla ve dvou stejných čtyřměsíčních kurzech, po nichž následovala jednoměsíční školení v ústředí ESVČ v Bruselu;</w:t>
            </w:r>
            <w:r>
              <w:t xml:space="preserve"> </w:t>
            </w:r>
            <w:r>
              <w:rPr>
                <w:b/>
                <w:i/>
              </w:rPr>
              <w:t>konstatuje, že kurzy a vzdělávací program byly realizovány akademickým konsorciem vytvořeným Evropskou univerzitou v belgických Bruggách a v polském Natolinu;</w:t>
            </w:r>
            <w:r>
              <w:t xml:space="preserve"> </w:t>
            </w:r>
            <w:r>
              <w:rPr>
                <w:b/>
                <w:i/>
              </w:rPr>
              <w:t>na základě dotazníku konstatuje, že v souladu se smlouvou o poskytování služeb EEAS/2022/OP/0168-2023 vypracovala Evropská univerzita závěrečnou zprávu obsahující hodnocení druhé fáze pilotního projektu;</w:t>
            </w:r>
            <w:r>
              <w:t xml:space="preserve"> vyzývá ESVČ, aby orgánu příslušnému pro udělení absolutoria </w:t>
            </w:r>
            <w:r>
              <w:rPr>
                <w:b/>
                <w:i/>
              </w:rPr>
              <w:t>tuto zprávu</w:t>
            </w:r>
            <w:r>
              <w:t xml:space="preserve"> poskytla</w:t>
            </w:r>
            <w:r>
              <w:rPr>
                <w:b/>
                <w:i/>
              </w:rPr>
              <w:t>;</w:t>
            </w:r>
            <w:r>
              <w:t xml:space="preserve"> </w:t>
            </w:r>
            <w:r>
              <w:rPr>
                <w:b/>
                <w:i/>
              </w:rPr>
              <w:t>na základě zprávy ESVČ o roční účetní závěrce za roky 2022, 2023 a 2024</w:t>
            </w:r>
            <w:r>
              <w:t xml:space="preserve">, pokud jde o </w:t>
            </w:r>
            <w:r>
              <w:rPr>
                <w:b/>
                <w:i/>
              </w:rPr>
              <w:t>plnění rozpočtu pilotních fází Diplomatické akademie Evropské unie (EUDA), konstatuje, že ESVČ vyplatila v roce 2022 částku 831 000 EUR, v roce 2023 částku 120 000 EUR a v roce 2024 částku 862 000 EUR;</w:t>
            </w:r>
            <w:r>
              <w:t xml:space="preserve"> </w:t>
            </w:r>
            <w:r>
              <w:rPr>
                <w:b/>
                <w:i/>
              </w:rPr>
              <w:t>žádá ESVČ, aby v rámci postupu udělování absolutoria poskytla Parlamentu kopie veškeré dokumentace týkající se provedených zadávacích řízení, podepsaných smluv a provedených plateb v souvislosti s první a druhou fází pilotního projektu EUDA;</w:t>
            </w:r>
          </w:p>
        </w:tc>
        <w:tc>
          <w:tcPr>
            <w:tcW w:w="4876" w:type="dxa"/>
            <w:tcBorders>
              <w:top w:val="nil"/>
              <w:left w:val="nil"/>
              <w:bottom w:val="nil"/>
              <w:right w:val="nil"/>
            </w:tcBorders>
          </w:tcPr>
          <w:p>
            <w:pPr>
              <w:pStyle w:val="Normal6a"/>
            </w:pPr>
            <w:r>
              <w:t>25.</w:t>
            </w:r>
            <w:r>
              <w:tab/>
            </w:r>
            <w:r>
              <w:t xml:space="preserve">připomíná, že </w:t>
            </w:r>
            <w:r>
              <w:rPr>
                <w:b/>
                <w:i/>
              </w:rPr>
              <w:t>Parlament</w:t>
            </w:r>
            <w:r>
              <w:t xml:space="preserve"> v roce 2021 </w:t>
            </w:r>
            <w:r>
              <w:rPr>
                <w:b/>
                <w:i/>
              </w:rPr>
              <w:t>zahájil</w:t>
            </w:r>
            <w:r>
              <w:t xml:space="preserve"> pilotní projekt nazvaný Směrem ke zřízení evropské diplomatické akademie (</w:t>
            </w:r>
            <w:r>
              <w:rPr>
                <w:b/>
                <w:i/>
              </w:rPr>
              <w:t>DAEU</w:t>
            </w:r>
            <w:r>
              <w:t>) s cílem </w:t>
            </w:r>
            <w:r>
              <w:rPr>
                <w:b/>
                <w:i/>
              </w:rPr>
              <w:t>podpořit skutečně</w:t>
            </w:r>
            <w:r>
              <w:t xml:space="preserve"> evropskou diplomatickou kulturu </w:t>
            </w:r>
            <w:r>
              <w:rPr>
                <w:b/>
                <w:i/>
              </w:rPr>
              <w:t>a</w:t>
            </w:r>
            <w:r>
              <w:t xml:space="preserve"> posílit </w:t>
            </w:r>
            <w:r>
              <w:rPr>
                <w:b/>
                <w:i/>
              </w:rPr>
              <w:t>strategickou přítomnost Unie na celém světě;</w:t>
            </w:r>
            <w:r>
              <w:t xml:space="preserve"> </w:t>
            </w:r>
            <w:r>
              <w:rPr>
                <w:b/>
                <w:i/>
              </w:rPr>
              <w:t>bere na vědomí úspěšnou účast v obou pilotních fázích a naléhavě</w:t>
            </w:r>
            <w:r>
              <w:t xml:space="preserve"> vyzývá ESVČ, aby orgánu příslušnému pro udělení absolutoria poskytla </w:t>
            </w:r>
            <w:r>
              <w:rPr>
                <w:b/>
                <w:i/>
              </w:rPr>
              <w:t>úplnou hodnotící zprávu a veškerou související zadávací a smluvní dokumentaci a zajistila tak plnou transparentnost</w:t>
            </w:r>
            <w:r>
              <w:t xml:space="preserve">, pokud jde o </w:t>
            </w:r>
            <w:r>
              <w:rPr>
                <w:b/>
                <w:i/>
              </w:rPr>
              <w:t>1,8 milionu EUR vynaložených v letech 2022–2024.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dále konstatuje, že dne 21. května 2024 přijala Rada na základě zkušeností a struktury vypracovaných </w:t>
            </w:r>
            <w:r>
              <w:rPr>
                <w:b/>
                <w:i/>
              </w:rPr>
              <w:t>v</w:t>
            </w:r>
            <w:r>
              <w:t xml:space="preserve"> pilotních </w:t>
            </w:r>
            <w:r>
              <w:rPr>
                <w:b/>
                <w:i/>
              </w:rPr>
              <w:t>fázích</w:t>
            </w:r>
            <w:r>
              <w:t xml:space="preserve"> rozhodnutí o zřízení plnohodnotné Diplomatické akademie Evropské unie, a to na čtyři akademické roky, počínaje rokem 2024–2025</w:t>
            </w:r>
            <w:r>
              <w:rPr>
                <w:b/>
                <w:i/>
              </w:rPr>
              <w:t>, přičemž zajišťováním kurzů a vzdělávacích činností</w:t>
            </w:r>
            <w:r>
              <w:t xml:space="preserve"> byla pověřena Evropská univerzita, zatímco </w:t>
            </w:r>
            <w:r>
              <w:rPr>
                <w:b/>
                <w:i/>
              </w:rPr>
              <w:t>za činnost Diplomatické akademie Evropské unie bude odpovídat místopředsedkyně Komise, vysoká představitelka, která bude přijímat pokyny od řídícího výboru složeného</w:t>
            </w:r>
            <w:r>
              <w:t xml:space="preserve"> ze zástupců </w:t>
            </w:r>
            <w:r>
              <w:rPr>
                <w:b/>
                <w:i/>
              </w:rPr>
              <w:t>jmenovaných každým členským státem a ze zástupců</w:t>
            </w:r>
            <w:r>
              <w:t xml:space="preserve"> Parlamentu, Rady a Komise; </w:t>
            </w:r>
            <w:r>
              <w:rPr>
                <w:b/>
                <w:i/>
              </w:rPr>
              <w:t>z tohoto rozhodnutí vyplývá, že plánovaná částka 1,72 milionu EUR pokrývá období od</w:t>
            </w:r>
            <w:r>
              <w:t xml:space="preserve"> 1. července 2024 </w:t>
            </w:r>
            <w:r>
              <w:rPr>
                <w:b/>
                <w:i/>
              </w:rPr>
              <w:t>do</w:t>
            </w:r>
            <w:r>
              <w:t xml:space="preserve"> 30. června 2025, přičemž </w:t>
            </w:r>
            <w:r>
              <w:rPr>
                <w:b/>
                <w:i/>
              </w:rPr>
              <w:t>na řízení výdajů v souvislosti s Diplomatickou akademií Evropské unie dohlíží Komise prostřednictvím Služby</w:t>
            </w:r>
            <w:r>
              <w:t xml:space="preserve"> nástrojů zahraniční politiky;</w:t>
            </w:r>
          </w:p>
        </w:tc>
        <w:tc>
          <w:tcPr>
            <w:tcW w:w="4876" w:type="dxa"/>
            <w:tcBorders>
              <w:top w:val="nil"/>
              <w:left w:val="nil"/>
              <w:bottom w:val="nil"/>
              <w:right w:val="nil"/>
            </w:tcBorders>
          </w:tcPr>
          <w:p>
            <w:pPr>
              <w:pStyle w:val="Normal6a"/>
            </w:pPr>
            <w:r>
              <w:t>26.</w:t>
            </w:r>
            <w:r>
              <w:tab/>
            </w:r>
            <w:r>
              <w:t xml:space="preserve">dále konstatuje, že dne 21. května 2024 přijala Rada na základě zkušeností a struktury vypracovaných </w:t>
            </w:r>
            <w:r>
              <w:rPr>
                <w:b/>
                <w:i/>
              </w:rPr>
              <w:t>během</w:t>
            </w:r>
            <w:r>
              <w:t xml:space="preserve"> pilotních </w:t>
            </w:r>
            <w:r>
              <w:rPr>
                <w:b/>
                <w:i/>
              </w:rPr>
              <w:t>fází</w:t>
            </w:r>
            <w:r>
              <w:t xml:space="preserve"> rozhodnutí o zřízení plnohodnotné Diplomatické akademie Evropské unie, a to na čtyři akademické roky, počínaje rokem 2024–2025</w:t>
            </w:r>
            <w:r>
              <w:rPr>
                <w:b/>
                <w:i/>
              </w:rPr>
              <w:t>;</w:t>
            </w:r>
            <w:r>
              <w:t xml:space="preserve"> </w:t>
            </w:r>
            <w:r>
              <w:rPr>
                <w:b/>
                <w:i/>
              </w:rPr>
              <w:t>zdůrazňuje, že vytvoření agentury DAEU představuje strategický krok k posílení diplomatické kapacity Unie a k rozvoji skutečně evropské diplomatické kultury;</w:t>
            </w:r>
            <w:r>
              <w:t xml:space="preserve"> </w:t>
            </w:r>
            <w:r>
              <w:rPr>
                <w:b/>
                <w:i/>
              </w:rPr>
              <w:t>konstatuje, že prováděním programu odborné přípravy</w:t>
            </w:r>
            <w:r>
              <w:t xml:space="preserve"> byla pověřena Evropská univerzita, zatímco </w:t>
            </w:r>
            <w:r>
              <w:rPr>
                <w:b/>
                <w:i/>
              </w:rPr>
              <w:t>celkové řízení bude zajišťovat řídící výbor složený</w:t>
            </w:r>
            <w:r>
              <w:t xml:space="preserve"> ze zástupců </w:t>
            </w:r>
            <w:r>
              <w:rPr>
                <w:b/>
                <w:i/>
              </w:rPr>
              <w:t>všech členských států,</w:t>
            </w:r>
            <w:r>
              <w:t xml:space="preserve"> Parlamentu, Rady a Komise; </w:t>
            </w:r>
            <w:r>
              <w:rPr>
                <w:b/>
                <w:i/>
              </w:rPr>
              <w:t>konstatuje, že na první akademický rok (</w:t>
            </w:r>
            <w:r>
              <w:t xml:space="preserve">1. července 2024 </w:t>
            </w:r>
            <w:r>
              <w:rPr>
                <w:b/>
                <w:i/>
              </w:rPr>
              <w:t>až</w:t>
            </w:r>
            <w:r>
              <w:t xml:space="preserve"> 30. června 2025</w:t>
            </w:r>
            <w:r>
              <w:rPr>
                <w:b/>
                <w:i/>
              </w:rPr>
              <w:t>) bylo přiděleno 1,72 milionu EUR</w:t>
            </w:r>
            <w:r>
              <w:t xml:space="preserve">, přičemž </w:t>
            </w:r>
            <w:r>
              <w:rPr>
                <w:b/>
                <w:i/>
              </w:rPr>
              <w:t>výdaje spravuje Služba</w:t>
            </w:r>
            <w:r>
              <w:t xml:space="preserve"> nástrojů zahraniční politiky </w:t>
            </w:r>
            <w:r>
              <w:rPr>
                <w:b/>
                <w:i/>
              </w:rPr>
              <w:t>Komise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bere na vědomí, že v návaznosti na zřízení Útvaru správy a řízení v roce 2023 upravila ESVČ v roce 2024 svůj rámec vnitřní kontroly tak, aby zohledňoval úlohu ředitele pro správu a řízení, a zavedla mechanismus monitorování vnitřních kontrol; na základě dotazníku konstatuje, že rámec vnitřní kontroly ESVČ je v souladu s rámcem vnitřní kontroly Komise; konstatuje, že kromě standardního každoročního hodnocení svého systému vnitřní kontroly provedla ESVČ v roce 2024 průzkum mezi 167 dotázanými/zaměstnanci, kteří měli odpovědnost za dále pověřené schvalující osoby, a výsledky tohoto průzkumu jsou projednávány na úrovni vyššího vedení ve Výboru pro vnitřní kontrolu ESVČ; konstatuje, že tento průzkum poukázal na </w:t>
            </w:r>
            <w:r>
              <w:rPr>
                <w:b/>
                <w:i/>
              </w:rPr>
              <w:t>185</w:t>
            </w:r>
            <w:r>
              <w:t xml:space="preserve"> oblastí, kterým je třeba věnovat pozornost, zejména pokud jde o výzvy, s nimiž se potýkají delegace Unie, jako je informovanost o vnitřních kontrolních mechanismech a řízení rizik, nábor a udržení kvalifikovaných pracovníků či služby informačních technologií; vítá skutečnost, že ESVČ vypracovala akční plán, který má odstranit stávající obavy a proaktivně řešit potenciální rizika; žádá ESVČ, aby orgán příslušný k udělení absolutoria v této věci průběžně informoval;</w:t>
            </w:r>
          </w:p>
        </w:tc>
        <w:tc>
          <w:tcPr>
            <w:tcW w:w="4876" w:type="dxa"/>
            <w:tcBorders>
              <w:top w:val="nil"/>
              <w:left w:val="nil"/>
              <w:bottom w:val="nil"/>
              <w:right w:val="nil"/>
            </w:tcBorders>
          </w:tcPr>
          <w:p>
            <w:pPr>
              <w:pStyle w:val="Normal6a"/>
            </w:pPr>
            <w:r>
              <w:t>27.</w:t>
            </w:r>
            <w:r>
              <w:tab/>
            </w:r>
            <w:r>
              <w:t xml:space="preserve">bere na vědomí, že v návaznosti na zřízení Útvaru správy a řízení v roce 2023 upravila ESVČ v roce 2024 svůj rámec vnitřní kontroly tak, aby zohledňoval úlohu ředitele pro správu a řízení, a zavedla mechanismus monitorování vnitřních kontrol; na základě dotazníku konstatuje, že rámec vnitřní kontroly ESVČ je v souladu s rámcem vnitřní kontroly Komise; konstatuje, že kromě standardního každoročního hodnocení svého systému vnitřní kontroly provedla ESVČ v roce 2024 průzkum mezi 167 dotázanými/zaměstnanci, kteří měli odpovědnost za dále pověřené schvalující osoby, a výsledky tohoto průzkumu jsou projednávány na úrovni vyššího vedení ve Výboru pro vnitřní kontrolu ESVČ; konstatuje, že tento průzkum poukázal na </w:t>
            </w:r>
            <w:r>
              <w:rPr>
                <w:b/>
                <w:i/>
              </w:rPr>
              <w:t>183</w:t>
            </w:r>
            <w:r>
              <w:t xml:space="preserve"> oblastí, kterým je třeba věnovat pozornost, zejména pokud jde o výzvy, s nimiž se potýkají delegace Unie, jako je informovanost o vnitřních kontrolních mechanismech a řízení rizik, nábor a udržení kvalifikovaných pracovníků či služby informačních technologií; vítá skutečnost, že ESVČ vypracovala akční plán, který má odstranit stávající obavy a proaktivně řešit potenciální rizika; žádá ESVČ, aby orgán příslušný k udělení absolutoria v této věci průběžně informoval;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konstatuje, že ESVČ zaměstnávala celkem 2 902 zaměstnanců, z toho 1 268 úředníků, 442 dočasných zaměstnanců, 619 smluvních zaměstnanců a 573 vyslaných národních odborníků, zatímco v roce 2023 to bylo 2 812 zaměstnanců, z toho 1 245 úředníků, 450 dočasných zaměstnanců, 603 smluvních zaměstnanců a 514 vyslaných národních odborníků; připomíná, že pro udržení kvalifikovaných pracovníků, kontinuity a produktivního pracovního prostředí je důležité uzavírat smlouvy na dobu neurčitou;</w:t>
            </w:r>
          </w:p>
        </w:tc>
        <w:tc>
          <w:tcPr>
            <w:tcW w:w="4876" w:type="dxa"/>
            <w:tcBorders>
              <w:top w:val="nil"/>
              <w:left w:val="nil"/>
              <w:bottom w:val="nil"/>
              <w:right w:val="nil"/>
            </w:tcBorders>
          </w:tcPr>
          <w:p>
            <w:pPr>
              <w:pStyle w:val="Normal6a"/>
            </w:pPr>
            <w:r>
              <w:t>35.</w:t>
            </w:r>
            <w:r>
              <w:tab/>
            </w:r>
            <w:r>
              <w:t>konstatuje, že ESVČ zaměstnávala</w:t>
            </w:r>
            <w:r>
              <w:rPr>
                <w:b/>
                <w:i/>
              </w:rPr>
              <w:t>, bez zahrnutí místních zaměstnanců,</w:t>
            </w:r>
            <w:r>
              <w:t xml:space="preserve"> celkem 2 902 zaměstnanců, z toho 1 268 úředníků, 442 dočasných zaměstnanců, 619 smluvních zaměstnanců a 573 vyslaných národních odborníků, zatímco v roce 2023 to bylo 2 812 zaměstnanců, z toho 1 245 úředníků, 450 dočasných zaměstnanců, 603 smluvních zaměstnanců a 514 vyslaných národních odborníků; připomíná, že pro udržení kvalifikovaných pracovníků, kontinuity a produktivního pracovního prostředí je důležité uzavírat smlouvy na dobu neurčitou;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na základě zprávy ESVČ 2024 konstatuje, že z celkového počtu 5 355 osob pracujících v ESVČ jich na konci roku 2024 pracovalo 47 % v ústředí ESVČ a 53 % v delegacích Unie, přičemž 1 622 osob působilo jako místní zaměstnanci v delegacích Unie; bere na vědomí, že během slyšení poslanci vyjádřili obavy ohledně údajného propouštění místních zaměstnanců v některých delegacích Unie bez řádného dodržování místního pracovního práva; konstatuje, že po tomto slyšení předložili členové Výboru pro rozpočtovou kontrolu dodatečné písemné dotazy; na základě odpovědí ESVČ na tyto otázky (dále jen „druhý dotazník“) konstatuje, že projektová skupina komisařů pro vnější činnost schválila dne 14. května 2025 projekt modernizace sítě delegací Unie; konstatuje, že provádění tohoto projektu zahrnuje mimo jiné centralizaci finančních funkcí, funkcí zadávání veřejných zakázek a auditních funkcí pro šest západobalkánských delegací Unie v ústředí GŘ pro rozšíření a východní sousedství, jakož i snížení počtu zaměstnanců v těchto delegacích Unie v oblasti financí a zadávání veřejných zakázek, a to na základě posouzení provedeného po konzultaci s právními poradci; konstatuje, že v souvislosti s balíčkem odstupného ESVČ tvrdí, že byla dodržena všechna práva vyplývající z místního práva a vnitřních předpisů Unie, přičemž finanční balíčky pro zaměstnance propouštěné z ekonomických důvodů jsou nejpříznivější mezi balíčky stanovenými místním právem a balíčky Unie, a to navzdory obavám, které vyjádřili místní zástupci v příslušných delegacích Unie; dále konstatuje, že ESVČ ve spolupráci s Komisí úzce spolupracuje s místní právní kanceláří, která poskytuje poradenství ohledně veškerých místních právních požadavků, a zajišťuje tak, že provádění postupů propouštění proběhne v plném souladu s platnými místními pracovněprávními předpisy; vyzývají ESVČ, aby při vypracovávání plánu propouštění místních zaměstnanců plně konzultovala zástupce místních zaměstnanců; na základě odpovědí z dotazníku konstatuje, že pokud je delegace Unie přemístěna do jiné země, např. v případě evakuace (např. přesun súdánské pobočky do Egypta), jsou místní zaměstnanci zaměstnaní v zemi původu propuštěni a zůstávají bez zajištění; vyzývá ESVČ, aby našla schůdná řešení pro ochranu místních zaměstnanců, kteří v delegacích Unie oddaně pracují;</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vyjadřuje vážné znepokojení nad zprávami o nedostatečném sociálním dialogu a o tom, že mezi místní zaměstnance postižené propouštěním v některých delegacích Unie byly zahrnuti i chránění zástupci zaměstnanců;</w:t>
            </w:r>
            <w:r>
              <w:t xml:space="preserve"> </w:t>
            </w:r>
            <w:r>
              <w:rPr>
                <w:b/>
                <w:i/>
              </w:rPr>
              <w:t>připomíná, že dodržování místního pracovního práva, povinnosti v oblasti sociálního dialogu a ochrana zástupců zaměstnanců jsou základními prvky řádné správy a důvěryhodnosti Unie jako zaměstnavatele;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zdůrazňuje, že jakékoli restrukturalizaci, přemísťování nebo propouštění místních zaměstnanců musí předcházet smysluplné konzultace se zástupci zaměstnanců a že je musí doprovázet konkrétní opatření na ochranu práv, bezpečnosti a důstojnosti místních zaměstnanců, zejména v krizových situacích nebo v souvislosti s evakuací;</w:t>
            </w:r>
            <w:r>
              <w:t xml:space="preserve"> </w:t>
            </w:r>
            <w:r>
              <w:rPr>
                <w:b/>
                <w:i/>
              </w:rPr>
              <w:t>vyzývá ESVČ, aby posoudila nákladovou efektivnost snižování počtu zaměstnanců ve srovnání s alternativními organizačními řešeními, včetně dlouhodobých finančních, provozních a reputačních dopadů propouštění na místní zaměstnance, a podala o tom zprávu orgánu příslušnému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konstatuje, že v roce 2024 tvořily ženy 46,6 % všech zaměstnanců ESVČ (ve srovnání s 46,8 % v roce 2023); pokud jde o zastoupení žen a pozice, které v ESVČ v roce 2024 zastávaly, konstatuje, že 40 % z nich byly administrátorky, 63,78 % asistentky, 73,25 % asistentky-sekretářky, 56,7 % smluvní zaměstnankyně a 26,87 % vyslané národní odbornice; na základě zprávy o ESVČ 2024 s uspokojením bere na vědomí úsilí instituce o dosažení většího zastoupení žen ve vedoucích pozicích; v této souvislosti bere na vědomí vzestupnou tendenci, pokud jde o pozice v rámci vrcholného vedení, kde v roce 2024 bylo 37,3 % žen (ve srovnání s 31 % v roce 2023), avšak mírný pokles, pokud jde o pozice na středních úrovních vedení, na nichž v roce 2024 působilo 38,7 % žen (ve srovnání s 40,4 % v roce 2023); vítá zvýšení zastoupení žen na pozicích vedoucích delegací z 35,5 % v roce 2023 na 36,1 % v roce 2024;</w:t>
            </w:r>
          </w:p>
        </w:tc>
        <w:tc>
          <w:tcPr>
            <w:tcW w:w="4876" w:type="dxa"/>
            <w:tcBorders>
              <w:top w:val="nil"/>
              <w:left w:val="nil"/>
              <w:bottom w:val="nil"/>
              <w:right w:val="nil"/>
            </w:tcBorders>
          </w:tcPr>
          <w:p>
            <w:pPr>
              <w:pStyle w:val="Normal6a"/>
            </w:pPr>
            <w:r>
              <w:t>37.</w:t>
            </w:r>
            <w:r>
              <w:tab/>
            </w:r>
            <w:r>
              <w:t xml:space="preserve">konstatuje, že v roce 2024 tvořily ženy 46,6 % všech zaměstnanců ESVČ (ve srovnání s 46,8 % v roce 2023); pokud jde o zastoupení žen a pozice, které v ESVČ v roce 2024 zastávaly, konstatuje, že 40 % z nich byly administrátorky, 63,78 % asistentky, 73,25 % asistentky-sekretářky, 56,7 % smluvní zaměstnankyně a 26,87 % vyslané národní odbornice; na základě zprávy o ESVČ 2024 s uspokojením bere na vědomí úsilí instituce o dosažení většího zastoupení žen ve vedoucích pozicích; v této souvislosti bere na vědomí vzestupnou tendenci, pokud jde o pozice v rámci vrcholného vedení, kde v roce 2024 bylo 37,3 % žen (ve srovnání s 31 % v roce 2023), avšak mírný pokles, pokud jde o pozice na středních úrovních vedení, na nichž v roce 2024 působilo 38,7 % žen (ve srovnání s 40,4 % v roce 2023); vítá zvýšení zastoupení žen na pozicích vedoucích delegací z 35,5 % v roce 2023 na 36,1 % v roce 2024; </w:t>
            </w:r>
            <w:r>
              <w:rPr>
                <w:b/>
                <w:i/>
              </w:rPr>
              <w:t>vítá postupné zvyšování počtu žen na vedoucích pozicích ESVČ, přičemž konstatuje, že ženy jsou i nadále nedostatečně zastoupeny na úrovni AD a nadměrně zastoupeny na úrovni AST a že dosud nebylo plně dosaženo vyváženého zastoupení žen a mužů na středních a vyšších vedoucích pozicích, a to ani v ústředí, ani v delegacích Unie;</w:t>
            </w:r>
            <w:r>
              <w:t xml:space="preserve"> </w:t>
            </w:r>
            <w:r>
              <w:rPr>
                <w:b/>
                <w:i/>
              </w:rPr>
              <w:t>zdůrazňuje, že i když musí být v orgánech a institucích zajištěn rovný přístup na vedoucí pozice, musí být v ESVČ zachována excelence a profesionalita;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na základě monitorovací zprávy bere na vědomí úsilí ESVČ o mobilizaci dalších žádostí od nedostatečně zastoupeného pohlaví; v této souvislosti vítá </w:t>
            </w:r>
            <w:r>
              <w:rPr>
                <w:b/>
                <w:i/>
              </w:rPr>
              <w:t>pořádání čtyř</w:t>
            </w:r>
            <w:r>
              <w:t xml:space="preserve"> školení pro vedoucí pracovníky </w:t>
            </w:r>
            <w:r>
              <w:rPr>
                <w:b/>
                <w:i/>
              </w:rPr>
              <w:t>o</w:t>
            </w:r>
            <w:r>
              <w:t xml:space="preserve"> vedení </w:t>
            </w:r>
            <w:r>
              <w:rPr>
                <w:b/>
                <w:i/>
              </w:rPr>
              <w:t>zohledňujícím</w:t>
            </w:r>
            <w:r>
              <w:t xml:space="preserve"> genderové hledisko, jež </w:t>
            </w:r>
            <w:r>
              <w:rPr>
                <w:b/>
                <w:i/>
              </w:rPr>
              <w:t>bylo zprostředkováno</w:t>
            </w:r>
            <w:r>
              <w:t xml:space="preserve"> 80 % vedoucích pracovníků ESVČ, a plný čtyřměsíční program vedení zohledňující genderové hledisko pro </w:t>
            </w:r>
            <w:r>
              <w:rPr>
                <w:b/>
                <w:i/>
              </w:rPr>
              <w:t>18</w:t>
            </w:r>
            <w:r>
              <w:t xml:space="preserve"> vedoucích pracovníků z delegací Unie </w:t>
            </w:r>
            <w:r>
              <w:rPr>
                <w:b/>
                <w:i/>
              </w:rPr>
              <w:t>v roce 2024</w:t>
            </w:r>
            <w:r>
              <w:t>; dále konstatuje, že ESVČ zřídila novou síť kontaktních míst pro rovnost žen a mužů a vytvořila pracovní skupinu pro Istanbulskou úmluvu, která v roce 2024 předložila zprávu v polovině období s akčním plánem; bere na vědomí činnost velvyslankyně EU pro rovnost žen a mužů a rozmanitost ve snaze o začlenění genderového hlediska do dialogů o lidských právech a do klíčových mnohostranných prohlášení a rezolucí; vyzývá ESVČ, aby nadále poskytovala aktuální informace o nejnovějším vývoji v oblasti vedení zohledňujícího genderové hledisko v období 2021–2025 a o opatřeních přijatých na další podporu účasti žen ve všech diplomatických a politických dialozích;</w:t>
            </w:r>
          </w:p>
        </w:tc>
        <w:tc>
          <w:tcPr>
            <w:tcW w:w="4876" w:type="dxa"/>
            <w:tcBorders>
              <w:top w:val="nil"/>
              <w:left w:val="nil"/>
              <w:bottom w:val="nil"/>
              <w:right w:val="nil"/>
            </w:tcBorders>
          </w:tcPr>
          <w:p>
            <w:pPr>
              <w:pStyle w:val="Normal6a"/>
            </w:pPr>
            <w:r>
              <w:t>38.</w:t>
            </w:r>
            <w:r>
              <w:tab/>
            </w:r>
            <w:r>
              <w:t>na základě monitorovací zprávy bere na vědomí úsilí ESVČ o mobilizaci dalších žádostí od nedostatečně zastoupeného pohlaví; v této souvislosti vítá</w:t>
            </w:r>
            <w:r>
              <w:rPr>
                <w:b/>
                <w:i/>
              </w:rPr>
              <w:t>, že v roce 2024 byla uspořádána čtyři</w:t>
            </w:r>
            <w:r>
              <w:t xml:space="preserve"> školení pro vedoucí pracovníky </w:t>
            </w:r>
            <w:r>
              <w:rPr>
                <w:b/>
                <w:i/>
              </w:rPr>
              <w:t>zaměřená na</w:t>
            </w:r>
            <w:r>
              <w:t xml:space="preserve"> vedení </w:t>
            </w:r>
            <w:r>
              <w:rPr>
                <w:b/>
                <w:i/>
              </w:rPr>
              <w:t>zohledňující</w:t>
            </w:r>
            <w:r>
              <w:t xml:space="preserve"> genderové hledisko, jež </w:t>
            </w:r>
            <w:r>
              <w:rPr>
                <w:b/>
                <w:i/>
              </w:rPr>
              <w:t>byla zprostředkována</w:t>
            </w:r>
            <w:r>
              <w:t xml:space="preserve"> 80 % vedoucích pracovníků ESVČ, a plný čtyřměsíční program </w:t>
            </w:r>
            <w:r>
              <w:rPr>
                <w:b/>
                <w:i/>
              </w:rPr>
              <w:t>v rozsahu 29 hodin zaměřený na</w:t>
            </w:r>
            <w:r>
              <w:t xml:space="preserve"> vedení zohledňující genderové hledisko pro </w:t>
            </w:r>
            <w:r>
              <w:rPr>
                <w:b/>
                <w:i/>
              </w:rPr>
              <w:t>13</w:t>
            </w:r>
            <w:r>
              <w:t xml:space="preserve"> vedoucích pracovníků</w:t>
            </w:r>
            <w:r>
              <w:rPr>
                <w:b/>
                <w:i/>
              </w:rPr>
              <w:t>, včetně 4</w:t>
            </w:r>
            <w:r>
              <w:t xml:space="preserve"> z delegací Unie; dále konstatuje, že ESVČ zřídila novou síť kontaktních míst pro rovnost žen a mužů a vytvořila pracovní skupinu pro Istanbulskou úmluvu, která v roce 2024 předložila zprávu v polovině období s akčním plánem; bere na vědomí činnost velvyslankyně EU pro rovnost žen a mužů a rozmanitost ve snaze o začlenění genderového hlediska do dialogů o lidských právech a do klíčových mnohostranných prohlášení a rezolucí; vyzývá ESVČ, aby nadále poskytovala aktuální informace o nejnovějším vývoji v oblasti vedení zohledňujícího genderové hledisko v období 2021–2025 a o opatřeních přijatých na další podporu účasti žen ve všech diplomatických a politických dialozích;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bere na vědomí </w:t>
            </w:r>
            <w:r>
              <w:rPr>
                <w:b/>
                <w:i/>
              </w:rPr>
              <w:t>úsilí ESVČ o vytvoření rozmanité a reprezentativní pracovní síly;</w:t>
            </w:r>
            <w:r>
              <w:t xml:space="preserve"> </w:t>
            </w:r>
            <w:r>
              <w:rPr>
                <w:b/>
                <w:i/>
              </w:rPr>
              <w:t>oceňuje, že mezi zaměstnanci ESVČ jsou zastoupeny všechny členské státy;</w:t>
            </w:r>
            <w:r>
              <w:t xml:space="preserve"> </w:t>
            </w:r>
            <w:r>
              <w:rPr>
                <w:b/>
                <w:i/>
              </w:rPr>
              <w:t>vyjadřuje však politování nad tím, že přetrvává určitá nerovnováha, neboť některé členské státy jsou zastoupeny nadměrně;</w:t>
            </w:r>
            <w:r>
              <w:t xml:space="preserve"> </w:t>
            </w:r>
            <w:r>
              <w:rPr>
                <w:b/>
                <w:i/>
              </w:rPr>
              <w:t>konstatuje, že na konci roku 2024 neměly tři</w:t>
            </w:r>
            <w:r>
              <w:t xml:space="preserve"> členské státy (</w:t>
            </w:r>
            <w:r>
              <w:rPr>
                <w:b/>
                <w:i/>
              </w:rPr>
              <w:t>v roce 2025 jeden členský stát) stále žádného velvyslance Unie, zatímco velvyslanci pěti členských států bylo obsazeno 56 % všech velvyslaneckých postů Unie (144), což je nárůst ve srovnání s 54 % v roce 2023;</w:t>
            </w:r>
            <w:r>
              <w:t xml:space="preserve"> </w:t>
            </w:r>
            <w:r>
              <w:rPr>
                <w:b/>
                <w:i/>
              </w:rPr>
              <w:t>opakuje svou výzvu, aby ESVČ i nadále zajišťovala zdravou zeměpisnou vyváženost v rámci celé organizace a na všech úrovních;</w:t>
            </w:r>
            <w:r>
              <w:t xml:space="preserve"> </w:t>
            </w:r>
            <w:r>
              <w:rPr>
                <w:b/>
                <w:i/>
              </w:rPr>
              <w:t>podporuje hledání zaměstnanců a propagaci</w:t>
            </w:r>
            <w:r>
              <w:t xml:space="preserve"> náborových </w:t>
            </w:r>
            <w:r>
              <w:rPr>
                <w:b/>
                <w:i/>
              </w:rPr>
              <w:t>procesů v</w:t>
            </w:r>
            <w:r>
              <w:t xml:space="preserve"> nedostatečně </w:t>
            </w:r>
            <w:r>
              <w:rPr>
                <w:b/>
                <w:i/>
              </w:rPr>
              <w:t>zastoupených zemích</w:t>
            </w:r>
            <w:r>
              <w:t>;</w:t>
            </w:r>
          </w:p>
        </w:tc>
        <w:tc>
          <w:tcPr>
            <w:tcW w:w="4876" w:type="dxa"/>
            <w:tcBorders>
              <w:top w:val="nil"/>
              <w:left w:val="nil"/>
              <w:bottom w:val="nil"/>
              <w:right w:val="nil"/>
            </w:tcBorders>
          </w:tcPr>
          <w:p>
            <w:pPr>
              <w:pStyle w:val="Normal6a"/>
            </w:pPr>
            <w:r>
              <w:t>39.</w:t>
            </w:r>
            <w:r>
              <w:tab/>
            </w:r>
            <w:r>
              <w:rPr>
                <w:b/>
                <w:i/>
              </w:rPr>
              <w:t>se znepokojením</w:t>
            </w:r>
            <w:r>
              <w:t xml:space="preserve"> bere na vědomí</w:t>
            </w:r>
            <w:r>
              <w:rPr>
                <w:b/>
                <w:i/>
              </w:rPr>
              <w:t>, že v ESVČ stále není zajištěna zeměpisná vyváženost a regionální rozmanitost, a to ani na vedoucích pozicích a v klíčových funkcích ústředí;</w:t>
            </w:r>
            <w:r>
              <w:t xml:space="preserve"> </w:t>
            </w:r>
            <w:r>
              <w:rPr>
                <w:b/>
                <w:i/>
              </w:rPr>
              <w:t>zdůrazňuje, že diplomatická služba EU musí odrážet rozmanitost Unie s cílem zvýšit její legitimitu, místní znalosti a efektivitu;</w:t>
            </w:r>
            <w:r>
              <w:t xml:space="preserve"> </w:t>
            </w:r>
            <w:r>
              <w:rPr>
                <w:b/>
                <w:i/>
              </w:rPr>
              <w:t>vyzývá ESVČ, aby přijala časově vymezený akční plán pro zajištění zeměpisné rovnováhy a rozmanitosti;</w:t>
            </w:r>
            <w:r>
              <w:t xml:space="preserve"> </w:t>
            </w:r>
            <w:r>
              <w:rPr>
                <w:b/>
                <w:i/>
              </w:rPr>
              <w:t>vyzývá ESVČ, aby se ve spolupráci s úřadem EPSO a útvary Komise odpovědnými za politiku výběru více zaměřila na nedostatečně zastoupené</w:t>
            </w:r>
            <w:r>
              <w:t xml:space="preserve"> členské státy (</w:t>
            </w:r>
            <w:r>
              <w:rPr>
                <w:b/>
                <w:i/>
              </w:rPr>
              <w:t>včetně informačních a</w:t>
            </w:r>
            <w:r>
              <w:t xml:space="preserve"> náborových </w:t>
            </w:r>
            <w:r>
              <w:rPr>
                <w:b/>
                <w:i/>
              </w:rPr>
              <w:t>akcí zacílených na danou zemi), rozšířila okruh pracovníků prostřednictvím stáží, programů pro mladé odborníky a strukturovaných vyslání a zlepšila spravedlivost interního výběru prostřednictvím různých výběrových komisí, transparentních kritérií a mentorství/sponzorství pro</w:t>
            </w:r>
            <w:r>
              <w:t xml:space="preserve"> nedostatečně </w:t>
            </w:r>
            <w:r>
              <w:rPr>
                <w:b/>
                <w:i/>
              </w:rPr>
              <w:t>zastoupené skupiny</w:t>
            </w:r>
            <w:r>
              <w:t xml:space="preserve">; </w:t>
            </w:r>
            <w:r>
              <w:rPr>
                <w:b/>
                <w:i/>
              </w:rPr>
              <w:t>připomíná, že nábor pracovníků musí být i nadále založen na předpokladech a výsledcích každého uchazeče a musí být v souladu s právem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bere na vědomí úsilí ESVČ o vytvoření rozmanité a reprezentativní pracovní síly; oceňuje, že mezi zaměstnanci ESVČ jsou zastoupeny všechny členské státy; vyjadřuje však politování nad tím, že přetrvává určitá nerovnováha, neboť některé členské státy jsou zastoupeny nadměrně; </w:t>
            </w:r>
            <w:r>
              <w:rPr>
                <w:b/>
                <w:i/>
              </w:rPr>
              <w:t>konstatuje, že na konci roku 2024 neměly tři členské státy (v roce 2025 jeden členský stát) stále žádného velvyslance Unie, zatímco velvyslanci pěti členských států bylo obsazeno 56 % všech velvyslaneckých postů Unie (144), což je nárůst ve srovnání s 54 % v roce 2023;</w:t>
            </w:r>
            <w:r>
              <w:t xml:space="preserve"> </w:t>
            </w:r>
            <w:r>
              <w:rPr>
                <w:b/>
                <w:i/>
              </w:rPr>
              <w:t>opakuje svou výzvu, aby ESVČ i nadále zajišťovala zdravou zeměpisnou vyváženost v rámci celé organizace a na všech úrovních;</w:t>
            </w:r>
            <w:r>
              <w:t xml:space="preserve"> </w:t>
            </w:r>
            <w:r>
              <w:rPr>
                <w:b/>
                <w:i/>
              </w:rPr>
              <w:t>podporuje hledání zaměstnanců a propagaci náborových procesů v nedostatečně zastoupených zemích;</w:t>
            </w:r>
          </w:p>
        </w:tc>
        <w:tc>
          <w:tcPr>
            <w:tcW w:w="4876" w:type="dxa"/>
            <w:tcBorders>
              <w:top w:val="nil"/>
              <w:left w:val="nil"/>
              <w:bottom w:val="nil"/>
              <w:right w:val="nil"/>
            </w:tcBorders>
          </w:tcPr>
          <w:p>
            <w:pPr>
              <w:pStyle w:val="Normal6a"/>
            </w:pPr>
            <w:r>
              <w:t>39.</w:t>
            </w:r>
            <w:r>
              <w:tab/>
            </w:r>
            <w:r>
              <w:t>bere na vědomí úsilí ESVČ o vytvoření rozmanité a reprezentativní pracovní síly; oceňuje, že mezi zaměstnanci ESVČ jsou zastoupeny všechny členské státy; vyjadřuje však politování nad tím, že přetrvává určitá nerovnováha, neboť některé členské státy jsou zastoupeny nadměrně;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politováním konstatuje, že analýzy složení ESVČ podle státní příslušnosti ukazují na přetrvávající nedostatečné zastoupení několika členských států, zejména ze střední a východní Evropy, na vedoucích pozicích AD a na pozicích vedoucích delegací, a to navzdory jejich vysokému podílu na počtu obyvatel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konstatuje, že na konci roku 2024 neměly tři členské státy (v roce 2025 jeden členský stát) stále žádného velvyslance Unie, zatímco velvyslanci pěti členských států bylo obsazeno 56 % všech velvyslaneckých postů Unie (144), což je nárůst ve srovnání s 54 % v roce 2023;</w:t>
            </w:r>
            <w:r>
              <w:t xml:space="preserve"> </w:t>
            </w:r>
            <w:r>
              <w:rPr>
                <w:b/>
                <w:i/>
              </w:rPr>
              <w:t>opakuje svou výzvu, aby ESVČ i nadále zajišťovala zdravou zeměpisnou vyváženost v rámci celé organizace a na všech úrovních;</w:t>
            </w:r>
            <w:r>
              <w:t xml:space="preserve"> </w:t>
            </w:r>
            <w:r>
              <w:rPr>
                <w:b/>
                <w:i/>
              </w:rPr>
              <w:t>podporuje hledání zaměstnanců a propagaci náborových procesů v nedostatečně zastoupených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 uspokojením bere na vědomí opatření, která ESVČ přijala v roce 2024 v rámci svého programu rozmanitosti a začleňování na období 2023–2025, zejména cílená opatření týkající se pohlaví, etnické příslušnosti, zdravotního postižení, věku či skupin LGBTIQ+; v této souvislosti konstatuje, že ESVČ zapracovala témata týkající se rozmanitosti a začleňování do školení, poskytovala zaměstnancům LGBTIQ+ informace o právní a kulturní situaci ve vysílajících zemích a zvýšila své úsilí o nábor pracovníků zohledňující hlediska rozmanitosti; dále chválí ESVČ za to, že aktualizovala svůj akční plán pro opatření v oblasti zdravotního postižení, provedla průzkum týkající se problematiky zdravotního postižení, vypracovala informační přehledy o přístupnosti pro delegace Unie, provedla posouzení přístupnosti svých internetových stránek a poskytla finanční pomoc na nezdravotní náklady 26 zaměstnancům, kteří mají děti se zdravotním postižením;</w:t>
            </w:r>
          </w:p>
        </w:tc>
        <w:tc>
          <w:tcPr>
            <w:tcW w:w="4876" w:type="dxa"/>
            <w:tcBorders>
              <w:top w:val="nil"/>
              <w:left w:val="nil"/>
              <w:bottom w:val="nil"/>
              <w:right w:val="nil"/>
            </w:tcBorders>
          </w:tcPr>
          <w:p>
            <w:pPr>
              <w:pStyle w:val="Normal6a"/>
            </w:pPr>
            <w:r>
              <w:t>43.</w:t>
            </w:r>
            <w:r>
              <w:tab/>
            </w:r>
            <w:r>
              <w:t xml:space="preserve">s uspokojením bere na vědomí opatření, která ESVČ přijala v roce 2024 v rámci svého programu rozmanitosti a začleňování na období 2023–2025, zejména cílená opatření týkající se pohlaví, etnické příslušnosti, zdravotního postižení, věku či skupin LGBTIQ+; v této souvislosti konstatuje, že ESVČ zapracovala témata týkající se rozmanitosti a začleňování do školení, poskytovala zaměstnancům LGBTIQ+ informace o právní a kulturní situaci ve vysílajících zemích a zvýšila své úsilí o nábor pracovníků zohledňující hlediska rozmanitosti; dále chválí ESVČ za to, že aktualizovala svůj akční plán pro opatření v oblasti zdravotního postižení, provedla průzkum týkající se problematiky zdravotního postižení, vypracovala informační přehledy o přístupnosti pro delegace Unie, provedla posouzení přístupnosti svých internetových stránek a poskytla finanční pomoc na nezdravotní náklady 26 zaměstnancům, kteří mají děti se zdravotním postižením; </w:t>
            </w:r>
            <w:r>
              <w:rPr>
                <w:b/>
                <w:i/>
              </w:rPr>
              <w:t>vyzývá ESVČ, aby pracovníkům na vedoucích i ostatních pozicích nadále poskytovala pravidelnou odbornou přípravu v otázkách rozmanitosti, rovnosti, začleňování a sounáležitosti;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na základě dotazníku konstatuje, že podle definice používané lékařskou službou Komise se dlouhodobou pracovní neschopností rozumí nepřítomnost delší než 20 po sobě následujících dnů; uvádí, že v roce 2023 bylo na dlouhodobé pracovní neschopnosti 323 zaměstnanců s průměrnou délkou 83 dnů, zatímco v roce 2024 se tento počet zvýšil na 338 zaměstnanců, přičemž průměrná délka pracovní neschopnosti se snížila na 77 dnů; dále uvádí, že ačkoli přesný počet případů vyhoření není znám, značná část nemocenské dovolené byla v roce 2024 spojena s duševními problémy, jako jsou deprese a vyhoření; vítá iniciativu Komise vypracovat strategii duševního zdraví s cílem vytvořit strukturovaný a udržitelný rámec pro řešení problémů duševního zdraví na pracovišti, včetně prevence vyhoření a opětovného začlenění do práce; vybízí ESVČ, aby rovněž zavedla formální mechanismus hodnocení pracovní zátěže;</w:t>
            </w:r>
          </w:p>
        </w:tc>
        <w:tc>
          <w:tcPr>
            <w:tcW w:w="4876" w:type="dxa"/>
            <w:tcBorders>
              <w:top w:val="nil"/>
              <w:left w:val="nil"/>
              <w:bottom w:val="nil"/>
              <w:right w:val="nil"/>
            </w:tcBorders>
          </w:tcPr>
          <w:p>
            <w:pPr>
              <w:pStyle w:val="Normal6a"/>
            </w:pPr>
            <w:r>
              <w:t>45.</w:t>
            </w:r>
            <w:r>
              <w:tab/>
            </w:r>
            <w:r>
              <w:t xml:space="preserve">na základě dotazníku konstatuje, že podle definice používané lékařskou službou Komise se dlouhodobou pracovní neschopností rozumí nepřítomnost delší než 20 po sobě následujících dnů; uvádí, že v roce 2023 bylo na dlouhodobé pracovní neschopnosti 323 zaměstnanců s průměrnou délkou 83 dnů, zatímco v roce 2024 se tento počet zvýšil na 338 zaměstnanců, přičemž průměrná délka pracovní neschopnosti se snížila na 77 dnů; dále uvádí, že ačkoli přesný počet případů vyhoření není znám, značná část nemocenské dovolené byla v roce 2024 spojena s duševními problémy, jako jsou deprese a vyhoření; vítá iniciativu Komise vypracovat strategii duševního zdraví s cílem vytvořit strukturovaný a udržitelný rámec pro řešení problémů duševního zdraví na pracovišti, včetně prevence vyhoření a opětovného začlenění do práce; vybízí ESVČ, aby rovněž zavedla formální mechanismus hodnocení pracovní zátěže; </w:t>
            </w:r>
            <w:r>
              <w:rPr>
                <w:b/>
                <w:i/>
              </w:rPr>
              <w:t>vyzývá ESVČ, aby zavedla pravidelné hodnocení pracovní zátěže a metodiku naplňování personálních potřeb delegací v souvislosti s mírou rizika a rozšířením mandátu, aby nedocházelo k vyhoření a odchodu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se znepokojením bere na vědomí vyšetřování Úřadu evropského veřejného žalobce (EPPO), které bylo zahájeno v roce 2025 v souvislosti s případem možného podvodu při zadávání veřejných zakázek, korupce, střetu zájmů a porušení služebního tajemství a které zahrnuje závažné podezření z porušení pravidel hospodářské soutěže v souvislosti se zadáním veřejné zakázky na devítiměsíční vzdělávací program v rámci realizace pilotního projektu na vytvoření Diplomatické akademie Evropské unie v období 2021–2022, kterou ESVČ zadala Evropské univerzitě; konstatuje, že šetření se zaměřuje na to, zda byla Evropská univerzita a/nebo její zástupci předem informováni o kritériích výběru v rámci výběrového řízení a zda měli dostatečný důvod k přesvědčení, že jim bude přidělena realizace projektu, a to ještě před oficiálním zveřejněním oznámení o výběrovém řízení ze strany ESVČ; dále konstatuje, že po policejních zásazích v ESVČ a v Evropské univerzitě belgická policie v prosinci 2025 zadržela a následně propustila tři podezřelé osoby, tj. bývalého místopředsedu Komise, vysokého představitele, stávající rektorku Evropské univerzity a ředitelku Diplomatické akademie Evropské unie, jakož i současného generálního ředitele generálního ředitelství Komise pro Blízký východ, severní Afriku a Perský záliv a bývalého generálního tajemníka ESVČ; žádá, aby bylo každé podezření na podvod řádně prošetřeno za plné spolupráce ESVČ, a požaduje, aby ESVČ posílila svůj rámec pro boj proti podvodům s cílem poskytnout spolehlivé záruky, že se takové případy nebudou v budoucnu opakovat; žádá, aby byl orgán příslušný k udělení absolutoria informován o dalším vývoji;</w:t>
            </w:r>
          </w:p>
        </w:tc>
        <w:tc>
          <w:tcPr>
            <w:tcW w:w="4876" w:type="dxa"/>
            <w:tcBorders>
              <w:top w:val="nil"/>
              <w:left w:val="nil"/>
              <w:bottom w:val="nil"/>
              <w:right w:val="nil"/>
            </w:tcBorders>
          </w:tcPr>
          <w:p>
            <w:pPr>
              <w:pStyle w:val="Normal6a"/>
            </w:pPr>
            <w:r>
              <w:t>47.</w:t>
            </w:r>
            <w:r>
              <w:tab/>
            </w:r>
            <w:r>
              <w:t xml:space="preserve">se znepokojením bere na vědomí vyšetřování Úřadu evropského veřejného žalobce (EPPO), které bylo zahájeno v roce 2025 v souvislosti s případem možného podvodu při zadávání veřejných zakázek, korupce, střetu zájmů a porušení služebního tajemství a které zahrnuje závažné podezření z porušení pravidel hospodářské soutěže v souvislosti se zadáním veřejné zakázky na devítiměsíční vzdělávací program v rámci realizace pilotního projektu na vytvoření Diplomatické akademie Evropské unie v období 2021–2022, kterou ESVČ zadala Evropské univerzitě; konstatuje, že šetření se zaměřuje na to, zda byla Evropská univerzita a/nebo její zástupci předem informováni o kritériích výběru v rámci výběrového řízení a zda měli dostatečný důvod k přesvědčení, že jim bude přidělena realizace projektu, a to ještě před oficiálním zveřejněním oznámení o výběrovém řízení ze strany ESVČ; dále konstatuje, že po policejních zásazích v ESVČ a v Evropské univerzitě belgická policie v prosinci 2025 zadržela a následně propustila tři podezřelé osoby, tj. bývalého místopředsedu Komise, vysokého představitele, stávající rektorku Evropské univerzity a ředitelku Diplomatické akademie Evropské unie, jakož i současného generálního ředitele generálního ředitelství Komise pro Blízký východ, severní Afriku a Perský záliv a bývalého generálního tajemníka ESVČ; </w:t>
            </w:r>
            <w:r>
              <w:rPr>
                <w:b/>
                <w:i/>
              </w:rPr>
              <w:t>je znepokojen odstoupením rektorky Evropské univerzity a ředitele EUDA kvůli probíhajícímu vyšetřování nesrovnalostí v souvislosti se zadáváním veřejných zakázek a Diplomatickou akademií EU;</w:t>
            </w:r>
            <w:r>
              <w:t xml:space="preserve"> </w:t>
            </w:r>
            <w:r>
              <w:rPr>
                <w:b/>
                <w:i/>
              </w:rPr>
              <w:t>zdůrazňuje, že před ukončením soudního řízení by neměly být vyvozovány žádné závěry;</w:t>
            </w:r>
            <w:r>
              <w:t xml:space="preserve"> </w:t>
            </w:r>
            <w:r>
              <w:rPr>
                <w:b/>
                <w:i/>
              </w:rPr>
              <w:t>zdůrazňuje, že parlamentní dohled musí být nadále ostražitý, aby byla zajištěna integrita zadávání veřejných zakázek, dodržování etických norem a ochrana zdrojů a dobrého jména EU;</w:t>
            </w:r>
            <w:r>
              <w:t xml:space="preserve"> žádá, aby bylo každé podezření na podvod řádně prošetřeno za plné spolupráce ESVČ, a požaduje, aby ESVČ posílila svůj rámec pro boj proti podvodům s cílem poskytnout spolehlivé záruky, že se takové případy nebudou v budoucnu opakovat; žádá, aby byl orgán příslušný k udělení absolutoria informován o dalším vývoji;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se znepokojením bere na vědomí vyšetřování Úřadu evropského veřejného žalobce (EPPO), které bylo zahájeno v roce 2025 v souvislosti s případem možného podvodu při zadávání veřejných zakázek, korupce, střetu zájmů a porušení služebního tajemství a které zahrnuje závažné podezření z porušení pravidel hospodářské soutěže v souvislosti se zadáním veřejné zakázky na devítiměsíční vzdělávací program v rámci realizace pilotního projektu na vytvoření Diplomatické akademie Evropské unie v období 2021–2022, kterou ESVČ zadala Evropské univerzitě; konstatuje, že šetření se zaměřuje na to, zda byla Evropská univerzita a/nebo její zástupci předem informováni o kritériích výběru v rámci výběrového řízení a zda měli dostatečný důvod k přesvědčení, že jim bude přidělena realizace projektu, a to ještě před oficiálním zveřejněním oznámení o výběrovém řízení ze strany ESVČ; dále konstatuje, že po policejních zásazích v ESVČ a v Evropské univerzitě belgická policie v prosinci 2025 zadržela a následně propustila tři podezřelé osoby, tj. bývalého místopředsedu Komise, vysokého představitele, stávající rektorku Evropské univerzity a ředitelku Diplomatické akademie Evropské unie, jakož i současného generálního ředitele generálního ředitelství Komise pro Blízký východ, severní Afriku a Perský záliv a bývalého generálního tajemníka ESVČ; žádá, aby bylo každé podezření na podvod řádně prošetřeno za plné spolupráce ESVČ, a požaduje, aby ESVČ posílila svůj rámec pro boj proti podvodům s cílem poskytnout spolehlivé záruky, že se takové případy nebudou v budoucnu opakovat; žádá, aby byl orgán příslušný k udělení absolutoria informován o dalším vývoji;</w:t>
            </w:r>
          </w:p>
        </w:tc>
        <w:tc>
          <w:tcPr>
            <w:tcW w:w="4876" w:type="dxa"/>
            <w:tcBorders>
              <w:top w:val="nil"/>
              <w:left w:val="nil"/>
              <w:bottom w:val="nil"/>
              <w:right w:val="nil"/>
            </w:tcBorders>
          </w:tcPr>
          <w:p>
            <w:pPr>
              <w:pStyle w:val="Normal6a"/>
            </w:pPr>
            <w:r>
              <w:t>47.</w:t>
            </w:r>
            <w:r>
              <w:tab/>
            </w:r>
            <w:r>
              <w:t xml:space="preserve">se znepokojením bere na vědomí vyšetřování Úřadu evropského veřejného žalobce (EPPO), které bylo zahájeno v roce 2025 v souvislosti s případem možného podvodu při zadávání veřejných zakázek, korupce, střetu zájmů a porušení služebního tajemství a které zahrnuje závažné podezření z porušení pravidel hospodářské soutěže v souvislosti se zadáním veřejné zakázky na devítiměsíční vzdělávací program v rámci realizace pilotního projektu na vytvoření Diplomatické akademie Evropské unie v období 2021–2022, kterou ESVČ zadala Evropské univerzitě; konstatuje, že šetření se zaměřuje na to, zda byla Evropská univerzita a/nebo její zástupci předem informováni o kritériích výběru v rámci výběrového řízení a zda měli dostatečný důvod k přesvědčení, že jim bude přidělena realizace projektu, a to ještě před oficiálním zveřejněním oznámení o výběrovém řízení ze strany ESVČ; dále konstatuje, že po policejních zásazích v ESVČ a v Evropské univerzitě belgická policie v prosinci 2025 zadržela a následně propustila tři podezřelé osoby, tj. bývalého místopředsedu Komise, vysokého představitele, stávající rektorku Evropské univerzity a ředitelku Diplomatické akademie Evropské unie, jakož i současného generálního ředitele generálního ředitelství Komise pro Blízký východ, severní Afriku a Perský záliv a bývalého generálního tajemníka ESVČ; </w:t>
            </w:r>
            <w:r>
              <w:rPr>
                <w:b/>
                <w:i/>
              </w:rPr>
              <w:t>zdůrazňuje, že tento případ je naprosto skandální a dopadá na důvěryhodnost vnější činnosti Unie a rozpočtové správy;</w:t>
            </w:r>
            <w:r>
              <w:t xml:space="preserve"> žádá, aby bylo každé podezření na podvod řádně prošetřeno za plné spolupráce ESVČ, a požaduje, aby ESVČ posílila svůj rámec pro boj proti podvodům s cílem poskytnout spolehlivé záruky, že se takové případy nebudou v budoucnu opakovat; žádá, aby byl orgán příslušný k udělení absolutoria informován o dalším vývoji;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se znepokojením bere na vědomí vyšetřování Úřadu evropského veřejného žalobce (EPPO), které bylo zahájeno v roce 2025 v souvislosti s případem možného podvodu při zadávání veřejných zakázek, korupce, střetu zájmů a porušení služebního tajemství a které zahrnuje závažné podezření z porušení pravidel hospodářské soutěže v souvislosti se zadáním veřejné zakázky na devítiměsíční vzdělávací program v rámci realizace pilotního projektu na vytvoření Diplomatické akademie Evropské unie v období 2021–2022, kterou ESVČ zadala Evropské univerzitě; konstatuje, že šetření se zaměřuje na to, zda byla Evropská univerzita a/nebo její zástupci předem informováni o kritériích výběru v rámci výběrového řízení a zda měli dostatečný důvod k přesvědčení, že jim bude přidělena realizace projektu, a to ještě před oficiálním zveřejněním oznámení o výběrovém řízení ze strany ESVČ; dále konstatuje, že po policejních zásazích v ESVČ a v Evropské univerzitě belgická policie v prosinci 2025 zadržela a následně propustila tři podezřelé osoby, tj. bývalého místopředsedu Komise, vysokého představitele, stávající rektorku Evropské univerzity a ředitelku Diplomatické akademie Evropské unie, jakož i současného generálního ředitele generálního ředitelství Komise pro Blízký východ, severní Afriku a Perský záliv a bývalého generálního tajemníka ESVČ; žádá, aby bylo každé podezření na podvod řádně prošetřeno za plné spolupráce ESVČ, a požaduje, aby ESVČ posílila svůj rámec </w:t>
            </w:r>
            <w:r>
              <w:rPr>
                <w:b/>
                <w:i/>
              </w:rPr>
              <w:t>pro boj</w:t>
            </w:r>
            <w:r>
              <w:t xml:space="preserve"> proti podvodům s cílem poskytnout spolehlivé záruky, že se takové případy nebudou v budoucnu opakovat; žádá, aby byl orgán příslušný k udělení absolutoria informován o dalším vývoji;</w:t>
            </w:r>
          </w:p>
        </w:tc>
        <w:tc>
          <w:tcPr>
            <w:tcW w:w="4876" w:type="dxa"/>
            <w:tcBorders>
              <w:top w:val="nil"/>
              <w:left w:val="nil"/>
              <w:bottom w:val="nil"/>
              <w:right w:val="nil"/>
            </w:tcBorders>
          </w:tcPr>
          <w:p>
            <w:pPr>
              <w:pStyle w:val="Normal6a"/>
            </w:pPr>
            <w:r>
              <w:t>47.</w:t>
            </w:r>
            <w:r>
              <w:tab/>
            </w:r>
            <w:r>
              <w:t xml:space="preserve">se znepokojením bere na vědomí vyšetřování Úřadu evropského veřejného žalobce (EPPO), které bylo zahájeno v roce 2025 v souvislosti s případem možného podvodu při zadávání veřejných zakázek, korupce, střetu zájmů a porušení služebního tajemství a které zahrnuje závažné podezření z porušení pravidel hospodářské soutěže v souvislosti se zadáním veřejné zakázky na devítiměsíční vzdělávací program v rámci realizace pilotního projektu na vytvoření Diplomatické akademie Evropské unie v období 2021–2022, kterou ESVČ zadala Evropské univerzitě; konstatuje, že šetření se zaměřuje na to, zda byla Evropská univerzita a/nebo její zástupci předem informováni o kritériích výběru v rámci výběrového řízení a zda měli dostatečný důvod k přesvědčení, že jim bude přidělena realizace projektu, a to ještě před oficiálním zveřejněním oznámení o výběrovém řízení ze strany ESVČ; dále konstatuje, že po policejních zásazích v ESVČ a v Evropské univerzitě belgická policie v prosinci 2025 zadržela a následně propustila tři podezřelé osoby, tj. bývalého místopředsedu Komise, vysokého představitele, stávající rektorku Evropské univerzity a ředitelku Diplomatické akademie Evropské unie, jakož i současného generálního ředitele generálního ředitelství Komise pro Blízký východ, severní Afriku a Perský záliv a bývalého generálního tajemníka ESVČ; žádá, aby bylo každé podezření na podvod řádně prošetřeno za plné spolupráce ESVČ, a požaduje, aby ESVČ posílila svůj </w:t>
            </w:r>
            <w:r>
              <w:rPr>
                <w:b/>
                <w:i/>
              </w:rPr>
              <w:t>správní a etický</w:t>
            </w:r>
            <w:r>
              <w:t xml:space="preserve"> rámec</w:t>
            </w:r>
            <w:r>
              <w:rPr>
                <w:b/>
                <w:i/>
              </w:rPr>
              <w:t>, včetně rámce boje</w:t>
            </w:r>
            <w:r>
              <w:t xml:space="preserve"> proti podvodům </w:t>
            </w:r>
            <w:r>
              <w:rPr>
                <w:b/>
                <w:i/>
              </w:rPr>
              <w:t>a praktikám „otáčivých dveří“,</w:t>
            </w:r>
            <w:r>
              <w:t xml:space="preserve"> s cílem poskytnout spolehlivé záruky, že se takové případy nebudou v budoucnu opakovat; žádá, aby byl orgán příslušný k udělení absolutoria informován o dalším vývoji;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vyjadřuje politování nad tím, že probíhá vyšetřování ve věci podezření, že veřejné řízení ESVČ v letech 2021–22 pro výběr vysokoškolské instituce, která bude hostit Diplomatickou akademii EU, mohlo být zmanipulováno ve prospěch Evropské univerzity;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konstatuje, že tato kauza může ohrozit důvěru v orgány EU, neboť obvinění z nesrovnalostí při zadávání veřejných zakázek mohou zpochybnit transparentnost, spravedlivost a rovné zacházení s uchazeči;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poznamenává, že samotné vyšetřování může poškodit důvěryhodnost správy EU a vyvolat pochybnosti veřejnosti ohledně řádného využívání finančních prostředků EU i v případě, že tato obvinění nebudou prokázána;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47e.</w:t>
            </w:r>
            <w:r>
              <w:tab/>
            </w:r>
            <w:r>
              <w:rPr>
                <w:b/>
                <w:i/>
              </w:rPr>
              <w:t>domnívá se, že vyšetřování úřadu EPPO by mělo poskytnout příležitost ke zlepšení vnitřního řízení ESVČ a nemělo by být využíváno k oslabení úlohy EUDA, jejíž přidaná hodnota musí být plně uznána, zejména s ohledem na trvale pozitivní zpětnou vazbu od účastníků a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domnívá se, že kauza nedávno zahájeného trestního stíhání a vyšetřování ESVČ ukazuje, že finanční zájmy Evropské unie nebyly v rámci Evropské služby pro vnější činnost dobře chráněny;</w:t>
            </w:r>
            <w:r>
              <w:t xml:space="preserve"> </w:t>
            </w:r>
            <w:r>
              <w:rPr>
                <w:b/>
                <w:i/>
              </w:rPr>
              <w:t>navrhuje proto odložit rozhodnutí o udělení absolutoria vysoké představitelce Unie pro zahraniční věci a bezpečnostní politiku za rozpočtový rok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na základě návazných otázek chápe, že skutečnosti související s vyšetřováním úřadu EPPO podléhají přísným pravidlům důvěrnosti a v souvislosti s postupem udělování absolutoria je nelze zveřejnit, vítá však, že se ESVČ zavázala zpřístupnit příslušné dokumenty, jakmile bude soudní řízení uzavřeno;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konstatuje, že podle grantové dohody, kterou je provozování EUDA svěřeno Evropské univerzitě, má Evropská univerzita povinnost předložit zprávu o ověření výdajů spolu se svou závěrečnou zprávou vypracovanou externím auditorem, která má být předložena za rok 2024 v brzké době;</w:t>
            </w:r>
            <w:r>
              <w:t xml:space="preserve"> </w:t>
            </w:r>
            <w:r>
              <w:rPr>
                <w:b/>
                <w:i/>
              </w:rPr>
              <w:t>vyzývá ESVČ, aby toto hodnocení sdílela s orgánem příslušným k udělení absolutoria s cílem zajistit odpovědnost a transparentnost;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vyzývá ESVČ, aby Parlamentu poskytla podrobné informace o provádění doporučení útvaru interního auditu týkajících se zadávání veřejných zakázek;</w:t>
            </w:r>
            <w:r>
              <w:t xml:space="preserve"> </w:t>
            </w:r>
            <w:r>
              <w:rPr>
                <w:b/>
                <w:i/>
              </w:rPr>
              <w:t>žádá ESVČ, aby zveřejnila zjištění a doporučení pracovní skupiny zřízené v roce 2024 s cílem zlepšit postupy zadávání veřejných zakázek, umožnit veřejnou kontrolu jejich provádění a sdílet s ostatními orgány EU zkušenosti se zlepšováním postupů zadávání veřejných zakázek;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vyzývá ESVČ, aby provedla důkladný přezkum všech uskutečněných i probíhajících zadávacích řízení a smluv s Evropskou univerzitou, zejména těch, jež se týkají Diplomatické akademie EU financované z rozpočtu Unie;</w:t>
            </w:r>
            <w:r>
              <w:t xml:space="preserve"> </w:t>
            </w:r>
            <w:r>
              <w:rPr>
                <w:b/>
                <w:i/>
              </w:rPr>
              <w:t>naléhavě vyzývá ESVČ, aby důsledně prosazovala pravidla pro střet zájmů a povinné čekací lhůty po skončení funkce pro úředníky, kteří odcházejí do organizací, jež s ESVČ uzavřely smlouvu, a zajistila, aby žádný takový odchod neohrožoval integritu postupů zadávání veřejných zakázek;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vyzývá ESVČ, aniž by tím byla dotčena probíhající vyšetřování, aby z tohoto případu vyvodila systémové ponaučení, a to i prostřednictvím přezkumu postupu zadávání veřejných zakázek, prevence střetů zájmů a vnitřních kontrol v oblasti odborné přípravy a akademických partnerství, a aby o tom informovala orgán příslušný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bere na vědomí, že na konci prosince 2025 zahájila ESVČ přezkum rozhodnutí Rady o EUDA zadáním nezávislého externího hodnocení Diplomatické akademie EU a součinnosti Evropské univerzity při provádění činností EUDA v oblasti vzdělávání a odborné přípravy;</w:t>
            </w:r>
            <w:r>
              <w:t xml:space="preserve"> </w:t>
            </w:r>
            <w:r>
              <w:rPr>
                <w:b/>
                <w:i/>
              </w:rPr>
              <w:t>očekává, že toto hodnocení bude vzhledem k zjištěným nedostatkům důkladné a bude poskytnuto orgánu příslušnému k udělení absolutoria;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47d.</w:t>
            </w:r>
            <w:r>
              <w:tab/>
            </w:r>
            <w:r>
              <w:rPr>
                <w:b/>
                <w:i/>
              </w:rPr>
              <w:t>bere na vědomí rozhodnutí řídícího výboru agentury EUDA přijaté na jeho schůzi dne 18. prosince 2025 požádat Evropskou univerzitu, aby zajistila transparentní a konkurenční veřejné výběrové řízení na nového ředitele EUDA;</w:t>
            </w:r>
            <w:r>
              <w:t xml:space="preserve"> </w:t>
            </w:r>
            <w:r>
              <w:rPr>
                <w:b/>
                <w:i/>
              </w:rPr>
              <w:t>vítá skutečnost, že řídící výbor dále požadoval, aby byla funkce ředitele EUDA oddělena od funkce rektora Evropské univerzity;</w:t>
            </w:r>
            <w:r>
              <w:t xml:space="preserve"> </w:t>
            </w:r>
            <w:r>
              <w:rPr>
                <w:b/>
                <w:i/>
              </w:rPr>
              <w:t>vyzývá řídící výbor, aby toto ustanovení učinil právně závazným pro veškerá budoucí jmenování do funkce;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47d.</w:t>
            </w:r>
            <w:r>
              <w:tab/>
            </w:r>
            <w:r>
              <w:rPr>
                <w:b/>
                <w:i/>
              </w:rPr>
              <w:t>zdůrazňuje, že jsou naléhavě zapotřebí spolehlivé záruky, jasné postupy a účinný dohled, aby byly dodrženy nejvyšší standardy integrity na úrovni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opakuje, že základní zásadou pro všechny orgány a instituce EU, včetně ESVČ, musí zůstat transparentnost a řádné hospodaření při vynakládání veřejných prostředků EU, neboť tato zásada je základním předpokladem zachování důvěry občanů ve vnější činnost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na základě dotazníku konstatuje, že ESVČ eviduje za rok 2024 dva případy whistleblowingu; konstatuje, že OLAF oba případy prošetřil a uzavřel bez doporučení, ať už po vyšetřování, nebo ve fázi výběru; na základě zprávy ESVČ za rok 2024 s uspokojením konstatuje, že ESVČ zahájila přípravu vlastní politiky ochrany oznamovatelů; žádá, aby byl Parlament informován o pokroku dosaženém v této záležitosti;</w:t>
            </w:r>
          </w:p>
        </w:tc>
        <w:tc>
          <w:tcPr>
            <w:tcW w:w="4876" w:type="dxa"/>
            <w:tcBorders>
              <w:top w:val="nil"/>
              <w:left w:val="nil"/>
              <w:bottom w:val="nil"/>
              <w:right w:val="nil"/>
            </w:tcBorders>
          </w:tcPr>
          <w:p>
            <w:pPr>
              <w:pStyle w:val="Normal6a"/>
            </w:pPr>
            <w:r>
              <w:t>49.</w:t>
            </w:r>
            <w:r>
              <w:tab/>
            </w:r>
            <w:r>
              <w:t xml:space="preserve">na základě dotazníku konstatuje, že ESVČ eviduje za rok 2024 dva případy whistleblowingu; konstatuje, že OLAF oba případy prošetřil a uzavřel bez doporučení, ať už po vyšetřování, nebo ve fázi výběru; na základě zprávy ESVČ za rok 2024 s uspokojením konstatuje, že ESVČ zahájila přípravu vlastní politiky ochrany oznamovatelů; žádá, aby byl Parlament informován o pokroku dosaženém v této záležitosti; </w:t>
            </w:r>
            <w:r>
              <w:rPr>
                <w:b/>
                <w:i/>
              </w:rPr>
              <w:t>trvá na tom, aby rámec ESVČ pro whistleblowing zahrnoval důvěrné oznamování, ochranu před odvetnými opatřeními pro všechny kategorie zaměstnanců, včetně místních zaměstnanců, a každoroční anonymizované oznamování případů a výsledků;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vyjadřuje politování nad tím, že ESVČ neprovedla řádný přezkum provádění dohod o spolupráci se třetími zeměmi, včetně posouzení dodržování jejich podmínek a lidskoprávních doložek;</w:t>
            </w:r>
            <w:r>
              <w:t xml:space="preserve"> </w:t>
            </w:r>
            <w:r>
              <w:rPr>
                <w:b/>
                <w:i/>
              </w:rPr>
              <w:t>zdůrazňuje, že neprovedení přezkumu je patrné zejména v případě dohody o politickém dialogu a spolupráci s Kubou, která deset let po podpisu selhává ve všech oblastech, od dodržování lidských práv, včetně toho, že na konci roku bylo uvězněno více než tisíc politických vězňů, až po negativní vliv Havany na evropskou bezpečnost, včetně úzké politické a vojenské spolupráce s režimy v Moskvě a Minsku, což se projevilo zejména skutečností, že Kubánci se stali největší skupinou žoldnéřů podporujících ruské síly v jejich agresi proti Ukrajině, a jejich zapojením do sabotáží na území EU, jak se nedávno ukázalo v Litvě;</w:t>
            </w:r>
            <w:r>
              <w:t xml:space="preserve"> </w:t>
            </w:r>
            <w:r>
              <w:rPr>
                <w:b/>
                <w:i/>
              </w:rPr>
              <w:t>konstatuje, že navzdory očividnému porušování řady ustanovení dohody nebyla aktivována ani doložka o pozastavení, ani doložka o ukončení, zatímco na Kubu nadále proudily finanční zdroje EU, ačkoli zde komunistický režim kontroluje celé hospodářství, tyto finanční prostředky zneužívá a od probíhajícího partnerství v rámci dohody o politickém dialogu a spolupráci odvozuje svou politickou legitimitu;</w:t>
            </w:r>
            <w:r>
              <w:t xml:space="preserve"> </w:t>
            </w:r>
            <w:r>
              <w:rPr>
                <w:b/>
                <w:i/>
              </w:rPr>
              <w:t>domnívá se, že takové režimy nesmí nadále požívat výhod z privilegované spolupráce s Evropskou unií a že peníze daňových poplatníků EU nesmí těmto režimům sloužit;</w:t>
            </w:r>
            <w:r>
              <w:t xml:space="preserve"> </w:t>
            </w:r>
            <w:r>
              <w:rPr>
                <w:b/>
                <w:i/>
              </w:rPr>
              <w:t>vyzývá proto k aktivaci článku 86 dohody a k jejímu ukončení;</w:t>
            </w:r>
            <w:r>
              <w:t xml:space="preserve"> </w:t>
            </w:r>
            <w:r>
              <w:rPr>
                <w:b/>
                <w:i/>
              </w:rPr>
              <w:t>vyzývá Evropský účetní dvůr, aby urychleně přezkoumal veškerou podporu EU poskytnutou Kubě od roku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konstatuje, že místopředsedkyně Komise, vysoká představitelka je jako místopředsedkyně Komise vázána pravidly rejstříku transparentnosti; zdůrazňuje, že ESVČ sice není orgánem ve smyslu článku 13 Smlouvy o Evropské unii a nehraje přímou roli v právu Unie, má však důležitou úlohu související s právem Unie, pokud jde o rozhodování týkající se sankcí a sjednávání mezinárodních obchodních dohod, které mají značný regulační dopad; </w:t>
            </w:r>
            <w:r>
              <w:rPr>
                <w:b/>
                <w:i/>
              </w:rPr>
              <w:t>konstatuje, že by bylo velmi vhodné, kdyby ESVČ</w:t>
            </w:r>
            <w:r>
              <w:t xml:space="preserve"> přijala opatření </w:t>
            </w:r>
            <w:r>
              <w:rPr>
                <w:b/>
                <w:i/>
              </w:rPr>
              <w:t>pro zajištění</w:t>
            </w:r>
            <w:r>
              <w:t xml:space="preserve"> transparentnosti </w:t>
            </w:r>
            <w:r>
              <w:rPr>
                <w:b/>
                <w:i/>
              </w:rPr>
              <w:t>a oznámila je správní radě</w:t>
            </w:r>
            <w:r>
              <w:t xml:space="preserve"> rejstříku transparentnosti; na základě monitorovací zprávy s uspokojením konstatuje, že místopředsedkyně Komise, vysoká představitelka zahájila širší diskusi o řešení této záležitosti na úrovni vnějšího rozměru, přičemž doporučení se očekávají do konce roku 2025; vyzývá ESVČ, aby Parlament průběžně informovala o pokroku dosaženém v této záležitosti;</w:t>
            </w:r>
          </w:p>
        </w:tc>
        <w:tc>
          <w:tcPr>
            <w:tcW w:w="4876" w:type="dxa"/>
            <w:tcBorders>
              <w:top w:val="nil"/>
              <w:left w:val="nil"/>
              <w:bottom w:val="nil"/>
              <w:right w:val="nil"/>
            </w:tcBorders>
          </w:tcPr>
          <w:p>
            <w:pPr>
              <w:pStyle w:val="Normal6a"/>
            </w:pPr>
            <w:r>
              <w:t>53.</w:t>
            </w:r>
            <w:r>
              <w:tab/>
            </w:r>
            <w:r>
              <w:t xml:space="preserve">konstatuje, že místopředsedkyně Komise, vysoká představitelka je jako místopředsedkyně Komise vázána pravidly rejstříku transparentnosti; zdůrazňuje, že ESVČ sice není orgánem ve smyslu článku 13 Smlouvy o Evropské unii a nehraje přímou roli v právu Unie, má však důležitou úlohu související s právem Unie, pokud jde o rozhodování týkající se sankcí a sjednávání mezinárodních obchodních dohod, které mají značný regulační dopad; </w:t>
            </w:r>
            <w:r>
              <w:rPr>
                <w:b/>
                <w:i/>
              </w:rPr>
              <w:t>vyzývá ESVČ, aby</w:t>
            </w:r>
            <w:r>
              <w:t xml:space="preserve"> přijala </w:t>
            </w:r>
            <w:r>
              <w:rPr>
                <w:b/>
                <w:i/>
              </w:rPr>
              <w:t>vnitřní</w:t>
            </w:r>
            <w:r>
              <w:t xml:space="preserve"> opatření </w:t>
            </w:r>
            <w:r>
              <w:rPr>
                <w:b/>
                <w:i/>
              </w:rPr>
              <w:t>v oblasti</w:t>
            </w:r>
            <w:r>
              <w:t xml:space="preserve"> transparentnosti</w:t>
            </w:r>
            <w:r>
              <w:rPr>
                <w:b/>
                <w:i/>
              </w:rPr>
              <w:t>, která budou v souladu se standardy</w:t>
            </w:r>
            <w:r>
              <w:t xml:space="preserve"> rejstříku transparentnosti</w:t>
            </w:r>
            <w:r>
              <w:rPr>
                <w:b/>
                <w:i/>
              </w:rPr>
              <w:t>, včetně proaktivního zveřejňování schůzek na vysoké úrovni nejvyššího vedení, pokud to neohrozí diplomacii ESVČ, která je citlivá z hlediska bezpečnosti</w:t>
            </w:r>
            <w:r>
              <w:t>; na základě monitorovací zprávy s uspokojením konstatuje, že místopředsedkyně Komise, vysoká představitelka zahájila širší diskusi o řešení této záležitosti na úrovni vnějšího rozměru, přičemž doporučení se očekávají do konce roku 2025; vyzývá ESVČ, aby Parlament průběžně informovala o pokroku dosaženém v této záležitosti;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připomíná, že ve smlouvě o Evropské unii je stanoveno, že EU a její orgány ctí rovnost členských států před Smlouvami a jejich národní identitu, která spočívá v jejich základních politických a ústavních systémech, včetně místní a regionální samosprávy;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bere na vědomí, že během slyšení vyjádřili členové výboru CONT obavy ohledně používání služby Signal chat místopředsedkyní Komise, vysokou představitelkou pro komunikaci s ministry zahraničních věcí členských států; konstatuje, že tyto obavy souvisely s nedostatečnou transparentností a rizikem možných špionážních aktivit; z odpovědí ESVČ na druhý dotazník vyplývá, že dotyčná služba Signal chat je přístupná pouze ministrům zahraničních věcí členských států, a to výhradně pro neformální výměny, koordinaci schůzek nebo sdílení aktuálních informací, a nikdy jako nástroj pro rozhodování, přičemž věcné diskuse a formulování politických postojů probíhají v rámci příslušných struktur Rady;</w:t>
            </w:r>
          </w:p>
        </w:tc>
        <w:tc>
          <w:tcPr>
            <w:tcW w:w="4876" w:type="dxa"/>
            <w:tcBorders>
              <w:top w:val="nil"/>
              <w:left w:val="nil"/>
              <w:bottom w:val="nil"/>
              <w:right w:val="nil"/>
            </w:tcBorders>
          </w:tcPr>
          <w:p>
            <w:pPr>
              <w:pStyle w:val="Normal6a"/>
            </w:pPr>
            <w:r>
              <w:t>54.</w:t>
            </w:r>
            <w:r>
              <w:tab/>
            </w:r>
            <w:r>
              <w:t xml:space="preserve">bere na vědomí, že během slyšení vyjádřili členové výboru CONT obavy ohledně používání služby Signal chat místopředsedkyní Komise, vysokou představitelkou pro komunikaci s ministry zahraničních věcí členských států; konstatuje, že tyto obavy souvisely s nedostatečnou transparentností a rizikem možných špionážních aktivit; z odpovědí ESVČ na druhý dotazník vyplývá, že dotyčná služba Signal chat je přístupná pouze ministrům zahraničních věcí členských států, a to výhradně pro neformální výměny, koordinaci schůzek nebo sdílení aktuálních informací, a nikdy jako nástroj pro rozhodování, přičemž věcné diskuse a formulování politických postojů probíhají v rámci příslušných struktur Rady; </w:t>
            </w:r>
            <w:r>
              <w:rPr>
                <w:b/>
                <w:i/>
              </w:rPr>
              <w:t>připomíná, že i na neformální digitální komunikační nástroje používané na politické úrovni by se měly vztahovat jasné pokyny týkající se kybernetické bezpečnosti, evidence a institucionální paměti, aby byla zajištěna transparentnost, odpovědnost a integrita rozhodování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vyzývá ESVČ, aby získané zkušenosti a závěry zohlednila ve svých vnitřních pravidlech a postupech a přihlédla i k revizi jednacího řádu a kodexu chování Parlamentu ze září 2023, doporučuje jí však, aby navrhla další, ráznější způsoby, jak zintenzivnit boj proti podvodům a plně chránit finanční zájmy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56a.</w:t>
            </w:r>
            <w:r>
              <w:tab/>
            </w:r>
            <w:r>
              <w:rPr>
                <w:b/>
                <w:i/>
              </w:rPr>
              <w:t>zdůrazňuje, že zavádění nástrojů umělé inteligence v rámci vnější činnosti musí být doplněno robustními zárukami ochrany údajů, základních práv, transparentnosti a lidského dohledu, a to i v delegacích Unie a ve spolupráci s partnery ze třetích zemí;</w:t>
            </w:r>
            <w:r>
              <w:t xml:space="preserve"> </w:t>
            </w:r>
            <w:r>
              <w:rPr>
                <w:b/>
                <w:i/>
              </w:rPr>
              <w:t>žádá ESVČ, aby o provádění strategie pro umělou inteligenci pravidelně podávala zprávy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chválí ESVČ za opatření, jimiž zvyšuje připravenost v oblasti kybernetické bezpečnosti, a to prostřednictvím pravidelných bezpečnostních brífinků pro širokou škálu zaměstnanců a přidružených subjektů, jakož i školení pořádaných na žádost různých skupin uživatelů, včetně regionálních bezpečnostních úředníků a bezpečnostních koordinátorů delegací Unie, jakož i cvičení zaměřených na phishing; </w:t>
            </w:r>
            <w:r>
              <w:rPr>
                <w:b/>
                <w:i/>
              </w:rPr>
              <w:t>očekává zavedení povinného</w:t>
            </w:r>
            <w:r>
              <w:t xml:space="preserve"> školení v oblasti kybernetické bezpečnosti </w:t>
            </w:r>
            <w:r>
              <w:rPr>
                <w:b/>
                <w:i/>
              </w:rPr>
              <w:t>pro všechny zaměstnance ESVČ</w:t>
            </w:r>
            <w:r>
              <w:t>; na základě dotazníku s uspokojením konstatuje, že ESVČ je vybavena nástroji, jako je bezpečnostní operační středisko ESVČ, které jí umožňuje sledovat kybernetické hrozby a identifikovat bezpečnostní zranitelná místa v reálném čase;</w:t>
            </w:r>
          </w:p>
        </w:tc>
        <w:tc>
          <w:tcPr>
            <w:tcW w:w="4876" w:type="dxa"/>
            <w:tcBorders>
              <w:top w:val="nil"/>
              <w:left w:val="nil"/>
              <w:bottom w:val="nil"/>
              <w:right w:val="nil"/>
            </w:tcBorders>
          </w:tcPr>
          <w:p>
            <w:pPr>
              <w:pStyle w:val="Normal6a"/>
            </w:pPr>
            <w:r>
              <w:t>57.</w:t>
            </w:r>
            <w:r>
              <w:tab/>
            </w:r>
            <w:r>
              <w:t xml:space="preserve">chválí ESVČ za opatření, jimiž zvyšuje připravenost v oblasti kybernetické bezpečnosti, a to prostřednictvím pravidelných bezpečnostních brífinků pro širokou škálu zaměstnanců a přidružených subjektů, jakož i školení pořádaných na žádost různých skupin uživatelů, včetně regionálních bezpečnostních úředníků a bezpečnostních koordinátorů delegací Unie, jakož i cvičení zaměřených na phishing; </w:t>
            </w:r>
            <w:r>
              <w:rPr>
                <w:b/>
                <w:i/>
              </w:rPr>
              <w:t>vyzývá ESVČ, aby všem svým zaměstnancům zajistila pravidelná povinná</w:t>
            </w:r>
            <w:r>
              <w:t xml:space="preserve"> školení v oblasti kybernetické bezpečnosti; na základě dotazníku s uspokojením konstatuje, že ESVČ je vybavena nástroji, jako je bezpečnostní operační středisko ESVČ, které jí umožňuje sledovat kybernetické hrozby a identifikovat bezpečnostní zranitelná místa v reálném čase;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chválí ESVČ za digitální nástroje a systémy, které využívá v boji proti zahraniční manipulaci s informacemi a vměšování, jako je Středisko pro sdílení a analýzu informací o zahraniční manipulaci s informacemi a vměšování nebo systém včasného varování; na základě dotazníku bere dále na vědomí zahájení e-learningového kurzu o boji proti dezinformacím, který je přístupný všem orgánům Unie, a dokončení příručky SBOP o dezinformacích určené jako podpora pro terénní pracovníky ve vojenských a civilních misích Unie; </w:t>
            </w:r>
            <w:r>
              <w:rPr>
                <w:b/>
                <w:i/>
              </w:rPr>
              <w:t>sleduje pokračující</w:t>
            </w:r>
            <w:r>
              <w:t xml:space="preserve"> vývoj iniciativy EUvsDisinfo zaměřené na zvyšování povědomí;</w:t>
            </w:r>
          </w:p>
        </w:tc>
        <w:tc>
          <w:tcPr>
            <w:tcW w:w="4876" w:type="dxa"/>
            <w:tcBorders>
              <w:top w:val="nil"/>
              <w:left w:val="nil"/>
              <w:bottom w:val="nil"/>
              <w:right w:val="nil"/>
            </w:tcBorders>
          </w:tcPr>
          <w:p>
            <w:pPr>
              <w:pStyle w:val="Normal6a"/>
            </w:pPr>
            <w:r>
              <w:t>58.</w:t>
            </w:r>
            <w:r>
              <w:tab/>
            </w:r>
            <w:r>
              <w:t xml:space="preserve">chválí ESVČ za digitální nástroje a systémy, které využívá v boji proti zahraniční manipulaci s informacemi a vměšování, jako je Středisko pro sdílení a analýzu informací o zahraniční manipulaci s informacemi a vměšování nebo systém včasného varování; na základě dotazníku bere dále na vědomí zahájení e-learningového kurzu o boji proti dezinformacím, který je přístupný všem orgánům Unie, a dokončení příručky SBOP o dezinformacích určené jako podpora pro terénní pracovníky ve vojenských a civilních misích Unie; </w:t>
            </w:r>
            <w:r>
              <w:rPr>
                <w:b/>
                <w:i/>
              </w:rPr>
              <w:t>oceňuje</w:t>
            </w:r>
            <w:r>
              <w:t xml:space="preserve"> vývoj iniciativy EUvsDisinfo zaměřené na zvyšování povědomí </w:t>
            </w:r>
            <w:r>
              <w:rPr>
                <w:b/>
                <w:i/>
              </w:rPr>
              <w:t>a zdůrazňuje, že je důležité pokračovat ve spolupráci s členskými státy EU s cílem účinněji řešit hybridní hrozby na místě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na základě dotazníku a zprávy ESVČ za rok 2024 konstatuje, že ESVČ zjistila přibližně 27 000 záznamů, z nichž 348 vyžadovalo další šetření; konstatuje, že 57 z nich bylo potvrzeno jako útoky a 5 z nich mělo významný dopad na operace ESVČ; s uspokojením konstatuje, že ESVČ identifikovala taktiky, techniky a postupy útočníků a využila tuto analýzu k posílení svých protiopatření; žádá o vysvětlení, do jaké míry tyto útoky ovlivnily činnost orgánu;</w:t>
            </w:r>
          </w:p>
        </w:tc>
        <w:tc>
          <w:tcPr>
            <w:tcW w:w="4876" w:type="dxa"/>
            <w:tcBorders>
              <w:top w:val="nil"/>
              <w:left w:val="nil"/>
              <w:bottom w:val="nil"/>
              <w:right w:val="nil"/>
            </w:tcBorders>
          </w:tcPr>
          <w:p>
            <w:pPr>
              <w:pStyle w:val="Normal6a"/>
            </w:pPr>
            <w:r>
              <w:t>59.</w:t>
            </w:r>
            <w:r>
              <w:tab/>
            </w:r>
            <w:r>
              <w:t xml:space="preserve">na základě dotazníku a zprávy ESVČ za rok 2024 konstatuje, že ESVČ zjistila přibližně 27 000 záznamů, z nichž 348 vyžadovalo další šetření; konstatuje, že 57 z nich bylo potvrzeno jako </w:t>
            </w:r>
            <w:r>
              <w:rPr>
                <w:b/>
                <w:i/>
              </w:rPr>
              <w:t>kybernetické</w:t>
            </w:r>
            <w:r>
              <w:t xml:space="preserve"> útoky a 5 z nich mělo významný dopad na operace ESVČ; s uspokojením konstatuje, že ESVČ identifikovala taktiky, techniky a postupy útočníků a využila tuto analýzu k posílení svých protiopatření; žádá o vysvětlení, do jaké míry tyto útoky ovlivnily činnost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konstatuje, že ESVČ řídí téměř 328 diplomatických misí a kanceláří po celém světě a že v roce 2024 bylo na budovy a související náklady vyčleněno více než 61 milionů EUR;</w:t>
            </w:r>
            <w:r>
              <w:t xml:space="preserve"> </w:t>
            </w:r>
            <w:r>
              <w:rPr>
                <w:b/>
                <w:i/>
              </w:rPr>
              <w:t>vyjadřuje politování nad pomalým tempem provádění politiky společného umístění s ostatními útvary Unie a členskými státy;</w:t>
            </w:r>
            <w:r>
              <w:t xml:space="preserve"> </w:t>
            </w:r>
            <w:r>
              <w:rPr>
                <w:b/>
                <w:i/>
              </w:rPr>
              <w:t>připomíná, že společné umístění je osvědčeným nástrojem pro sdílení zdrojů, snížení provozních nákladů, dosažení krátkodobých rozpočtových úspor a posílení koordinace na místě;</w:t>
            </w:r>
            <w:r>
              <w:t xml:space="preserve"> </w:t>
            </w:r>
            <w:r>
              <w:rPr>
                <w:b/>
                <w:i/>
              </w:rPr>
              <w:t>vyzývá ESVČ, aby společné umístění systematičtěji využívala, kdykoli je to možné;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konstatuje</w:t>
            </w:r>
            <w:r>
              <w:t xml:space="preserve">, že ESVČ znovu potvrdila svůj závazek zachovat síť 145 delegací Unie </w:t>
            </w:r>
            <w:r>
              <w:rPr>
                <w:b/>
                <w:i/>
              </w:rPr>
              <w:t>a posílit zásadu jedné delegace</w:t>
            </w:r>
            <w:r>
              <w:t xml:space="preserve">; </w:t>
            </w:r>
            <w:r>
              <w:rPr>
                <w:b/>
                <w:i/>
              </w:rPr>
              <w:t>konstatuje, že probíhající modernizace usiluje o zvýšení účinnosti a sladění sítě s prioritami Unie a zároveň řeší rozpočtová omezení;</w:t>
            </w:r>
            <w:r>
              <w:t xml:space="preserve"> </w:t>
            </w:r>
            <w:r>
              <w:rPr>
                <w:b/>
                <w:i/>
              </w:rPr>
              <w:t>zdůrazňuje, že dokud se finanční podmínky nezlepší, budou pokračovat přísná úsporná opatření, diskuse s Komisí o sdílení nákladů i cílené posilování klíčových delegací Unie;</w:t>
            </w:r>
            <w:r>
              <w:t xml:space="preserve"> </w:t>
            </w:r>
            <w:r>
              <w:rPr>
                <w:b/>
                <w:i/>
              </w:rPr>
              <w:t>vyjadřuje určité obavy ohledně plánu na zmenšení některých delegací Unie a snížení počtu jejich zaměstnanců, a tím se tak odklonit od původního zaměření na rozvojovou pomoc a hospodářskou spolupráci k některým strategickým zájmům, což zřejmě znevýhodňuje jižní sousedství;</w:t>
            </w:r>
            <w:r>
              <w:t xml:space="preserve"> </w:t>
            </w:r>
            <w:r>
              <w:rPr>
                <w:b/>
                <w:i/>
              </w:rPr>
              <w:t>vyzývají ESVČ, aby si zachovala svou stěžejní funkci a strategickou prioritu ve středomořském regionu na základě komplexního posouzení geopolitických výzev Unie;</w:t>
            </w:r>
          </w:p>
        </w:tc>
        <w:tc>
          <w:tcPr>
            <w:tcW w:w="4876" w:type="dxa"/>
            <w:tcBorders>
              <w:top w:val="nil"/>
              <w:left w:val="nil"/>
              <w:bottom w:val="nil"/>
              <w:right w:val="nil"/>
            </w:tcBorders>
          </w:tcPr>
          <w:p>
            <w:pPr>
              <w:pStyle w:val="Normal6a"/>
            </w:pPr>
            <w:r>
              <w:t>61.</w:t>
            </w:r>
            <w:r>
              <w:tab/>
            </w:r>
            <w:r>
              <w:rPr>
                <w:b/>
                <w:i/>
              </w:rPr>
              <w:t>vyjadřuje politování nad tím</w:t>
            </w:r>
            <w:r>
              <w:t>, že ESVČ znovu potvrdila svůj závazek zachovat síť 145 delegací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konstatuje</w:t>
            </w:r>
            <w:r>
              <w:t xml:space="preserve">, že ESVČ znovu potvrdila svůj závazek zachovat síť 145 delegací Unie a posílit zásadu jedné delegace; konstatuje, že probíhající modernizace usiluje o zvýšení účinnosti a sladění sítě s prioritami Unie a zároveň řeší rozpočtová omezení; zdůrazňuje, že dokud se finanční podmínky nezlepší, budou pokračovat přísná úsporná opatření, diskuse s Komisí o sdílení nákladů i cílené posilování klíčových delegací Unie; vyjadřuje určité obavy ohledně plánu </w:t>
            </w:r>
            <w:r>
              <w:rPr>
                <w:b/>
                <w:i/>
              </w:rPr>
              <w:t>na</w:t>
            </w:r>
            <w:r>
              <w:t xml:space="preserve"> zmenšení některých delegací Unie a snížení počtu jejich zaměstnanců</w:t>
            </w:r>
            <w:r>
              <w:rPr>
                <w:b/>
                <w:i/>
              </w:rPr>
              <w:t>, a tím se tak odklonit</w:t>
            </w:r>
            <w:r>
              <w:t xml:space="preserve"> od původního zaměření na rozvojovou pomoc a hospodářskou spolupráci k některým strategickým zájmům</w:t>
            </w:r>
            <w:r>
              <w:rPr>
                <w:b/>
                <w:i/>
              </w:rPr>
              <w:t>, což zřejmě znevýhodňuje jižní</w:t>
            </w:r>
            <w:r>
              <w:t xml:space="preserve"> sousedství; vyzývají ESVČ, aby si zachovala svou stěžejní funkci a strategickou prioritu ve středomořském regionu na základě komplexního posouzení geopolitických výzev Unie;</w:t>
            </w:r>
          </w:p>
        </w:tc>
        <w:tc>
          <w:tcPr>
            <w:tcW w:w="4876" w:type="dxa"/>
            <w:tcBorders>
              <w:top w:val="nil"/>
              <w:left w:val="nil"/>
              <w:bottom w:val="nil"/>
              <w:right w:val="nil"/>
            </w:tcBorders>
          </w:tcPr>
          <w:p>
            <w:pPr>
              <w:pStyle w:val="Normal6a"/>
            </w:pPr>
            <w:r>
              <w:t>61.</w:t>
            </w:r>
            <w:r>
              <w:tab/>
            </w:r>
            <w:r>
              <w:rPr>
                <w:b/>
                <w:i/>
              </w:rPr>
              <w:t>vítá</w:t>
            </w:r>
            <w:r>
              <w:t xml:space="preserve">, že ESVČ znovu potvrdila svůj závazek zachovat síť 145 delegací Unie a posílit zásadu jedné delegace; konstatuje, že probíhající modernizace usiluje o zvýšení účinnosti a sladění sítě s prioritami Unie a zároveň řeší rozpočtová omezení; zdůrazňuje, že dokud se finanční podmínky nezlepší, budou pokračovat přísná úsporná opatření, diskuse s Komisí o sdílení nákladů i cílené posilování klíčových delegací Unie; vyjadřuje určité obavy ohledně plánu </w:t>
            </w:r>
            <w:r>
              <w:rPr>
                <w:b/>
                <w:i/>
              </w:rPr>
              <w:t>zavést nové rozlišování kategorií a zdrojů delegací;</w:t>
            </w:r>
            <w:r>
              <w:t xml:space="preserve"> </w:t>
            </w:r>
            <w:r>
              <w:rPr>
                <w:b/>
                <w:i/>
              </w:rPr>
              <w:t>vyjadřuje politování nad tím, že</w:t>
            </w:r>
            <w:r>
              <w:t xml:space="preserve"> zmenšení některých delegací Unie a snížení počtu jejich zaměstnanců </w:t>
            </w:r>
            <w:r>
              <w:rPr>
                <w:b/>
                <w:i/>
              </w:rPr>
              <w:t>v důsledku odklonu</w:t>
            </w:r>
            <w:r>
              <w:t xml:space="preserve"> od původního zaměření na rozvojovou pomoc a hospodářskou spolupráci k některým strategickým zájmům </w:t>
            </w:r>
            <w:r>
              <w:rPr>
                <w:b/>
                <w:i/>
              </w:rPr>
              <w:t>může ohrozit operační činnosti a přítomnost EU ve třetích zemích a oslabit schopnost ESVČ plnit svůj mandát a bránit hodnoty Unie, což se týká zejména vztahů EU se zeměmi globálního Jihu a jižního</w:t>
            </w:r>
            <w:r>
              <w:t xml:space="preserve"> sousedství; vyzývají ESVČ, aby si zachovala svou stěžejní funkci a strategickou prioritu ve středomořském regionu na základě komplexního posouzení geopolitických výzev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konstatuje, že ESVČ znovu potvrdila svůj závazek zachovat síť 145 delegací Unie a posílit zásadu jedné delegace; konstatuje, že probíhající modernizace usiluje o zvýšení účinnosti a sladění sítě s prioritami Unie a zároveň řeší rozpočtová omezení; zdůrazňuje, že dokud se finanční podmínky nezlepší, budou pokračovat přísná úsporná opatření, diskuse s Komisí o sdílení nákladů i cílené posilování klíčových delegací Unie; vyjadřuje určité obavy ohledně plánu na zmenšení některých delegací Unie a snížení počtu jejich zaměstnanců, a tím se tak odklonit od původního zaměření na rozvojovou pomoc a hospodářskou spolupráci k některým strategickým zájmům, což zřejmě znevýhodňuje jižní sousedství; vyzývají ESVČ, aby si zachovala svou stěžejní funkci a strategickou prioritu ve středomořském regionu na základě komplexního posouzení geopolitických výzev Unie;</w:t>
            </w:r>
          </w:p>
        </w:tc>
        <w:tc>
          <w:tcPr>
            <w:tcW w:w="4876" w:type="dxa"/>
            <w:tcBorders>
              <w:top w:val="nil"/>
              <w:left w:val="nil"/>
              <w:bottom w:val="nil"/>
              <w:right w:val="nil"/>
            </w:tcBorders>
          </w:tcPr>
          <w:p>
            <w:pPr>
              <w:pStyle w:val="Normal6a"/>
            </w:pPr>
            <w:r>
              <w:t>61.</w:t>
            </w:r>
            <w:r>
              <w:tab/>
            </w:r>
            <w:r>
              <w:t xml:space="preserve">konstatuje, že ESVČ znovu potvrdila svůj závazek zachovat síť 145 delegací Unie a posílit zásadu jedné delegace; konstatuje, že probíhající modernizace usiluje o zvýšení účinnosti a sladění sítě s prioritami Unie a zároveň řeší rozpočtová omezení; zdůrazňuje, že dokud se finanční podmínky nezlepší, budou pokračovat přísná úsporná opatření, diskuse s Komisí o sdílení nákladů i cílené posilování klíčových delegací Unie; vyjadřuje určité obavy ohledně plánu na zmenšení některých delegací Unie a snížení počtu jejich zaměstnanců, a tím se tak odklonit od původního zaměření na rozvojovou pomoc a hospodářskou spolupráci k některým strategickým zájmům, což zřejmě znevýhodňuje jižní sousedství; vyzývají ESVČ, aby si zachovala svou stěžejní funkci a strategickou prioritu ve středomořském regionu na základě komplexního posouzení geopolitických výzev Unie; </w:t>
            </w:r>
            <w:r>
              <w:rPr>
                <w:b/>
                <w:i/>
              </w:rPr>
              <w:t>zdůrazňuje, že ESVČ musí zachovávat vysokou úroveň spolupráce se zeměmi východního sousedství, které jsou klíčovými strategickými partnery pro bezpečnost, stabilitu a odolnost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62a.</w:t>
            </w:r>
            <w:r>
              <w:tab/>
            </w:r>
            <w:r>
              <w:rPr>
                <w:b/>
                <w:i/>
              </w:rPr>
              <w:t>vyzývá ESVČ, aby posílila mechanismy praktické koordinace s diplomatickými misemi členských států ve třetích zemích, mimo jiné prostřednictvím sdílených služeb, společných logistických opatření a širšího sdílení informací, s cílem maximalizovat efektivitu a zajistit optimální využívání zdrojů EU a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připomíná, že v souladu se Smlouvami mají vnější činnost Unie a Evropská služba pro vnější činnost podporovat, koordinovat a doplňovat diplomatickou činnost členských států;</w:t>
            </w:r>
            <w:r>
              <w:t xml:space="preserve"> </w:t>
            </w:r>
            <w:r>
              <w:rPr>
                <w:b/>
                <w:i/>
              </w:rPr>
              <w:t>zdůrazňuje význam úzké spolupráce, která zabrání neefektivitě;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vítá skutečnost, že komunikační činnosti ESVČ jsou koordinovány a harmonizovány s ostatními orgány prostřednictvím sítě ředitelů pro komunikaci EU, interinstitucionálních platforem s Parlamentem a Komisí a podskupiny RELEX pro ochranu kulturního dědictví a </w:t>
            </w:r>
            <w:r>
              <w:rPr>
                <w:b/>
                <w:i/>
              </w:rPr>
              <w:t>vnitřní</w:t>
            </w:r>
            <w:r>
              <w:t xml:space="preserve"> kulturní vztahy;</w:t>
            </w:r>
          </w:p>
        </w:tc>
        <w:tc>
          <w:tcPr>
            <w:tcW w:w="4876" w:type="dxa"/>
            <w:tcBorders>
              <w:top w:val="nil"/>
              <w:left w:val="nil"/>
              <w:bottom w:val="nil"/>
              <w:right w:val="nil"/>
            </w:tcBorders>
          </w:tcPr>
          <w:p>
            <w:pPr>
              <w:pStyle w:val="Normal6a"/>
            </w:pPr>
            <w:r>
              <w:t>74.</w:t>
            </w:r>
            <w:r>
              <w:tab/>
            </w:r>
            <w:r>
              <w:t xml:space="preserve">vítá skutečnost, že komunikační činnosti ESVČ jsou koordinovány a harmonizovány s ostatními orgány prostřednictvím sítě ředitelů pro komunikaci EU, interinstitucionálních platforem s Parlamentem a Komisí a podskupiny RELEX pro ochranu kulturního dědictví a </w:t>
            </w:r>
            <w:r>
              <w:rPr>
                <w:b/>
                <w:i/>
              </w:rPr>
              <w:t>mezinárodní</w:t>
            </w:r>
            <w:r>
              <w:t xml:space="preserve"> kulturní vztahy;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vybízí k pokračování procesu zvýšené komunikace se státními příslušníky třetích zemí o politice Unie, jakož i ke zvýšenému koordinačnímu úsilí o zviditelnění projektů financovaných Unií, zejména v kandidátských zemích, s cílem čelit pokusům subjektů jednajících ve zlé vůli oslabovat úsilí Unie;</w:t>
            </w:r>
          </w:p>
        </w:tc>
        <w:tc>
          <w:tcPr>
            <w:tcW w:w="4876" w:type="dxa"/>
            <w:tcBorders>
              <w:top w:val="nil"/>
              <w:left w:val="nil"/>
              <w:bottom w:val="nil"/>
              <w:right w:val="nil"/>
            </w:tcBorders>
          </w:tcPr>
          <w:p>
            <w:pPr>
              <w:pStyle w:val="Normal6a"/>
            </w:pPr>
            <w:r>
              <w:t>77.</w:t>
            </w:r>
            <w:r>
              <w:tab/>
            </w:r>
            <w:r>
              <w:t xml:space="preserve">vybízí k pokračování procesu zvýšené komunikace se státními příslušníky třetích zemí o politice Unie, jakož i ke zvýšenému koordinačnímu úsilí o zviditelnění projektů financovaných Unií, zejména v kandidátských zemích, s cílem čelit pokusům subjektů jednajících ve zlé vůli oslabovat úsilí Unie; </w:t>
            </w:r>
            <w:r>
              <w:rPr>
                <w:b/>
                <w:i/>
              </w:rPr>
              <w:t>dále opakuje svou výzvu Komisi, aby zajistila plnou viditelnost podpory a investic EU ve třetích zemích a informovanost veřejnosti o této podpoře a investicích za pomoci jejich zřetelného označování a vlajky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konstatuje, že ESVČ prostřednictvím své kampaně EUvsDisinfo oslovila více než 38 milionů uživatelů a zdokumentovala více než 18 000 případů, což svědčí o rozsahu a systémovosti prokremelských dezinformací v roce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82</w:t>
    </w:r>
    <w:r>
      <w:fldChar w:fldCharType="end"/>
    </w:r>
    <w:r>
      <w:t>/</w:t>
    </w:r>
    <w:r>
      <w:fldChar w:fldCharType="begin"/>
    </w:r>
    <w:r>
      <w:instrText xml:space="preserve"> NUMPAGES </w:instrText>
    </w:r>
    <w:r>
      <w:fldChar w:fldCharType="separate"/>
    </w:r>
    <w:r>
      <w:t>83</w:t>
    </w:r>
    <w:r>
      <w:fldChar w:fldCharType="end"/>
    </w:r>
    <w:r>
      <w:tab/>
    </w:r>
    <w:r>
      <w:rPr>
        <w:rStyle w:val="HideTWBExt"/>
      </w:rPr>
      <w:t>&lt;PathFdR&gt;</w:t>
    </w:r>
    <w:r>
      <w:t>AM\1336297CS.docx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AM\1336297CS.docx</w:t>
    </w:r>
    <w:r>
      <w:rPr>
        <w:rStyle w:val="HideTWBExt"/>
      </w:rPr>
      <w:t>&lt;/PathFdR&gt;</w:t>
    </w:r>
    <w:r>
      <w:tab/>
    </w:r>
    <w:r>
      <w:fldChar w:fldCharType="begin"/>
    </w:r>
    <w:r>
      <w:instrText xml:space="preserve"> PAGE </w:instrText>
    </w:r>
    <w:r>
      <w:fldChar w:fldCharType="separate"/>
    </w:r>
    <w:r>
      <w:t>83</w:t>
    </w:r>
    <w:r>
      <w:fldChar w:fldCharType="end"/>
    </w:r>
    <w:r>
      <w:t>/</w:t>
    </w:r>
    <w:r>
      <w:fldChar w:fldCharType="begin"/>
    </w:r>
    <w:r>
      <w:instrText xml:space="preserve"> NUMPAGES </w:instrText>
    </w:r>
    <w:r>
      <w:fldChar w:fldCharType="separate"/>
    </w:r>
    <w:r>
      <w:t>83</w:t>
    </w:r>
    <w:r>
      <w:fldChar w:fldCharType="end"/>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AM\1336297CS.docx</w:t>
    </w:r>
    <w:r>
      <w:rPr>
        <w:rStyle w:val="HideTWBExt"/>
      </w:rPr>
      <w:t>&lt;/PathFdR&gt;</w:t>
    </w:r>
    <w:r>
      <w:tab/>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83</Pages>
  <Words>21703</Words>
  <Characters>130775</Characters>
  <Application>Microsoft Office Word</Application>
  <DocSecurity>0</DocSecurity>
  <Lines>1</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375833</vt:lpwstr>
  </property>
  <property fmtid="{D5CDD505-2E9C-101B-9397-08002B2CF9AE}" pid="7" name="dmxml.render.traceId">
    <vt:lpwstr>698c8985a5b299bb5d2f276476f95faf</vt:lpwstr>
  </property>
  <property fmtid="{D5CDD505-2E9C-101B-9397-08002B2CF9AE}" pid="8" name="FooterPath">
    <vt:lpwstr>AM\1336297CS.docx</vt:lpwstr>
  </property>
  <property fmtid="{D5CDD505-2E9C-101B-9397-08002B2CF9AE}" pid="9" name="PE Number">
    <vt:lpwstr>784.151</vt:lpwstr>
  </property>
  <property fmtid="{D5CDD505-2E9C-101B-9397-08002B2CF9AE}" pid="10" name="UID">
    <vt:lpwstr>eu.europa.europarl-DIN1-2026-0000020048_01.00-cs-01.00_text-xml</vt:lpwstr>
  </property>
</Properties>
</file>