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Vastuuvapaus 2024: EU:n yleinen talousarvio – Euroopan ulkosuhdehallinto</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katsoo, että Euroopan unionin ulkoisen toiminnan tehokkuus ja kustannustehokkuus ovat riippuvaisia tiiviistä koordinoinnista jäsenvaltioiden diplomaattisten elinten ja verkostojen kanssa erityisesti kolmansissa maissa, joissa sekä EUH että jäsenvaltiot ovat pysyvästi läsnä, jotta vältetään päällekkäiset rakenteet ja menot;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panee merkille, että EUH:n talousarvio kuuluu monivuotisen rahoituskehyksen otsakkeeseen 7 ”EU:n yleinen hallinto”, jonka määrä vuonna 2024 oli 13,3 miljardia euroa (eli 6,9 prosenttia unionin koko talousarviosta); panee merkille, että EUH:n hallinnoima noin 1,293 miljardin euron talousarvio on noin 9,54 prosenttia unionin kaikista hallintomenoista vuonna 2024;</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muistuttaa, että unionin kansalaisiin kohdistuu edelleen kasvavaa taloudellista painetta;</w:t>
            </w:r>
            <w:r>
              <w:t xml:space="preserve"> </w:t>
            </w:r>
            <w:r>
              <w:rPr>
                <w:b/>
                <w:i/>
              </w:rPr>
              <w:t>korostaa siksi, että unionin toimielinten on noudatettava mahdollisimman suurta budjettikuria ja tehokkuutta;</w:t>
            </w:r>
            <w:r>
              <w:t xml:space="preserve"> </w:t>
            </w:r>
            <w:r>
              <w:rPr>
                <w:b/>
                <w:i/>
              </w:rPr>
              <w:t>kehottaa EUH:ta asettamaan etusijalle kustannusvalvonnan, välttämään tarpeetonta byrokratian kasvua ja varmistamaan, että hallintomenojen mahdollinen lisääminen tuottaa selkeää lisäarvoa kansalaisille;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vuonna 2024 talousarvion kuluvan vuoden maksusitoumusmäärärahojen toteuttamisaste (siirtojen jälkeen) oli 100 prosenttia ja maksumäärärahojen toteuttamisaste 88,4 prosenttia verrattuna 91,9 prosenttiin vuonna 2023; panee merkille, että keskimääräinen maksuaika oli 13,43 päivää mutta 10,69 prosenttia vuonna 2024 suoritettujen maksujen kokonaismäärästä (yhteensä 57 357 324,68 euroa) maksettiin myöhässä, mistä aiheutui 37 862,61 euron verran viivästyskorkoja vuonna 2024; kehottaa EUH:ta jatkamaan toimia sähköisten maksujen lisäämiseksi ja työnkulun digitalisoinnin parantamiseksi, etenkin sähköisten laskujen osalta unionin edustustoissa;</w:t>
            </w:r>
          </w:p>
        </w:tc>
        <w:tc>
          <w:tcPr>
            <w:tcW w:w="4876" w:type="dxa"/>
            <w:tcBorders>
              <w:top w:val="nil"/>
              <w:left w:val="nil"/>
              <w:bottom w:val="nil"/>
              <w:right w:val="nil"/>
            </w:tcBorders>
          </w:tcPr>
          <w:p>
            <w:pPr>
              <w:pStyle w:val="Normal6a"/>
            </w:pPr>
            <w:r>
              <w:t>6.</w:t>
            </w:r>
            <w:r>
              <w:tab/>
            </w:r>
            <w:r>
              <w:t xml:space="preserve">panee merkille, että vuonna 2024 talousarvion kuluvan vuoden maksusitoumusmäärärahojen toteuttamisaste (siirtojen jälkeen) oli 100 prosenttia ja maksumäärärahojen toteuttamisaste 88,4 prosenttia verrattuna 91,9 prosenttiin vuonna 2023; panee merkille, että keskimääräinen maksuaika oli 13,43 päivää mutta 10,69 prosenttia vuonna 2024 suoritettujen maksujen kokonaismäärästä (yhteensä 57 357 324,68 euroa) maksettiin myöhässä, mistä aiheutui 37 862,61 euron verran viivästyskorkoja vuonna 2024; kehottaa EUH:ta jatkamaan toimia sähköisten maksujen lisäämiseksi ja työnkulun digitalisoinnin parantamiseksi, etenkin sähköisten laskujen osalta unionin edustustoissa; </w:t>
            </w:r>
            <w:r>
              <w:rPr>
                <w:b/>
                <w:i/>
              </w:rPr>
              <w:t>kehottaa EUH:ta asettamaan vuotuiset tavoitteet maksuviivästysten ja viivästyskorkojen vähentämiseksi ja standardoimaan täysin sähköisen laskutuksen ja sähköisten hankintojen työnkulut kaikissa edustustoissa;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ilmaisee syvän huolensa EU:n kasvavasta velkataakasta ja lainakustannuksista;</w:t>
            </w:r>
            <w:r>
              <w:t xml:space="preserve"> </w:t>
            </w:r>
            <w:r>
              <w:rPr>
                <w:b/>
                <w:i/>
              </w:rPr>
              <w:t>toteaa, että Euroopan tilintarkastustuomioistuimen vuosikertomuksen mukaan EU:n ottamat lainat voivat ylittää 900 miljardia euroa vuoteen 2027 mennessä, mikä on lähes kymmenkertainen taso vuoteen 2020 verrattuna ennen Euroopan unionin elpymisvälineen käyttöönottoa;</w:t>
            </w:r>
            <w:r>
              <w:t xml:space="preserve"> </w:t>
            </w:r>
            <w:r>
              <w:rPr>
                <w:b/>
                <w:i/>
              </w:rPr>
              <w:t>varoittaa, että lainakustannusten nousu aiheuttaa riskin tuleville talousarvioille ja vähentää uusien painopisteiden finanssipoliittista liikkumavaraa;</w:t>
            </w:r>
            <w:r>
              <w:t xml:space="preserve"> </w:t>
            </w:r>
            <w:r>
              <w:rPr>
                <w:b/>
                <w:i/>
              </w:rPr>
              <w:t>pysyy siksi vaatimuksessaan, että tämä ennennäkemätön finanssipoliittinen paine edellyttää tiukkoja säästötoimia EUH:n hallintobudjetissa;</w:t>
            </w:r>
            <w:r>
              <w:t xml:space="preserve"> </w:t>
            </w:r>
            <w:r>
              <w:rPr>
                <w:b/>
                <w:i/>
              </w:rPr>
              <w:t>kehottaa EUH:ta esittämään suunnitelman rakenteellisten kustannusten vähentämiseksi, jotta voidaan osoittaa institutionaalinen vastuu suuren julkisen velan aikoina;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EUH:lla oli useita haasteita talousarvionsa toteuttamisessa vuonna 2024 ja että tähän olivat syynä Venäjän Ukrainaa vastaan käymän hyökkäyssodan raskas vaikutus, inflaatiopaineet, epäsuotuisat valuuttakurssit ja muille kuin palkkoihin liittyville menoille asetettu 2 prosentin katto, jotka johtivat 33 miljoonan euron alijäämään unionin edustustoissa; panee merkille, että EUH puuttui näihin haasteisiin strategisten säästöjen ja uudelleenkohdentamisten/talousarviosiirtojen yhdistelmällä; toteaa, että vähennykset vaikuttivat pääasiassa virkamatka- ja edustusmenojen sekä infrastruktuuri- ja turvallisuusmenojen määrärahoihin; toteaa, että kaikkien unionin toimielinten on syytä parantaa talousarviohallintoaan ottamalla huomioon myös hintojen epävakauden, varsinkin energia-alalla, kun ne tekevät sopimuksia palveluntarjoajien kanssa;</w:t>
            </w:r>
          </w:p>
        </w:tc>
        <w:tc>
          <w:tcPr>
            <w:tcW w:w="4876" w:type="dxa"/>
            <w:tcBorders>
              <w:top w:val="nil"/>
              <w:left w:val="nil"/>
              <w:bottom w:val="nil"/>
              <w:right w:val="nil"/>
            </w:tcBorders>
          </w:tcPr>
          <w:p>
            <w:pPr>
              <w:pStyle w:val="Normal6a"/>
            </w:pPr>
            <w:r>
              <w:t>8.</w:t>
            </w:r>
            <w:r>
              <w:tab/>
            </w:r>
            <w:r>
              <w:t xml:space="preserve">panee merkille, että EUH:lla oli useita haasteita talousarvionsa toteuttamisessa vuonna 2024 ja että tähän olivat syynä Venäjän Ukrainaa vastaan käymän hyökkäyssodan raskas vaikutus, inflaatiopaineet, epäsuotuisat valuuttakurssit ja muille kuin palkkoihin liittyville menoille asetettu 2 prosentin katto, jotka johtivat 33 miljoonan euron alijäämään unionin edustustoissa; panee </w:t>
            </w:r>
            <w:r>
              <w:rPr>
                <w:b/>
                <w:i/>
              </w:rPr>
              <w:t>tyytyväisenä</w:t>
            </w:r>
            <w:r>
              <w:t xml:space="preserve"> merkille, että EUH puuttui näihin haasteisiin strategisten säästöjen ja uudelleenkohdentamisten/talousarviosiirtojen yhdistelmällä; toteaa, että vähennykset vaikuttivat pääasiassa virkamatka- ja edustusmenojen sekä infrastruktuuri- ja turvallisuusmenojen määrärahoihin; </w:t>
            </w:r>
            <w:r>
              <w:rPr>
                <w:b/>
                <w:i/>
              </w:rPr>
              <w:t>on huolissaan siitä, että talousarviorajoitukset voivat vaikuttaa henkilöstöön kohdistuvaan EUH:n huolenpitovelvollisuuteen erityisesti edustustojen infrastruktuurin ylläpidon ja turvallisuusnormien osalta;</w:t>
            </w:r>
            <w:r>
              <w:t xml:space="preserve"> </w:t>
            </w:r>
            <w:r>
              <w:rPr>
                <w:b/>
                <w:i/>
              </w:rPr>
              <w:t>suhtautuu myönteisesti korjaavien toimenpiteiden pakettiin, mutta toistaa kehotuksensa EUH:n tarpeita ja tavoitteita vastaavasta talousarviosta;</w:t>
            </w:r>
            <w:r>
              <w:t xml:space="preserve"> toteaa, että kaikkien unionin toimielinten on syytä parantaa talousarviohallintoaan ottamalla huomioon myös hintojen epävakauden, varsinkin energia-alalla, kun ne tekevät sopimuksia palveluntarjoajien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EUH:lla oli useita haasteita talousarvionsa toteuttamisessa vuonna 2024 ja että tähän olivat syynä Venäjän Ukrainaa vastaan käymän hyökkäyssodan raskas vaikutus, inflaatiopaineet, epäsuotuisat valuuttakurssit ja muille kuin palkkoihin liittyville menoille asetettu 2 prosentin katto, jotka johtivat 33 miljoonan euron alijäämään unionin edustustoissa; panee merkille, että EUH puuttui näihin haasteisiin strategisten säästöjen ja uudelleenkohdentamisten/talousarviosiirtojen yhdistelmällä; toteaa, että vähennykset vaikuttivat pääasiassa virkamatka- ja edustusmenojen sekä infrastruktuuri- ja turvallisuusmenojen määrärahoihin; toteaa, että kaikkien unionin toimielinten on syytä parantaa talousarviohallintoaan ottamalla huomioon myös hintojen epävakauden, varsinkin energia-alalla, kun ne tekevät sopimuksia palveluntarjoajien kanssa;</w:t>
            </w:r>
          </w:p>
        </w:tc>
        <w:tc>
          <w:tcPr>
            <w:tcW w:w="4876" w:type="dxa"/>
            <w:tcBorders>
              <w:top w:val="nil"/>
              <w:left w:val="nil"/>
              <w:bottom w:val="nil"/>
              <w:right w:val="nil"/>
            </w:tcBorders>
          </w:tcPr>
          <w:p>
            <w:pPr>
              <w:pStyle w:val="Normal6a"/>
            </w:pPr>
            <w:r>
              <w:t>8.</w:t>
            </w:r>
            <w:r>
              <w:tab/>
            </w:r>
            <w:r>
              <w:t xml:space="preserve">panee merkille, että EUH:lla oli useita haasteita talousarvionsa toteuttamisessa vuonna 2024 ja että tähän olivat syynä Venäjän Ukrainaa vastaan käymän </w:t>
            </w:r>
            <w:r>
              <w:rPr>
                <w:b/>
                <w:i/>
              </w:rPr>
              <w:t>laittoman</w:t>
            </w:r>
            <w:r>
              <w:t xml:space="preserve"> hyökkäyssodan raskas vaikutus, inflaatiopaineet, epäsuotuisat valuuttakurssit ja muille kuin palkkoihin liittyville menoille asetettu 2 prosentin katto, jotka johtivat 33 miljoonan euron alijäämään unionin edustustoissa</w:t>
            </w:r>
            <w:r>
              <w:rPr>
                <w:b/>
                <w:i/>
              </w:rPr>
              <w:t>, mikä rajoitti merkittävästi niiden operationaalista kapasiteettia</w:t>
            </w:r>
            <w:r>
              <w:t>; panee merkille, että EUH puuttui näihin haasteisiin strategisten säästöjen ja uudelleenkohdentamisten/talousarviosiirtojen yhdistelmällä; toteaa, että vähennykset vaikuttivat pääasiassa virkamatka- ja edustusmenojen sekä infrastruktuuri- ja turvallisuusmenojen määrärahoihin; toteaa, että kaikkien unionin toimielinten on syytä parantaa talousarviohallintoaan ottamalla huomioon myös hintojen epävakauden, varsinkin energia-alalla, kun ne tekevät sopimuksia palveluntarjoajien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w:t>
            </w:r>
          </w:p>
        </w:tc>
        <w:tc>
          <w:tcPr>
            <w:tcW w:w="4876" w:type="dxa"/>
            <w:tcBorders>
              <w:top w:val="nil"/>
              <w:left w:val="nil"/>
              <w:bottom w:val="nil"/>
              <w:right w:val="nil"/>
            </w:tcBorders>
          </w:tcPr>
          <w:p>
            <w:pPr>
              <w:pStyle w:val="Normal6a"/>
            </w:pPr>
            <w:r>
              <w:t>9.</w:t>
            </w:r>
            <w:r>
              <w:tab/>
            </w:r>
            <w:r>
              <w:t xml:space="preserve">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 </w:t>
            </w:r>
            <w:r>
              <w:rPr>
                <w:b/>
                <w:i/>
              </w:rPr>
              <w:t>kehottaa EUH:ta mukauttamaan strategiset tavoitteensa tiiviimmin käytettävissä oleviin taloudellisiin resursseihin ja asettamaan etusijalle toimet, jotka tuottavat selvää lisäarvoa unionille ja sen kansalaisille, ja välttämään samalla toimia ja hankkeita, jotka uhkaavat heikentää tehokkuutta ja henkilöstön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w:t>
            </w:r>
          </w:p>
        </w:tc>
        <w:tc>
          <w:tcPr>
            <w:tcW w:w="4876" w:type="dxa"/>
            <w:tcBorders>
              <w:top w:val="nil"/>
              <w:left w:val="nil"/>
              <w:bottom w:val="nil"/>
              <w:right w:val="nil"/>
            </w:tcBorders>
          </w:tcPr>
          <w:p>
            <w:pPr>
              <w:pStyle w:val="Normal6a"/>
            </w:pPr>
            <w:r>
              <w:t>9.</w:t>
            </w:r>
            <w:r>
              <w:tab/>
            </w:r>
            <w:r>
              <w:t xml:space="preserve">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 </w:t>
            </w:r>
            <w:r>
              <w:rPr>
                <w:b/>
                <w:i/>
              </w:rPr>
              <w:t>kehottaa EUH:ta korjaamaan kiireellisesti henkilöstöpulan EU:n edustustoissa, erityisesti sellaisissa asemapaikoissa, joihin kohdistuu monimutkaisia turvallisuushaasteita tai geopoliittisia haasteita, ja vahvistamaan palvelukseenottomenettelyjen avoimuutta ja vastuuvelvollisuutta;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w:t>
            </w:r>
          </w:p>
        </w:tc>
        <w:tc>
          <w:tcPr>
            <w:tcW w:w="4876" w:type="dxa"/>
            <w:tcBorders>
              <w:top w:val="nil"/>
              <w:left w:val="nil"/>
              <w:bottom w:val="nil"/>
              <w:right w:val="nil"/>
            </w:tcBorders>
          </w:tcPr>
          <w:p>
            <w:pPr>
              <w:pStyle w:val="Normal6a"/>
            </w:pPr>
            <w:r>
              <w:t>9.</w:t>
            </w:r>
            <w:r>
              <w:tab/>
            </w:r>
            <w:r>
              <w:t>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panee merkille EUH:n näkemyksen, jonka mukaan tehtävien ja resurssien välillä on epäsuhta, joka on merkittävä haaste EUH:n kyvylle saavuttaa täysin tavoitteensa ja tukea tuloksellisesti unionin ulko- ja turvallisuuspoliittista ohjelmaa</w:t>
            </w:r>
            <w:r>
              <w:rPr>
                <w:b/>
                <w:i/>
              </w:rPr>
              <w:t>, mikä heikentää unionin luotettavuutta globaalina toimijana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w:t>
            </w:r>
            <w:r>
              <w:rPr>
                <w:b/>
                <w:i/>
              </w:rPr>
              <w:t>panee merkille EUH:n näkemyksen</w:t>
            </w:r>
            <w:r>
              <w:t>, jonka mukaan tehtävien ja resurssien välillä on epäsuhta, joka on merkittävä haaste EUH:n kyvylle saavuttaa täysin tavoitteensa ja tukea tuloksellisesti unionin ulko- ja turvallisuuspoliittista ohjelmaa;</w:t>
            </w:r>
          </w:p>
        </w:tc>
        <w:tc>
          <w:tcPr>
            <w:tcW w:w="4876" w:type="dxa"/>
            <w:tcBorders>
              <w:top w:val="nil"/>
              <w:left w:val="nil"/>
              <w:bottom w:val="nil"/>
              <w:right w:val="nil"/>
            </w:tcBorders>
          </w:tcPr>
          <w:p>
            <w:pPr>
              <w:pStyle w:val="Normal6a"/>
            </w:pPr>
            <w:r>
              <w:t>9.</w:t>
            </w:r>
            <w:r>
              <w:tab/>
            </w:r>
            <w:r>
              <w:t xml:space="preserve">panee parlamentin talousarvion valvontavaliokunnan (CONT) kokouksessa 17. marraskuuta 2025 pidetystä varapuheenjohtajan / korkean edustajan kuulemisesta, jäljempänä ’kuuleminen’, merkille, että EUH:lla on viime vuosina ollut merkittäviä talousarviorajoitteita samalla, kun sen toimeksianto on laajentunut ja sille on aiheutunut lisäkustannuksia ja -tarpeita 145 edustuston verkostosta; </w:t>
            </w:r>
            <w:r>
              <w:rPr>
                <w:b/>
                <w:i/>
              </w:rPr>
              <w:t>tukee EUH:n näkemystä</w:t>
            </w:r>
            <w:r>
              <w:t>, jonka mukaan tehtävien ja resurssien välillä on epäsuhta, joka on merkittävä haaste EUH:n kyvylle saavuttaa täysin tavoitteensa ja tukea tuloksellisesti unionin ulko- ja turvallisuuspoliittista ohjelmaa;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korostaa, että nykyinen kansainvälinen tilanne on nostanut unionin ulkopolitiikan ensisijaiseksi huolenaiheeksi EU:n kansalaisten, jäsenvaltioiden ja toimielinten keskuudessa;</w:t>
            </w:r>
            <w:r>
              <w:t xml:space="preserve"> </w:t>
            </w:r>
            <w:r>
              <w:rPr>
                <w:b/>
                <w:i/>
              </w:rPr>
              <w:t>korostaa EUH:n ja sen edustustojen keskeistä roolia unionin ulkopolitiikan toteuttamisessa sekä ulkomaisen tiedonmanipuloinnin ja häirinnän (FIMI) torjumisessa;</w:t>
            </w:r>
            <w:r>
              <w:t xml:space="preserve"> </w:t>
            </w:r>
            <w:r>
              <w:rPr>
                <w:b/>
                <w:i/>
              </w:rPr>
              <w:t>painottaa EUH:n merkitystä 25–30 miljoonalle unionin ulkopuolella asuvalle unionin kansalaiselle;</w:t>
            </w:r>
            <w:r>
              <w:t xml:space="preserve"> </w:t>
            </w:r>
            <w:r>
              <w:rPr>
                <w:b/>
                <w:i/>
              </w:rPr>
              <w:t>pitää valitettavana, että EUH:n rahoitusvajeeseen ei puututa rakenteellisesti ja että siihen on puututtava toistuvasti EU:n vuotuisessa talousarviossa;</w:t>
            </w:r>
            <w:r>
              <w:t xml:space="preserve"> </w:t>
            </w:r>
            <w:r>
              <w:rPr>
                <w:b/>
                <w:i/>
              </w:rPr>
              <w:t>on huolissaan kielteisistä seurauksista EUH:lle ja unionin ulkopolitiikan tuloksellisuudelle suhteissa kolmansiin maihin, erityisesti globaalissa etelässä, nopean geopoliittisen muutoksen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Euroopan tilintarkastustuomioistuinta suorittamaan EUH:sta kattavan tuloksellisuustarkastuksen, jossa arvioidaan sen toiminnan tehokkuutta OECD-maiden ulkoasiainhallintoihin verrattuna;</w:t>
            </w:r>
            <w:r>
              <w:t xml:space="preserve"> </w:t>
            </w:r>
            <w:r>
              <w:rPr>
                <w:b/>
                <w:i/>
              </w:rPr>
              <w:t>pyytää, että tässä tarkastuksessa yksilöidään alat, joilla EUH tuottaa ainutlaatuista ja korvaamatonta lisäarvoa, ja alat, joilla sen toiminta on päällekkäistä jäsenvaltioiden toiminnan kanssa;</w:t>
            </w:r>
            <w:r>
              <w:t xml:space="preserve"> </w:t>
            </w:r>
            <w:r>
              <w:rPr>
                <w:b/>
                <w:i/>
              </w:rPr>
              <w:t>kehottaa samalla EUH:ta tekemään kustannus-hyötyanalyysin maailmanlaajuisesta verkostostaan ja asettamaan etusijalle resurssit edustustoille maissa, jotka selvästi edistävät EU:n välittömiä etuja, kuten taloudellista vaurautta, energiavarmuutta, rajavalvontaa ja laittomien muuttovirtojen ehkäisemistä;</w:t>
            </w:r>
            <w:r>
              <w:t xml:space="preserve"> </w:t>
            </w:r>
            <w:r>
              <w:rPr>
                <w:b/>
                <w:i/>
              </w:rPr>
              <w:t>vaatii laatimaan selkeät ja mitattavissa olevat tulosindikaattorit, joilla unionin kansalaisille osoitetaan rahalle saatava vastine, ja vaatii EUH:ta lopettamaan kaikki toimet tai tehtävät, jotka näiden arviointien perusteella arvioidaan tehottomiksi tai tarpeettomiksi;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lisäksi merkille, että investointeja kiinteistö- ja tietotekniikkahankkeisiin lykättiin ja harjoittelijoiden määrää supistettiin vuonna 2024; panee merkille EUH:n näkemyksen, jonka mukaan nämä rajoitukset saattavat viime kädessä vaikuttaa unionin globaaliin läsnäoloon ja henkilöstön turvallisuuteen; odottaa, että EUH:lle vuoden 2025 talousarviossa kohdennettu 10 miljoonan euron lisämäärä auttaa parantamaan EUH:n talousarvion toteuttamista sen tavoitteiden saavuttamiseksi ja välttämään tilanteita, joissa EUH:n huolenpitovelvollisuus unionin edustustoihin lähetettyä henkilöstöä kohtaan vaarantuisi;</w:t>
            </w:r>
          </w:p>
        </w:tc>
        <w:tc>
          <w:tcPr>
            <w:tcW w:w="4876" w:type="dxa"/>
            <w:tcBorders>
              <w:top w:val="nil"/>
              <w:left w:val="nil"/>
              <w:bottom w:val="nil"/>
              <w:right w:val="nil"/>
            </w:tcBorders>
          </w:tcPr>
          <w:p>
            <w:pPr>
              <w:pStyle w:val="Normal6a"/>
            </w:pPr>
            <w:r>
              <w:t>10.</w:t>
            </w:r>
            <w:r>
              <w:tab/>
            </w:r>
            <w:r>
              <w:t xml:space="preserve">panee lisäksi merkille, että investointeja kiinteistö- ja tietotekniikkahankkeisiin lykättiin ja harjoittelijoiden määrää supistettiin vuonna 2024; panee merkille EUH:n näkemyksen, jonka mukaan nämä rajoitukset saattavat viime kädessä vaikuttaa unionin globaaliin läsnäoloon ja henkilöstön turvallisuuteen; odottaa, että EUH:lle vuoden 2025 talousarviossa kohdennettu 10 miljoonan euron lisämäärä auttaa parantamaan EUH:n talousarvion toteuttamista sen tavoitteiden saavuttamiseksi ja välttämään tilanteita, joissa EUH:n huolenpitovelvollisuus unionin edustustoihin lähetettyä henkilöstöä kohtaan vaarantuisi; </w:t>
            </w:r>
            <w:r>
              <w:rPr>
                <w:b/>
                <w:i/>
              </w:rPr>
              <w:t>kehottaa EUH:ta esittämään kriittistä tietotekniikka-, kyberturvallisuus- ja huolenpitovelvollisuusinfrastruktuuria koskevan priorisoidun investointisuunnitelman, mukaan lukien kustannus-hyötyanalyysi ja odotetut operatiiviset vaikutukset, jotta vältetään toistuvat lykkäykset, jotka heikentävät tehokkuutta ja henkilöstön turvallisuutta;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panee lisäksi merkille, että investointeja kiinteistö- ja tietotekniikkahankkeisiin lykättiin ja harjoittelijoiden määrää supistettiin vuonna 2024; </w:t>
            </w:r>
            <w:r>
              <w:rPr>
                <w:b/>
                <w:i/>
              </w:rPr>
              <w:t>panee merkille EUH:n näkemyksen, jonka mukaan nämä rajoitukset saattavat viime kädessä vaikuttaa unionin globaaliin läsnäoloon</w:t>
            </w:r>
            <w:r>
              <w:t xml:space="preserve"> ja henkilöstön </w:t>
            </w:r>
            <w:r>
              <w:rPr>
                <w:b/>
                <w:i/>
              </w:rPr>
              <w:t>turvallisuuteen</w:t>
            </w:r>
            <w:r>
              <w:t xml:space="preserve">; odottaa, että EUH:lle vuoden 2025 talousarviossa kohdennettu 10 miljoonan euron lisämäärä auttaa parantamaan EUH:n talousarvion toteuttamista sen tavoitteiden saavuttamiseksi </w:t>
            </w:r>
            <w:r>
              <w:rPr>
                <w:b/>
                <w:i/>
              </w:rPr>
              <w:t>ja välttämään tilanteita, joissa EUH:n huolenpitovelvollisuus unionin edustustoihin lähetettyä henkilöstöä kohtaan vaarantuisi</w:t>
            </w:r>
            <w:r>
              <w:t>;</w:t>
            </w:r>
          </w:p>
        </w:tc>
        <w:tc>
          <w:tcPr>
            <w:tcW w:w="4876" w:type="dxa"/>
            <w:tcBorders>
              <w:top w:val="nil"/>
              <w:left w:val="nil"/>
              <w:bottom w:val="nil"/>
              <w:right w:val="nil"/>
            </w:tcBorders>
          </w:tcPr>
          <w:p>
            <w:pPr>
              <w:pStyle w:val="Normal6a"/>
            </w:pPr>
            <w:r>
              <w:t>10.</w:t>
            </w:r>
            <w:r>
              <w:tab/>
            </w:r>
            <w:r>
              <w:t xml:space="preserve">panee lisäksi merkille, että investointeja kiinteistö- ja tietotekniikkahankkeisiin lykättiin ja harjoittelijoiden määrää supistettiin vuonna 2024; </w:t>
            </w:r>
            <w:r>
              <w:rPr>
                <w:b/>
                <w:i/>
              </w:rPr>
              <w:t>varoittaa, että investointien jatkuva lykkääminen</w:t>
            </w:r>
            <w:r>
              <w:t xml:space="preserve"> ja henkilöstön </w:t>
            </w:r>
            <w:r>
              <w:rPr>
                <w:b/>
                <w:i/>
              </w:rPr>
              <w:t>vähentäminen uhkaavat heikentää EUH:n huolenpitovelvollisuutta erityisesti henkilöstön turvallisuuden, mielenterveyden ja turvallisuuden osalta suuririskisissä asemapaikoissa;</w:t>
            </w:r>
            <w:r>
              <w:t xml:space="preserve"> </w:t>
            </w:r>
            <w:r>
              <w:rPr>
                <w:b/>
                <w:i/>
              </w:rPr>
              <w:t>odottaa, että tulevissa talousarviopäätöksissä nämä velvoitteet asetetaan etusijalle</w:t>
            </w:r>
            <w:r>
              <w:t>; odottaa, että EUH:lle vuoden 2025 talousarviossa kohdennettu 10 miljoonan euron lisämäärä auttaa parantamaan EUH:n talousarvion toteuttamista sen 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panee merkille, että varapuheenjohtajan / korkean edustajan alaisuudessa hallinnoidun Euroopan rauhanrahaston rahoituksen enimmäismäärää korotettiin 12 miljardista eurosta vuonna 2023 17 miljardiin euroon vuonna 2024 ja että 5 miljardin euron lisämäärä osoitetaan Ukrainalle tarkoitettuun sotilaalliseen tukeen; kehottaa EUH:ta tekemään yhteistyötä komission laajentumisasioiden ja itäisten naapurialueiden pääosaston (ENEST) kanssa, jotta voidaan varmistaa Euroopan rauhanrahastosta rahoitettavien hankkeiden tuloksellinen valvonta ja seuranta;</w:t>
            </w:r>
          </w:p>
        </w:tc>
        <w:tc>
          <w:tcPr>
            <w:tcW w:w="4876" w:type="dxa"/>
            <w:tcBorders>
              <w:top w:val="nil"/>
              <w:left w:val="nil"/>
              <w:bottom w:val="nil"/>
              <w:right w:val="nil"/>
            </w:tcBorders>
          </w:tcPr>
          <w:p>
            <w:pPr>
              <w:pStyle w:val="Normal6a"/>
            </w:pPr>
            <w:r>
              <w:t>11.</w:t>
            </w:r>
            <w:r>
              <w:tab/>
            </w:r>
            <w:r>
              <w:t xml:space="preserve">panee merkille, että varapuheenjohtajan / korkean edustajan alaisuudessa hallinnoidun Euroopan rauhanrahaston rahoituksen enimmäismäärää korotettiin 12 miljardista eurosta vuonna 2023 17 miljardiin euroon vuonna 2024 ja että 5 miljardin euron lisämäärä osoitetaan Ukrainalle tarkoitettuun sotilaalliseen tukeen; kehottaa EUH:ta tekemään yhteistyötä komission laajentumisasioiden ja itäisten naapurialueiden pääosaston (ENEST) kanssa, jotta voidaan varmistaa Euroopan rauhanrahastosta rahoitettavien hankkeiden tuloksellinen valvonta ja seuranta; </w:t>
            </w:r>
            <w:r>
              <w:rPr>
                <w:b/>
                <w:i/>
              </w:rPr>
              <w:t>toteaa, että Euroopan rauhanrahasto on geopoliittisen kilpailun aikakaudella välttämätön väline, jotta voidaan vahvistaa EU:n roolia turvallisuuden takaajana ja samalla edistää vahvempaa ja yhtenäisempää eurooppalaista puolustusyhteistyötä;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Euroopan rauhanrahaston merkittävä kasvattaminen edellyttää suurempaa avoimuutta ja parlamentaarista valvontaa;</w:t>
            </w:r>
            <w:r>
              <w:t xml:space="preserve"> </w:t>
            </w:r>
            <w:r>
              <w:rPr>
                <w:b/>
                <w:i/>
              </w:rPr>
              <w:t>kehottaa raportoimaan vastuuvapauden myöntävälle viranomaiselle säännöllisesti ja jäsennellysti riskinhallinnasta, seurantajärjestelyistä sekä unionin arvojen ja kansainvälisen humanitaarisen oikeuden noudattamisesta;</w:t>
            </w:r>
            <w:r>
              <w:t xml:space="preserve"> </w:t>
            </w:r>
            <w:r>
              <w:rPr>
                <w:b/>
                <w:i/>
              </w:rPr>
              <w:t>kehottaa ottamaan käyttöön sitovat ihmisoikeusarvioinnit kaikessa Euroopan rauhanrahastosta annettavassa turvallisuusavussa ja sotilaallisessa avussa;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muistuttaa EUH:ta tilintarkastustuomioistuimen suosituksista, joiden mukaan on ratkaisevan tärkeää asettaa Ukrainalle tiukemmat tukiedellytykset, kun tarjotaan institutionaalista tukea oikeus-, lainvalvonta- ja syyttäjälaitoksille, ja korostaa rehellisyyttä ja uudistuksiin sitoutumista koskevia kriteerejä sekä erityisesti Ukrainan korruption torjuntaa koskevia kriteerejä;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EUH:n vuoden 2024 vastuuvapautta koskevaan CONT-valiokunnan kyselyyn, jäljempänä ’kysely’, antamista vastauksista merkille, että EUH käynnisti sekä päätoimipaikassaan että unionin edustustoissa yhteensä 71 hankintamenettelyä, jotka liittyivät arvoltaan suuriin eli Euroopan parlamentin ja neuvoston direktiivissä 2014/24/EU</w:t>
            </w:r>
            <w:r>
              <w:rPr>
                <w:vertAlign w:val="superscript"/>
              </w:rPr>
              <w:t>1</w:t>
            </w:r>
            <w:r>
              <w:t xml:space="preserve">säädetyn </w:t>
            </w:r>
            <w:r>
              <w:rPr>
                <w:b/>
                <w:i/>
              </w:rPr>
              <w:t>143 000</w:t>
            </w:r>
            <w:r>
              <w:t xml:space="preserve"> euron kynnysarvon ylittäviin sopimuksiin, tavara- ja palveluhankintojen osalta vuonna 2024; toteaa, että 63 näistä menettelyistä oli menestyksekkäitä, sillä ne johtivat 63 sopimuksen allekirjoittamiseen, ja 8 menettelyä epäonnistui; panee merkille, että uuden varainhoitoasetuksen tultua voimaan 29. syyskuuta 2024 hankintamenettelyjen hallinnointia kolmansissa maissa sijaitsevissa unionin edustustoissa on yksinkertaistettu ottamalla käyttöön erilliset ylärajat arvoltaan erittäin vähäisille, vähäisille ja keskisuurille sopimuksille, jolloin voitiin puuttua pitkäaikaiseen ongelmaan, joka liittyy paikallisten toimijoiden rajalliseen kykyyn täyttää unionin hankintasääntöjen monimutkaiset vaatimukset; odottaa, että näillä yksinkertaistuksilla voidaan paremmin täyttää niin isäntämaiden kuin unionin edustustojenkin tarpeet hankintamenettelyjen yhteydessä; kehottaa EUH:ta tiedottamaan vastuuvapauden myöntävälle viranomaiselle varainhoitoasetuksen uusien säännösten täytäntöönpanon tuloksista;</w:t>
            </w:r>
          </w:p>
        </w:tc>
        <w:tc>
          <w:tcPr>
            <w:tcW w:w="4876" w:type="dxa"/>
            <w:tcBorders>
              <w:top w:val="nil"/>
              <w:left w:val="nil"/>
              <w:bottom w:val="nil"/>
              <w:right w:val="nil"/>
            </w:tcBorders>
          </w:tcPr>
          <w:p>
            <w:pPr>
              <w:pStyle w:val="Normal6a"/>
            </w:pPr>
            <w:r>
              <w:t>12.</w:t>
            </w:r>
            <w:r>
              <w:tab/>
            </w:r>
            <w:r>
              <w:t>panee EUH:n vuoden 2024 vastuuvapautta koskevaan CONT-valiokunnan kyselyyn, jäljempänä ’kysely’, antamista vastauksista merkille, että EUH käynnisti sekä päätoimipaikassaan että unionin edustustoissa yhteensä 71 hankintamenettelyä, jotka liittyivät arvoltaan suuriin eli Euroopan parlamentin ja neuvoston direktiivissä 2014/24/EU</w:t>
            </w:r>
            <w:r>
              <w:rPr>
                <w:vertAlign w:val="superscript"/>
              </w:rPr>
              <w:t>1</w:t>
            </w:r>
            <w:r>
              <w:t xml:space="preserve"> säädetyn </w:t>
            </w:r>
            <w:r>
              <w:rPr>
                <w:b/>
                <w:i/>
              </w:rPr>
              <w:t>143 000</w:t>
            </w:r>
            <w:r>
              <w:t xml:space="preserve"> euron kynnysarvon ylittäviin sopimuksiin, tavara- ja palveluhankintojen osalta vuonna 2024; toteaa, että 63 näistä menettelyistä oli menestyksekkäitä, sillä ne johtivat 63 sopimuksen allekirjoittamiseen, ja 8 menettelyä epäonnistui; panee merkille, että uuden varainhoitoasetuksen tultua voimaan 29. syyskuuta 2024 hankintamenettelyjen hallinnointia kolmansissa maissa sijaitsevissa unionin edustustoissa on yksinkertaistettu ottamalla käyttöön erilliset ylärajat arvoltaan erittäin vähäisille, vähäisille ja keskisuurille sopimuksille, jolloin voitiin puuttua pitkäaikaiseen ongelmaan, joka liittyy paikallisten toimijoiden rajalliseen kykyyn täyttää unionin hankintasääntöjen monimutkaiset vaatimukset; odottaa, että näillä yksinkertaistuksilla voidaan paremmin täyttää niin isäntämaiden kuin unionin edustustojenkin tarpeet hankintamenettelyjen yhteydessä; </w:t>
            </w:r>
            <w:r>
              <w:rPr>
                <w:b/>
                <w:i/>
              </w:rPr>
              <w:t>korostaa, että hankintamenettelyjen yksinkertaistaminen kolmansissa maissa ei saa koskaan johtaa EU:n hankintanormien alentamiseen eikä sitä voida käyttää perusteena valvonnan vähentämiselle ja että on aina noudatettava korkeimpia normeja avoimuuden ja kilpailun sekä petosten estämisen alalla;</w:t>
            </w:r>
            <w:r>
              <w:t xml:space="preserve"> kehottaa EUH:ta tiedottamaan vastuuvapauden myöntävälle viranomaiselle varainhoitoasetuksen uusien säännösten täytäntöönpanon tuloksista;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direktiivi 2014/24/EU, annettu 26. helmikuuta 2014, julkisista hankinnoista ja direktiivin 2004/18/EY kumoamisesta (EUVL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Euroopan parlamentin ja neuvoston direktiivi 2014/24/EU, annettu 26. helmikuuta 2014, julkisista hankinnoista ja direktiivin 2004/18/EY kumoamisesta (EUVL L 94, 28.3.2014, s.</w:t>
            </w:r>
            <w:r>
              <w:rPr>
                <w:b/>
                <w:i/>
              </w:rPr>
              <w:t> </w:t>
            </w:r>
            <w:r>
              <w:t xml:space="preserve">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EUH:n vuoden 2024 vastuuvapautta koskevaan CONT-valiokunnan kyselyyn, jäljempänä ’kysely’, antamista vastauksista merkille, että EUH käynnisti sekä päätoimipaikassaan että unionin edustustoissa yhteensä 71 hankintamenettelyä, jotka liittyivät arvoltaan suuriin eli Euroopan parlamentin ja neuvoston direktiivissä 2014/24/EU</w:t>
            </w:r>
            <w:r>
              <w:rPr>
                <w:vertAlign w:val="superscript"/>
              </w:rPr>
              <w:t>1</w:t>
            </w:r>
            <w:r>
              <w:t xml:space="preserve">säädetyn </w:t>
            </w:r>
            <w:r>
              <w:rPr>
                <w:b/>
                <w:i/>
              </w:rPr>
              <w:t>143 000</w:t>
            </w:r>
            <w:r>
              <w:t xml:space="preserve"> euron kynnysarvon ylittäviin sopimuksiin, tavara- ja palveluhankintojen osalta vuonna 2024; toteaa, että 63 näistä menettelyistä oli menestyksekkäitä, sillä ne johtivat 63 sopimuksen allekirjoittamiseen, ja 8 menettelyä epäonnistui; panee merkille, että uuden varainhoitoasetuksen tultua voimaan 29. syyskuuta 2024 hankintamenettelyjen hallinnointia kolmansissa maissa sijaitsevissa unionin edustustoissa on yksinkertaistettu ottamalla käyttöön erilliset ylärajat arvoltaan erittäin vähäisille, vähäisille ja keskisuurille sopimuksille, jolloin voitiin puuttua pitkäaikaiseen ongelmaan, joka liittyy paikallisten toimijoiden rajalliseen kykyyn täyttää unionin hankintasääntöjen monimutkaiset vaatimukset; odottaa, että näillä yksinkertaistuksilla voidaan paremmin täyttää niin isäntämaiden kuin unionin edustustojenkin tarpeet hankintamenettelyjen yhteydessä; kehottaa EUH:ta tiedottamaan vastuuvapauden myöntävälle viranomaiselle varainhoitoasetuksen uusien säännösten täytäntöönpanon tuloksista;</w:t>
            </w:r>
          </w:p>
        </w:tc>
        <w:tc>
          <w:tcPr>
            <w:tcW w:w="4876" w:type="dxa"/>
            <w:tcBorders>
              <w:top w:val="nil"/>
              <w:left w:val="nil"/>
              <w:bottom w:val="nil"/>
              <w:right w:val="nil"/>
            </w:tcBorders>
          </w:tcPr>
          <w:p>
            <w:pPr>
              <w:pStyle w:val="Normal6a"/>
            </w:pPr>
            <w:r>
              <w:t>12.</w:t>
            </w:r>
            <w:r>
              <w:tab/>
            </w:r>
            <w:r>
              <w:t>panee EUH:n vuoden 2024 vastuuvapautta koskevaan CONT-valiokunnan kyselyyn, jäljempänä ’kysely’, antamista vastauksista merkille, että EUH käynnisti sekä päätoimipaikassaan että unionin edustustoissa yhteensä 71 hankintamenettelyä, jotka liittyivät arvoltaan suuriin eli Euroopan parlamentin ja neuvoston direktiivissä 2014/24/EU</w:t>
            </w:r>
            <w:r>
              <w:rPr>
                <w:vertAlign w:val="superscript"/>
              </w:rPr>
              <w:t>1</w:t>
            </w:r>
            <w:r>
              <w:t xml:space="preserve"> säädetyn </w:t>
            </w:r>
            <w:r>
              <w:rPr>
                <w:b/>
                <w:i/>
              </w:rPr>
              <w:t>143 000</w:t>
            </w:r>
            <w:r>
              <w:t xml:space="preserve"> euron kynnysarvon ylittäviin sopimuksiin, tavara- ja palveluhankintojen osalta vuonna 2024; toteaa, että 63 näistä menettelyistä oli menestyksekkäitä, sillä ne johtivat 63 sopimuksen allekirjoittamiseen, ja 8 menettelyä epäonnistui; panee merkille, että uuden varainhoitoasetuksen tultua voimaan 29. syyskuuta 2024 hankintamenettelyjen hallinnointia kolmansissa maissa sijaitsevissa unionin edustustoissa on yksinkertaistettu ottamalla käyttöön erilliset ylärajat arvoltaan erittäin vähäisille, vähäisille ja keskisuurille sopimuksille, jolloin voitiin puuttua pitkäaikaiseen ongelmaan, joka liittyy paikallisten toimijoiden rajalliseen kykyyn täyttää unionin hankintasääntöjen monimutkaiset vaatimukset; odottaa, että näillä yksinkertaistuksilla voidaan paremmin täyttää niin isäntämaiden kuin unionin edustustojenkin tarpeet hankintamenettelyjen yhteydessä; kehottaa EUH:ta tiedottamaan vastuuvapauden myöntävälle viranomaiselle varainhoitoasetuksen uusien säännösten täytäntöönpanon tuloksista; </w:t>
            </w:r>
            <w:r>
              <w:rPr>
                <w:b/>
                <w:i/>
              </w:rPr>
              <w:t>korostaa, että yksinkertaistetut hankintasäännöt kolmansissa maissa eivät saa johtaa avoimuus-, kilpailu- tai petostentorjuntatakeiden heikkenemiseen;</w:t>
            </w:r>
            <w:r>
              <w:t xml:space="preserve"> </w:t>
            </w:r>
            <w:r>
              <w:rPr>
                <w:b/>
                <w:i/>
              </w:rPr>
              <w:t>kehottaa EUH:ta arvioimaan näiden muutosten vaikutusta virhetasoihin ja integriteettiä koskeviin riskeihin ja raportoimaan siitä;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direktiivi 2014/24/EU, annettu 26. helmikuuta 2014, julkisista hankinnoista ja direktiivin 2004/18/EY kumoamisesta (EUVL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Euroopan parlamentin ja neuvoston direktiivi 2014/24/EU, annettu 26. helmikuuta 2014, julkisista hankinnoista ja direktiivin 2004/18/EY kumoamisesta (EUVL L 94, 28.3.2014, s.</w:t>
            </w:r>
            <w:r>
              <w:rPr>
                <w:b/>
                <w:i/>
              </w:rPr>
              <w:t> </w:t>
            </w:r>
            <w:r>
              <w:t xml:space="preserve">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panee merkille, että vuonna 2024 perustettiin erityinen työryhmä parantamaan EUH:n hankintamenettelyjä sekä päätoimipaikassa että edustustoissa;</w:t>
            </w:r>
            <w:r>
              <w:t xml:space="preserve"> </w:t>
            </w:r>
            <w:r>
              <w:rPr>
                <w:b/>
                <w:i/>
              </w:rPr>
              <w:t>on tietoinen siitä, että sisäisen tarkastuksen osasto toteutti vuonna 2024 neuvontatoimeksiannon, jonka tarkoituksena oli tehdä hankintaprosessista riippumaton arviointi, jonka tuloksista keskustellaan parhaillaan asiasta vastaavien yksiköiden kanssa;</w:t>
            </w:r>
            <w:r>
              <w:t xml:space="preserve"> </w:t>
            </w:r>
            <w:r>
              <w:rPr>
                <w:b/>
                <w:i/>
              </w:rPr>
              <w:t>kehottaa EUH:ta julkistamaan tämän arvioinnin päätelmät sekä luettelon toimenpiteistä, joita on toteutettu havaittuihin haasteisiin vastaamiseksi;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panee kyselystä merkille, että virkamatkojen määrärahat olivat 21 582 843 euroa vuonna 2024, mikä merkitsee noin 2,33 prosentin lisäystä verrattuna 21 091 935 euroon (päivitetty luku) vuonna 2023; panee merkille, että EUH:lla ei ole erillistä budjettikohtaa varapuheenjohtajan / korkean edustajan virkamatkoja varten ja että varapuheenjohtajan / korkean edustajan matkakustannukset jaetaan EUH:n ja komission kesken matkan tarkoituksesta riippuen; panee kuitenkin EUH:n vastauksena parlamentin vuoden 2023 vastuuvapauspäätöslauselmassa esittämiin huomautuksiin antamasta seurantaraportista, jäljempänä ’seurantaraportti’, merkille, että EUH:n sisäisessä hallintojärjestelmässä erotetaan toisistaan varapuheenjohtajan / korkean edustajan virkamatkat ja hänen mukanaan matkustavien kollegojen matkat virkamatkoihin liittyvän varsinaisen budjettikohdan erityismäärärahassa; panee kyselystä lisäksi merkille, ettei tehtävänsä jättävä varapuheenjohtaja / korkea edustaja eikä myöskään vasta nimitetty varapuheenjohtaja / korkea edustaja tehnyt lainkaan EUH:n rahoittamia virkamatkoja vuonna 2024; on saanut seurantaraportista sellaisen käsityksen, että varapuheenjohtajalla / korkealla edustajalla on kilpailevia menoja ja hyvin tiukka aikataulu, jonka geopoliittinen tilanne usein sanelee, minkä vuoksi hänen on joskus mahdotonta matkustaa reittilennoilla tai käyttää muita kulkuvälineitä täyttääkseen ammatilliset velvoitteensa; korostaa silti, että unionin toimielinten johtajien olisi näytettävä hyvää esimerkkiä yleisölle ja kansalaisille, etenkin kun he käyttävät unionin resursseja tehtäviensä hoitamiseen; korostaa, että lentovaihtoehdot olisi valittava moitteettoman varainhoidon kriteerien mukaisesti edellyttäen, että tällaisia vaihtoehtoja on saatavilla, ja kokousten asialista ja kokouspaikka huomioon ottaen; korostaa, että avoimuus ja moitteeton varainhoito unionin julkisten varojen käytössä on säilytettävä unionin kaikkien toimielinten keskeisenä periaatteena;</w:t>
            </w:r>
          </w:p>
        </w:tc>
        <w:tc>
          <w:tcPr>
            <w:tcW w:w="4876" w:type="dxa"/>
            <w:tcBorders>
              <w:top w:val="nil"/>
              <w:left w:val="nil"/>
              <w:bottom w:val="nil"/>
              <w:right w:val="nil"/>
            </w:tcBorders>
          </w:tcPr>
          <w:p>
            <w:pPr>
              <w:pStyle w:val="Normal6a"/>
            </w:pPr>
            <w:r>
              <w:t>14.</w:t>
            </w:r>
            <w:r>
              <w:tab/>
            </w:r>
            <w:r>
              <w:t xml:space="preserve">panee kyselystä merkille, että virkamatkojen määrärahat olivat 21 582 843 euroa vuonna 2024, mikä merkitsee noin 2,33 prosentin lisäystä verrattuna 21 091 935 euroon (päivitetty luku) vuonna 2023; panee merkille, että EUH:lla ei ole erillistä budjettikohtaa varapuheenjohtajan / korkean edustajan virkamatkoja varten ja että varapuheenjohtajan / korkean edustajan matkakustannukset jaetaan EUH:n ja komission kesken matkan tarkoituksesta riippuen; panee kuitenkin EUH:n vastauksena parlamentin vuoden 2023 vastuuvapauspäätöslauselmassa esittämiin huomautuksiin antamasta seurantaraportista, jäljempänä ’seurantaraportti’, merkille, että EUH:n sisäisessä hallintojärjestelmässä erotetaan toisistaan varapuheenjohtajan / korkean edustajan virkamatkat ja hänen mukanaan matkustavien kollegojen matkat virkamatkoihin liittyvän varsinaisen budjettikohdan erityismäärärahassa; panee kyselystä lisäksi merkille, ettei tehtävänsä jättävä varapuheenjohtaja / korkea edustaja eikä myöskään vasta nimitetty varapuheenjohtaja / korkea edustaja tehnyt lainkaan EUH:n rahoittamia virkamatkoja vuonna 2024; on saanut seurantaraportista sellaisen käsityksen, että varapuheenjohtajalla / korkealla edustajalla on kilpailevia menoja ja hyvin tiukka aikataulu, jonka geopoliittinen tilanne usein sanelee, minkä vuoksi hänen on joskus mahdotonta matkustaa reittilennoilla tai käyttää muita kulkuvälineitä täyttääkseen ammatilliset velvoitteensa; korostaa silti, että unionin toimielinten johtajien olisi näytettävä hyvää esimerkkiä yleisölle ja kansalaisille, etenkin kun he käyttävät unionin resursseja tehtäviensä hoitamiseen; korostaa, että lentovaihtoehdot olisi valittava moitteettoman varainhoidon kriteerien mukaisesti edellyttäen, että tällaisia vaihtoehtoja on saatavilla, ja kokousten asialista ja kokouspaikka huomioon ottaen; korostaa, että avoimuus ja moitteeton varainhoito unionin julkisten varojen käytössä on säilytettävä unionin kaikkien toimielinten keskeisenä periaatteena; </w:t>
            </w:r>
            <w:r>
              <w:rPr>
                <w:b/>
                <w:i/>
              </w:rPr>
              <w:t>kehottaa EUH:ta sisällyttämään ympäristönäkökohdat järjestelmällisesti matkasuunnitteluun, myös asettamalla mahdollisuuksien mukaan etusijalle junamatkat ja turistiluokan lennot, ja raportoimaan vastuuvapauden myöntävälle viranomaiselle saavutetusta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toteaa, että vuonna 2024 EUH kohtasi edelleen kasvavia poliittisia ja rahoitukseen liittyviä haasteita sekä haasteita ihmisoikeuksien ja oikeusvaltion alalla; huomauttaa, että Venäjän hyökkäyssota Ukrainaa vastaan ja sen geopoliittiset seuraukset olivat vuonna 2024 edelleen keskeinen kysymys; korostaa tässä yhteydessä, että on tärkeää ja välttämätöntä, että EUH on avainasemassa kehitettäessä unionin strategista autonomiaa, joka olisi turvattava myös torjumalla ulkomaista tiedonmanipulointia ja häirintää (FIMI) sekä disinformaatiokampanjoita; toteaa, että vuonna 2024 EUH julkaisi toisen FIMI‑uhkia käsittelevän raporttinsa, jossa annettiin yksityiskohtaista tietoa 750 tapauksesta ja paljastettiin nk. False Façade -operaatio (Venäjää myötäilevien tahojen toteuttama tiedonpesuhanke), käytti nopeaa hälytysjärjestelmää FIMI-toimintaa koskevana keskitettynä koordinointimekanismina EU-vaalien rehellisyyden suojaamiseksi</w:t>
            </w:r>
            <w:r>
              <w:rPr>
                <w:b/>
                <w:i/>
              </w:rPr>
              <w:t>, julkisti välineistön</w:t>
            </w:r>
            <w:r>
              <w:t xml:space="preserve"> henkilöllisyysperusteisen FIMI-toiminnan havaitsemiseksi, </w:t>
            </w:r>
            <w:r>
              <w:rPr>
                <w:b/>
                <w:i/>
              </w:rPr>
              <w:t>järjesti vuotuisen</w:t>
            </w:r>
            <w:r>
              <w:t xml:space="preserve"> korkean tason </w:t>
            </w:r>
            <w:r>
              <w:rPr>
                <w:b/>
                <w:i/>
              </w:rPr>
              <w:t>FIMI-konferenssin, laati</w:t>
            </w:r>
            <w:r>
              <w:t xml:space="preserve"> yhteisen turvallisuus- ja puolustuspolitiikan (YTPP) alan </w:t>
            </w:r>
            <w:r>
              <w:rPr>
                <w:b/>
                <w:i/>
              </w:rPr>
              <w:t>FIMI-käsikirjan</w:t>
            </w:r>
            <w:r>
              <w:t xml:space="preserve">, jotta voitaisiin lujittaa YTPP-operaatioiden valmiuksia havaita FIMI-hyökkäyksiä ja vastata niihin, ja </w:t>
            </w:r>
            <w:r>
              <w:rPr>
                <w:b/>
                <w:i/>
              </w:rPr>
              <w:t>auttoi</w:t>
            </w:r>
            <w:r>
              <w:t xml:space="preserve"> lujittamaan tiedotusvälineiden häiriönsietokykyä Kosovossa pidetyssä Connecting Media Communities -tapahtumassa, johon osallistui 130 toimittajaa ja faktantarkistajaa; antaa EUH:lle tunnustusta sen EUvsDisinfo-kampanjasta, jossa on analysoitu ja paljastettu Venäjän FIMI-toimintaa vuonna 2024; panee huolestuneena merkille, että Venäjää myötäilevään disinformaatioon liittyviä tapauksia kirjattiin yli 18 000; panee merkille, että joissakin unionin edustustoissa on strategisesta viestinnästä vastaava henkilö, jonka tehtävänä on analysoida FIMI-toimintaa ja puuttua siihen mutta että tiedustelutiedon keruuvalmiudet ovat yhä jäsenvaltioiden vastuulla; antaa EUH:lle tunnustusta siitä, että se on perustanut FIMI-toimintaan liittyvän tietojen jakamisen ja analysoinnin keskuksen parantaakseen yhteistyötä ja yhteistä tilannetietoisuutta; toteaa, että näillä toimilla, joita tuettiin strategisen viestinnän valmiuksien vahvistetuilla 6,12 miljoonan euron määrärahoilla vuonna 2024, varmistettiin entistä varmempi, koordinoidumpi ja kattavampi unionin laajuinen reagointi FIMI-uhkiin; kannustaa edelleen kehittämään ja laajentamaan nk. FIMI-puolustajien verkostoa valmiuksien kehittämiseen tähtäävillä aloitteilla;</w:t>
            </w:r>
          </w:p>
        </w:tc>
        <w:tc>
          <w:tcPr>
            <w:tcW w:w="4876" w:type="dxa"/>
            <w:tcBorders>
              <w:top w:val="nil"/>
              <w:left w:val="nil"/>
              <w:bottom w:val="nil"/>
              <w:right w:val="nil"/>
            </w:tcBorders>
          </w:tcPr>
          <w:p>
            <w:pPr>
              <w:pStyle w:val="Normal6a"/>
            </w:pPr>
            <w:r>
              <w:t>15.</w:t>
            </w:r>
            <w:r>
              <w:tab/>
            </w:r>
            <w:r>
              <w:t>toteaa, että vuonna 2024 EUH kohtasi edelleen kasvavia poliittisia ja rahoitukseen liittyviä haasteita sekä haasteita ihmisoikeuksien ja oikeusvaltion alalla</w:t>
            </w:r>
            <w:r>
              <w:rPr>
                <w:b/>
                <w:i/>
              </w:rPr>
              <w:t> yhä epävakaammassa geopoliittisessa ympäristössä, jota leimaavat demokraattisiin järjestelmiin kohdistuvat lisääntyneet hybridiuhat</w:t>
            </w:r>
            <w:r>
              <w:t xml:space="preserve">; huomauttaa, että Venäjän </w:t>
            </w:r>
            <w:r>
              <w:rPr>
                <w:b/>
                <w:i/>
              </w:rPr>
              <w:t>laiton</w:t>
            </w:r>
            <w:r>
              <w:t xml:space="preserve"> hyökkäyssota Ukrainaa vastaan ja sen geopoliittiset seuraukset olivat vuonna 2024 edelleen keskeinen kysymys; korostaa tässä yhteydessä, että on tärkeää ja välttämätöntä, että EUH on </w:t>
            </w:r>
            <w:r>
              <w:rPr>
                <w:b/>
                <w:i/>
              </w:rPr>
              <w:t>keskeisessä ja vahvistetussa</w:t>
            </w:r>
            <w:r>
              <w:t xml:space="preserve"> avainasemassa kehitettäessä unionin strategista autonomiaa</w:t>
            </w:r>
            <w:r>
              <w:rPr>
                <w:b/>
                <w:i/>
              </w:rPr>
              <w:t>, häiriönsietokykyä ja turvallisuutta</w:t>
            </w:r>
            <w:r>
              <w:t xml:space="preserve">, joka olisi turvattava myös torjumalla ulkomaista tiedonmanipulointia ja häirintää (FIMI) sekä disinformaatiokampanjoita </w:t>
            </w:r>
            <w:r>
              <w:rPr>
                <w:b/>
                <w:i/>
              </w:rPr>
              <w:t>järjestelmällisesti ja määrätietoisesti</w:t>
            </w:r>
            <w:r>
              <w:t xml:space="preserve">; toteaa, että vuonna 2024 EUH julkaisi toisen FIMI‑uhkia käsittelevän raporttinsa, jossa annettiin yksityiskohtaista tietoa 750 tapauksesta ja paljastettiin nk. False Façade -operaatio (Venäjää myötäilevien tahojen toteuttama tiedonpesuhanke), </w:t>
            </w:r>
            <w:r>
              <w:rPr>
                <w:b/>
                <w:i/>
              </w:rPr>
              <w:t>mikä edistää julkista syyllisyyden osoittamista ja strategista tietoisuutta vihamielisestä valtion tukemasta sekaantumisesta, ja</w:t>
            </w:r>
            <w:r>
              <w:t xml:space="preserve"> käytti nopeaa hälytysjärjestelmää FIMI-toimintaa koskevana keskitettynä koordinointimekanismina EU-vaalien rehellisyyden suojaamiseksi</w:t>
            </w:r>
            <w:r>
              <w:rPr>
                <w:b/>
                <w:i/>
              </w:rPr>
              <w:t>; panee tyytyväisenä merkille, että julkistettiin välineistö</w:t>
            </w:r>
            <w:r>
              <w:t xml:space="preserve"> henkilöllisyysperusteisen FIMI-toiminnan havaitsemiseksi, </w:t>
            </w:r>
            <w:r>
              <w:rPr>
                <w:b/>
                <w:i/>
              </w:rPr>
              <w:t>järjestettiin vuotuinen</w:t>
            </w:r>
            <w:r>
              <w:t xml:space="preserve"> korkean tason </w:t>
            </w:r>
            <w:r>
              <w:rPr>
                <w:b/>
                <w:i/>
              </w:rPr>
              <w:t>FIMI-konferenssi, laadittiin</w:t>
            </w:r>
            <w:r>
              <w:t xml:space="preserve"> yhteisen turvallisuus- ja puolustuspolitiikan (YTPP) alan </w:t>
            </w:r>
            <w:r>
              <w:rPr>
                <w:b/>
                <w:i/>
              </w:rPr>
              <w:t>FIMI-käsikirja</w:t>
            </w:r>
            <w:r>
              <w:t xml:space="preserve">, jotta voitaisiin lujittaa YTPP-operaatioiden valmiuksia havaita FIMI-hyökkäyksiä ja vastata niihin, ja </w:t>
            </w:r>
            <w:r>
              <w:rPr>
                <w:b/>
                <w:i/>
              </w:rPr>
              <w:t>autettiin</w:t>
            </w:r>
            <w:r>
              <w:t xml:space="preserve"> lujittamaan tiedotusvälineiden häiriönsietokykyä Kosovossa pidetyssä Connecting Media Communities -tapahtumassa, johon osallistui 130 toimittajaa ja faktantarkistajaa; antaa EUH:lle </w:t>
            </w:r>
            <w:r>
              <w:rPr>
                <w:b/>
                <w:i/>
              </w:rPr>
              <w:t>merkittävää</w:t>
            </w:r>
            <w:r>
              <w:t xml:space="preserve"> tunnustusta sen EUvsDisinfo-kampanjasta, jossa on analysoitu ja paljastettu Venäjän FIMI-toimintaa vuonna 2024; panee huolestuneena merkille, että Venäjää myötäilevään disinformaatioon liittyviä tapauksia kirjattiin yli 18 000</w:t>
            </w:r>
            <w:r>
              <w:rPr>
                <w:b/>
                <w:i/>
              </w:rPr>
              <w:t>, mikä vahvistaa erityisesti Venäjän yhdessä muiden vihamielisten toimijoiden kanssa aiheuttaman uhan laajuuden, pysyvyyden ja strategisen luonteen</w:t>
            </w:r>
            <w:r>
              <w:t>; panee merkille, että joissakin unionin edustustoissa on strategisesta viestinnästä vastaava henkilö, jonka tehtävänä on analysoida FIMI-toimintaa ja puuttua siihen mutta että tiedustelutiedon keruuvalmiudet ovat yhä jäsenvaltioiden vastuulla</w:t>
            </w:r>
            <w:r>
              <w:rPr>
                <w:b/>
                <w:i/>
              </w:rPr>
              <w:t>;</w:t>
            </w:r>
            <w:r>
              <w:t xml:space="preserve"> </w:t>
            </w:r>
            <w:r>
              <w:rPr>
                <w:b/>
                <w:i/>
              </w:rPr>
              <w:t>korostaa siksi tarvetta vahvistaa koordinointia ja jäsenneltyä tietojenvaihtoa ja toteuttaa tiiviimpää yhteistyötä jäsenvaltioiden ja luotettavien kumppanien kanssa</w:t>
            </w:r>
            <w:r>
              <w:t xml:space="preserve">; antaa EUH:lle tunnustusta siitä, että se on perustanut FIMI-toimintaan liittyvän tietojen jakamisen ja analysoinnin keskuksen parantaakseen yhteistyötä ja yhteistä tilannetietoisuutta; toteaa, että näillä toimilla, joita tuettiin strategisen viestinnän valmiuksien vahvistetuilla 6,12 miljoonan euron määrärahoilla vuonna 2024, varmistettiin entistä varmempi, koordinoidumpi ja kattavampi unionin laajuinen reagointi FIMI-uhkiin; </w:t>
            </w:r>
            <w:r>
              <w:rPr>
                <w:b/>
                <w:i/>
              </w:rPr>
              <w:t>korostaa, että jatkuva ja ennakoitavissa oleva rahoitus on olennaisen tärkeää, jotta voidaan varmistaa jatkuvuus ja tehokkuus hybridiuhkien torjunnassa;</w:t>
            </w:r>
            <w:r>
              <w:t xml:space="preserve"> kannustaa edelleen kehittämään ja laajentamaan nk. FIMI-puolustajien verkostoa valmiuksien kehittämiseen tähtäävillä aloitteilla;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toteaa, että vuonna 2024 EUH kohtasi edelleen kasvavia poliittisia ja rahoitukseen liittyviä haasteita sekä haasteita ihmisoikeuksien ja oikeusvaltion alalla; huomauttaa, että Venäjän hyökkäyssota Ukrainaa vastaan ja sen geopoliittiset seuraukset olivat vuonna 2024 edelleen keskeinen kysymys; korostaa tässä yhteydessä, että on tärkeää ja välttämätöntä, että EUH on avainasemassa kehitettäessä unionin strategista autonomiaa, joka olisi turvattava myös torjumalla ulkomaista tiedonmanipulointia ja häirintää (FIMI) sekä disinformaatiokampanjoita; toteaa, että vuonna 2024 EUH julkaisi toisen </w:t>
            </w:r>
            <w:r>
              <w:rPr>
                <w:b/>
                <w:i/>
              </w:rPr>
              <w:t>FIMI‑uhkia</w:t>
            </w:r>
            <w:r>
              <w:t xml:space="preserve"> käsittelevän raporttinsa, jossa annettiin yksityiskohtaista tietoa 750 tapauksesta ja paljastettiin nk. False Façade -operaatio (Venäjää myötäilevien tahojen toteuttama tiedonpesuhanke), käytti nopeaa hälytysjärjestelmää FIMI-toimintaa koskevana keskitettynä koordinointimekanismina EU-vaalien rehellisyyden suojaamiseksi, julkisti välineistön henkilöllisyysperusteisen FIMI-toiminnan havaitsemiseksi, järjesti vuotuisen korkean tason FIMI-konferenssin, laati yhteisen turvallisuus- ja puolustuspolitiikan (YTPP) alan FIMI-käsikirjan, jotta voitaisiin lujittaa YTPP-operaatioiden valmiuksia havaita FIMI-hyökkäyksiä ja vastata niihin, ja auttoi lujittamaan tiedotusvälineiden häiriönsietokykyä Kosovossa pidetyssä Connecting Media Communities -tapahtumassa, johon osallistui 130 toimittajaa ja faktantarkistajaa; antaa EUH:lle tunnustusta sen EUvsDisinfo-kampanjasta, jossa on analysoitu ja paljastettu Venäjän FIMI-toimintaa vuonna 2024; panee huolestuneena merkille, että Venäjää myötäilevään disinformaatioon liittyviä tapauksia kirjattiin yli </w:t>
            </w:r>
            <w:r>
              <w:rPr>
                <w:b/>
                <w:i/>
              </w:rPr>
              <w:t>18 000</w:t>
            </w:r>
            <w:r>
              <w:t>; panee merkille, että joissakin unionin edustustoissa on strategisesta viestinnästä vastaava henkilö, jonka tehtävänä on analysoida FIMI-toimintaa ja puuttua siihen mutta että tiedustelutiedon keruuvalmiudet ovat yhä jäsenvaltioiden vastuulla; antaa EUH:lle tunnustusta siitä, että se on perustanut FIMI-toimintaan liittyvän tietojen jakamisen ja analysoinnin keskuksen parantaakseen yhteistyötä ja yhteistä tilannetietoisuutta; toteaa, että näillä toimilla, joita tuettiin strategisen viestinnän valmiuksien vahvistetuilla 6,12 miljoonan euron määrärahoilla vuonna 2024, varmistettiin entistä varmempi, koordinoidumpi ja kattavampi unionin laajuinen reagointi FIMI-uhkiin; kannustaa edelleen kehittämään ja laajentamaan nk. FIMI-puolustajien verkostoa valmiuksien kehittämiseen tähtäävillä aloitteilla;</w:t>
            </w:r>
          </w:p>
        </w:tc>
        <w:tc>
          <w:tcPr>
            <w:tcW w:w="4876" w:type="dxa"/>
            <w:tcBorders>
              <w:top w:val="nil"/>
              <w:left w:val="nil"/>
              <w:bottom w:val="nil"/>
              <w:right w:val="nil"/>
            </w:tcBorders>
          </w:tcPr>
          <w:p>
            <w:pPr>
              <w:pStyle w:val="Normal6a"/>
            </w:pPr>
            <w:r>
              <w:t>15.</w:t>
            </w:r>
            <w:r>
              <w:tab/>
            </w:r>
            <w:r>
              <w:t xml:space="preserve">toteaa, että vuonna 2024 EUH kohtasi edelleen kasvavia poliittisia ja rahoitukseen liittyviä haasteita sekä haasteita ihmisoikeuksien ja oikeusvaltion alalla; huomauttaa, että Venäjän hyökkäyssota Ukrainaa vastaan ja sen geopoliittiset seuraukset olivat vuonna 2024 edelleen keskeinen kysymys; korostaa tässä yhteydessä, että on tärkeää ja välttämätöntä, että EUH on avainasemassa kehitettäessä unionin strategista autonomiaa, joka olisi turvattava myös torjumalla ulkomaista tiedonmanipulointia ja häirintää (FIMI) sekä disinformaatiokampanjoita; toteaa, että vuonna 2024 EUH julkaisi toisen </w:t>
            </w:r>
            <w:r>
              <w:rPr>
                <w:b/>
                <w:i/>
              </w:rPr>
              <w:t>FIMI-uhkia</w:t>
            </w:r>
            <w:r>
              <w:t xml:space="preserve"> käsittelevän raporttinsa, jossa annettiin yksityiskohtaista tietoa 750 tapauksesta ja paljastettiin nk. False Façade -operaatio (Venäjää myötäilevien tahojen toteuttama tiedonpesuhanke), käytti nopeaa hälytysjärjestelmää FIMI-toimintaa koskevana keskitettynä koordinointimekanismina EU-vaalien rehellisyyden suojaamiseksi, julkisti välineistön henkilöllisyysperusteisen FIMI-toiminnan havaitsemiseksi, järjesti vuotuisen korkean tason FIMI-konferenssin, laati yhteisen turvallisuus- ja puolustuspolitiikan (YTPP) alan FIMI-käsikirjan, jotta voitaisiin lujittaa YTPP-operaatioiden valmiuksia havaita FIMI-hyökkäyksiä ja vastata niihin, ja auttoi lujittamaan tiedotusvälineiden häiriönsietokykyä Kosovossa pidetyssä Connecting Media Communities -tapahtumassa, johon osallistui 130 toimittajaa ja faktantarkistajaa; antaa EUH:lle tunnustusta sen EUvsDisinfo-kampanjasta, jossa on analysoitu ja paljastettu Venäjän FIMI-toimintaa vuonna 2024; panee huolestuneena merkille, että Venäjää myötäilevään disinformaatioon liittyviä tapauksia kirjattiin yli </w:t>
            </w:r>
            <w:r>
              <w:rPr>
                <w:b/>
                <w:i/>
              </w:rPr>
              <w:t>18 000</w:t>
            </w:r>
            <w:r>
              <w:t xml:space="preserve">; panee merkille, että joissakin unionin edustustoissa on strategisesta viestinnästä vastaava henkilö, jonka tehtävänä on analysoida FIMI-toimintaa ja puuttua siihen mutta että tiedustelutiedon keruuvalmiudet ovat yhä jäsenvaltioiden vastuulla; antaa EUH:lle tunnustusta siitä, että se on perustanut FIMI-toimintaan liittyvän tietojen jakamisen ja analysoinnin keskuksen parantaakseen yhteistyötä ja yhteistä tilannetietoisuutta; toteaa, että näillä toimilla, joita tuettiin strategisen viestinnän valmiuksien vahvistetuilla 6,12 miljoonan euron määrärahoilla vuonna 2024, varmistettiin entistä varmempi, koordinoidumpi ja kattavampi unionin laajuinen reagointi FIMI-uhkiin; kannustaa edelleen kehittämään ja laajentamaan nk. FIMI-puolustajien verkostoa valmiuksien kehittämiseen tähtäävillä aloitteilla; </w:t>
            </w:r>
            <w:r>
              <w:rPr>
                <w:b/>
                <w:i/>
              </w:rPr>
              <w:t>korostaa siksi tarvetta tarjota riittävät resurssit EUH:n strategisen viestinnän ja ennakoinnin osastolle, jotta voidaan torjua tehokkaasti autoritaaristen ja epäliberaalien hallintojen strategisesti käyttämiä EU:n vastaisia disinformaatiokampanjoita ja narratiiveja, joilla pyritään heikentämään EU:n ulkoista toimintaa kolmansissa maissa;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palauttaa mieliin strategisessa kompassissa esitetyt ja Euroopan parlamentin antamat kehotukset vahvistaa unionin tiedustelu- ja tilannetietoisuusvalmiuksia;</w:t>
            </w:r>
            <w:r>
              <w:t xml:space="preserve"> </w:t>
            </w:r>
            <w:r>
              <w:rPr>
                <w:b/>
                <w:i/>
              </w:rPr>
              <w:t>korostaa, että unionin kasvavat analyysi- ja kriisinhallintatarpeet edellyttävät Euroopan unionin tiedusteluanalyysikeskukselle (EU INTCEN) ja EUH:n kriisinhallintakeskukselle osoitettujen resurssien lisäämistä, jotta voidaan varmistaa, että niillä on riittävät valmiudet täyttää tehtävänsä yhä monimutkaisemmassa ja vaativammassa geopoliittisessa ympäristössä;</w:t>
            </w:r>
            <w:r>
              <w:t xml:space="preserve"> </w:t>
            </w:r>
            <w:r>
              <w:rPr>
                <w:b/>
                <w:i/>
              </w:rPr>
              <w:t>korostaa EU INTCENin keskeistä roolia yhdennettyjen, kaikki lähteet kattavien analyyttisten arviointien tekemisessä YUTP:tä ja YTPP:tä koskevan päätöksenteon tueksi ja painottaa EU:n edustustojen verkoston potentiaalia keskeisenä tilannetietoisuuden edistäjänä, kun otetaan huomioon kentällä jo saatavilla olevat asiaankuuluvat tiedot, sanotun kuitenkaan rajoittamatta jäsenvaltioiden toimivaltaa;</w:t>
            </w:r>
            <w:r>
              <w:t xml:space="preserve"> </w:t>
            </w:r>
            <w:r>
              <w:rPr>
                <w:b/>
                <w:i/>
              </w:rPr>
              <w:t>katsoo, että selkeämpi ja näkyvämpi määrärahojen kohdentaminen EU INTCENille voisi helpottaa avoimuuden, demokraattisen valvonnan ja vastuuvelvollisuuden lisäämistä vastuuvapausmenettelyssä;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suhtautuu myönteisesti eurooppalaisen demokratian kilven luomiseen ja demokratioiden selviytymiskyvyn keskuksen perustamiseen tärkeinä toimina, joilla vahvistetaan EU:n valmiuksia torjua FIMI-toimintaa;</w:t>
            </w:r>
            <w:r>
              <w:t xml:space="preserve"> </w:t>
            </w:r>
            <w:r>
              <w:rPr>
                <w:b/>
                <w:i/>
              </w:rPr>
              <w:t>suhtautuu myönteisesti aikomukseen laajentaa ehdotettu eurooppalainen demokratian kilpi koskemaan liittymisneuvotteluja käyviä maita ja vahvistaa siten niiden valmiuksia vastata FIMI-toiminnan ja disinformaatiokampanjoiden kaltaisiin uhkiin;</w:t>
            </w:r>
            <w:r>
              <w:t xml:space="preserve"> </w:t>
            </w:r>
            <w:r>
              <w:rPr>
                <w:b/>
                <w:i/>
              </w:rPr>
              <w:t>kehottaa komissiota ja EUH:ta syventämään yhteistyötä haavoittuvassa asemassa olevien laajentumismaiden kanssa tietoon liittyvän häiriönsietokyvyn, kyberturvallisuuden ja hybridiuhkien yhteydessä;</w:t>
            </w:r>
            <w:r>
              <w:t xml:space="preserve"> </w:t>
            </w:r>
            <w:r>
              <w:rPr>
                <w:b/>
                <w:i/>
              </w:rPr>
              <w:t>kehottaa EUH:ta ja kolmansissa maissa sijaitsevia EU:n edustustoja vahvistamaan edelleen valmiuksiaan torjua EU:n YUTP:n vastaista disinformaatiota ja propagandaa muun muassa investoimalla viestintäkampanjoihin ulkomaisen vaikuttamisen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korostaa tarvetta turvata EUH:n strategisen viestinnän ja ennakoinnin osaston riittävät resurssit, jotta voidaan torjua disinformaatiota, jota autoritaariset hallinnot ja etenkin Venäjä käyttävät;</w:t>
            </w:r>
            <w:r>
              <w:t xml:space="preserve"> </w:t>
            </w:r>
            <w:r>
              <w:rPr>
                <w:b/>
                <w:i/>
              </w:rPr>
              <w:t>muistuttaa, että Venäjään kytköksissä olevat toimijat ovat Moldovassa ja Ukrainassa välineellistäneet uskontoa, mukaan lukien Moskovan patriarkaatin alainen ortodoksikirkko, heikentääkseen demokratioiden selviytymiskykyä;</w:t>
            </w:r>
            <w:r>
              <w:t xml:space="preserve"> </w:t>
            </w:r>
            <w:r>
              <w:rPr>
                <w:b/>
                <w:i/>
              </w:rPr>
              <w:t>korostaa, että on tärkeää vahvistaa uskontoon perustuvaa diplomatiaa EU:n ulkoisessa toiminnassa, ja kehottaa luomaan erityisen EUH:n budjettikohdan vuoropuhelun tukemiseksi, uskontojen välisen suvaitsevaisuuden edistämiseksi ja uskonnon geopoliittisen väärinkäytön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muistuttaa komissiota parlamentin kehotuksesta tarjota EUH:n henkilöstölle asianmukaiset välineet, jotta voidaan käydä vuoropuhelua uskonnonvapaudesta ja jotta siitä voidaan tehdä keskeinen painopiste ulkosuhteissa</w:t>
            </w:r>
            <w:r>
              <w:rPr>
                <w:b/>
                <w:i/>
                <w:vertAlign w:val="superscript"/>
              </w:rPr>
              <w:t>1 a</w:t>
            </w:r>
            <w:r>
              <w:rPr>
                <w:b/>
                <w:i/>
              </w:rPr>
              <w:t>;</w:t>
            </w:r>
            <w:r>
              <w:t xml:space="preserve"> </w:t>
            </w:r>
            <w:r>
              <w:rPr>
                <w:b/>
                <w:i/>
              </w:rPr>
              <w:t>kehottaa EUH:ta reagoimaan tähän pyyntöön päättäväisesti ja antamaan sille tarvittavalla tasolla olevat resurssit;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Päätöslauselma P10_TA(2025)0086, 83 kohta.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kehottaa toimielintä arvioimaan, miten korruption ja petosten välttämistä koskeva EUH:n sääntelykehys on epäonnistunut, sillä se on mahdollistanut toimielinten virkamiesten aktiivisen osallistumisen korruptioon ja rahanpesuun jopa toimielinten hallinnon ylimmillä tasoilla useiden vuosien ajan paljastumatta;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kehottaa EUH:ta varmistamaan, että FIMI-toiminnan vastaiset valmiudet juurrutetaan järjestelmään rakenteellisesti ja että niitä rahoitetaan kestävästi, mukaan lukien kohdennettu henkilöstö, koulutus ja pitkän aikavälin suunnittelu vuotuisia talousarviosyklejä laajemmin;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kehottaa korkeaa edustajaa / varapuheenjohtajaa tukemaan EU:n YTPP-operaatioita riittävällä henkilöstöllä, resursseilla ja joustavilla toimeksiannoilla, jotta turvallisuushaasteisiin voidaan vastata tehokkaasti;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c.</w:t>
            </w:r>
            <w:r>
              <w:tab/>
            </w:r>
            <w:r>
              <w:rPr>
                <w:b/>
                <w:i/>
              </w:rPr>
              <w:t>korostaa, että on tärkeää jatkaa EUMM-operaatiota Georgiassa, jotta voidaan seurata tilannetta miehitetyillä alueilla ja varmistaa varhaisvaroitus ja raportointi;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e.</w:t>
            </w:r>
            <w:r>
              <w:tab/>
            </w:r>
            <w:r>
              <w:rPr>
                <w:b/>
                <w:i/>
              </w:rPr>
              <w:t>kehottaa EUH:ta jatkamaan, erityisesti kun otetaan huomioon nykyinen geopoliittinen tilanne, yhteistyötään Georgian kanssa demokraattisten uudistusten ja maan jäsenyysnäkymien tukemiseksi;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d.</w:t>
            </w:r>
            <w:r>
              <w:tab/>
            </w:r>
            <w:r>
              <w:rPr>
                <w:b/>
                <w:i/>
              </w:rPr>
              <w:t>korostaa, että tärkeä väline FIMI-toiminnan torjumiseksi on sellaisen uskontoon perustuvan diplomatian yksikön perustaminen EUH:hon, jonka tehtävänä on osallistaa uskonnollisia yhteisöjä, edistää kulttuurien välistä ymmärrystä ja vahvistaa sietokykyä identiteettiin perustuvaa disinformaatiota vastaan;</w:t>
            </w:r>
            <w:r>
              <w:t xml:space="preserve"> </w:t>
            </w:r>
            <w:r>
              <w:rPr>
                <w:b/>
                <w:i/>
              </w:rPr>
              <w:t>korostaa, että tällainen yksikkö voisi tukea uskonnollisiin tai kulttuurisiin narratiiveihin kohdistuvan FIMI-toiminnan varhaista havaitsemista, tehostaa vuoropuhelua uskonnollisten toimijoiden kanssa ja täydentää EUH:n nykyisiä välineitä, kuten nopeaa hälytysjärjestelmää ja EUvsDisinfo-kampanjaa, ja siten edistää vahvempaa unionin laajuista reagointia disinformaatiokampanjoihin;</w:t>
            </w:r>
            <w:r>
              <w:t xml:space="preserve"> </w:t>
            </w:r>
            <w:r>
              <w:rPr>
                <w:b/>
                <w:i/>
              </w:rPr>
              <w:t>muistuttaa, että AFET-valiokunnan talousarvion valvontavaliokunnalle antamassa lausunnossa vastuuvapauden myöntämisestä Euroopan unionin yleisen talousarvion toteuttamisesta varainhoitovuonna 2023, pääluokka X – Euroopan ulkosuhdehallinto</w:t>
            </w:r>
            <w:r>
              <w:rPr>
                <w:b/>
                <w:i/>
                <w:vertAlign w:val="superscript"/>
              </w:rPr>
              <w:t>1 a</w:t>
            </w:r>
            <w:r>
              <w:rPr>
                <w:b/>
                <w:i/>
              </w:rPr>
              <w:t>, korostetaan, että uskonnon- ja vakaumuksenvapaus on unionin perusarvo, ja kehotetaan EUH:ta sisällyttämään uskontoon perustuva diplomatia järjestelmällisesti toimiinsa ja tunnustamaan uskonto rakentavaksi tekijäksi maailmanlaajuisiin haasteisiin vastaamisessa ja rauhan, selviytymiskyvyn ja sosiaalisen yhteenkuuluvuuden edistämisessä;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https://www.europarl.europa.eu/doceo/document/AFET-AD-765237_FI.pdf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muistuttaa, että Euroopan unionista tehdyn sopimuksen mukaan EU:n ja sen toimielinten päämääränä on edistää rauhaa, omia arvojaan ja kansojensa hyvinvointia, säilyttää rauha, estää konfliktit ja lujittaa kansainvälistä turvallisuutta;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kehottaa toimielintä omistautumaan täydellisesti rauhan edistämiseen ja sodan lopettamiseen Ukrainassa niin pian kuin mahdollista sekä rauhan säilyttämiseen ja Euroopan turvallisuuden vahvistamiseen ja tekemään tämän eteen kaiken voitavansa kaikkia saatavilla olevia toimenpiteitä ja resursseja käyttäen;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muistuttaa, että on ratkaisevan tärkeää vahvistaa entisestään tukeamme ihmisoikeuksille, demokratialle ja kehitykselle kolmansissa maissa NDICI – Globaali Eurooppa -rahoituskehyksen kautta;</w:t>
            </w:r>
            <w:r>
              <w:t xml:space="preserve"> </w:t>
            </w:r>
            <w:r>
              <w:rPr>
                <w:b/>
                <w:i/>
              </w:rPr>
              <w:t>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w:t>
            </w:r>
            <w:r>
              <w:t xml:space="preserve"> </w:t>
            </w:r>
            <w:r>
              <w:rPr>
                <w:b/>
                <w:i/>
              </w:rPr>
              <w:t>korostaa, että unionin digitaalisen diplomatian resursseja olisi lisättävä entisestään nykytilanteessa, jossa teknologian kehitys on nopeaa ja geopoliittinen kilpailu kovaa;</w:t>
            </w:r>
            <w:r>
              <w:t xml:space="preserve"> </w:t>
            </w:r>
            <w:r>
              <w:rPr>
                <w:b/>
                <w:i/>
              </w:rPr>
              <w:t>toteaa, että nk. vihreä diplomatia ja vihreä siirtymä ovat yksi unionin painopisteistä ja että siksi unionin ulkoisissa toimissa olisi tehostettava toimintaa näillä aloilla suhteissa kolmansiin maihin;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w:t>
            </w:r>
          </w:p>
        </w:tc>
        <w:tc>
          <w:tcPr>
            <w:tcW w:w="4876" w:type="dxa"/>
            <w:tcBorders>
              <w:top w:val="nil"/>
              <w:left w:val="nil"/>
              <w:bottom w:val="nil"/>
              <w:right w:val="nil"/>
            </w:tcBorders>
          </w:tcPr>
          <w:p>
            <w:pPr>
              <w:pStyle w:val="Normal6a"/>
            </w:pPr>
            <w:r>
              <w:t>17.</w:t>
            </w:r>
            <w:r>
              <w:tab/>
            </w:r>
            <w:r>
              <w:t>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w:t>
            </w:r>
            <w:r>
              <w:rPr>
                <w:b/>
                <w:i/>
              </w:rPr>
              <w:t>, erityisesti digitaalisen autoritaarisuuden, ulkomaisen sekaantumisen ja kehitteillä olevien teknologioiden väärinkäytön torjumiseksi</w:t>
            </w:r>
            <w:r>
              <w:t xml:space="preserve">; toteaa, että nk. vihreä diplomatia ja vihreä siirtymä ovat yksi unionin painopisteistä ja että siksi unionin ulkoisissa toimissa olisi tehostettava toimintaa näillä aloilla suhteissa kolmansiin maihin </w:t>
            </w:r>
            <w:r>
              <w:rPr>
                <w:b/>
                <w:i/>
              </w:rPr>
              <w:t>varmistaen samalla johdonmukaisuus kumppanimaiden kilpailukyvyn, energiaturvallisuuden ja taloudellisen häiriönsietokyvyn kanssa ja välttäen suhteettomia rasitteita, jotka voisivat heikentää strategisia kumppanuuksia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w:t>
            </w:r>
          </w:p>
        </w:tc>
        <w:tc>
          <w:tcPr>
            <w:tcW w:w="4876" w:type="dxa"/>
            <w:tcBorders>
              <w:top w:val="nil"/>
              <w:left w:val="nil"/>
              <w:bottom w:val="nil"/>
              <w:right w:val="nil"/>
            </w:tcBorders>
          </w:tcPr>
          <w:p>
            <w:pPr>
              <w:pStyle w:val="Normal6a"/>
            </w:pPr>
            <w:r>
              <w:t>17.</w:t>
            </w:r>
            <w:r>
              <w:tab/>
            </w:r>
            <w:r>
              <w:t xml:space="preserve">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 </w:t>
            </w:r>
            <w:r>
              <w:rPr>
                <w:b/>
                <w:i/>
              </w:rPr>
              <w:t>vaatii, että vihreää diplomatiaa ja vihreää siirtymää tuetaan riittävillä taloudellisilla ja henkilöresursseilla EUH:ssa ja unionin edustustoissa ja että ne sisällytetään johdonmukaisesti poliittiseen vuoropuheluun, kumppanuuksiin ja ulkoisiin menoihin, myös kolmansissa maissa;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korostaa, että unionin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w:t>
            </w:r>
          </w:p>
        </w:tc>
        <w:tc>
          <w:tcPr>
            <w:tcW w:w="4876" w:type="dxa"/>
            <w:tcBorders>
              <w:top w:val="nil"/>
              <w:left w:val="nil"/>
              <w:bottom w:val="nil"/>
              <w:right w:val="nil"/>
            </w:tcBorders>
          </w:tcPr>
          <w:p>
            <w:pPr>
              <w:pStyle w:val="Normal6a"/>
            </w:pPr>
            <w:r>
              <w:t>17.</w:t>
            </w:r>
            <w:r>
              <w:tab/>
            </w:r>
            <w:r>
              <w:t xml:space="preserve">muistuttaa, että on ratkaisevan tärkeää vahvistaa entisestään tukeamme ihmisoikeuksille, demokratialle ja kehitykselle kolmansissa maissa NDICI – Globaali Eurooppa -rahoituskehyksen kautta; korostaa, että säilyttämällä erityisrahoitus ihmisoikeuksille ja demokratialle sekä ihmisoikeusperustainen lähestymistapa ja valtavirtaistamalla ihmisoikeudet kolmansien maiden tukeen ja kumppanuuksiin voidaan osaltaan lujittaa unionin asemaa maailmanlaajuisesti ja puolustaa unionin arvoja; </w:t>
            </w:r>
            <w:r>
              <w:rPr>
                <w:b/>
                <w:i/>
              </w:rPr>
              <w:t>kehottaa EUH:ta tekemään järjestelmällisesti riskinarviointeja kansalaisyhteiskunnan toimintamahdollisuuksien rajoituksista kumppanimaissa ja kolmansissa maissa ja varmistamaan, että rahoitus tavoittaa riippumattomat kansalaisyhteiskunnan toimijat;</w:t>
            </w:r>
            <w:r>
              <w:t xml:space="preserve"> korostaa, että unionin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w:t>
            </w:r>
            <w:r>
              <w:rPr>
                <w:b/>
                <w:i/>
              </w:rPr>
              <w:t>panee tässä yhteydessä tyytyväisenä merkille varapuheenjohtajan / korkean edustajan kuulemisessa ilmaiseman näkemyksen, jonka mukaan perusperiaatteena olisi oltava, että vahingon aiheuttajan olisi myös maksettava siitä;</w:t>
            </w:r>
            <w:r>
              <w:t xml:space="preserve"> </w:t>
            </w:r>
            <w:r>
              <w:rPr>
                <w:b/>
                <w:i/>
              </w:rPr>
              <w:t>toteaa, että arviota vahingosta ei voida tehdä niin kauan kuin Gazaan ei ole mahdollista päästä;</w:t>
            </w:r>
          </w:p>
        </w:tc>
        <w:tc>
          <w:tcPr>
            <w:tcW w:w="4876" w:type="dxa"/>
            <w:tcBorders>
              <w:top w:val="nil"/>
              <w:left w:val="nil"/>
              <w:bottom w:val="nil"/>
              <w:right w:val="nil"/>
            </w:tcBorders>
          </w:tcPr>
          <w:p>
            <w:pPr>
              <w:pStyle w:val="Normal6a"/>
            </w:pPr>
            <w:r>
              <w:t>18.</w:t>
            </w:r>
            <w:r>
              <w:tab/>
            </w:r>
            <w:r>
              <w:t>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w:t>
            </w:r>
          </w:p>
        </w:tc>
        <w:tc>
          <w:tcPr>
            <w:tcW w:w="4876" w:type="dxa"/>
            <w:tcBorders>
              <w:top w:val="nil"/>
              <w:left w:val="nil"/>
              <w:bottom w:val="nil"/>
              <w:right w:val="nil"/>
            </w:tcBorders>
          </w:tcPr>
          <w:p>
            <w:pPr>
              <w:pStyle w:val="Normal6a"/>
            </w:pPr>
            <w:r>
              <w:t>18.</w:t>
            </w:r>
            <w:r>
              <w:tab/>
            </w:r>
            <w:r>
              <w:t>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w:t>
            </w:r>
            <w:r>
              <w:rPr>
                <w:b/>
                <w:i/>
              </w:rPr>
              <w:t>;</w:t>
            </w:r>
            <w:r>
              <w:t xml:space="preserve"> </w:t>
            </w:r>
            <w:r>
              <w:rPr>
                <w:b/>
                <w:i/>
              </w:rPr>
              <w:t>panee merkille, että Gazan kriisin puhkeamisen jälkeen unioni on ottanut käyttöön kaikki käytettävissä olevat humanitaariset välineet palestiinalaisten kärsimysten lievittämiseksi Gazassa ja Länsirannalla ja antanut lokakuusta 2023 lähtien 450 miljoonaa euroa humanitaarista apua, mukaan lukien 120 miljoonan euron alustava avustuspaketti vuodeksi 2025, ja unionin Palestiinalle antaman tuen erityistapauksessa käytössä olevat mekanismit ovat ”vahvoja ja toimivat tehokkaasti” ja että ”tähän mennessä ei ole löydetty näyttöä siitä, että rahaa olisi ohjattu muihin tarkoituksiin, mikä vahvistettiin marraskuussa 2023 tehdyssä EU:n Palestiinalle antaman avun rahoitusarvioinnissa”;</w:t>
            </w:r>
            <w:r>
              <w:t xml:space="preserve"> </w:t>
            </w:r>
            <w:r>
              <w:rPr>
                <w:b/>
                <w:i/>
              </w:rPr>
              <w:t>panee lisäksi merkille, että komissio hyväksyi huhtikuussa 2025 Palestiinaa koskevan kattavan monivuotisen ohjelman, jonka arvo on enintään 1,6 miljardia euroa vuosina 2025–2027, jolla tuetaan talouden elpymistä, palautumista ja hallintoa Länsirannalla, Itä-Jerusalemissa ja Gazassa ja josta enintään 620 miljoonaa euroa on suoraa rahoitustukea palestiinalaishallinnolle;</w:t>
            </w:r>
            <w:r>
              <w:t xml:space="preserve"> </w:t>
            </w:r>
            <w:r>
              <w:rPr>
                <w:b/>
                <w:i/>
              </w:rPr>
              <w:t>panee merkille, että komissio ilmoitti toukokuussa 2024 miljardin euron rahoitusapupaketista, jolla autetaan Libanonia vastaamaan kotimaisiin ja alueellisiin haasteisiin</w:t>
            </w:r>
            <w:r>
              <w:t>;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w:t>
            </w:r>
          </w:p>
        </w:tc>
        <w:tc>
          <w:tcPr>
            <w:tcW w:w="4876" w:type="dxa"/>
            <w:tcBorders>
              <w:top w:val="nil"/>
              <w:left w:val="nil"/>
              <w:bottom w:val="nil"/>
              <w:right w:val="nil"/>
            </w:tcBorders>
          </w:tcPr>
          <w:p>
            <w:pPr>
              <w:pStyle w:val="Normal6a"/>
            </w:pPr>
            <w:r>
              <w:t>18.</w:t>
            </w:r>
            <w:r>
              <w:tab/>
            </w:r>
            <w:r>
              <w:t xml:space="preserve">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 </w:t>
            </w:r>
            <w:r>
              <w:rPr>
                <w:b/>
                <w:i/>
              </w:rPr>
              <w:t>korostaa vankkojen seuranta- ja vastuuvelvollisuusmekanismien merkitystä, mukaan lukien vahinkojen ja tarpeiden riippumaton todentaminen heti, kun pääsy sallitaan;</w:t>
            </w:r>
            <w:r>
              <w:t xml:space="preserve"> </w:t>
            </w:r>
            <w:r>
              <w:rPr>
                <w:b/>
                <w:i/>
              </w:rPr>
              <w:t>kehottaa EUH:ta käyttämään edelleen kaikkia käytettävissä olevia välineitä, tarvittaessa myös humanitaarisia, diplomaattisia, taloudellisia ja rajoittavia toimenpiteitä, sääntöihin perustuvan kansainvälisen järjestyksen ylläpitämiseksi ja kestävän rauhan ja turvallisuuden edistämiseksi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w:t>
            </w:r>
            <w:r>
              <w:rPr>
                <w:b/>
                <w:i/>
              </w:rPr>
              <w:t>vahingon aiheuttajan</w:t>
            </w:r>
            <w:r>
              <w:t xml:space="preserve"> olisi </w:t>
            </w:r>
            <w:r>
              <w:rPr>
                <w:b/>
                <w:i/>
              </w:rPr>
              <w:t>myös maksettava siitä</w:t>
            </w:r>
            <w:r>
              <w:t xml:space="preserve">; toteaa, että </w:t>
            </w:r>
            <w:r>
              <w:rPr>
                <w:b/>
                <w:i/>
              </w:rPr>
              <w:t>arviota vahingosta ei voida tehdä</w:t>
            </w:r>
            <w:r>
              <w:t xml:space="preserve"> niin kauan kuin Gazaan ei ole mahdollista päästä;</w:t>
            </w:r>
          </w:p>
        </w:tc>
        <w:tc>
          <w:tcPr>
            <w:tcW w:w="4876" w:type="dxa"/>
            <w:tcBorders>
              <w:top w:val="nil"/>
              <w:left w:val="nil"/>
              <w:bottom w:val="nil"/>
              <w:right w:val="nil"/>
            </w:tcBorders>
          </w:tcPr>
          <w:p>
            <w:pPr>
              <w:pStyle w:val="Normal6a"/>
            </w:pPr>
            <w:r>
              <w:t>18.</w:t>
            </w:r>
            <w:r>
              <w:tab/>
            </w:r>
            <w:r>
              <w:t xml:space="preserve">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w:t>
            </w:r>
            <w:r>
              <w:rPr>
                <w:b/>
                <w:i/>
              </w:rPr>
              <w:t>korostaa, että humanitaarista apua on toimitettava turvallisella, tehokkaalla ja epäpoliittisella tavalla ja että terroristiryhmät tai aseelliset ryhmät eivät saa ohjata sitä muualle tai käyttää sitä väärin;</w:t>
            </w:r>
            <w:r>
              <w:t xml:space="preserve"> panee tässä yhteydessä tyytyväisenä merkille varapuheenjohtajan / korkean edustajan kuulemisessa ilmaiseman näkemyksen, jonka mukaan perusperiaatteena olisi oltava, että </w:t>
            </w:r>
            <w:r>
              <w:rPr>
                <w:b/>
                <w:i/>
              </w:rPr>
              <w:t>vahingonkorvausvastuuta</w:t>
            </w:r>
            <w:r>
              <w:t xml:space="preserve"> olisi </w:t>
            </w:r>
            <w:r>
              <w:rPr>
                <w:b/>
                <w:i/>
              </w:rPr>
              <w:t>käsiteltävä kansainvälisen oikeuden ja vakiintuneiden oikeudellisten kehysten mukaisesti</w:t>
            </w:r>
            <w:r>
              <w:t xml:space="preserve">; toteaa, että </w:t>
            </w:r>
            <w:r>
              <w:rPr>
                <w:b/>
                <w:i/>
              </w:rPr>
              <w:t>vahinkojen kattava arviointi on ennenaikaista</w:t>
            </w:r>
            <w:r>
              <w:t xml:space="preserve"> niin kauan kuin Gazaan ei ole mahdollista päästä; </w:t>
            </w:r>
            <w:r>
              <w:rPr>
                <w:b/>
                <w:i/>
              </w:rPr>
              <w:t>korostaa luotettavien, riippumattomien ja todennettavissa olevien tietojen merkitystä tulevien arviointien perustana;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w:t>
            </w:r>
          </w:p>
        </w:tc>
        <w:tc>
          <w:tcPr>
            <w:tcW w:w="4876" w:type="dxa"/>
            <w:tcBorders>
              <w:top w:val="nil"/>
              <w:left w:val="nil"/>
              <w:bottom w:val="nil"/>
              <w:right w:val="nil"/>
            </w:tcBorders>
          </w:tcPr>
          <w:p>
            <w:pPr>
              <w:pStyle w:val="Normal6a"/>
            </w:pPr>
            <w:r>
              <w:t>18.</w:t>
            </w:r>
            <w:r>
              <w:tab/>
            </w:r>
            <w:r>
              <w:t xml:space="preserve">panee seurantaraportista tyytyväisenä merkille EUH:n keskeisen roolin ja toimet rauhan ja vakauden edistämiseksi Lähi-idässä, mukaan lukien vaatimukset humanitaarisen avun esteettömästä pääsystä ja keskeytymättömästä jakelusta laajamittaisesti, kansainvälisten humanitaaristen periaatteiden mukaisesti; panee tässä yhteydessä tyytyväisenä merkille varapuheenjohtajan / korkean edustajan kuulemisessa ilmaiseman näkemyksen, jonka mukaan perusperiaatteena olisi oltava, että vahingon aiheuttajan olisi myös maksettava siitä; toteaa, että arviota vahingosta ei voida tehdä niin kauan kuin Gazaan ei ole mahdollista päästä; </w:t>
            </w:r>
            <w:r>
              <w:rPr>
                <w:b/>
                <w:i/>
              </w:rPr>
              <w:t>ilmaisee vakavan huolensa EUH:n jatkuvasta tuesta UNRWA:lle huolimatta siitä, että on esitetty väitteitä, jotka koskevat resurssien väärinkäyttöä ja UNRWA:n henkilöstön yhteyksiä Hamasiin;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muistuttaa kannastaan EU:n vuoden 2026 talousarvioon ja siitä, että on tärkeää tukea eteläisen naapuruston poliittisia, taloudellisia ja sosiaalisia uudistuksia, mukaan lukien kasvaviin humanitaarisiin tarpeisiin vastaaminen;</w:t>
            </w:r>
            <w:r>
              <w:t xml:space="preserve"> </w:t>
            </w:r>
            <w:r>
              <w:rPr>
                <w:b/>
                <w:i/>
              </w:rPr>
              <w:t>muistuttaa, että EUH vastaa unionin ulkoisen toiminnan poliittisesta ohjauksesta ja strategisesta valvonnasta, kun taas komissiolla on täysi vastuu täytäntöönpanokumppaneille ja kansainvälisille järjestöille myönnettyjen EU:n talousarviovarojen hallinnoinnista, niitä koskevien sopimusten tekemisestä ja niiden maksamisesta;</w:t>
            </w:r>
            <w:r>
              <w:t xml:space="preserve"> </w:t>
            </w:r>
            <w:r>
              <w:rPr>
                <w:b/>
                <w:i/>
              </w:rPr>
              <w:t>panee merkille YK:n vastauksen väitteisiin, jotka koskevat 19:ää UNRWA:n 13 000 työntekijästä Gazan alueella ja heidän mahdollista osallistumistaan 7. lokakuuta 2023 Israelia vastaan tehtyihin terrori-iskuihin, mukaan lukien Israelin kanssa yhteistyössä toteutettu OIOSin tutkinta, joka johti yhdeksän työntekijän irtisanomiseen yksikön edun mukaisesti, sekä Colonnan uudelleentarkastelun yhteydessä annetut suositukset;</w:t>
            </w:r>
            <w:r>
              <w:t xml:space="preserve"> </w:t>
            </w:r>
            <w:r>
              <w:rPr>
                <w:b/>
                <w:i/>
              </w:rPr>
              <w:t>panee merkille Kansainvälisen tuomioistuimen 22. lokakuuta 2025 antaman neuvoa-antavan lausunnon, jossa todetaan, että saatavilla olevat tiedot eivät riitä osoittamaan UNRWA:n puolueettomuuden puutetta järjestönä;</w:t>
            </w:r>
            <w:r>
              <w:t xml:space="preserve"> </w:t>
            </w:r>
            <w:r>
              <w:rPr>
                <w:b/>
                <w:i/>
              </w:rPr>
              <w:t>suhtautuu myönteisesti komission arvioon, jonka mukaan UNRWA on edelleen täysin sitoutunut panemaan täytäntöön Colonnan suositukset, ja panee merkille, että kaikki EU:n kanssa sovitut ehdot rahoituksen jatkamiselle vuonna 2024 täyttyvät, mukaan lukien EU:n nimeämien asiantuntijoiden suorittaman tarkastuksen saattaminen päätökseen;</w:t>
            </w:r>
            <w:r>
              <w:t xml:space="preserve"> </w:t>
            </w:r>
            <w:r>
              <w:rPr>
                <w:b/>
                <w:i/>
              </w:rPr>
              <w:t>kannustaa tässä yhteydessä komissiota jatkamaan panostusta ja tiivistä seurantaa, jotta varmistetaan rahoituksen jatkuminen ja taataan puolueettomuus, avoimuus ja vastuuvelvollisuus;</w:t>
            </w:r>
            <w:r>
              <w:t xml:space="preserve"> </w:t>
            </w:r>
            <w:r>
              <w:rPr>
                <w:b/>
                <w:i/>
              </w:rPr>
              <w:t>panee merkille, että koulutuksen alalla toimivia YK:n järjestöjä koskevan kansainvälisen käytännön mukaisesti UNRWA käyttää isäntämaan opetussuunnitelmia ja kouluissaan paikallisesti julkaistuja oppikirjoja, joita kuitenkin tarkistetaan järjestelmällisesti ongelmallisen sisällön käsittelemiseksi;</w:t>
            </w:r>
            <w:r>
              <w:t xml:space="preserve"> </w:t>
            </w:r>
            <w:r>
              <w:rPr>
                <w:b/>
                <w:i/>
              </w:rPr>
              <w:t>toteaa, että unioni ei rahoita palestiinalaisia oppikirjoja;</w:t>
            </w:r>
            <w:r>
              <w:t xml:space="preserve"> </w:t>
            </w:r>
            <w:r>
              <w:rPr>
                <w:b/>
                <w:i/>
              </w:rPr>
              <w:t>pitää myönteisenä komission yhteistyötä palestiinalaishallinnon kanssa opetussuunnitelmien uudistamisessa ja panee merkille edistymisen oppimateriaalien mukauttamisessa Unescon normeihin;</w:t>
            </w:r>
            <w:r>
              <w:t xml:space="preserve"> </w:t>
            </w:r>
            <w:r>
              <w:rPr>
                <w:b/>
                <w:i/>
              </w:rPr>
              <w:t>muistuttaa, että palestiinalaishallinnon on poistettava kaikki opetusmateriaalit ja -sisällöt, jotka eivät ole Unescon normien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toteaa, että unioni ei rahoita palestiinalaisia oppikirjoja ja että YK:n koulutusalan järjestöjen kansainvälisen käytännön mukaisesti UNRWA käyttää isäntämaan opetussuunnitelmia ja paikallisesti julkaistuja oppikirjoja kouluissaan;</w:t>
            </w:r>
            <w:r>
              <w:t xml:space="preserve"> </w:t>
            </w:r>
            <w:r>
              <w:rPr>
                <w:b/>
                <w:i/>
              </w:rPr>
              <w:t>pitää kuitenkin myönteisenä komission yhteistyötä palestiinalaishallinnon kanssa Unescon normeihin perustuvan opetussuunnitelman uudistamisessa;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kehottaa EUH:ta tekemään tiiviisti yhteistyötä komission kanssa sen varmistamiseksi, että palestiinalaishallinto poistaa viipymättä kaikki koulutusmateriaalit, jotka eivät ole rauhaa ja suvaitsevaisuutta koskevien Unescon normien mukaisia;</w:t>
            </w:r>
            <w:r>
              <w:t xml:space="preserve"> </w:t>
            </w:r>
            <w:r>
              <w:rPr>
                <w:b/>
                <w:i/>
              </w:rPr>
              <w:t>vaatii, että EU:n rahoituksen ehtona on oltava vihapuheen ja väkivaltaan yllyttämisen poistaminen koulujen opetussuunnitelmista;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on syvästi huolissaan väitteistä, joiden mukaan UNRWA:n palveluksessa Gazassa olevia työntekijöitä olisi ollut osallisena Hamasin halveksittavissa terrori-iskuissa 7. lokakuuta 2023;</w:t>
            </w:r>
            <w:r>
              <w:t xml:space="preserve"> </w:t>
            </w:r>
            <w:r>
              <w:rPr>
                <w:b/>
                <w:i/>
              </w:rPr>
              <w:t>kehottaa komissiota ja EUH:ta varmistamaan, että unionin varoja ei myönnetä henkilöille tai järjestöille, joilla on yhteyksiä mihin tahansa terroristiliikkeisiin tai muihin äärinäkemyksiä edustaviin liikkeisiin, jotka ovat suoraan Euroopan unionin perusarvojen vastaisia;</w:t>
            </w:r>
            <w:r>
              <w:t xml:space="preserve"> </w:t>
            </w:r>
            <w:r>
              <w:rPr>
                <w:b/>
                <w:i/>
              </w:rPr>
              <w:t>muistuttaa, että komission ja EUH:n on tärkeää taata, että ulkopuoliset asiantuntijat, tilintarkastustuomioistuin ja kokeneet kansainväliset kumppanit valvovat UNRWA:ta riippumattomasti;</w:t>
            </w:r>
            <w:r>
              <w:t xml:space="preserve"> </w:t>
            </w:r>
            <w:r>
              <w:rPr>
                <w:b/>
                <w:i/>
              </w:rPr>
              <w:t>kehottaa EUH:ta tekemään tarvittaessa yhteistyötä muiden luotettavien kumppaneiden kanssa Gazassa ja palestiinalaisalueilla, jotta varmistetaan humanitaarisen avun jatkuva toimittaminen palestiinalaisväestölle;</w:t>
            </w:r>
            <w:r>
              <w:t xml:space="preserve"> </w:t>
            </w:r>
            <w:r>
              <w:rPr>
                <w:b/>
                <w:i/>
              </w:rPr>
              <w:t>pitää myönteisinä viimeaikaisia sitoumuksia Gazan sodan lopettamiseksi ja panee merkille Yhdysvaltojen hallinnon ehdottaman 20-kohtaisen rauhansuunnitelman;</w:t>
            </w:r>
            <w:r>
              <w:t xml:space="preserve"> </w:t>
            </w:r>
            <w:r>
              <w:rPr>
                <w:b/>
                <w:i/>
              </w:rPr>
              <w:t>kehottaa EUH:ta tekemään yhteistyötä rauhanneuvoston kanssa oikeudenmukaisen, pysyvän ja kestävän rauhan edistämiseksi Gazassa ja koko Lähi-idässä;</w:t>
            </w:r>
            <w:r>
              <w:t xml:space="preserve"> </w:t>
            </w:r>
            <w:r>
              <w:rPr>
                <w:b/>
                <w:i/>
              </w:rPr>
              <w:t>suhtautuu myönteisesti Gazan korkean edustajan nimittämiseen askeleena kohti tehostettua vuoropuhelua ja luottamuksen rakentamista kaikkien asiaankuuluvien sidosryhmien kesken;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muistuttaa, että EUH vastaa unionin ulkoisen toiminnan poliittisesta ohjauksesta ja strategisesta valvonnasta, kun taas komissiolla on täysi vastuu täytäntöönpanokumppaneille ja kansainvälisille järjestöille myönnettyjen EU:n talousarviovarojen hallinnoinnista, niitä koskevien sopimusten tekemisestä ja niiden maksamisesta;</w:t>
            </w:r>
            <w:r>
              <w:t xml:space="preserve"> </w:t>
            </w:r>
            <w:r>
              <w:rPr>
                <w:b/>
                <w:i/>
              </w:rPr>
              <w:t>suhtautuu tässä yhteydessä myönteisesti komission arvioon, jonka mukaan UNRWA täytti kaikki EU:n kanssa sovitut ehdot rahoituksen jatkamiselle vuonna 2024, mukaan lukien EU:n nimeämien asiantuntijoiden suorittaman tarkastuksen päätökseen saattaminen;</w:t>
            </w:r>
            <w:r>
              <w:t xml:space="preserve"> </w:t>
            </w:r>
            <w:r>
              <w:rPr>
                <w:b/>
                <w:i/>
              </w:rPr>
              <w:t>kannustaa tässä yhteydessä komissiota jatkamaan panostusta ja tiivistä seurantaa, jotta varmistetaan rahoituksen jatkuminen ja taataan puolueettomuus, avoimuus ja vastuuvelvollisuus;</w:t>
            </w:r>
            <w:r>
              <w:t xml:space="preserve"> </w:t>
            </w:r>
            <w:r>
              <w:rPr>
                <w:b/>
                <w:i/>
              </w:rPr>
              <w:t>korostaa UNRWA:n keskeistä roolia humanitaarisen avun antamisessa palestiinalaispakolaisille noudattaen unionin tavoitetta tukea poliittisia, taloudellisia ja sosiaalisia uudistuksia eteläisessä naapurustossa ja toistaa humanitaarisesta avusta monikriisin aikana 20. tammikuuta 2026 antamassaan päätöslauselmassa esittämänsä kehotuksen;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palauttaa mieliin sen tarpeellisuuden, että palestiinalaishallinto poistaa kaikki oppimateriaalit ja opetussisällöt, jotka eivät ole Unescon normien mukaisia, erityisesti ne, jotka sisältävät unionin tukeman, holokaustin muistoa kunnioittavan kansainvälisen liiton luokittelun mukaan antisemitistisiksi määriteltyjä elementtejä, väkivaltaan yllyttämistä, vihapuhetta ja terrorismin ihannointia;</w:t>
            </w:r>
            <w:r>
              <w:t xml:space="preserve"> </w:t>
            </w:r>
            <w:r>
              <w:rPr>
                <w:b/>
                <w:i/>
              </w:rPr>
              <w:t>korostaa, että unionin olisi annettava palestiinalaishallinnolle rahoitustukea koulutuksen alalla edellyttäen oppikirjasisällön yhdenmukaistamista Unescon normien kanssa, kaikkien juutalaisvastaisten viittausten poistamista ja vihaan ja väkivaltaan yllyttävien esimerkkien poistamista, kuten vastuuvapauspäätöksiin liitetyissä päätöslauselmissa on toistuvasti pyydetty;</w:t>
            </w:r>
            <w:r>
              <w:t xml:space="preserve"> </w:t>
            </w:r>
            <w:r>
              <w:rPr>
                <w:b/>
                <w:i/>
              </w:rPr>
              <w:t>palauttaa mieliin unionin rahoittaman Georg Eckert -instituutin raportin havainnot, joista kävi ilmi oppikirjoja koskeva monisyinen kuva;</w:t>
            </w:r>
            <w:r>
              <w:t xml:space="preserve"> </w:t>
            </w:r>
            <w:r>
              <w:rPr>
                <w:b/>
                <w:i/>
              </w:rPr>
              <w:t>kehottaa EUH:ta tekemään yhteistyötä komission kanssa sen varmistamiseksi, että unionin varoja ei anneta suoraan tai epäsuorasti tällaisten oppimateriaalien laatimiseen tai niiden käyttöön palestiinalaislapsille annettavassa opetuksessa, mukaan lukien YK:n järjestöjen tarjoamat oppimateriaalit;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ilmaisee huolensa raportista, joka koskee Hamasin sisäisiksi epäiltyjä asiakirjoja, jotka ovat peräisin vuosilta 2018–2022 ja jotka IDF on alun perin löytänyt Gazan alueelta ja myöhemmin poistanut niiden turvallisuusluokituksen ja joita on levitetty kansalaisjärjestö NGO Monitorin kautta, ja toteaa, että raportin väitetään osoittavan soluttautumis- ja seurantayritykset EU:n rahoittamissa humanitaarisissa hankkeissa Gazan alueella;</w:t>
            </w:r>
            <w:r>
              <w:t xml:space="preserve"> </w:t>
            </w:r>
            <w:r>
              <w:rPr>
                <w:b/>
                <w:i/>
              </w:rPr>
              <w:t>panee merkille, että sekä raportissa mainitut järjestöt että komissio ovat jyrkästi torjuneet väitteet ja katsoneet, että niistä ei ole perusteltua näyttöä;</w:t>
            </w:r>
            <w:r>
              <w:t xml:space="preserve"> </w:t>
            </w:r>
            <w:r>
              <w:rPr>
                <w:b/>
                <w:i/>
              </w:rPr>
              <w:t>muistuttaa, että EU:lla on varainhoitoasetuksen mukaisesti vankka valvontajärjestelmä, mukaan lukien huolellisuusvelvoite, terrorismin vastainen seulonta ja henkilöstön tarkastusjärjestelmät, joita sovelletaan kaikkiin täytäntöönpanokumppaneihin;</w:t>
            </w:r>
            <w:r>
              <w:t xml:space="preserve"> </w:t>
            </w:r>
            <w:r>
              <w:rPr>
                <w:b/>
                <w:i/>
              </w:rPr>
              <w:t>muistuttaa, että todentamismekanismeja on – suurelta osin vastauksena Euroopan parlamentin vaatimuksiin – vahvistettu edelleen vuodesta 2023 lähtien, mukaan lukien erityiset tarkastukset, riskianalyysit ja ulkoinen lisäseuranta;</w:t>
            </w:r>
            <w:r>
              <w:t xml:space="preserve"> </w:t>
            </w:r>
            <w:r>
              <w:rPr>
                <w:b/>
                <w:i/>
              </w:rPr>
              <w:t>korostaa, että kaikki väitteet EU:n veronmaksajien varojen väärinkäytöstä olisi tarkistettava huolellisesti, ja kehottaa komissiota tutkimaan kaikki väitteet kaikenlaisesta epäasianmukaisesta soluttautumisesta ja vaikuttamisesta EU:n rahoittamiin humanitaarisiin hankkeisiin kaikilla korkean riskin alueilla ja keskeyttämään EU:n rahoituksen tai perimään sen takaisin, jos rikkomiset vahvistetaan;</w:t>
            </w:r>
            <w:r>
              <w:t xml:space="preserve"> </w:t>
            </w:r>
            <w:r>
              <w:rPr>
                <w:b/>
                <w:i/>
              </w:rPr>
              <w:t>varoittaa, että aseellisissa konflikteissa strategisia tarkoituksia varten harjoitettu disinformaatio ja informaatiosota ovat yleisiä käytäntöjä;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ilmaisee syvän huolensa viimeaikaisista raporteista, jotka perustuvat Hamasin sisäisiin asiakirjoihin, joiden turvallisuusluokitus on poistettu, ja jotka viittaavat järjestelmälliseen soluttautumiseen ja seurantaan usein Hamasiin sidoksissa olevien, Gazan alueella toimivien kansainvälisten kansalaisjärjestöjen ns. takaajien kautta, mukaan lukien suoraa EU:n rahoitusta saavat järjestöt;</w:t>
            </w:r>
            <w:r>
              <w:t xml:space="preserve"> </w:t>
            </w:r>
            <w:r>
              <w:rPr>
                <w:b/>
                <w:i/>
              </w:rPr>
              <w:t>korostaa, että nämä paljastukset tuovat esiin vakavan riskin siitä, että EU:n veronmaksajien varoja on saatettu välillisesti ohjata terroristijärjestöksi luokitellun järjestön hyväksi, mikä heikentää EU:n avun eheyttä;</w:t>
            </w:r>
            <w:r>
              <w:t xml:space="preserve"> </w:t>
            </w:r>
            <w:r>
              <w:rPr>
                <w:b/>
                <w:i/>
              </w:rPr>
              <w:t>kehottaa komissiota tutkimaan kiireellisesti ja perusteellisesti kaikki väitteet Hamasin soluttautumisesta ja sopimattomasta vaikuttamisesta EU:n rahoittamissa humanitaarisissa hankkeissa Gazan alueella ja keskeyttämään EU:n rahoituksen tai perimään sen takaisin, jos rikkomiset vahvistetaan;</w:t>
            </w:r>
            <w:r>
              <w:t xml:space="preserve"> </w:t>
            </w:r>
            <w:r>
              <w:rPr>
                <w:b/>
                <w:i/>
              </w:rPr>
              <w:t>kehottaa komissiota ja EUH:ta ottamaan käyttöön tehostettuja taustaselvitys-, huolellisuus- ja seurantamekanismeja korkean riskin alueilla, kuten Gazassa, toimiville kansalaisjärjestöille, jotta estetään terroristiryhmien soluttautuminen ja taataan, että EU:n varoja käytetään yksinomaan laillisiin humanitaarisiin tarkoituksiin;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panee huolestuneena merkille, että IDF:n väitetään löytäneen alueelta Hamasin sisäisiä asiakirjoja, jotka osoittavat soluttautumisyrityksiä tapahtuneen EU:n rahoittamiin humanitaarisiin hankkeisiin Gazan alueella ja joita on levitetty kansalaisjärjestö NGO Monitorin kautta;</w:t>
            </w:r>
            <w:r>
              <w:t xml:space="preserve"> </w:t>
            </w:r>
            <w:r>
              <w:rPr>
                <w:b/>
                <w:i/>
              </w:rPr>
              <w:t>panee merkille, että komissio ja asianomaiset järjestöt ovat hylänneet väitteet perusteettomina;</w:t>
            </w:r>
            <w:r>
              <w:t xml:space="preserve"> </w:t>
            </w:r>
            <w:r>
              <w:rPr>
                <w:b/>
                <w:i/>
              </w:rPr>
              <w:t>muistuttaa, että EU:lla on vankka valvontajärjestelmä, jota on vahvistettu edelleen vuodesta 2023 lähtien;</w:t>
            </w:r>
            <w:r>
              <w:t xml:space="preserve"> </w:t>
            </w:r>
            <w:r>
              <w:rPr>
                <w:b/>
                <w:i/>
              </w:rPr>
              <w:t>varoittaa strategisissa tarkoituksissa harjoitetun informaatiosodankäynnin riskeistä ja kehottaa komissiota vahvistamaan näytön riippumattomalla varmennuksella ja sen jälkeen arvioimaan väitteet ennen asianmukaisten jatkotoimenpiteiden toteuttamista;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panee seurantaraportista merkille EUH:n jatkuvat toimet, joilla on tuettu vuoropuhelua poliittisesta, taloudellisesta ja sosiaalisesta tilanteesta, oikeusvaltiosta ja korruptiontorjunnasta sekä lujitettu demokratiaa ja ihmisoikeuksia useissa maissa; on ilahtunut siitä, että EUH ja unionin edustustot pitävät edelleen yhteyttä kansallisten hallintojen ja toimielinten, kansalaisyhteiskunnan järjestöjen, demokraattiseen hallintoon ja ihmisoikeuksiin erikoistuneiden sidosryhmien, tiedotusvälineiden, työmarkkinaosapuolten sekä kansainvälisten ja alueellisten järjestöjen edustajiin; panee merkille, että tuki ihmisoikeuksien ja naisten oikeuksien, alkuperäiskansojen oikeudet mukaan lukien, puolustajille on yksi EUH:n keskeisistä painopisteistä ihmisoikeuksia ja demokratiaa koskevan unionin toimintasuunnitelman 2020–2027 mukaisesti ja sitä edistetään monenlaisilla toimilla, kuten poliittisella vuoropuhelulla, poliittisella raportoinnilla, julkisella diplomatialla, monenvälisillä foorumeilla ja ihmisoikeuksien toteutumista käsittelevillä vuosikertomuksilla;</w:t>
            </w:r>
          </w:p>
        </w:tc>
        <w:tc>
          <w:tcPr>
            <w:tcW w:w="4876" w:type="dxa"/>
            <w:tcBorders>
              <w:top w:val="nil"/>
              <w:left w:val="nil"/>
              <w:bottom w:val="nil"/>
              <w:right w:val="nil"/>
            </w:tcBorders>
          </w:tcPr>
          <w:p>
            <w:pPr>
              <w:pStyle w:val="Normal6a"/>
            </w:pPr>
            <w:r>
              <w:t>19.</w:t>
            </w:r>
            <w:r>
              <w:tab/>
            </w:r>
            <w:r>
              <w:t xml:space="preserve">panee seurantaraportista merkille EUH:n jatkuvat toimet, joilla on tuettu vuoropuhelua poliittisesta, taloudellisesta ja sosiaalisesta tilanteesta, oikeusvaltiosta ja korruptiontorjunnasta sekä lujitettu demokratiaa ja ihmisoikeuksia useissa maissa; on ilahtunut siitä, että EUH ja unionin edustustot pitävät edelleen yhteyttä kansallisten hallintojen ja toimielinten, kansalaisyhteiskunnan järjestöjen, demokraattiseen hallintoon ja ihmisoikeuksiin erikoistuneiden sidosryhmien, tiedotusvälineiden, työmarkkinaosapuolten sekä kansainvälisten ja alueellisten järjestöjen edustajiin; </w:t>
            </w:r>
            <w:r>
              <w:rPr>
                <w:b/>
                <w:i/>
              </w:rPr>
              <w:t>korostaa kuitenkin, että unionin ulkoisen toiminnan keskeisenä tavoitteena on oltava kolmansien maiden yhteistyö muuttoliikkeen alalla, myös laittoman muuttoliikkeen ehkäisemisessä, tehokkaassa rajavalvonnassa ja niiden omien kansalaisten takaisinotossa;</w:t>
            </w:r>
            <w:r>
              <w:t xml:space="preserve"> </w:t>
            </w:r>
            <w:r>
              <w:rPr>
                <w:b/>
                <w:i/>
              </w:rPr>
              <w:t>korostaa, että tämän yhteistyön olisi oltava tärkeä tekijä, kun kehitetään ja pannaan täytäntöön kumppanuuksia, poliittista vuoropuhelua ja EU:n rahoituksen ja kannustimien jakoa;</w:t>
            </w:r>
            <w:r>
              <w:t xml:space="preserve"> panee merkille, että tuki ihmisoikeuksien ja naisten oikeuksien, alkuperäiskansojen oikeudet mukaan lukien, puolustajille on yksi EUH:n keskeisistä painopisteistä ihmisoikeuksia ja demokratiaa koskevan unionin toimintasuunnitelman 2020–2027 mukaisesti ja sitä edistetään monenlaisilla toimilla, kuten poliittisella vuoropuhelulla, poliittisella raportoinnilla, julkisella diplomatialla, monenvälisillä foorumeilla ja ihmisoikeuksien toteutumista käsittelevillä vuosikertomuksilla;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panee seurantaraportista merkille EUH:n jatkuvat toimet, joilla on tuettu vuoropuhelua poliittisesta, taloudellisesta ja sosiaalisesta tilanteesta, oikeusvaltiosta ja korruptiontorjunnasta sekä lujitettu demokratiaa ja ihmisoikeuksia useissa maissa; on ilahtunut siitä, että EUH ja unionin edustustot pitävät edelleen yhteyttä kansallisten hallintojen ja toimielinten, kansalaisyhteiskunnan järjestöjen, demokraattiseen hallintoon ja ihmisoikeuksiin erikoistuneiden sidosryhmien, tiedotusvälineiden, työmarkkinaosapuolten sekä kansainvälisten ja alueellisten järjestöjen edustajiin; panee merkille, että tuki ihmisoikeuksien ja naisten oikeuksien, alkuperäiskansojen oikeudet mukaan lukien, puolustajille on yksi EUH:n keskeisistä painopisteistä ihmisoikeuksia ja demokratiaa koskevan unionin toimintasuunnitelman 2020–2027 mukaisesti ja sitä edistetään monenlaisilla toimilla, kuten poliittisella vuoropuhelulla, poliittisella raportoinnilla, julkisella diplomatialla, monenvälisillä foorumeilla ja ihmisoikeuksien toteutumista käsittelevillä vuosikertomuksilla;</w:t>
            </w:r>
          </w:p>
        </w:tc>
        <w:tc>
          <w:tcPr>
            <w:tcW w:w="4876" w:type="dxa"/>
            <w:tcBorders>
              <w:top w:val="nil"/>
              <w:left w:val="nil"/>
              <w:bottom w:val="nil"/>
              <w:right w:val="nil"/>
            </w:tcBorders>
          </w:tcPr>
          <w:p>
            <w:pPr>
              <w:pStyle w:val="Normal6a"/>
            </w:pPr>
            <w:r>
              <w:t>19.</w:t>
            </w:r>
            <w:r>
              <w:tab/>
            </w:r>
            <w:r>
              <w:t xml:space="preserve">panee seurantaraportista merkille EUH:n jatkuvat toimet, joilla on tuettu vuoropuhelua poliittisesta, taloudellisesta ja sosiaalisesta tilanteesta, oikeusvaltiosta ja korruptiontorjunnasta sekä lujitettu demokratiaa ja ihmisoikeuksia useissa maissa; on ilahtunut siitä, että EUH ja unionin edustustot pitävät edelleen yhteyttä kansallisten hallintojen ja toimielinten, kansalaisyhteiskunnan järjestöjen, demokraattiseen hallintoon ja ihmisoikeuksiin erikoistuneiden sidosryhmien, tiedotusvälineiden, työmarkkinaosapuolten sekä kansainvälisten ja alueellisten järjestöjen edustajiin; panee merkille, että tuki ihmisoikeuksien ja naisten oikeuksien, alkuperäiskansojen oikeudet mukaan lukien, puolustajille on yksi EUH:n keskeisistä painopisteistä ihmisoikeuksia ja demokratiaa koskevan unionin toimintasuunnitelman 2020–2027 mukaisesti ja sitä edistetään monenlaisilla toimilla, kuten poliittisella vuoropuhelulla, poliittisella raportoinnilla, julkisella diplomatialla, monenvälisillä foorumeilla ja ihmisoikeuksien toteutumista käsittelevillä vuosikertomuksilla; </w:t>
            </w:r>
            <w:r>
              <w:rPr>
                <w:b/>
                <w:i/>
              </w:rPr>
              <w:t>kehottaa EUH:ta ja unionin edustustoja tehostamaan erinomaista työtään avun sekä logistisen ja teknologisen tuen antamisessa ihmisoikeuksien puolustajille ja yhteydenpidossa heidän kanssaan ihmisoikeuksien puolustajia koskevien EU:n suuntaviivojen mukaisesti ja keskittyen erityisesti naisiin;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pitää valitettavana, että kristinuskonvastaisuuden torjunnasta vastaavaa eurooppalaista koordinaattoria ei edelleenkään ole, vaikka antisemitismin torjuntaan ja muslimeihin kohdistuvan vihan torjuntaan erikoistuneita koordinaattoreita on olemassa;</w:t>
            </w:r>
            <w:r>
              <w:t xml:space="preserve"> </w:t>
            </w:r>
            <w:r>
              <w:rPr>
                <w:b/>
                <w:i/>
              </w:rPr>
              <w:t>toteaa, että tämä institutionaalinen epätasapaino heikentää uskonnon- ja vakaumuksenvapauden suojelua koskevan EU:n lähestymistavan johdonmukaisuutta ja uskottavuutta;</w:t>
            </w:r>
            <w:r>
              <w:t xml:space="preserve"> </w:t>
            </w:r>
            <w:r>
              <w:rPr>
                <w:b/>
                <w:i/>
              </w:rPr>
              <w:t>muistuttaa, että yli 380 miljoonaa kristittyä maailmassa joutuu uskonsa vuoksi syrjinnän, vainon tai väkivaltaisten hyökkäysten kohteeksi;</w:t>
            </w:r>
            <w:r>
              <w:t xml:space="preserve"> </w:t>
            </w:r>
            <w:r>
              <w:rPr>
                <w:b/>
                <w:i/>
              </w:rPr>
              <w:t>kehottaa komissiota ja EUH:ta varmistamaan toimivaltansa puitteissa, että kaikenlaiseen uskonnolliseen vihaan, myös kristinuskon vastaiseen vihaan, puututaan yhtäläisellä poliittisella huomiolla, koordinoinnilla ja vastuuvelvollisuudella, ja raportoimaan parlamentille tältä osin toteutetuista toimenpiteistä ja siihen osoitetuista resursseista;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pitää valitettavana, että vaikka unioni on nimittänyt antisemitismin ja islamofobian torjunnan koordinaattoreita, tällä hetkellä ei ole vastaavaa koordinaattoria kristittyihin kohdistuvan syrjinnän ja vihan torjumiseksi;</w:t>
            </w:r>
            <w:r>
              <w:t xml:space="preserve"> </w:t>
            </w:r>
            <w:r>
              <w:rPr>
                <w:b/>
                <w:i/>
              </w:rPr>
              <w:t>pitää tätä puutetta syrjivänä ja kehottaa kiinnittämään yhtäläisesti huomiota kaikenlaiseen uskonnolliseen suvaitsemattomuuteen;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panee kyselystä merkille, että vuonna 2023 perustetulla hallinto- ja ohjausjärjestelmäyksiköllä on ollut tärkeä rooli EUH:n johtamisen parantamisessa, sillä se on tukenut EUH:n hallintosuunnitelmien ja vuotuisten toimintakertomusten laatimista, lujittanut riskinhallintaprosesseja, puuttunut järjestelmällisiin organisaatiotason kysymyksiin unionin edustustoissa ja ottanut käyttöön ”yksi edustusto” -toimintakonseptin, jonka tavoitteena on vähentää johtamisen ja raportoinnin pirstoutumista ja dokumentoida toistuvia kysymyksiä ja parhaita käytäntöjä niin päätoimipaikassa kuin unionin edustustoissakin;</w:t>
            </w:r>
          </w:p>
        </w:tc>
        <w:tc>
          <w:tcPr>
            <w:tcW w:w="4876" w:type="dxa"/>
            <w:tcBorders>
              <w:top w:val="nil"/>
              <w:left w:val="nil"/>
              <w:bottom w:val="nil"/>
              <w:right w:val="nil"/>
            </w:tcBorders>
          </w:tcPr>
          <w:p>
            <w:pPr>
              <w:pStyle w:val="Normal6a"/>
            </w:pPr>
            <w:r>
              <w:t>20.</w:t>
            </w:r>
            <w:r>
              <w:tab/>
            </w:r>
            <w:r>
              <w:t xml:space="preserve">panee kyselystä merkille, että vuonna 2023 perustetulla hallinto- ja ohjausjärjestelmäyksiköllä on ollut tärkeä rooli EUH:n johtamisen parantamisessa, sillä se on tukenut EUH:n hallintosuunnitelmien ja vuotuisten toimintakertomusten laatimista, lujittanut riskinhallintaprosesseja, puuttunut järjestelmällisiin organisaatiotason kysymyksiin unionin edustustoissa ja ottanut käyttöön ”yksi edustusto” -toimintakonseptin, jonka tavoitteena on vähentää johtamisen ja raportoinnin pirstoutumista ja dokumentoida toistuvia kysymyksiä ja parhaita käytäntöjä niin päätoimipaikassa kuin unionin edustustoissakin; </w:t>
            </w:r>
            <w:r>
              <w:rPr>
                <w:b/>
                <w:i/>
              </w:rPr>
              <w:t>kehottaa EUH:ta puuttumaan nopeasti Euroopan tilintarkastustuomioistuimen esiin tuomiin sisäisen valvonnan ja asiakirjahallinnon puutteisiin, jotta voidaan parantaa tiedonhallinnan eheyttä ja varmistaa johdonmukainen raportointi kaikissa EU:n edustustoissa;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panee seurantaraportista ja kyselystä tyytyväisenä merkille toimet, joita EUH on toteuttanut feministisen diplomatian hyväksi, vaikka jäsenvaltioilla onkin päärooli unionin ulkoisen toiminnan suuntaviivojen vahvistamisessa;</w:t>
            </w:r>
            <w:r>
              <w:t xml:space="preserve"> </w:t>
            </w:r>
            <w:r>
              <w:rPr>
                <w:b/>
                <w:i/>
              </w:rPr>
              <w:t>on erityisen ilahtunut toimista, joita on toteutettu unionin sukupuolten tasa-arvon edistämistä koskevassa kolmannessa toimintasuunnitelmassa (GAP III) antamien sitoumusten täytäntöönpanon nopeuttamiseksi;</w:t>
            </w:r>
            <w:r>
              <w:t xml:space="preserve"> </w:t>
            </w:r>
            <w:r>
              <w:rPr>
                <w:b/>
                <w:i/>
              </w:rPr>
              <w:t>panee merkille, että unionin tasa-arvo- ja monimuotoisuusasioiden lähettiläs on toteuttanut toimia sukupuolinäkökulman sisällyttämiseksi ihmisoikeusvuoropuheluun sekä keskeisiin monenvälisiin julkilausumiin ja päätöslauselmiin;</w:t>
            </w:r>
            <w:r>
              <w:t xml:space="preserve"> </w:t>
            </w:r>
            <w:r>
              <w:rPr>
                <w:b/>
                <w:i/>
              </w:rPr>
              <w:t>toteaa lisäksi, että sukupuoliresponsiivinen johtajuus oli edelleen keskeinen osatekijä pyrkimyksissä vakiinnuttaa sukupuolten tasa-arvon valtavirtaistaminen;</w:t>
            </w:r>
            <w:r>
              <w:t xml:space="preserve"> </w:t>
            </w:r>
            <w:r>
              <w:rPr>
                <w:b/>
                <w:i/>
              </w:rPr>
              <w:t>pitää tältä osin myönteisenä tasa-arvoasioiden yhteyshenkilöiden nimittämistä marraskuussa 2024;</w:t>
            </w:r>
            <w:r>
              <w:t xml:space="preserve"> </w:t>
            </w:r>
            <w:r>
              <w:rPr>
                <w:b/>
                <w:i/>
              </w:rPr>
              <w:t>huomauttaa, että GAP III:n voimassaolo päättyy vuonna 2027, ja kehottaa EUH:ta tämän vuoksi kehittämään entistä kunnianhimoisemman GAP IV:n, jolla varmistetaan vahvempi yhteys naisten oikeuksien ja voimaannuttamisen ja unionin ulko- ja turvallisuuspolitiikan välillä ja joka on toteutusvalmis vuodesta 2028 alkaen;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muistuttaa, että Euroopan unionista tehdyn sopimuksen mukaan EU ja sen toimielimet edistävät yhteisvastuuta sekä naisten ja miesten tasa-arvoa;</w:t>
            </w:r>
            <w:r>
              <w:t xml:space="preserve"> </w:t>
            </w:r>
            <w:r>
              <w:rPr>
                <w:b/>
                <w:i/>
              </w:rPr>
              <w:t>kehottaa EUH:ta pidättäytymään sukupuoli- ja woke-ideologian edistämisestä, levittämisestä ja tukemisesta ja kunnioittamaan perustamissopimusta ja sen määräyksiä sekä jäsenvaltioiden kansallisia identiteettejä, jotka ovat olennainen osa niiden perusrakenteita, historiaa, uskontoa ja perinteitä;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korostaa, että unionin on lisättävä rahoitusta, jolla vahvistetaan erityisesti sukupuolten tasa-arvoa sekä Naiset, rauha ja turvallisuus -toimintaohjelmaa koskevaa unionin ulkopoliittisten toimien budjettikohtaa, jotta voidaan varmistaa johdonmukainen rahoitus aloitteille, joilla edistetään sukupuolitietoista johtajuutta, suojellaan naisten oikeuksia ja torjutaan seksuaalista ja sukupuolistunutta väkivaltaa konflikteissa ja niiden jälkeisissä tilanteissa;</w:t>
            </w:r>
            <w:r>
              <w:t xml:space="preserve"> </w:t>
            </w:r>
            <w:r>
              <w:rPr>
                <w:b/>
                <w:i/>
              </w:rPr>
              <w:t>painottaa, että tällainen rahoitus on olennaisen tärkeää, jotta voidaan tukea paikallisia kansalaisyhteiskunnan järjestöjä, tarjota selviytyjiin keskittyvää tukea ja sisällyttää sukupuolinäkökohdat unionin diplomaattisiin pyrkimyksiin ja turvallisuustoimiin;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pitää vaalitarkkailuvaltuuskuntia käytännöllisenä ja vaikuttavana ulkopolitiikan välineenä, joka on yhä keskeinen osa unionin demokratiatukitoimia ja -strategioita; panee seurantaraportista merkille, ettei EUH:lla ole aikeita laajentaa tarkkailutoimintaa ehdokas- ja naapurimaihin, koska Etyjin demokraattisten instituutioiden ja ihmisoikeuksien toimiston (ODIHR) johtamat tarkkailuvaltuuskunnat kattavat nämä maat riittävässä määrin ja ODIHR käyttää samantapaista menetelmää ja hankkii usein asiantuntijoita samasta asiantuntijapoolista kuin unioni; toistaa silti unionille esittämänsä kehotuksen varmistaa unionin vaalitarkkailuvaltuuskunnille riittävät resurssit;</w:t>
            </w:r>
          </w:p>
        </w:tc>
        <w:tc>
          <w:tcPr>
            <w:tcW w:w="4876" w:type="dxa"/>
            <w:tcBorders>
              <w:top w:val="nil"/>
              <w:left w:val="nil"/>
              <w:bottom w:val="nil"/>
              <w:right w:val="nil"/>
            </w:tcBorders>
          </w:tcPr>
          <w:p>
            <w:pPr>
              <w:pStyle w:val="Normal6a"/>
            </w:pPr>
            <w:r>
              <w:t>23.</w:t>
            </w:r>
            <w:r>
              <w:tab/>
            </w:r>
            <w:r>
              <w:t>pitää vaalitarkkailuvaltuuskuntia käytännöllisenä ja vaikuttavana ulkopolitiikan välineenä, joka on yhä keskeinen osa unionin demokratiatukitoimia ja -strategioita; panee seurantaraportista merkille, ettei EUH:lla ole aikeita laajentaa tarkkailutoimintaa ehdokas- ja naapurimaihin, koska Etyjin demokraattisten instituutioiden ja ihmisoikeuksien toimiston (ODIHR) johtamat tarkkailuvaltuuskunnat kattavat nämä maat riittävässä määrin ja ODIHR käyttää samantapaista menetelmää ja hankkii usein asiantuntijoita samasta asiantuntijapoolista kuin unioni; toistaa silti unionille esittämänsä kehotuksen varmistaa unionin vaalitarkkailuvaltuuskunnille riittävät resurssit</w:t>
            </w:r>
            <w:r>
              <w:rPr>
                <w:b/>
                <w:i/>
              </w:rPr>
              <w:t>, mukaan lukien asiantuntemus verkossa olevien tietojen eheydestä ja sekaantumisriskeistä vaalitarkkailumenetelmissä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palauttaa mieliin, että parlamentti </w:t>
            </w:r>
            <w:r>
              <w:rPr>
                <w:b/>
                <w:i/>
              </w:rPr>
              <w:t>ehdotti</w:t>
            </w:r>
            <w:r>
              <w:t xml:space="preserve"> vuonna 2021 </w:t>
            </w:r>
            <w:r>
              <w:rPr>
                <w:b/>
                <w:i/>
              </w:rPr>
              <w:t>pilottihanketta</w:t>
            </w:r>
            <w:r>
              <w:t xml:space="preserve"> ”Euroopan diplomaattikoulun perustamisen valmistelu” (EUDA) </w:t>
            </w:r>
            <w:r>
              <w:rPr>
                <w:b/>
                <w:i/>
              </w:rPr>
              <w:t>tavoitteenaan saada Eurooppaan vähimmäismäärä</w:t>
            </w:r>
            <w:r>
              <w:t xml:space="preserve"> unionin </w:t>
            </w:r>
            <w:r>
              <w:rPr>
                <w:b/>
                <w:i/>
              </w:rPr>
              <w:t>ulkosuhteisiin ja turvallisuuteen liittyvää koulutusta saaneita diplomaatteja sekä kehittää eurooppalainen diplomaattikulttuuri, jolla pyritään vahvistamaan unionin asemaa tehokkaana ulkopoliittisena toimijana;</w:t>
            </w:r>
            <w:r>
              <w:t xml:space="preserve"> </w:t>
            </w:r>
            <w:r>
              <w:rPr>
                <w:b/>
                <w:i/>
              </w:rPr>
              <w:t>toteaa, että pilottihankkeen ensimmäiseen vaiheeseen, joka kattoi lukuvuoden 2022–2023, osallistui 42 nuorta diplomaattia ja toisessa vaiheessa, joka kattoi lukuvuoden 2023–2024, oli 50 osallistujaa</w:t>
            </w:r>
            <w:r>
              <w:t>; panee merkille</w:t>
            </w:r>
            <w:r>
              <w:rPr>
                <w:b/>
                <w:i/>
              </w:rPr>
              <w:t>, että toisessa vaiheessa järjestettiin kaksi samansisältöistä neljän kuukauden pituista kurssia, joita seurasi kuukauden valmennusjakso EUH:n päätoimipaikassa Brysselissä;</w:t>
            </w:r>
            <w:r>
              <w:t xml:space="preserve"> </w:t>
            </w:r>
            <w:r>
              <w:rPr>
                <w:b/>
                <w:i/>
              </w:rPr>
              <w:t>toteaa, että kurssit ja valmennusohjelman toteutti College of Europen muodostama akateeminen yhteenliittymä Belgiassa (Brugge) ja Puolassa (Natolin);</w:t>
            </w:r>
            <w:r>
              <w:t xml:space="preserve"> </w:t>
            </w:r>
            <w:r>
              <w:rPr>
                <w:b/>
                <w:i/>
              </w:rPr>
              <w:t>panee kyselystä merkille, että palveluhankintasopimuksen EEAS/2022/OP/0168-2023 mukaisesti College of Europe laati loppuraportin, joka sisälsi arvion pilottihankkeen toisesta vaiheesta;</w:t>
            </w:r>
            <w:r>
              <w:t xml:space="preserve"> kehottaa EUH:ta toimittamaan vastuuvapauden myöntävälle viranomaiselle </w:t>
            </w:r>
            <w:r>
              <w:rPr>
                <w:b/>
                <w:i/>
              </w:rPr>
              <w:t>kyseisen raportin;</w:t>
            </w:r>
            <w:r>
              <w:t xml:space="preserve"> </w:t>
            </w:r>
            <w:r>
              <w:rPr>
                <w:b/>
                <w:i/>
              </w:rPr>
              <w:t>panee EUH:n tilinpäätöksiä vuosilta 2022, 2023 ja 2024 koskevasta kertomuksesta EUDAn pilottivaiheiden talousarvion toteuttamisen osalta merkille, että EUH maksoi 831 000 euroa vuonna 2022, 120 000 euroa vuonna 2023 ja 862 000 euroa vuonna 2024;</w:t>
            </w:r>
            <w:r>
              <w:t xml:space="preserve"> </w:t>
            </w:r>
            <w:r>
              <w:rPr>
                <w:b/>
                <w:i/>
              </w:rPr>
              <w:t>pyytää EUH:ta toimittamaan parlamentille vastuuvapausmenettelyn yhteydessä jäljennökset kaikista asiakirjoista, jotka</w:t>
            </w:r>
            <w:r>
              <w:t xml:space="preserve"> liittyvät </w:t>
            </w:r>
            <w:r>
              <w:rPr>
                <w:b/>
                <w:i/>
              </w:rPr>
              <w:t>EUDAa koskevan pilottihankkeen vaiheissa 1 ja 2 toteutettuihin hankintamenettelyihin, allekirjoitettuihin sopimuksiin ja suoritettuihin maksuihin</w:t>
            </w:r>
            <w:r>
              <w:t>;</w:t>
            </w:r>
          </w:p>
        </w:tc>
        <w:tc>
          <w:tcPr>
            <w:tcW w:w="4876" w:type="dxa"/>
            <w:tcBorders>
              <w:top w:val="nil"/>
              <w:left w:val="nil"/>
              <w:bottom w:val="nil"/>
              <w:right w:val="nil"/>
            </w:tcBorders>
          </w:tcPr>
          <w:p>
            <w:pPr>
              <w:pStyle w:val="Normal6a"/>
            </w:pPr>
            <w:r>
              <w:t>25.</w:t>
            </w:r>
            <w:r>
              <w:tab/>
            </w:r>
            <w:r>
              <w:t xml:space="preserve">palauttaa mieliin, että parlamentti </w:t>
            </w:r>
            <w:r>
              <w:rPr>
                <w:b/>
                <w:i/>
              </w:rPr>
              <w:t>käynnisti</w:t>
            </w:r>
            <w:r>
              <w:t xml:space="preserve"> vuonna 2021 </w:t>
            </w:r>
            <w:r>
              <w:rPr>
                <w:b/>
                <w:i/>
              </w:rPr>
              <w:t>pilottihankkeen</w:t>
            </w:r>
            <w:r>
              <w:t xml:space="preserve"> ”Euroopan diplomaattikoulun perustamisen valmistelu” (EUDA)</w:t>
            </w:r>
            <w:r>
              <w:rPr>
                <w:b/>
                <w:i/>
              </w:rPr>
              <w:t>, jotta voitaisiin edistää todella eurooppalaista diplomaattikulttuuria ja vahvistaa</w:t>
            </w:r>
            <w:r>
              <w:t xml:space="preserve"> unionin </w:t>
            </w:r>
            <w:r>
              <w:rPr>
                <w:b/>
                <w:i/>
              </w:rPr>
              <w:t>strategista läsnäoloa kaikkialla maailmassa</w:t>
            </w:r>
            <w:r>
              <w:t xml:space="preserve">; panee merkille </w:t>
            </w:r>
            <w:r>
              <w:rPr>
                <w:b/>
                <w:i/>
              </w:rPr>
              <w:t>onnistuneen osallistumisen molempiin pilottivaiheisiin ja</w:t>
            </w:r>
            <w:r>
              <w:t xml:space="preserve"> kehottaa EUH:ta toimittamaan vastuuvapauden myöntävälle viranomaiselle </w:t>
            </w:r>
            <w:r>
              <w:rPr>
                <w:b/>
                <w:i/>
              </w:rPr>
              <w:t>täydellisen arviointikertomuksen sekä kaikki asiaan</w:t>
            </w:r>
            <w:r>
              <w:t xml:space="preserve"> liittyvät </w:t>
            </w:r>
            <w:r>
              <w:rPr>
                <w:b/>
                <w:i/>
              </w:rPr>
              <w:t>hankinta- ja sopimusasiakirjat ja varmistamaan täyden avoimuuden vuosina 2022–2024 käytettyjen 1,8 miljoonan euron osalta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panee lisäksi merkille, että neuvosto hyväksyi 21. toukokuuta 2024 </w:t>
            </w:r>
            <w:r>
              <w:rPr>
                <w:b/>
                <w:i/>
              </w:rPr>
              <w:t>pilottivaiheissa</w:t>
            </w:r>
            <w:r>
              <w:t xml:space="preserve"> saadun kokemuksen ja kehitetyn rakenteen pohjalta päätöksen täysipainoisen EUDAn perustamisesta neljäksi lukuvuodeksi lukuvuodesta 2024–2025 alkaen</w:t>
            </w:r>
            <w:r>
              <w:rPr>
                <w:b/>
                <w:i/>
              </w:rPr>
              <w:t>, ja toteaa, että kurssi ja valmennustoiminta on annettu</w:t>
            </w:r>
            <w:r>
              <w:t xml:space="preserve"> College of </w:t>
            </w:r>
            <w:r>
              <w:rPr>
                <w:b/>
                <w:i/>
              </w:rPr>
              <w:t>Europen</w:t>
            </w:r>
            <w:r>
              <w:t xml:space="preserve"> tehtäväksi </w:t>
            </w:r>
            <w:r>
              <w:rPr>
                <w:b/>
                <w:i/>
              </w:rPr>
              <w:t>mutta EUDA toimii varapuheenjohtajan / korkean edustajan alaisuudessa ja hän puolestaan saa ohjausta johtokomitealta</w:t>
            </w:r>
            <w:r>
              <w:t xml:space="preserve">, joka koostuu </w:t>
            </w:r>
            <w:r>
              <w:rPr>
                <w:b/>
                <w:i/>
              </w:rPr>
              <w:t>kunkin jäsenvaltion nimeämistä edustajista sekä</w:t>
            </w:r>
            <w:r>
              <w:t xml:space="preserve"> parlamentin, neuvoston ja komission edustajista; panee </w:t>
            </w:r>
            <w:r>
              <w:rPr>
                <w:b/>
                <w:i/>
              </w:rPr>
              <w:t>päätöksestä</w:t>
            </w:r>
            <w:r>
              <w:t xml:space="preserve"> merkille, että </w:t>
            </w:r>
            <w:r>
              <w:rPr>
                <w:b/>
                <w:i/>
              </w:rPr>
              <w:t>suunniteltu 1,72 miljoonan euron määrä kattaa ajanjakson</w:t>
            </w:r>
            <w:r>
              <w:t xml:space="preserve"> 1. heinäkuuta 2024 – 30. kesäkuuta 2025 ja että </w:t>
            </w:r>
            <w:r>
              <w:rPr>
                <w:b/>
                <w:i/>
              </w:rPr>
              <w:t>EUDAan liittyvien menojen hallinnointia valvoo komissio</w:t>
            </w:r>
            <w:r>
              <w:t xml:space="preserve"> ulkopolitiikan välineiden </w:t>
            </w:r>
            <w:r>
              <w:rPr>
                <w:b/>
                <w:i/>
              </w:rPr>
              <w:t>hallinnon välityksellä</w:t>
            </w:r>
            <w:r>
              <w:t>;</w:t>
            </w:r>
          </w:p>
        </w:tc>
        <w:tc>
          <w:tcPr>
            <w:tcW w:w="4876" w:type="dxa"/>
            <w:tcBorders>
              <w:top w:val="nil"/>
              <w:left w:val="nil"/>
              <w:bottom w:val="nil"/>
              <w:right w:val="nil"/>
            </w:tcBorders>
          </w:tcPr>
          <w:p>
            <w:pPr>
              <w:pStyle w:val="Normal6a"/>
            </w:pPr>
            <w:r>
              <w:t>26.</w:t>
            </w:r>
            <w:r>
              <w:tab/>
            </w:r>
            <w:r>
              <w:t xml:space="preserve">panee lisäksi merkille, että neuvosto hyväksyi 21. toukokuuta 2024 </w:t>
            </w:r>
            <w:r>
              <w:rPr>
                <w:b/>
                <w:i/>
              </w:rPr>
              <w:t>pilottivaiheiden aikana</w:t>
            </w:r>
            <w:r>
              <w:t xml:space="preserve"> saadun kokemuksen ja kehitetyn rakenteen pohjalta päätöksen täysipainoisen EUDAn perustamisesta neljäksi lukuvuodeksi lukuvuodesta 2024–2025 alkaen</w:t>
            </w:r>
            <w:r>
              <w:rPr>
                <w:b/>
                <w:i/>
              </w:rPr>
              <w:t>;</w:t>
            </w:r>
            <w:r>
              <w:t xml:space="preserve"> </w:t>
            </w:r>
            <w:r>
              <w:rPr>
                <w:b/>
                <w:i/>
              </w:rPr>
              <w:t>korostaa, että EUDA:n perustaminen on strateginen askel kohti unionin diplomaattisten valmiuksien vahvistamista ja aidosti eurooppalaisen diplomaattisen kulttuurin kehittämistä;</w:t>
            </w:r>
            <w:r>
              <w:t xml:space="preserve"> </w:t>
            </w:r>
            <w:r>
              <w:rPr>
                <w:b/>
                <w:i/>
              </w:rPr>
              <w:t>panee merkille, että</w:t>
            </w:r>
            <w:r>
              <w:t xml:space="preserve"> College of </w:t>
            </w:r>
            <w:r>
              <w:rPr>
                <w:b/>
                <w:i/>
              </w:rPr>
              <w:t>Europelle on annettu</w:t>
            </w:r>
            <w:r>
              <w:t xml:space="preserve"> tehtäväksi </w:t>
            </w:r>
            <w:r>
              <w:rPr>
                <w:b/>
                <w:i/>
              </w:rPr>
              <w:t>toteuttaa koulutusohjelma ja että yleisestä hallinnosta vastaa ohjauskomitea</w:t>
            </w:r>
            <w:r>
              <w:t xml:space="preserve">, joka koostuu </w:t>
            </w:r>
            <w:r>
              <w:rPr>
                <w:b/>
                <w:i/>
              </w:rPr>
              <w:t>kaikkien jäsenvaltioiden,</w:t>
            </w:r>
            <w:r>
              <w:t xml:space="preserve"> parlamentin, neuvoston ja komission edustajista; panee merkille, että </w:t>
            </w:r>
            <w:r>
              <w:rPr>
                <w:b/>
                <w:i/>
              </w:rPr>
              <w:t>ensimmäiselle lukuvuodelle (</w:t>
            </w:r>
            <w:r>
              <w:t>1. heinäkuuta 2024 – 30. kesäkuuta 2025</w:t>
            </w:r>
            <w:r>
              <w:rPr>
                <w:b/>
                <w:i/>
              </w:rPr>
              <w:t>) on osoitettu 1,72 miljoonaa euroa</w:t>
            </w:r>
            <w:r>
              <w:t xml:space="preserve"> ja että </w:t>
            </w:r>
            <w:r>
              <w:rPr>
                <w:b/>
                <w:i/>
              </w:rPr>
              <w:t>menoja hallinnoi komission</w:t>
            </w:r>
            <w:r>
              <w:t xml:space="preserve"> ulkopolitiikan välineiden </w:t>
            </w:r>
            <w:r>
              <w:rPr>
                <w:b/>
                <w:i/>
              </w:rPr>
              <w:t>hallinto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panee merkille, että sen jälkeen, kun hallinto- ja ohjausjärjestelmäyksikkö perustettiin vuonna 2023, EUH päivitti sisäisen valvonnan kehystään vuonna 2024 voidakseen ottaa huomioon hallinto- ja ohjausjärjestelmän päävastuuhenkilön roolin ja ottaa käyttöön sisäisten tarkastusten seurantamekanismin; panee kyselystä merkille, että EUH:n sisäisen valvonnan kehys on linjassa komission vastaavan kehyksen kanssa; toteaa, että sisäisen valvontajärjestelmänsä vakiomuotoisen vuotuisen arvioinnin lisäksi EUH toteutti vuonna 2024 kyselytutkimuksen ja sai siihen vastauksia 167 henkilöstön jäseneltä, joista kaikilla oli edelleenvaltuutetun tulojen ja menojen hyväksyjän vastuualueita, ja että kyselytutkimuksen tuloksista keskusteltiin ylimmän johdon tasolla EUH:n sisäisen valvonnan komiteassa; panee merkille, että kyselyssä tuotiin esille </w:t>
            </w:r>
            <w:r>
              <w:rPr>
                <w:b/>
                <w:i/>
              </w:rPr>
              <w:t>185</w:t>
            </w:r>
            <w:r>
              <w:t xml:space="preserve"> osa-aluetta, joihin on syytä kiinnittää huomiota ja jotka liittyivät erityisesti unionin edustustoilla oleviin haasteisiin, kuten sisäisiä tarkastuksia ja riskinhallintaa koskevaan tietoisuuteen, pätevän henkilöstön palkkaamiseen ja työssä pysymiseen sekä tietoteknisiin palveluihin; suhtautuu myönteisesti siihen, että EUH laati toimintasuunnitelman korjatakseen olemassa olevia ongelmia ja puuttuakseen ennakoivasti mahdollisiin riskeihin; pyytää EUH:ta pitämään vastuuvapauden myöntävän viranomaisen ajan tasalla näistä asioista;</w:t>
            </w:r>
          </w:p>
        </w:tc>
        <w:tc>
          <w:tcPr>
            <w:tcW w:w="4876" w:type="dxa"/>
            <w:tcBorders>
              <w:top w:val="nil"/>
              <w:left w:val="nil"/>
              <w:bottom w:val="nil"/>
              <w:right w:val="nil"/>
            </w:tcBorders>
          </w:tcPr>
          <w:p>
            <w:pPr>
              <w:pStyle w:val="Normal6a"/>
            </w:pPr>
            <w:r>
              <w:t>27.</w:t>
            </w:r>
            <w:r>
              <w:tab/>
            </w:r>
            <w:r>
              <w:t xml:space="preserve">panee merkille, että sen jälkeen, kun hallinto- ja ohjausjärjestelmäyksikkö perustettiin vuonna 2023, EUH päivitti sisäisen valvonnan kehystään vuonna 2024 voidakseen ottaa huomioon hallinto- ja ohjausjärjestelmän päävastuuhenkilön roolin ja ottaa käyttöön sisäisten tarkastusten seurantamekanismin; panee kyselystä merkille, että EUH:n sisäisen valvonnan kehys on linjassa komission vastaavan kehyksen kanssa; toteaa, että sisäisen valvontajärjestelmänsä vakiomuotoisen vuotuisen arvioinnin lisäksi EUH toteutti vuonna 2024 kyselytutkimuksen ja sai siihen vastauksia 167 henkilöstön jäseneltä, joista kaikilla oli edelleenvaltuutetun tulojen ja menojen hyväksyjän vastuualueita, ja että kyselytutkimuksen tuloksista keskusteltiin ylimmän johdon tasolla EUH:n sisäisen valvonnan komiteassa; panee merkille, että kyselyssä tuotiin esille </w:t>
            </w:r>
            <w:r>
              <w:rPr>
                <w:b/>
                <w:i/>
              </w:rPr>
              <w:t>183</w:t>
            </w:r>
            <w:r>
              <w:t xml:space="preserve"> osa-aluetta, joihin on syytä kiinnittää huomiota ja jotka liittyivät erityisesti unionin edustustoilla oleviin haasteisiin, kuten sisäisiä tarkastuksia ja riskinhallintaa koskevaan tietoisuuteen, pätevän henkilöstön palkkaamiseen ja työssä pysymiseen sekä tietoteknisiin palveluihin; suhtautuu myönteisesti siihen, että EUH laati toimintasuunnitelman korjatakseen olemassa olevia ongelmia ja puuttuakseen ennakoivasti mahdollisiin riskeihin; pyytää EUH:ta pitämään vastuuvapauden myöntävän viranomaisen ajan tasalla näistä asioista;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panee merkille, että EUH:n palveluksessa oli yhteensä </w:t>
            </w:r>
            <w:r>
              <w:rPr>
                <w:b/>
                <w:i/>
              </w:rPr>
              <w:t>2 902</w:t>
            </w:r>
            <w:r>
              <w:t xml:space="preserve"> henkilöstön jäsentä, mukaan lukien </w:t>
            </w:r>
            <w:r>
              <w:rPr>
                <w:b/>
                <w:i/>
              </w:rPr>
              <w:t>1 268</w:t>
            </w:r>
            <w:r>
              <w:t xml:space="preserve"> virkamiestä, 442 väliaikaista toimihenkilöä, 619 sopimussuhteista toimihenkilöä ja 573 kansallista asiantuntijaa, kun vuonna 2023 henkilöstön jäseniä oli </w:t>
            </w:r>
            <w:r>
              <w:rPr>
                <w:b/>
                <w:i/>
              </w:rPr>
              <w:t>2 812</w:t>
            </w:r>
            <w:r>
              <w:t xml:space="preserve">, mukaan lukien </w:t>
            </w:r>
            <w:r>
              <w:rPr>
                <w:b/>
                <w:i/>
              </w:rPr>
              <w:t>1 245</w:t>
            </w:r>
            <w:r>
              <w:t xml:space="preserve"> virkamiestä, 450 väliaikaista toimihenkilöä, 603 sopimussuhteista toimihenkilöä ja 514 kansallista asiantuntijaa; muistuttaa vakinaisten työsopimusten merkityksestä osaamisen, jatkuvuuden ja tuottavan työympäristön ylläpitämisessä;</w:t>
            </w:r>
          </w:p>
        </w:tc>
        <w:tc>
          <w:tcPr>
            <w:tcW w:w="4876" w:type="dxa"/>
            <w:tcBorders>
              <w:top w:val="nil"/>
              <w:left w:val="nil"/>
              <w:bottom w:val="nil"/>
              <w:right w:val="nil"/>
            </w:tcBorders>
          </w:tcPr>
          <w:p>
            <w:pPr>
              <w:pStyle w:val="Normal6a"/>
            </w:pPr>
            <w:r>
              <w:t>35.</w:t>
            </w:r>
            <w:r>
              <w:tab/>
            </w:r>
            <w:r>
              <w:t>panee merkille, että EUH:n palveluksessa oli</w:t>
            </w:r>
            <w:r>
              <w:rPr>
                <w:b/>
                <w:i/>
              </w:rPr>
              <w:t>, paikallista henkilöstöä lukuun ottamatta,</w:t>
            </w:r>
            <w:r>
              <w:t xml:space="preserve"> yhteensä </w:t>
            </w:r>
            <w:r>
              <w:rPr>
                <w:b/>
                <w:i/>
              </w:rPr>
              <w:t>2 902</w:t>
            </w:r>
            <w:r>
              <w:t xml:space="preserve"> henkilöstön jäsentä, mukaan lukien </w:t>
            </w:r>
            <w:r>
              <w:rPr>
                <w:b/>
                <w:i/>
              </w:rPr>
              <w:t>1 268</w:t>
            </w:r>
            <w:r>
              <w:t xml:space="preserve"> virkamiestä, 442 väliaikaista toimihenkilöä, 619 sopimussuhteista toimihenkilöä ja 573 kansallista asiantuntijaa, kun vuonna 2023 henkilöstön jäseniä oli </w:t>
            </w:r>
            <w:r>
              <w:rPr>
                <w:b/>
                <w:i/>
              </w:rPr>
              <w:t>2 812</w:t>
            </w:r>
            <w:r>
              <w:t xml:space="preserve">, mukaan lukien </w:t>
            </w:r>
            <w:r>
              <w:rPr>
                <w:b/>
                <w:i/>
              </w:rPr>
              <w:t>1 245</w:t>
            </w:r>
            <w:r>
              <w:t xml:space="preserve"> virkamiestä, 450 väliaikaista toimihenkilöä, 603 sopimussuhteista toimihenkilöä ja 514 kansallista asiantuntijaa; muistuttaa vakinaisten työsopimusten merkityksestä osaamisen, jatkuvuuden ja tuottavan työympäristön ylläpitämisessä;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panee EUH:n vuoden 2024 kertomuksesta merkille, että EUH:ssa työskentelevistä 5 355 henkilöstä 47 prosenttia työskenteli EUH:n päätoimipaikassa ja 53 prosenttia unionin edustustoissa vuoden 2024 lopussa ja että unionin edustustoissa oli 1 622 paikallista toimihenkilöä; panee merkille, että kuulemisen aikana jäsenet toivat esiin huolensa paikallisen henkilöstön väitetystä irtisanomisesta tietyissä unionin edustustoissa ilman, että siinä otettiin asianmukaisesti huomioon paikallista työlainsäädäntöä; panee merkille, että kuulemisen jälkeen CONT-valiokunnan jäsenet esittivät kirjallisia lisäkysymyksiä; panee EUH:n näihin kysymyksiin antamista vastauksista, jäljempänä ’toinen kysely’, merkille, että komission jäsenten ulkosuhdehankeryhmä hyväksyi 14. toukokuuta 2025 hankkeen unionin edustustojen verkoston nykyaikaistamiseksi; panee merkille, että tämän hankkeen toteuttaminen edellyttää muun muassa kuuden Länsi-Balkanilla sijaitsevan unionin edustuston rahoituksen, sopimusten ja tarkastustehtävien keskittämistä ENEST-pääosaston päätoimipaikkaan sekä rahoituksen ja sopimusten parissa työskentelevän henkilöstön määrän vähentämistä kyseisissä unionin edustustoissa oikeudellisia neuvonantajia kuullen tehtyjen arviointien perusteella; panee irtisanomispaketin osalta merkille, että EUH väittää, että kaikkia paikallisen lainsäädännön ja unionin sisäisten sääntöjen mukaisia oikeuksia on kunnioitettu ja että paikallisessa lainsäädännössä säädettyjen ja unionin sisäisten irtisanomispakettien välillä valittiin suotuisimmat paketit, vaikka paikalliset toimihenkilöt asiaankuuluvissa unionin edustustoissa ovat ilmaisseet huolensa asiassa; panee lisäksi merkille, että EUH toimii yhdessä komission kanssa tiiviissä yhteistyössä paikallisen asianajotoimiston kanssa, joka antaa ohjeita mahdollisista paikallisista lakisääteisistä vaatimuksista ja varmistaa siten, että irtisanomisprosessin täytäntöönpano tapahtuu täysin sovellettavan paikallisen työlainsäädännön mukaisesti; kehottaa EUH:ta kuulemaan paikallisen henkilöstön edustajaa kokonaisvaltaisesti laatiessaan paikallisen henkilöstön irtisanomissuunnitelmaa; panee kyselyn vastauksista huolestuneena merkille, että jos unionin edustusto siirretään toiseen maahan muun muassa evakuoinnin yhteydessä (esim. Sudanin alatoimiston siirtäminen Egyptiin), lähtömaassa työskentelevät paikalliset toimihenkilöt irtisanotaan, jolloin he jäävät vaille turvaa; kehottaa EUH:ta etsimään unionin edustustoissa lojaalisti työskennelleen paikallisen henkilöstön varalle turvaan liittyviä toteuttamiskelpoisia ratkaisuja;</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a.</w:t>
            </w:r>
            <w:r>
              <w:tab/>
            </w:r>
            <w:r>
              <w:rPr>
                <w:b/>
                <w:i/>
              </w:rPr>
              <w:t>ilmaisee vakavan huolensa tiedoista, joiden mukaan työmarkkinaosapuolten vuoropuhelu on riittämätöntä ja henkilöstön suojeltuja edustajia on otettu irtisanomisten kohteeksi joutuneiden paikallisten toimihenkilöiden joukkoon tietyissä unionin edustustoissa;</w:t>
            </w:r>
            <w:r>
              <w:t xml:space="preserve"> </w:t>
            </w:r>
            <w:r>
              <w:rPr>
                <w:b/>
                <w:i/>
              </w:rPr>
              <w:t>muistuttaa, että paikallisen työlainsäädännön noudattaminen, työmarkkinaosapuolten vuoropuhelua koskevat velvoitteet ja henkilöstön edustajien suojelu ovat keskeisiä tekijöitä hyvässä hallinnossa ja unionin uskottavuudessa työnantajana;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w:t>
            </w:r>
            <w:r>
              <w:tab/>
            </w:r>
            <w:r>
              <w:rPr>
                <w:b/>
                <w:i/>
              </w:rPr>
              <w:t>korostaa, että ennen kuin toteutetaan uudelleenjärjestelyjä, siirtoja tai irtisanomisia, jotka vaikuttavat paikalliseen henkilöstöön, henkilöstön edustajia on kuultava mielekkäällä tavalla ja toteutettava konkreettisia toimenpiteitä paikallisten toimihenkilöiden oikeuksien, turvallisuuden ja ihmisarvon turvaamiseksi erityisesti kriisi- tai evakuointitilanteissa;</w:t>
            </w:r>
            <w:r>
              <w:t xml:space="preserve"> </w:t>
            </w:r>
            <w:r>
              <w:rPr>
                <w:b/>
                <w:i/>
              </w:rPr>
              <w:t>kehottaa EUH:ta arvioimaan henkilöstövähennysten kustannustehokkuutta vaihtoehtoisiin organisatorisiin ratkaisuihin verrattuna ja raportoimaan siitä vastuuvapauden myöntävälle viranomaiselle, mukaan lukien paikallisen henkilöstön irtisanomisten pitkän aikavälin taloudelliset, toiminnalliset ja maineeseen kohdistuvat vaikutukset;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panee merkille, että EUH:n koko henkilöstöstä 46,60 prosenttia oli naisia vuonna 2024 (46,80 prosenttia vuonna 2023); panee merkille naisten edustuksen ja heidän EUH:ssa vuonna 2024 hoitamiensa tointen osalta, että 40 prosenttia oli hallintovirkamiehiä, 63,78 prosenttia hallintoavustajia, 73,25 prosenttia apulaishallintoavustajia, 56,70 prosenttia sopimussuhteisia toimihenkilöitä ja 26,87 prosenttia kansallisia asiantuntijoita; panee EUH:n vuoden 2024 kertomuksesta tyytyväisenä merkille, että EUH on pyrkinyt lisäämään naisten edustusta johtotehtävissä; panee tässä yhteydessä merkille, että ylemmässä johdossa naisten osuus kasvoi 37,30 prosenttiin vuonna 2024 (31 prosenttia vuonna 2023), mutta keskijohdossa naisten osuus laski hieman 38,70 prosenttiin vuonna 2024 (40,40 prosenttia vuonna 2023); panee tyytyväisenä merkille, että naisten edustus edustustojen päälliköiden tehtävissä kasvoi vuodesta 2023 vuoteen 2024 35,50 prosentista 36,10 prosenttiin;</w:t>
            </w:r>
          </w:p>
        </w:tc>
        <w:tc>
          <w:tcPr>
            <w:tcW w:w="4876" w:type="dxa"/>
            <w:tcBorders>
              <w:top w:val="nil"/>
              <w:left w:val="nil"/>
              <w:bottom w:val="nil"/>
              <w:right w:val="nil"/>
            </w:tcBorders>
          </w:tcPr>
          <w:p>
            <w:pPr>
              <w:pStyle w:val="Normal6a"/>
            </w:pPr>
            <w:r>
              <w:t>37.</w:t>
            </w:r>
            <w:r>
              <w:tab/>
            </w:r>
            <w:r>
              <w:t xml:space="preserve">panee merkille, että EUH:n koko henkilöstöstä 46,60 prosenttia oli naisia vuonna 2024 (46,80 prosenttia vuonna 2023); panee merkille naisten edustuksen ja heidän EUH:ssa vuonna 2024 hoitamiensa tointen osalta, että 40 prosenttia oli hallintovirkamiehiä, 63,78 prosenttia hallintoavustajia, 73,25 prosenttia apulaishallintoavustajia, 56,70 prosenttia sopimussuhteisia toimihenkilöitä ja 26,87 prosenttia kansallisia asiantuntijoita; panee EUH:n vuoden 2024 kertomuksesta tyytyväisenä merkille, että EUH on pyrkinyt lisäämään naisten edustusta johtotehtävissä; panee tässä yhteydessä merkille, että ylemmässä johdossa naisten osuus kasvoi 37,30 prosenttiin vuonna 2024 (31 prosenttia vuonna 2023), mutta keskijohdossa naisten osuus laski hieman 38,70 prosenttiin vuonna 2024 (40,40 prosenttia vuonna 2023); panee tyytyväisenä merkille, että naisten edustus edustustojen päälliköiden tehtävissä kasvoi vuodesta 2023 vuoteen 2024 35,50 prosentista 36,10 prosenttiin; </w:t>
            </w:r>
            <w:r>
              <w:rPr>
                <w:b/>
                <w:i/>
              </w:rPr>
              <w:t>panee tyytyväisenä merkille, että naisten määrä EUH:n johtotehtävissä on kasvanut asteittain, mutta toteaa, että naiset ovat edelleen aliedustettuina AD-tasolla ja yliedustettuina AST-tasolla ja että sukupuolten tasapuolista edustusta keski- ja ylemmän johdon tehtävissä sekä päätoimipaikassa että unionin edustustoissa ei ole vielä täysin saavutettu;</w:t>
            </w:r>
            <w:r>
              <w:t xml:space="preserve"> </w:t>
            </w:r>
            <w:r>
              <w:rPr>
                <w:b/>
                <w:i/>
              </w:rPr>
              <w:t>korostaa, että vaikka toimielinten elinten henkilöstölle on taattava yhtäläiset mahdollisuudet, EUH:n huippuosaaminen ja ammattimaisuus on säilytettävä;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panee seurantaraportista merkille EUH:n pyrkimykset saada lisää hakemuksia aliedustettuna olevalta sukupuolelta; pitää tässä yhteydessä myönteisenä, että vuonna 2024 järjestettiin neljä sukupuolitietoista johtajuutta koskevaa johdon koulutusta, joihin osallistui 80 prosenttia EUH:n ylempään johtoon kuuluvista, ja että </w:t>
            </w:r>
            <w:r>
              <w:rPr>
                <w:b/>
                <w:i/>
              </w:rPr>
              <w:t>unionin edustustojen 18</w:t>
            </w:r>
            <w:r>
              <w:t xml:space="preserve"> johtajalle järjestettiin täysi </w:t>
            </w:r>
            <w:r>
              <w:rPr>
                <w:b/>
                <w:i/>
              </w:rPr>
              <w:t>nelikuukautinen</w:t>
            </w:r>
            <w:r>
              <w:t xml:space="preserve"> ohjelma tästä aiheesta; panee lisäksi merkille, että EUH perusti uuden tasa-arvoasioiden yhteyspisteiden verkoston sekä Istanbulin yleissopimusta käsittelevän työryhmän, joka esitti vuonna 2024 väliraportin ja toimintasuunnitelman; panee merkille EU:n tasa-arvo- ja monimuotoisuuslähettilään työn sukupuolinäkökulman sisällyttämiseksi ihmisoikeusvuoropuheluun ja keskeisiin monenvälisiin julkilausumiin ja päätöslauselmiin; kehottaa EUH:ta tiedottamaan edelleen vuosien 2021–2025 GAP:n viimeaikaisesta kehityksestä sekä toteutetuista toimista, joilla edistetään edelleen naisten osallistumista kaikkiin diplomaattisiin ja poliittisiin vuoropuheluihin;</w:t>
            </w:r>
          </w:p>
        </w:tc>
        <w:tc>
          <w:tcPr>
            <w:tcW w:w="4876" w:type="dxa"/>
            <w:tcBorders>
              <w:top w:val="nil"/>
              <w:left w:val="nil"/>
              <w:bottom w:val="nil"/>
              <w:right w:val="nil"/>
            </w:tcBorders>
          </w:tcPr>
          <w:p>
            <w:pPr>
              <w:pStyle w:val="Normal6a"/>
            </w:pPr>
            <w:r>
              <w:t>38.</w:t>
            </w:r>
            <w:r>
              <w:tab/>
            </w:r>
            <w:r>
              <w:t xml:space="preserve">panee seurantaraportista merkille EUH:n pyrkimykset saada lisää hakemuksia aliedustettuna olevalta sukupuolelta; pitää tässä yhteydessä myönteisenä, että vuonna 2024 järjestettiin neljä sukupuolitietoista johtajuutta koskevaa johdon koulutusta, joihin osallistui 80 prosenttia EUH:n ylempään johtoon kuuluvista, ja että </w:t>
            </w:r>
            <w:r>
              <w:rPr>
                <w:b/>
                <w:i/>
              </w:rPr>
              <w:t>13</w:t>
            </w:r>
            <w:r>
              <w:t xml:space="preserve"> johtajalle</w:t>
            </w:r>
            <w:r>
              <w:rPr>
                <w:b/>
                <w:i/>
              </w:rPr>
              <w:t>, joista 4 oli unionin edustustoista,</w:t>
            </w:r>
            <w:r>
              <w:t xml:space="preserve"> järjestettiin täysi </w:t>
            </w:r>
            <w:r>
              <w:rPr>
                <w:b/>
                <w:i/>
              </w:rPr>
              <w:t>29 tuntia kestävä</w:t>
            </w:r>
            <w:r>
              <w:t xml:space="preserve"> ohjelma </w:t>
            </w:r>
            <w:r>
              <w:rPr>
                <w:b/>
                <w:i/>
              </w:rPr>
              <w:t>neljän kuukauden aikana</w:t>
            </w:r>
            <w:r>
              <w:t xml:space="preserve"> tästä aiheesta; panee lisäksi merkille, että EUH perusti uuden tasa-arvoasioiden yhteyspisteiden verkoston sekä Istanbulin yleissopimusta käsittelevän työryhmän, joka esitti vuonna 2024 väliraportin ja toimintasuunnitelman; panee merkille EU:n tasa-arvo- ja monimuotoisuuslähettilään työn sukupuolinäkökulman sisällyttämiseksi ihmisoikeusvuoropuheluun ja keskeisiin monenvälisiin julkilausumiin ja päätöslauselmiin; kehottaa EUH:ta tiedottamaan edelleen vuosien 2021–2025 GAP:n viimeaikaisesta kehityksestä sekä toteutetuista toimista, joilla edistetään edelleen naisten osallistumista kaikkiin diplomaattisiin ja poliittisiin vuoropuheluihin;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w:t>
            </w:r>
            <w:r>
              <w:rPr>
                <w:b/>
                <w:i/>
              </w:rPr>
              <w:t>merkille EUH:n pyrkimykset taata henkilöstönsä monimuotoisuus ja edustavuus;</w:t>
            </w:r>
            <w:r>
              <w:t xml:space="preserve"> </w:t>
            </w:r>
            <w:r>
              <w:rPr>
                <w:b/>
                <w:i/>
              </w:rPr>
              <w:t>pitää myönteisenä, että kaikki jäsenvaltiot ovat edustettuina EUH:n henkilöstössä;</w:t>
            </w:r>
            <w:r>
              <w:t xml:space="preserve"> </w:t>
            </w:r>
            <w:r>
              <w:rPr>
                <w:b/>
                <w:i/>
              </w:rPr>
              <w:t>pitää kuitenkin valitettavana, että tiettyä epätasapainoa on edelleen ja että jotkin jäsenvaltiot ovat yliedustettuina;</w:t>
            </w:r>
            <w:r>
              <w:t xml:space="preserve"> </w:t>
            </w:r>
            <w:r>
              <w:rPr>
                <w:b/>
                <w:i/>
              </w:rPr>
              <w:t>panee</w:t>
            </w:r>
            <w:r>
              <w:t xml:space="preserve"> merkille</w:t>
            </w:r>
            <w:r>
              <w:rPr>
                <w:b/>
                <w:i/>
              </w:rPr>
              <w:t>, että vuoden 2024 lopussa kolmella jäsenvaltiolla (yhdellä jäsenvaltiolla vuonna 2025) ei edelleenkään ollut unionin suurlähettiläitä ja että viidellä jäsenvaltiolla oli 56 prosenttia kaikista unionin suurlähettiläiden toimista (144), kun vastaava osuus vuonna 2023 oli 54 prosenttia;</w:t>
            </w:r>
            <w:r>
              <w:t xml:space="preserve"> </w:t>
            </w:r>
            <w:r>
              <w:rPr>
                <w:b/>
                <w:i/>
              </w:rPr>
              <w:t>kehottaa jälleen EUH:ta varmistamaan jatkossakin vakaan</w:t>
            </w:r>
            <w:r>
              <w:t xml:space="preserve"> maantieteellisen tasapainon </w:t>
            </w:r>
            <w:r>
              <w:rPr>
                <w:b/>
                <w:i/>
              </w:rPr>
              <w:t>koko organisaatiossaan ja kaikilla tasoilla;</w:t>
            </w:r>
            <w:r>
              <w:t xml:space="preserve"> </w:t>
            </w:r>
            <w:r>
              <w:rPr>
                <w:b/>
                <w:i/>
              </w:rPr>
              <w:t>kannustaa hakemaan työntekijöitä ja edistämään rekrytointiprosesseja aliedustettuina olevissa maissa</w:t>
            </w:r>
            <w:r>
              <w:t>;</w:t>
            </w:r>
          </w:p>
        </w:tc>
        <w:tc>
          <w:tcPr>
            <w:tcW w:w="4876" w:type="dxa"/>
            <w:tcBorders>
              <w:top w:val="nil"/>
              <w:left w:val="nil"/>
              <w:bottom w:val="nil"/>
              <w:right w:val="nil"/>
            </w:tcBorders>
          </w:tcPr>
          <w:p>
            <w:pPr>
              <w:pStyle w:val="Normal6a"/>
            </w:pPr>
            <w:r>
              <w:t>39.</w:t>
            </w:r>
            <w:r>
              <w:tab/>
            </w:r>
            <w:r>
              <w:t xml:space="preserve">panee </w:t>
            </w:r>
            <w:r>
              <w:rPr>
                <w:b/>
                <w:i/>
              </w:rPr>
              <w:t>huolestuneena</w:t>
            </w:r>
            <w:r>
              <w:t xml:space="preserve"> merkille maantieteellisen tasapainon </w:t>
            </w:r>
            <w:r>
              <w:rPr>
                <w:b/>
                <w:i/>
              </w:rPr>
              <w:t>ja alueellisen monimuotoisuuden jatkuvan puutteen EUH:ssa, myös johtotehtävissä ja päätoimipaikan keskeisissä tehtävissä;</w:t>
            </w:r>
            <w:r>
              <w:t xml:space="preserve"> </w:t>
            </w:r>
            <w:r>
              <w:rPr>
                <w:b/>
                <w:i/>
              </w:rPr>
              <w:t>korostaa, että EU:n ulkosuhdehallinnon on heijastettava unionin monimuotoisuutta legitimiteetin, paikallistietämyksen ja tehokkuuden vahvistamiseksi</w:t>
            </w:r>
            <w:r>
              <w:t xml:space="preserve">; </w:t>
            </w:r>
            <w:r>
              <w:rPr>
                <w:b/>
                <w:i/>
              </w:rPr>
              <w:t>kehottaa EUH:ta hyväksymään maantieteellistä tasapainoa ja monimuotoisuutta koskevan aikasidonnaisen toimintasuunnitelman;</w:t>
            </w:r>
            <w:r>
              <w:t xml:space="preserve"> </w:t>
            </w:r>
            <w:r>
              <w:rPr>
                <w:b/>
                <w:i/>
              </w:rPr>
              <w:t>kehottaa EUH:ta tehostamaan yhteistyössä EPSOn ja valintasäännöistä vastaavien komission yksiköiden kanssa kohdennettua tiedotusta aliedustetuissa jäsenvaltioissa (mukaan lukien ”kohdemaata” koskevat tiedotus- ja rekrytointitapahtumat), laajentamaan toimintaa harjoittelujen, nuorempien ammatillisten ohjelmien ja ohjattujen palvelukseen lähettämisten avulla sekä parantamaan sisäisen valinnan oikeudenmukaisuutta erilaisten valintalautakuntien, avointen kriteerien ja aliedustetuille ryhmille tarkoitetun mentoroinnin/sponsoroinnin avulla;</w:t>
            </w:r>
            <w:r>
              <w:t xml:space="preserve"> </w:t>
            </w:r>
            <w:r>
              <w:rPr>
                <w:b/>
                <w:i/>
              </w:rPr>
              <w:t>muistuttaa, että palvelukseen ottamisen on edelleen perustuttava ansioihin ja oltava EU:n oikeuden mukaista;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merkille EUH:n pyrkimykset taata henkilöstönsä monimuotoisuus ja edustavuus; pitää myönteisenä, että kaikki jäsenvaltiot ovat edustettuina EUH:n henkilöstössä; pitää kuitenkin valitettavana, että tiettyä epätasapainoa on edelleen ja että jotkin jäsenvaltiot ovat yliedustettuina; </w:t>
            </w:r>
            <w:r>
              <w:rPr>
                <w:b/>
                <w:i/>
              </w:rPr>
              <w:t>panee merkille, että vuoden 2024 lopussa kolmella jäsenvaltiolla (yhdellä jäsenvaltiolla vuonna 2025) ei edelleenkään ollut unionin suurlähettiläitä ja että viidellä jäsenvaltiolla oli 56 prosenttia kaikista unionin suurlähettiläiden toimista (144), kun vastaava osuus vuonna 2023 oli 54 prosenttia;</w:t>
            </w:r>
            <w:r>
              <w:t xml:space="preserve"> </w:t>
            </w:r>
            <w:r>
              <w:rPr>
                <w:b/>
                <w:i/>
              </w:rPr>
              <w:t>kehottaa jälleen EUH:ta varmistamaan jatkossakin vakaan maantieteellisen tasapainon koko organisaatiossaan ja kaikilla tasoilla;</w:t>
            </w:r>
            <w:r>
              <w:t xml:space="preserve"> </w:t>
            </w:r>
            <w:r>
              <w:rPr>
                <w:b/>
                <w:i/>
              </w:rPr>
              <w:t>kannustaa hakemaan työntekijöitä ja edistämään rekrytointiprosesseja aliedustettuina olevissa maissa;</w:t>
            </w:r>
          </w:p>
        </w:tc>
        <w:tc>
          <w:tcPr>
            <w:tcW w:w="4876" w:type="dxa"/>
            <w:tcBorders>
              <w:top w:val="nil"/>
              <w:left w:val="nil"/>
              <w:bottom w:val="nil"/>
              <w:right w:val="nil"/>
            </w:tcBorders>
          </w:tcPr>
          <w:p>
            <w:pPr>
              <w:pStyle w:val="Normal6a"/>
            </w:pPr>
            <w:r>
              <w:t>39.</w:t>
            </w:r>
            <w:r>
              <w:tab/>
            </w:r>
            <w:r>
              <w:t>panee merkille EUH:n pyrkimykset taata henkilöstönsä monimuotoisuus ja edustavuus; pitää myönteisenä, että kaikki jäsenvaltiot ovat edustettuina EUH:n henkilöstössä; pitää kuitenkin valitettavana, että tiettyä epätasapainoa on edelleen ja että jotkin jäsenvaltiot ovat yliedustettuina;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pitää valitettavana, että EUH:n kansallisuusjakaumaa koskevat analyysit osoittavat, että useat jäsenvaltiot, erityisesti Keski- ja Itä-Euroopan jäsenvaltiot, ovat edelleen aliedustettuina johdon AD-viroissa ja edustustojen päälliköiden viroissa, vaikka niiden osuus EU:n väestöstä on huomattava;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panee merkille, että vuoden 2024 lopussa kolmella jäsenvaltiolla (yhdellä jäsenvaltiolla vuonna 2025) ei edelleenkään ollut unionin suurlähettiläitä ja että viidellä jäsenvaltiolla oli 56 prosenttia kaikista unionin suurlähettiläiden toimista (144), kun vastaava osuus vuonna 2023 oli 54 prosenttia;</w:t>
            </w:r>
            <w:r>
              <w:t xml:space="preserve"> </w:t>
            </w:r>
            <w:r>
              <w:rPr>
                <w:b/>
                <w:i/>
              </w:rPr>
              <w:t>kehottaa jälleen EUH:ta varmistamaan jatkossakin vakaan maantieteellisen tasapainon koko organisaatiossaan ja kaikilla tasoilla;</w:t>
            </w:r>
            <w:r>
              <w:t xml:space="preserve"> </w:t>
            </w:r>
            <w:r>
              <w:rPr>
                <w:b/>
                <w:i/>
              </w:rPr>
              <w:t>kannustaa hakemaan työntekijöitä ja edistämään rekrytointiprosesseja aliedustettuina olevissa maissa;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panee tyytyväisenä merkille EUH:n vuonna 2024 moninaisuutta ja osallisuutta koskevan toimintaohjelmansa 2023–2025 puitteissa toteuttamat toimet, erityisesti sukupuoleen, etniseen alkuperään, vammaisuuteen, ikään ja hlbtiq+-ryhmiin kohdistuvat kohdennetut toimet; panee tässä yhteydessä merkille, että EUH sisällytti koulutukseen monimuotoisuutta ja osallisuutta koskevia aiheita, antoi hlbtiq+-henkilöstölle tietoa oikeudellisista ja kulttuurisista tilanteista vastaanottavissa maissa ja tehosti monimuotoisuutta koskevia rekrytointitoimiaan; antaa lisäksi EUH:lle tunnustusta siitä, että se on päivittänyt vammaisuutta koskevaa etenemissuunnitelmaansa, tehnyt selvityksen vammaisasioista, laatinut esteettömyyttä koskevia tietosivuja unionin edustustoille, arvioinut verkkosivustonsa saavutettavuutta ja myöntänyt taloudellista tukea muihin kuin lääketieteellisiin kustannuksiin 26:lle henkilöstön jäsenelle, joilla on vammaisia lapsia;</w:t>
            </w:r>
          </w:p>
        </w:tc>
        <w:tc>
          <w:tcPr>
            <w:tcW w:w="4876" w:type="dxa"/>
            <w:tcBorders>
              <w:top w:val="nil"/>
              <w:left w:val="nil"/>
              <w:bottom w:val="nil"/>
              <w:right w:val="nil"/>
            </w:tcBorders>
          </w:tcPr>
          <w:p>
            <w:pPr>
              <w:pStyle w:val="Normal6a"/>
            </w:pPr>
            <w:r>
              <w:t>43.</w:t>
            </w:r>
            <w:r>
              <w:tab/>
            </w:r>
            <w:r>
              <w:t xml:space="preserve">panee tyytyväisenä merkille EUH:n vuonna 2024 moninaisuutta ja osallisuutta koskevan toimintaohjelmansa 2023–2025 puitteissa toteuttamat toimet, erityisesti sukupuoleen, etniseen alkuperään, vammaisuuteen, ikään ja hlbtiq+-ryhmiin kohdistuvat kohdennetut toimet; panee tässä yhteydessä merkille, että EUH sisällytti koulutukseen monimuotoisuutta ja osallisuutta koskevia aiheita, antoi hlbtiq+-henkilöstölle tietoa oikeudellisista ja kulttuurisista tilanteista vastaanottavissa maissa ja tehosti monimuotoisuutta koskevia rekrytointitoimiaan; antaa lisäksi EUH:lle tunnustusta siitä, että se on päivittänyt vammaisuutta koskevaa etenemissuunnitelmaansa, tehnyt selvityksen vammaisasioista, laatinut esteettömyyttä koskevia tietosivuja unionin edustustoille, arvioinut verkkosivustonsa saavutettavuutta ja myöntänyt taloudellista tukea muihin kuin lääketieteellisiin kustannuksiin 26:lle henkilöstön jäsenelle, joilla on vammaisia lapsia; </w:t>
            </w:r>
            <w:r>
              <w:rPr>
                <w:b/>
                <w:i/>
              </w:rPr>
              <w:t>kehottaa EUH:ta jatkamaan johtohenkilöiden ja muun henkilöstön säännöllistä kouluttamista moninaisuutta, tasapuolisuutta, osallisuutta ja yhteenkuuluvuutta koskevissa kysymyksissä;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panee kyselystä merkille, että komission työterveysaseman soveltaman määritelmän mukaan pitkäaikaisella sairauslomalla tarkoitetaan poissaoloja, jotka kestävät yli 20 peräkkäistä päivää; panee merkille, että vuonna 2023 pitkäaikaisella sairauslomalla oli 323 henkilöstön jäsentä ja sairausloman keskimääräinen kesto oli 83 päivää, kun taas vuonna 2024 pitkäaikaisella sairauslomalla olevia oli enemmän eli 338 henkilöstön jäsentä ja sairausloman keskimääräinen kesto lyheni 77 päivään; panee lisäksi merkille, että vaikka työuupumustapausten tarkkaa määrää ei tiedetä, merkittävä osa sairauslomista vuonna 2024 liittyi mielenterveysongelmiin, kuten masennukseen ja työuupumukseen; suhtautuu myönteisesti komission aloitteeseen kehittää mielenterveysstrategia, jotta työpaikalla voidaan tarjota jäsennelty ja kestävä kehys mielenterveyshaasteisiin vastaamiseksi, mukaan lukien työuupumuksen ehkäiseminen ja työhönpaluu; kannustaa EUH:ta myös perustamaan virallisen mekanismin työmäärän arviointia varten;</w:t>
            </w:r>
          </w:p>
        </w:tc>
        <w:tc>
          <w:tcPr>
            <w:tcW w:w="4876" w:type="dxa"/>
            <w:tcBorders>
              <w:top w:val="nil"/>
              <w:left w:val="nil"/>
              <w:bottom w:val="nil"/>
              <w:right w:val="nil"/>
            </w:tcBorders>
          </w:tcPr>
          <w:p>
            <w:pPr>
              <w:pStyle w:val="Normal6a"/>
            </w:pPr>
            <w:r>
              <w:t>45.</w:t>
            </w:r>
            <w:r>
              <w:tab/>
            </w:r>
            <w:r>
              <w:t xml:space="preserve">panee kyselystä merkille, että komission työterveysaseman soveltaman määritelmän mukaan pitkäaikaisella sairauslomalla tarkoitetaan poissaoloja, jotka kestävät yli 20 peräkkäistä päivää; panee merkille, että vuonna 2023 pitkäaikaisella sairauslomalla oli 323 henkilöstön jäsentä ja sairausloman keskimääräinen kesto oli 83 päivää, kun taas vuonna 2024 pitkäaikaisella sairauslomalla olevia oli enemmän eli 338 henkilöstön jäsentä ja sairausloman keskimääräinen kesto lyheni 77 päivään; panee lisäksi merkille, että vaikka työuupumustapausten tarkkaa määrää ei tiedetä, merkittävä osa sairauslomista vuonna 2024 liittyi mielenterveysongelmiin, kuten masennukseen ja työuupumukseen; suhtautuu myönteisesti komission aloitteeseen kehittää mielenterveysstrategia, jotta työpaikalla voidaan tarjota jäsennelty ja kestävä kehys mielenterveyshaasteisiin vastaamiseksi, mukaan lukien työuupumuksen ehkäiseminen ja työhönpaluu; kannustaa EUH:ta myös perustamaan virallisen mekanismin työmäärän arviointia varten; </w:t>
            </w:r>
            <w:r>
              <w:rPr>
                <w:b/>
                <w:i/>
              </w:rPr>
              <w:t>kehottaa EUH:ta panemaan täytäntöön edustustojen työmäärän säännöllisen arvioinnin ja henkilöstötarpeita koskevan menetelmän riskitason ja toimeksiannon laajentamisen osalta, jotta voidaan ehkäistä työuupumusta ja parantaa työssä pysymistä;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pyytää, että kaikki petosepäilyt tutkitaan asianmukaisesti täydessä yhteistyössä EUH:n kanssa, ja pyytää EUH:ta vahvistamaan petostentorjuntakehystään, jotta voidaan antaa vakavasti otettavat takeet siitä, että tällaiset tapaukset eivät jatkossa toistu; pyytää, että vastuuvapauden myöntävälle viranomaiselle tiedotetaan tilanteen kehittymisestä;</w:t>
            </w:r>
          </w:p>
        </w:tc>
        <w:tc>
          <w:tcPr>
            <w:tcW w:w="4876" w:type="dxa"/>
            <w:tcBorders>
              <w:top w:val="nil"/>
              <w:left w:val="nil"/>
              <w:bottom w:val="nil"/>
              <w:right w:val="nil"/>
            </w:tcBorders>
          </w:tcPr>
          <w:p>
            <w:pPr>
              <w:pStyle w:val="Normal6a"/>
            </w:pPr>
            <w:r>
              <w:t>47.</w:t>
            </w:r>
            <w:r>
              <w:tab/>
            </w:r>
            <w:r>
              <w:t xml:space="preserve">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w:t>
            </w:r>
            <w:r>
              <w:rPr>
                <w:b/>
                <w:i/>
              </w:rPr>
              <w:t>panee huolestuneena merkille, että College of Europen rehtori ja EUDAn johtaja erosivat meneillään olevan, hankintoihin liittyviä sääntöjenvastaisuuksia ja EU:n diplomaattikoulua koskevan tutkinnan yhteydessä;</w:t>
            </w:r>
            <w:r>
              <w:t xml:space="preserve"> </w:t>
            </w:r>
            <w:r>
              <w:rPr>
                <w:b/>
                <w:i/>
              </w:rPr>
              <w:t>korostaa, että päätelmiä ei pitäisi tehdä ennen kuin oikeusprosessi on saatu päätökseen;</w:t>
            </w:r>
            <w:r>
              <w:t xml:space="preserve"> </w:t>
            </w:r>
            <w:r>
              <w:rPr>
                <w:b/>
                <w:i/>
              </w:rPr>
              <w:t>korostaa, että parlamentaarisen valvonnan on pysyttävä valppaana, jotta voidaan varmistaa hankintojen eheys ja eettisten normien noudattaminen sekä EU:n resurssien ja maineen suojelu;</w:t>
            </w:r>
            <w:r>
              <w:t xml:space="preserve"> pyytää, että kaikki petosepäilyt tutkitaan asianmukaisesti täydessä yhteistyössä EUH:n kanssa, ja pyytää EUH:ta vahvistamaan petostentorjuntakehystään, jotta voidaan antaa vakavasti otettavat takeet siitä, että tällaiset tapaukset eivät jatkossa toistu; pyytää, että vastuuvapauden myöntävälle viranomaiselle tiedotetaan tilanteen kehittymisestä;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pyytää, että kaikki petosepäilyt tutkitaan asianmukaisesti täydessä yhteistyössä EUH:n kanssa, ja pyytää EUH:ta vahvistamaan petostentorjuntakehystään, jotta voidaan antaa vakavasti otettavat takeet siitä, että tällaiset tapaukset eivät jatkossa toistu; pyytää, että vastuuvapauden myöntävälle viranomaiselle tiedotetaan tilanteen kehittymisestä;</w:t>
            </w:r>
          </w:p>
        </w:tc>
        <w:tc>
          <w:tcPr>
            <w:tcW w:w="4876" w:type="dxa"/>
            <w:tcBorders>
              <w:top w:val="nil"/>
              <w:left w:val="nil"/>
              <w:bottom w:val="nil"/>
              <w:right w:val="nil"/>
            </w:tcBorders>
          </w:tcPr>
          <w:p>
            <w:pPr>
              <w:pStyle w:val="Normal6a"/>
            </w:pPr>
            <w:r>
              <w:t>47.</w:t>
            </w:r>
            <w:r>
              <w:tab/>
            </w:r>
            <w:r>
              <w:t xml:space="preserve">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w:t>
            </w:r>
            <w:r>
              <w:rPr>
                <w:b/>
                <w:i/>
              </w:rPr>
              <w:t>korostaa, että tämä tapaus on vakava skandaali, joka vaikuttaa unionin ulkoisen toiminnan ja talousarviohallinnon uskottavuuteen;</w:t>
            </w:r>
            <w:r>
              <w:t xml:space="preserve"> pyytää, että kaikki petosepäilyt tutkitaan asianmukaisesti täydessä yhteistyössä EUH:n kanssa, ja pyytää EUH:ta vahvistamaan petostentorjuntakehystään, jotta voidaan antaa vakavasti otettavat takeet siitä, että tällaiset tapaukset eivät jatkossa toistu; pyytää, että vastuuvapauden myöntävälle viranomaiselle tiedotetaan tilanteen kehittymisestä;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pyytää, että kaikki petosepäilyt tutkitaan asianmukaisesti täydessä yhteistyössä EUH:n kanssa, ja pyytää EUH:ta vahvistamaan petostentorjuntakehystään, jotta voidaan antaa vakavasti otettavat takeet siitä, että tällaiset tapaukset eivät jatkossa toistu; pyytää, että vastuuvapauden myöntävälle viranomaiselle tiedotetaan tilanteen kehittymisestä;</w:t>
            </w:r>
          </w:p>
        </w:tc>
        <w:tc>
          <w:tcPr>
            <w:tcW w:w="4876" w:type="dxa"/>
            <w:tcBorders>
              <w:top w:val="nil"/>
              <w:left w:val="nil"/>
              <w:bottom w:val="nil"/>
              <w:right w:val="nil"/>
            </w:tcBorders>
          </w:tcPr>
          <w:p>
            <w:pPr>
              <w:pStyle w:val="Normal6a"/>
            </w:pPr>
            <w:r>
              <w:t>47.</w:t>
            </w:r>
            <w:r>
              <w:tab/>
            </w:r>
            <w:r>
              <w:t xml:space="preserve">panee huolestuneena merkille vuonna 2025 käynnistetyn Euroopan syyttäjänviraston (EPPO) tutkinnan mahdollisesta hankintapetoksesta, korruptiosta, eturistiriidasta ja vaitiolovelvollisuuden rikkomisesta, johon liittyy vahvoja epäilyjä kilpailusääntöjen rikkomisesta, kun EUH myönsi College of Europelle vuosina 2021–2022 hankintamenettelyssä sopimuksen yhdeksän kuukauden koulutusohjelmasta Euroopan diplomaattikoulun (EUDA) perustamista koskevan pilottihankkeen täytäntöönpanon yhteydessä; panee merkille, että tutkinnassa keskitytään siihen, oliko College of Europelle ja/tai sen edustajille ilmoitettu etukäteen hankintamenettelyn valintaperusteista ja oliko niillä riittävä syy uskoa, että hankkeen toteutus myönnettäisiin niille, ennen kuin EUH julkaisi virallisesti hankintailmoituksen; panee lisäksi merkille, että Belgian poliisi pidätti ja sittemmin vapautti joulukuussa 2025 EUH:ssa ja College of Europessa tehtyjen ratsioiden jälkeen kolme epäiltyä eli erään entisen varapuheenjohtajan / korkean edustajan, joka on tällä hetkellä College of Europen rehtori ja EUDAn johtaja, sekä komission Lähi-idän, Pohjois-Afrikan ja Persianlahden asioiden pääosaston nykyisen pääjohtajan ja EUH:n entisen pääsihteerin; pyytää, että kaikki petosepäilyt tutkitaan asianmukaisesti täydessä yhteistyössä EUH:n kanssa, ja pyytää EUH:ta vahvistamaan </w:t>
            </w:r>
            <w:r>
              <w:rPr>
                <w:b/>
                <w:i/>
              </w:rPr>
              <w:t>hallintotapaa ja eettistä kehystä, muun muassa vahvistamalla</w:t>
            </w:r>
            <w:r>
              <w:t xml:space="preserve"> petostentorjuntakehystään </w:t>
            </w:r>
            <w:r>
              <w:rPr>
                <w:b/>
                <w:i/>
              </w:rPr>
              <w:t>ja pyöröovi-ilmiötä koskevaa toimintapolitiikkaansa</w:t>
            </w:r>
            <w:r>
              <w:t>, jotta voidaan antaa vakavasti otettavat takeet siitä, että tällaiset tapaukset eivät jatkossa toistu; pyytää, että vastuuvapauden myöntävälle viranomaiselle tiedotetaan tilanteen kehittymisestä;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pitää valitettavana, että käynnissä on tutkinta väitteistä, jotka koskevat sitä, että EUH valitsi julkisessa tarjouskilpailussa tietyn korkeakoulun vuosina 2021–2022 EU:n diplomaattikoulun toteuttajaksi ja että kyseistä kilpailua on saatettu manipuloida College of Europen hyväksi;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toteaa, että tällainen tilanne uhkaa heikentää luottamusta EU:n toimielimiin, koska väitteet julkisiin hankintoihin liittyvistä sääntöjenvastaisuuksista voivat herättää epäilyjä avoimuudesta, oikeudenmukaisuudesta ja ehdokkaiden yhdenvertaisesta kohtelusta;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c.</w:t>
            </w:r>
            <w:r>
              <w:tab/>
            </w:r>
            <w:r>
              <w:rPr>
                <w:b/>
                <w:i/>
              </w:rPr>
              <w:t>huomauttaa, että vaikka asiaa ei näytettäisi toteen, tällaiset tutkinnat voivat vahingoittaa EU:n hallinnon uskottavuutta ja heikentää kansalaisten luottamusta EU:n varojen asianmukaiseen käyttöön;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e.</w:t>
            </w:r>
            <w:r>
              <w:tab/>
            </w:r>
            <w:r>
              <w:rPr>
                <w:b/>
                <w:i/>
              </w:rPr>
              <w:t>katsoo, että EPPOn tutkintojen olisi tarjottava mahdollisuus parantaa EUH:n sisäistä hallintoa eikä niitä saisi käyttää heikentämään EUDAa, jonka lisäarvo on tunnustettava kaikilta osin, erityisesti kun otetaan huomioon osallistujilta ja jäsenvaltioilta saatu johdonmukaisesti myönteinen palaute;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katsoo, että tapaus, joka tuli ilmi hiljattaisen rikostapauksen ja EUH:ta koskevien tutkintojen myötä, on osoittanut, että EUH ei suojellut Euroopan unionin taloudellisia etuja asianmukaisesti;</w:t>
            </w:r>
            <w:r>
              <w:t xml:space="preserve"> </w:t>
            </w:r>
            <w:r>
              <w:rPr>
                <w:b/>
                <w:i/>
              </w:rPr>
              <w:t>ehdottaa siksi, että lykätään päätöstä vastuuvapauden myöntämisestä unionin ulkoasioiden ja turvallisuuspolitiikan korkealle edustajalle varainhoitovuodelta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ymmärtää jatkokysymysten perusteella, että EPPOn tutkintoihin liittyviin tosiseikkoihin sovelletaan tiukkoja luottamuksellisuussääntöjä eikä niitä voida paljastaa vastuuvapausmenettelyn yhteydessä, mutta pitää myönteisenä, että EUH sitoutui asettamaan asiaankuuluvat asiakirjat saataville, kun oikeudelliset tutkinnat on saatu päätökseen;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c.</w:t>
            </w:r>
            <w:r>
              <w:tab/>
            </w:r>
            <w:r>
              <w:rPr>
                <w:b/>
                <w:i/>
              </w:rPr>
              <w:t>panee merkille, että avustussopimuksen, jolla EUDA annetaan College of Europen vastuulle, mukaan viimeksi mainitulla on velvollisuus toimittaa menojen todentamista koskeva kertomus yhdessä ulkoisen tarkastajan laatiman loppukertomuksen kanssa, joka on määrä toimittaa lähiaikoina vuodelta 2024;</w:t>
            </w:r>
            <w:r>
              <w:t xml:space="preserve"> </w:t>
            </w:r>
            <w:r>
              <w:rPr>
                <w:b/>
                <w:i/>
              </w:rPr>
              <w:t>kehottaa EUH:ta jakamaan tämän arvioinnin vastuuvapauden myöntävän viranomaisen kanssa vastuuvelvollisuuden ja avoimuuden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kehottaa EUH:ta toimittamaan parlamentille yksityiskohtaisia tietoja sisäisen tarkastuksen antamien, hankintoihin liittyvien suositusten täytäntöönpanosta;</w:t>
            </w:r>
            <w:r>
              <w:t xml:space="preserve"> </w:t>
            </w:r>
            <w:r>
              <w:rPr>
                <w:b/>
                <w:i/>
              </w:rPr>
              <w:t>pyytää EUH:ta julkaisemaan vuonna 2024 perustetun työryhmän havainnot ja suositukset hankintaprosessien vahvistamiseksi, jotta niiden täytäntöönpanoa voidaan valvoa julkisesti ja jotta muut EU:n toimielimet voivat hyötyä EUH:n kokemuksista hankintamenettelyjen parantamisessa;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kehottaa EUH:ta tarkastelemaan perusteellisesti kaikkia aiempia ja käynnissä olevia hankintamenettelyjä ja sopimuksia College of Europen kanssa ja erityisesti niitä, jotka liittyvät unionin talousarviosta rahoitettuun EU:n diplomaattikouluun;</w:t>
            </w:r>
            <w:r>
              <w:t xml:space="preserve"> </w:t>
            </w:r>
            <w:r>
              <w:rPr>
                <w:b/>
                <w:i/>
              </w:rPr>
              <w:t>kehottaa EUH:ta panemaan tiukasti täytäntöön eturistiriitoja koskevat säännöt ja pakolliset karenssiajat virkamiehille, jotka siirtyvät elimiin, joilla on EUH-sopimuksia, ja varmistamaan, että tällaiset siirtymät eivät vaaranna julkisten hankintamenettelyjen eheyttä;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kehottaa EUH:ta hyödyntämään tästä tapauksesta saatuja systeemisiä kokemuksia muun muassa tarkastelemalla uudelleen hankintojen hallinnointia, eturistiriitojen ehkäisemistä sekä koulutuksen ja akateemisten kumppanuuksien sisäistä valvontaa ja ilmoittamaan asiasta vastuuvapauden myöntävälle viranomaiselle, sanotun kuitenkaan rajoittamatta meneillään olevia tutkintoja;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panee merkille, että EUH käynnisti joulukuun 2025 lopussa EUDAn perustamisesta annetun neuvoston päätöksen uudelleentarkastelun käynnistämällä riippumattoman ulkoisen arvioinnin EU:n diplomaattikoulusta ja College of Europen toiminnasta EUDAn koulutustoimien täytäntöönpanossa;</w:t>
            </w:r>
            <w:r>
              <w:t xml:space="preserve"> </w:t>
            </w:r>
            <w:r>
              <w:rPr>
                <w:b/>
                <w:i/>
              </w:rPr>
              <w:t>odottaa, että tämä arviointi on perusteellinen, kun otetaan huomioon havaitut puutteet, ja että se annetaan vastuuvapauden myöntävälle viranomaiselle;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d.</w:t>
            </w:r>
            <w:r>
              <w:tab/>
            </w:r>
            <w:r>
              <w:rPr>
                <w:b/>
                <w:i/>
              </w:rPr>
              <w:t>panee merkille EUDAn ohjauskomitean 18. joulukuuta 2025 pitämässä kokouksessa tekemän päätöksen pyytää College of Europea varmistamaan avoin ja kilpailuun perustuva palvelukseenottomenettely, joka perustuu avointa virkaa koskevan ilmoituksen julkaisemiseen, EUDAn uuden johtajan nimittämiseksi;</w:t>
            </w:r>
            <w:r>
              <w:t xml:space="preserve"> </w:t>
            </w:r>
            <w:r>
              <w:rPr>
                <w:b/>
                <w:i/>
              </w:rPr>
              <w:t>pitää myönteisenä, että komitea pyysi lisäksi, että EUDA:n johtajan tehtävä pidetään erillään College of Europen rehtorin tehtävästä;</w:t>
            </w:r>
            <w:r>
              <w:t xml:space="preserve"> </w:t>
            </w:r>
            <w:r>
              <w:rPr>
                <w:b/>
                <w:i/>
              </w:rPr>
              <w:t>kehottaa ohjauskomiteaa tekemään tästä erillisyydestä oikeudellisesti sitovan tulevien nimitysten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d.</w:t>
            </w:r>
            <w:r>
              <w:tab/>
            </w:r>
            <w:r>
              <w:rPr>
                <w:b/>
                <w:i/>
              </w:rPr>
              <w:t>korostaa, että tarvitaan kiireellisesti vankkoja suojatoimia, selkeitä menettelyjä ja tehokasta valvontaa, jotta voidaan noudattaa tiukimpia lahjomattomuutta koskevia vaatimuksia EU:n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muistuttaa, että EU:n julkisten varojen käytön avoimuuden ja moitteettoman varainhoidon on säilyttävä kaikkien EU:n toimielinten ja elinten, myös EUH:n, keskeisenä periaatteena ja että tämä periaate on kulmakivi pyrittäessä säilyttämään kansalaisten luottamus unionin ulkoiseen toimintaan;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panee kyselystä merkille, että EUH kirjasi kaksi väärinkäytösten paljastamiseen liittyvää tapausta vuonna 2024; panee merkille, että OLAF tutki molemmat tapaukset ja päätti ne ilman suosituksia joko tutkinnan jälkeen tai valintavaiheessa; panee EUH:n vuoden 2024 kertomuksesta tyytyväisenä merkille, että EUH alkoi kehittää väärinkäytösten paljastajia koskevia omia toimintaperiaatteitaan; pyytää, että parlamentille tiedotetaan edistymisestä tässä asiassa;</w:t>
            </w:r>
          </w:p>
        </w:tc>
        <w:tc>
          <w:tcPr>
            <w:tcW w:w="4876" w:type="dxa"/>
            <w:tcBorders>
              <w:top w:val="nil"/>
              <w:left w:val="nil"/>
              <w:bottom w:val="nil"/>
              <w:right w:val="nil"/>
            </w:tcBorders>
          </w:tcPr>
          <w:p>
            <w:pPr>
              <w:pStyle w:val="Normal6a"/>
            </w:pPr>
            <w:r>
              <w:t>49.</w:t>
            </w:r>
            <w:r>
              <w:tab/>
            </w:r>
            <w:r>
              <w:t xml:space="preserve">panee kyselystä merkille, että EUH kirjasi kaksi väärinkäytösten paljastamiseen liittyvää tapausta vuonna 2024; panee merkille, että OLAF tutki molemmat tapaukset ja päätti ne ilman suosituksia joko tutkinnan jälkeen tai valintavaiheessa; panee EUH:n vuoden 2024 kertomuksesta tyytyväisenä merkille, että EUH alkoi kehittää väärinkäytösten paljastajia koskevia omia toimintaperiaatteitaan; pyytää, että parlamentille tiedotetaan edistymisestä tässä asiassa; </w:t>
            </w:r>
            <w:r>
              <w:rPr>
                <w:b/>
                <w:i/>
              </w:rPr>
              <w:t>vaatii, että väärinkäytösten paljastajia koskevaan EUH:n kehykseen sisällytetään luottamuksellinen raportointi, kaikkien henkilöstöryhmien, myös paikallisten toimihenkilöiden, suojelu vastatoimilta sekä vuotuinen anonymisoitu raportointi tapauksista ja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a.</w:t>
            </w:r>
            <w:r>
              <w:tab/>
            </w:r>
            <w:r>
              <w:rPr>
                <w:b/>
                <w:i/>
              </w:rPr>
              <w:t>pitää valitettavana, että EUH ei ole tarkastellut asianmukaisesti kolmansien maiden kanssa tehtyjen yhteistyösopimusten täytäntöönpanoa, mukaan lukien niiden ehtojen ja ihmisoikeuslausekkeiden noudattamisen arviointi;</w:t>
            </w:r>
            <w:r>
              <w:t xml:space="preserve"> </w:t>
            </w:r>
            <w:r>
              <w:rPr>
                <w:b/>
                <w:i/>
              </w:rPr>
              <w:t>korostaa, että tämä laiminlyönti on erityisen ilmeistä Kuuban kanssa tehdyn poliittista vuoropuhelua ja yhteistyötä koskevan sopimuksen tapauksessa, jossa kymmenen vuotta sen allekirjoittamisen jälkeen on epäonnistuttu kaikilla aloilla ihmisoikeuksien kunnioittamisesta, mukaan lukien yli tuhannen poliittisen vangin vangitseminen vuoden 2025 loppuun mennessä, aina Kuuban hallinnon haitalliseen vaikutukseen Euroopan turvallisuuteen, mukaan lukien tiivis poliittinen ja sotilaallinen yhteistyö Venäjän ja Valko-Venäjän hallintojen kanssa, mistä on osoituksena erityisesti se, että kuubalaisista on tullut suurin palkkasotilaiden ryhmä, joka tukee Venäjän joukkoja niiden Ukrainaan kohdistamassa hyökkäyksessä, ja se, että he ovat osallistuneet sabotaasiin EU:n alueella, kuten Liettuassa äskettäin osoitettiin;</w:t>
            </w:r>
            <w:r>
              <w:t xml:space="preserve"> </w:t>
            </w:r>
            <w:r>
              <w:rPr>
                <w:b/>
                <w:i/>
              </w:rPr>
              <w:t>panee merkille, että lukuisista sopimuksen määräysten räikeistä rikkomisista huolimatta keskeyttämis- ja irtisanomislausekkeita ei ole aktivoitu, ja EU:n varoja on edelleen annettu Kuuballe, jossa kommunistihallinto hallitsee koko taloutta, käyttää näitä varoja väärin ja saa poliittisen legitimiteetin poliittista vuoropuhelua ja yhteistyötä koskevan sopimuksen puitteissa meneillään olevasta yhteistyöstä;</w:t>
            </w:r>
            <w:r>
              <w:t xml:space="preserve"> </w:t>
            </w:r>
            <w:r>
              <w:rPr>
                <w:b/>
                <w:i/>
              </w:rPr>
              <w:t>katsoo, että tällaiset hallinnot eivät saa enää hyötyä etuoikeutetusta yhteistyöstä Euroopan unionin kanssa eikä EU:n veronmaksajien rahoja saa käyttää tällaisten hallintojen hyväksi;</w:t>
            </w:r>
            <w:r>
              <w:t xml:space="preserve"> </w:t>
            </w:r>
            <w:r>
              <w:rPr>
                <w:b/>
                <w:i/>
              </w:rPr>
              <w:t>kehottaa siksi aktivoimaan sopimuksen 86 artiklan ja irtisanomaan sopimuksen;</w:t>
            </w:r>
            <w:r>
              <w:t xml:space="preserve"> </w:t>
            </w:r>
            <w:r>
              <w:rPr>
                <w:b/>
                <w:i/>
              </w:rPr>
              <w:t>kehottaa Euroopan tilintarkastustuomioistuinta tarkastelemaan kiireellisesti kaikkea EU:n Kuuballe vuodesta 2016 lähtien myöntämää tukea;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toteaa, että avoimuusrekisterin säännöt sitovat varapuheenjohtajaa / korkeaa edustajaa komission varapuheenjohtajana; korostaa, että vaikka EUH ei ole Euroopan unionista tehdyn sopimuksen 13 artiklassa tarkoitettu toimielin eikä sillä ole suoraa roolia unionin oikeudessa, sillä on kuitenkin tärkeä unionin oikeuteen liittyvä rooli, kun on kyse pakotteita koskevista päätöksistä ja kansainvälisiä kauppasopimuksia koskevista neuvotteluista, joilla on huomattava sääntelyvaikutus; </w:t>
            </w:r>
            <w:r>
              <w:rPr>
                <w:b/>
                <w:i/>
              </w:rPr>
              <w:t>toteaa, että EUH:n olisi erittäin tärkeää hyväksyä</w:t>
            </w:r>
            <w:r>
              <w:t xml:space="preserve"> avoimuustoimenpiteitä </w:t>
            </w:r>
            <w:r>
              <w:rPr>
                <w:b/>
                <w:i/>
              </w:rPr>
              <w:t>ja ilmoittaa niistä avoimuusrekisterin hallintoneuvostolle</w:t>
            </w:r>
            <w:r>
              <w:t>; panee seurantaraportista tyytyväisenä merkille, että varapuheenjohtaja / korkea edustaja käynnisti laajemman keskustelun asian käsittelystä ulkoisessa ulottuvuudessa ja että suosituksia odotetaan vuoden 2025 loppuun mennessä; pyytää EUH:ta pitämään parlamentin ajan tasalla tässä asiassa tapahtuvasta edistyksestä;</w:t>
            </w:r>
          </w:p>
        </w:tc>
        <w:tc>
          <w:tcPr>
            <w:tcW w:w="4876" w:type="dxa"/>
            <w:tcBorders>
              <w:top w:val="nil"/>
              <w:left w:val="nil"/>
              <w:bottom w:val="nil"/>
              <w:right w:val="nil"/>
            </w:tcBorders>
          </w:tcPr>
          <w:p>
            <w:pPr>
              <w:pStyle w:val="Normal6a"/>
            </w:pPr>
            <w:r>
              <w:t>53.</w:t>
            </w:r>
            <w:r>
              <w:tab/>
            </w:r>
            <w:r>
              <w:t xml:space="preserve">toteaa, että avoimuusrekisterin säännöt sitovat varapuheenjohtajaa / korkeaa edustajaa komission varapuheenjohtajana; korostaa, että vaikka EUH ei ole Euroopan unionista tehdyn sopimuksen 13 artiklassa tarkoitettu toimielin eikä sillä ole suoraa roolia unionin oikeudessa, sillä on kuitenkin tärkeä unionin oikeuteen liittyvä rooli, kun on kyse pakotteita koskevista päätöksistä ja kansainvälisiä kauppasopimuksia koskevista neuvotteluista, joilla on huomattava sääntelyvaikutus; </w:t>
            </w:r>
            <w:r>
              <w:rPr>
                <w:b/>
                <w:i/>
              </w:rPr>
              <w:t>kehottaa EUH:ta hyväksymään avoimuusrekisterin normien mukaisia sisäisiä</w:t>
            </w:r>
            <w:r>
              <w:t xml:space="preserve"> avoimuustoimenpiteitä</w:t>
            </w:r>
            <w:r>
              <w:rPr>
                <w:b/>
                <w:i/>
              </w:rPr>
              <w:t>, mukaan lukien asiaankuuluvien ylimmän johdon korkean tason kokousten ennakoiva julkaiseminen, jos tämä ei vaaranna EUH:n turvallisuussensitiivistä diplomatiaa</w:t>
            </w:r>
            <w:r>
              <w:t>; panee seurantaraportista tyytyväisenä merkille, että varapuheenjohtaja / korkea edustaja käynnisti laajemman keskustelun asian käsittelystä ulkoisessa ulottuvuudessa ja että suosituksia odotetaan vuoden 2025 loppuun mennessä; pyytää EUH:ta pitämään parlamentin ajan tasalla tässä asiassa tapahtuvasta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 a.</w:t>
            </w:r>
            <w:r>
              <w:tab/>
            </w:r>
            <w:r>
              <w:rPr>
                <w:b/>
                <w:i/>
              </w:rPr>
              <w:t>muistuttaa, että Euroopan unionista tehdyn sopimuksen mukaan EU ja sen toimielimet kunnioittavat jäsenvaltioiden tasa-arvoa perussopimuksia sovellettaessa sekä niiden kansallista identiteettiä, joka on olennainen osa niiden poliittisia ja valtiosäännön rakenteita, myös alueellisen ja paikallisen itsehallinnon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panee merkille, että kuulemisen aikana CONT-valiokunnan jäsenet ilmaisivat huolensa siitä, että varapuheenjohtaja / korkea edustaja käyttää Signalin chat-toimintoa viestiessään jäsenvaltioiden ulkoministerien kanssa; toteaa, että nämä huolenaiheet liittyivät avoimuuden puutteeseen ja mahdollisten vakoilutoimien riskeihin; panee EUH:n toiseen kyselyyn antamista vastauksista merkille, että kyseinen Signal-keskustelu on avoin ainoastaan jäsenvaltioiden ulkoministereille ja koskee yksinomaan epävirallista tietojenvaihtoa, kokousten koordinointia tai päivitysten jakamista eikä se koskaan toimi päätöksentekovälineenä ja että sisällöllisiä keskusteluja käydään ja poliittisia kantoja muotoillaan neuvoston asiaankuuluvissa rakenteissa;</w:t>
            </w:r>
          </w:p>
        </w:tc>
        <w:tc>
          <w:tcPr>
            <w:tcW w:w="4876" w:type="dxa"/>
            <w:tcBorders>
              <w:top w:val="nil"/>
              <w:left w:val="nil"/>
              <w:bottom w:val="nil"/>
              <w:right w:val="nil"/>
            </w:tcBorders>
          </w:tcPr>
          <w:p>
            <w:pPr>
              <w:pStyle w:val="Normal6a"/>
            </w:pPr>
            <w:r>
              <w:t>54.</w:t>
            </w:r>
            <w:r>
              <w:tab/>
            </w:r>
            <w:r>
              <w:t xml:space="preserve">panee merkille, että kuulemisen aikana CONT-valiokunnan jäsenet ilmaisivat huolensa siitä, että varapuheenjohtaja / korkea edustaja käyttää Signalin chat-toimintoa viestiessään jäsenvaltioiden ulkoministerien kanssa; toteaa, että nämä huolenaiheet liittyivät avoimuuden puutteeseen ja mahdollisten vakoilutoimien riskeihin; panee EUH:n toiseen kyselyyn antamista vastauksista merkille, että kyseinen Signal-keskustelu on avoin ainoastaan jäsenvaltioiden ulkoministereille ja koskee yksinomaan epävirallista tietojenvaihtoa, kokousten koordinointia tai päivitysten jakamista eikä se koskaan toimi päätöksentekovälineenä ja että sisällöllisiä keskusteluja käydään ja poliittisia kantoja muotoillaan neuvoston asiaankuuluvissa rakenteissa; </w:t>
            </w:r>
            <w:r>
              <w:rPr>
                <w:b/>
                <w:i/>
              </w:rPr>
              <w:t>muistuttaa, että myös poliittisella tasolla käytettäviin epävirallisiin digitaalisiin viestintävälineisiin olisi liitettävä selkeät ohjeet kyberturvallisuudesta, tietojen säilyttämisestä ja institutionaalisesta muistista, jotta voidaan turvata unionin päätöksenteon avoimuus, vastuuvelvollisuus ja eheys;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a.</w:t>
            </w:r>
            <w:r>
              <w:tab/>
            </w:r>
            <w:r>
              <w:rPr>
                <w:b/>
                <w:i/>
              </w:rPr>
              <w:t>kehottaa EUH:ta hyödyntämään saamiaan kokemuksia ja vetämään johtopäätöksiä omien sisäisten sääntöjensä ja menettelyjensä osalta ottaen huomioon parlamentin työjärjestyksen ja käytännesääntöjen syyskuussa 2023 tehdyn uudelleentarkastelun; suosittelee kuitenkin, että EUH kehittää lisää ja tehokkaampia tapoja torjua petoksia ja suojella kaikilta osin EU:n taloudellisia etuja;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 a.</w:t>
            </w:r>
            <w:r>
              <w:tab/>
            </w:r>
            <w:r>
              <w:rPr>
                <w:b/>
                <w:i/>
              </w:rPr>
              <w:t>korostaa, että tekoälyvälineiden käyttöönottoon ulkoisessa toiminnassa on liitettävä tiukat tietosuojaa, perusoikeuksia, avoimuutta ja ihmisen suorittamaa valvontaa koskevat suojatoimet, myös unionin edustustoissa ja yhteistyössä kolmansien maiden kumppaneiden kanssa;</w:t>
            </w:r>
            <w:r>
              <w:t xml:space="preserve"> </w:t>
            </w:r>
            <w:r>
              <w:rPr>
                <w:b/>
                <w:i/>
              </w:rPr>
              <w:t>kehottaa raportoimaan parlamentille säännöllisesti EUH:n tekoälystrategian täytäntöönpanosta;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antaa EUH:lle tunnustusta sen toimista kyberturvallisuusvalmiuden parantamiseksi säännöllisten turvallisuuskatsausten avulla, jotka kattavat laajan joukon henkilöstöä ja sidosyrityksiä, sekä eri käyttäjäryhmien, kuten alueellisten turvallisuusvastaavien ja unionin edustustojen turvallisuuskoordinaattoreiden, pyynnöstä järjestettävien koulutustilaisuuksien ja verkkourkintaharjoitusten avulla; </w:t>
            </w:r>
            <w:r>
              <w:rPr>
                <w:b/>
                <w:i/>
              </w:rPr>
              <w:t>odottaa mielenkiinnolla pakollisen kyberturvallisuuskoulutuksen käyttöönottoa</w:t>
            </w:r>
            <w:r>
              <w:t xml:space="preserve"> kaikille EUH:n henkilöstön jäsenille; panee kyselystä tyytyväisenä merkille EUH:n turvaoperaatiokeskuksen ja muut välineet, joiden avulla EUH voi seurata kyberuhkia ja tunnistaa tietoturvahaavoittuvuuksia reaaliaikaisesti;</w:t>
            </w:r>
          </w:p>
        </w:tc>
        <w:tc>
          <w:tcPr>
            <w:tcW w:w="4876" w:type="dxa"/>
            <w:tcBorders>
              <w:top w:val="nil"/>
              <w:left w:val="nil"/>
              <w:bottom w:val="nil"/>
              <w:right w:val="nil"/>
            </w:tcBorders>
          </w:tcPr>
          <w:p>
            <w:pPr>
              <w:pStyle w:val="Normal6a"/>
            </w:pPr>
            <w:r>
              <w:t>57.</w:t>
            </w:r>
            <w:r>
              <w:tab/>
            </w:r>
            <w:r>
              <w:t xml:space="preserve">antaa EUH:lle tunnustusta sen toimista kyberturvallisuusvalmiuden parantamiseksi säännöllisten turvallisuuskatsausten avulla, jotka kattavat laajan joukon henkilöstöä ja sidosyrityksiä, sekä eri käyttäjäryhmien, kuten alueellisten turvallisuusvastaavien ja unionin edustustojen turvallisuuskoordinaattoreiden, pyynnöstä järjestettävien koulutustilaisuuksien ja verkkourkintaharjoitusten avulla; </w:t>
            </w:r>
            <w:r>
              <w:rPr>
                <w:b/>
                <w:i/>
              </w:rPr>
              <w:t>kehottaa EUH:ta tarjoamaan säännöllisesti pakollista kyberturvallisuuskoulutusta</w:t>
            </w:r>
            <w:r>
              <w:t xml:space="preserve"> kaikille EUH:n henkilöstön jäsenille; panee kyselystä tyytyväisenä merkille EUH:n turvaoperaatiokeskuksen ja muut välineet, joiden avulla EUH voi seurata kyberuhkia ja tunnistaa tietoturvahaavoittuvuuksia reaaliaikaisesti;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antaa EUH:lle tunnustusta sen FIMI-toiminnan torjunnassa käyttämistä digitaalisista välineistä ja järjestelmistä, kuten FIMI-toimintaan liittyvän tietojen jakamisen ja analysoinnin keskuksesta tai nopeasta hälytysjärjestelmästä; panee kyselystä lisäksi merkille kaikkien unionin toimielinten saatavilla olevan, disinformaation torjuntaa koskevan verkkokurssin käynnistämisen ja disinformaatiota koskevan YTPP-käsikirjan, jonka tarkoituksena on tukea kentällä toimivaa henkilöstöä unionin sotilas- ja siviilioperaatioissa; </w:t>
            </w:r>
            <w:r>
              <w:rPr>
                <w:b/>
                <w:i/>
              </w:rPr>
              <w:t>panee merkille</w:t>
            </w:r>
            <w:r>
              <w:t xml:space="preserve"> EUvsDisinfo-tiedotusaloitteen meneillään </w:t>
            </w:r>
            <w:r>
              <w:rPr>
                <w:b/>
                <w:i/>
              </w:rPr>
              <w:t>olevan kehittämisen</w:t>
            </w:r>
            <w:r>
              <w:t>;</w:t>
            </w:r>
          </w:p>
        </w:tc>
        <w:tc>
          <w:tcPr>
            <w:tcW w:w="4876" w:type="dxa"/>
            <w:tcBorders>
              <w:top w:val="nil"/>
              <w:left w:val="nil"/>
              <w:bottom w:val="nil"/>
              <w:right w:val="nil"/>
            </w:tcBorders>
          </w:tcPr>
          <w:p>
            <w:pPr>
              <w:pStyle w:val="Normal6a"/>
            </w:pPr>
            <w:r>
              <w:t>58.</w:t>
            </w:r>
            <w:r>
              <w:tab/>
            </w:r>
            <w:r>
              <w:t xml:space="preserve">antaa EUH:lle tunnustusta sen FIMI-toiminnan torjunnassa käyttämistä digitaalisista välineistä ja järjestelmistä, kuten FIMI-toimintaan liittyvän tietojen jakamisen ja analysoinnin keskuksesta tai nopeasta hälytysjärjestelmästä; panee kyselystä lisäksi merkille kaikkien unionin toimielinten saatavilla olevan, disinformaation torjuntaa koskevan verkkokurssin käynnistämisen ja disinformaatiota koskevan YTPP-käsikirjan, jonka tarkoituksena on tukea kentällä toimivaa henkilöstöä unionin sotilas- ja siviilioperaatioissa; </w:t>
            </w:r>
            <w:r>
              <w:rPr>
                <w:b/>
                <w:i/>
              </w:rPr>
              <w:t>suhtautuu myönteisesti</w:t>
            </w:r>
            <w:r>
              <w:t xml:space="preserve"> EUvsDisinfo-tiedotusaloitteen meneillään </w:t>
            </w:r>
            <w:r>
              <w:rPr>
                <w:b/>
                <w:i/>
              </w:rPr>
              <w:t>olevaan kehittämiseen ja korostaa, että on tärkeää jatkaa yhteistyötä EU:n jäsenvaltioiden kanssa, jotta hybridiuhkiin voidaan puuttua tehokkaammin paikan päällä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panee kyselyn ja EUH:n vuoden 2024 kertomuksen perusteella merkille, että EUH havaitsi noin </w:t>
            </w:r>
            <w:r>
              <w:rPr>
                <w:b/>
                <w:i/>
              </w:rPr>
              <w:t>27 000</w:t>
            </w:r>
            <w:r>
              <w:t xml:space="preserve"> hälytystä, joista 348 edellytti lisätutkimuksia; panee merkille, että näistä 57 vahvistettiin </w:t>
            </w:r>
            <w:r>
              <w:rPr>
                <w:b/>
                <w:i/>
              </w:rPr>
              <w:t>hyökkäyksiksi</w:t>
            </w:r>
            <w:r>
              <w:t xml:space="preserve"> ja viidellä oli merkittävä vaikutus EUH:n toimintoihin; panee tyytyväisenä merkille, että EUH yksilöi hyökkääjien taktiikat, tekniikat ja menettelyt ja käytti tätä analyysia vastatoimiensa vahvistamiseen; pyytää selventämään, missä määrin nämä hyökkäykset vaikuttivat EUH:n toimintaan;</w:t>
            </w:r>
          </w:p>
        </w:tc>
        <w:tc>
          <w:tcPr>
            <w:tcW w:w="4876" w:type="dxa"/>
            <w:tcBorders>
              <w:top w:val="nil"/>
              <w:left w:val="nil"/>
              <w:bottom w:val="nil"/>
              <w:right w:val="nil"/>
            </w:tcBorders>
          </w:tcPr>
          <w:p>
            <w:pPr>
              <w:pStyle w:val="Normal6a"/>
            </w:pPr>
            <w:r>
              <w:t>59.</w:t>
            </w:r>
            <w:r>
              <w:tab/>
            </w:r>
            <w:r>
              <w:t xml:space="preserve">panee kyselyn ja EUH:n vuoden 2024 kertomuksen perusteella merkille, että EUH havaitsi noin </w:t>
            </w:r>
            <w:r>
              <w:rPr>
                <w:b/>
                <w:i/>
              </w:rPr>
              <w:t>27 000</w:t>
            </w:r>
            <w:r>
              <w:t xml:space="preserve"> hälytystä, joista 348 edellytti lisätutkimuksia; panee merkille, että näistä 57 vahvistettiin </w:t>
            </w:r>
            <w:r>
              <w:rPr>
                <w:b/>
                <w:i/>
              </w:rPr>
              <w:t>kyberhyökkäyksiksi</w:t>
            </w:r>
            <w:r>
              <w:t xml:space="preserve"> ja viidellä oli merkittävä vaikutus EUH:n toimintoihin; panee tyytyväisenä merkille, että EUH yksilöi hyökkääjien taktiikat, tekniikat ja menettelyt ja käytti tätä analyysia vastatoimiensa vahvistamiseen; pyytää selventämään, missä määrin nämä hyökkäykset vaikuttivat EUH:n toimintaan;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a.</w:t>
            </w:r>
            <w:r>
              <w:tab/>
            </w:r>
            <w:r>
              <w:rPr>
                <w:b/>
                <w:i/>
              </w:rPr>
              <w:t>panee merkille, että EUH hallinnoi lähes 328:aa diplomaattista edustustoa ja toimistoa eri puolilla maailmaa ja että vuonna 2024 kiinteistöihin ja niihin liittyviin kustannuksiin sidottiin yli 61 miljoonaa euroa;</w:t>
            </w:r>
            <w:r>
              <w:t xml:space="preserve"> </w:t>
            </w:r>
            <w:r>
              <w:rPr>
                <w:b/>
                <w:i/>
              </w:rPr>
              <w:t>pitää valitettavana, että tilojen yhteiskäyttöä koskevan toimintapolitiikan nopeuttaminen muiden unionin yksiköiden ja jäsenvaltioiden kanssa on ollut hidasta;</w:t>
            </w:r>
            <w:r>
              <w:t xml:space="preserve"> </w:t>
            </w:r>
            <w:r>
              <w:rPr>
                <w:b/>
                <w:i/>
              </w:rPr>
              <w:t>muistuttaa, että tilojen yhteiskäyttö on osoittautunut toimivaksi välineeksi resurssien yhdistämisessä, toimintakustannusten vähentämisessä ja lyhyen aikavälin talousarviosäästöjen aikaansaamisessa samalla kun koordinointi paikan päällä on vahvistunut;</w:t>
            </w:r>
            <w:r>
              <w:t xml:space="preserve"> </w:t>
            </w:r>
            <w:r>
              <w:rPr>
                <w:b/>
                <w:i/>
              </w:rPr>
              <w:t>kehottaa EUH:ta käyttämään mahdollisuuksien mukaan järjestelmällisemmin yhteisiä tiloja;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panee merkille</w:t>
            </w:r>
            <w:r>
              <w:t xml:space="preserve">, että EUH vahvisti jälleen sitoumuksensa säilyttää 145:n unionin edustuston verkosto ja vahvistaa ns. yhden edustuston periaatetta; </w:t>
            </w:r>
            <w:r>
              <w:rPr>
                <w:b/>
                <w:i/>
              </w:rPr>
              <w:t>panee merkille, että meneillään olevalla nykyaikaistamisella pyritään parantamaan tehokkuutta ja mukauttamaan verkosto unionin painopisteisiin samalla kun otetaan huomioon talousarviorajoitukset;</w:t>
            </w:r>
            <w:r>
              <w:t xml:space="preserve"> </w:t>
            </w:r>
            <w:r>
              <w:rPr>
                <w:b/>
                <w:i/>
              </w:rPr>
              <w:t>korostaa, että tiukkoja säästötoimenpiteitä, kustannusten jakamista koskevia keskusteluja komission kanssa ja unionin keskeisten edustustojen kohdennettua vahvistamista jatketaan, kunnes rahoitusedellytykset paranevat;</w:t>
            </w:r>
            <w:r>
              <w:t xml:space="preserve"> </w:t>
            </w:r>
            <w:r>
              <w:rPr>
                <w:b/>
                <w:i/>
              </w:rPr>
              <w:t>on jossain määrin huolissaan suunnitelmasta supistaa joidenkin unionin edustustojen kokoa ja vähentää henkilöstöä siirtymällä painottamaan joitakin strategisia etuja sen sijaan, että keskitytään alkuperäiseen tapaan kehitysapuun ja taloudelliseen yhteistyöhön, mikä vaikuttaa rankaisevan eteläistä naapurustoa;</w:t>
            </w:r>
            <w:r>
              <w:t xml:space="preserve"> </w:t>
            </w:r>
            <w:r>
              <w:rPr>
                <w:b/>
                <w:i/>
              </w:rPr>
              <w:t>kehottaa EUH:ta säilyttämään keskeisen roolinsa ja strategisen painopisteensä Välimeren alueella unionin geopoliittisten haasteiden kattavan arvioinnin perusteella;</w:t>
            </w:r>
          </w:p>
        </w:tc>
        <w:tc>
          <w:tcPr>
            <w:tcW w:w="4876" w:type="dxa"/>
            <w:tcBorders>
              <w:top w:val="nil"/>
              <w:left w:val="nil"/>
              <w:bottom w:val="nil"/>
              <w:right w:val="nil"/>
            </w:tcBorders>
          </w:tcPr>
          <w:p>
            <w:pPr>
              <w:pStyle w:val="Normal6a"/>
            </w:pPr>
            <w:r>
              <w:t>61.</w:t>
            </w:r>
            <w:r>
              <w:tab/>
            </w:r>
            <w:r>
              <w:rPr>
                <w:b/>
                <w:i/>
              </w:rPr>
              <w:t>pitää valitettavana</w:t>
            </w:r>
            <w:r>
              <w:t>, että EUH vahvisti jälleen sitoumuksensa säilyttää 145:n unionin edustuston verkosto ja vahvistaa ns. yhden edustuston periaatetta;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 xml:space="preserve">panee merkille, että EUH vahvisti jälleen sitoumuksensa säilyttää 145:n unionin edustuston verkosto ja vahvistaa ns. yhden edustuston periaatetta; panee merkille, että meneillään olevalla nykyaikaistamisella pyritään parantamaan tehokkuutta ja mukauttamaan verkosto unionin painopisteisiin samalla kun otetaan huomioon talousarviorajoitukset; korostaa, että tiukkoja säästötoimenpiteitä, kustannusten jakamista koskevia keskusteluja komission kanssa ja unionin keskeisten edustustojen kohdennettua vahvistamista jatketaan, kunnes rahoitusedellytykset paranevat; on jossain määrin huolissaan suunnitelmasta </w:t>
            </w:r>
            <w:r>
              <w:rPr>
                <w:b/>
                <w:i/>
              </w:rPr>
              <w:t>supistaa</w:t>
            </w:r>
            <w:r>
              <w:t xml:space="preserve"> joidenkin unionin edustustojen </w:t>
            </w:r>
            <w:r>
              <w:rPr>
                <w:b/>
                <w:i/>
              </w:rPr>
              <w:t>kokoa ja vähentää henkilöstöä siirtymällä</w:t>
            </w:r>
            <w:r>
              <w:t xml:space="preserve"> painottamaan joitakin strategisia etuja sen sijaan, että keskitytään alkuperäiseen tapaan kehitysapuun ja taloudelliseen yhteistyöhön, mikä vaikuttaa </w:t>
            </w:r>
            <w:r>
              <w:rPr>
                <w:b/>
                <w:i/>
              </w:rPr>
              <w:t>rankaisevan eteläistä naapurustoa</w:t>
            </w:r>
            <w:r>
              <w:t>; kehottaa EUH:ta säilyttämään keskeisen roolinsa ja strategisen painopisteensä Välimeren alueella unionin geopoliittisten haasteiden kattavan arvioinnin perusteella;</w:t>
            </w:r>
          </w:p>
        </w:tc>
        <w:tc>
          <w:tcPr>
            <w:tcW w:w="4876" w:type="dxa"/>
            <w:tcBorders>
              <w:top w:val="nil"/>
              <w:left w:val="nil"/>
              <w:bottom w:val="nil"/>
              <w:right w:val="nil"/>
            </w:tcBorders>
          </w:tcPr>
          <w:p>
            <w:pPr>
              <w:pStyle w:val="Normal6a"/>
            </w:pPr>
            <w:r>
              <w:t>61.</w:t>
            </w:r>
            <w:r>
              <w:tab/>
            </w:r>
            <w:r>
              <w:t xml:space="preserve">panee </w:t>
            </w:r>
            <w:r>
              <w:rPr>
                <w:b/>
                <w:i/>
              </w:rPr>
              <w:t>tyytyväisenä</w:t>
            </w:r>
            <w:r>
              <w:t xml:space="preserve"> merkille, että EUH vahvisti jälleen sitoumuksensa säilyttää 145:n unionin edustuston verkosto ja vahvistaa ns. yhden edustuston periaatetta; panee merkille, että meneillään olevalla nykyaikaistamisella pyritään parantamaan tehokkuutta ja mukauttamaan verkosto unionin painopisteisiin samalla kun otetaan huomioon talousarviorajoitukset; korostaa, että tiukkoja säästötoimenpiteitä, kustannusten jakamista koskevia keskusteluja komission kanssa ja unionin keskeisten edustustojen kohdennettua vahvistamista jatketaan, kunnes rahoitusedellytykset paranevat; on jossain määrin huolissaan suunnitelmasta </w:t>
            </w:r>
            <w:r>
              <w:rPr>
                <w:b/>
                <w:i/>
              </w:rPr>
              <w:t>ottaa käyttöön uusia erotteluja edustustojen kategorioiden ja resurssien osalta;</w:t>
            </w:r>
            <w:r>
              <w:t xml:space="preserve"> </w:t>
            </w:r>
            <w:r>
              <w:rPr>
                <w:b/>
                <w:i/>
              </w:rPr>
              <w:t>pitää valitettavana, että</w:t>
            </w:r>
            <w:r>
              <w:t xml:space="preserve"> joidenkin unionin edustustojen </w:t>
            </w:r>
            <w:r>
              <w:rPr>
                <w:b/>
                <w:i/>
              </w:rPr>
              <w:t>koon supistaminen ja henkilöstön vähentäminen siirryttäessä</w:t>
            </w:r>
            <w:r>
              <w:t xml:space="preserve"> painottamaan joitakin strategisia etuja sen sijaan, että keskitytään alkuperäiseen tapaan kehitysapuun ja taloudelliseen yhteistyöhön, </w:t>
            </w:r>
            <w:r>
              <w:rPr>
                <w:b/>
                <w:i/>
              </w:rPr>
              <w:t>uhkaa heikentää EU:n operatiivista toimintaa ja läsnäoloa kolmansissa maissa ja haitata EUH:n kykyä täyttää tehtävänsä ja puolustaa unionin arvoja,</w:t>
            </w:r>
            <w:r>
              <w:t xml:space="preserve"> mikä vaikuttaa </w:t>
            </w:r>
            <w:r>
              <w:rPr>
                <w:b/>
                <w:i/>
              </w:rPr>
              <w:t>erityisesti EU:n suhteisiin eteläisen pallonpuoliskon ja eteläisen naapuruston kanssa</w:t>
            </w:r>
            <w:r>
              <w:t>; kehottaa EUH:ta säilyttämään keskeisen roolinsa ja strategisen painopisteensä Välimeren alueella unionin geopoliittisten haasteiden kattavan arvioinnin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panee merkille, että EUH vahvisti jälleen sitoumuksensa säilyttää 145:n unionin edustuston verkosto ja vahvistaa ns. yhden edustuston periaatetta; panee merkille, että meneillään olevalla nykyaikaistamisella pyritään parantamaan tehokkuutta ja mukauttamaan verkosto unionin painopisteisiin samalla kun otetaan huomioon talousarviorajoitukset; korostaa, että tiukkoja säästötoimenpiteitä, kustannusten jakamista koskevia keskusteluja komission kanssa ja unionin keskeisten edustustojen kohdennettua vahvistamista jatketaan, kunnes rahoitusedellytykset paranevat; on jossain määrin huolissaan suunnitelmasta supistaa joidenkin unionin edustustojen kokoa ja vähentää henkilöstöä siirtymällä painottamaan joitakin strategisia etuja sen sijaan, että keskitytään alkuperäiseen tapaan kehitysapuun ja taloudelliseen yhteistyöhön, mikä vaikuttaa rankaisevan eteläistä naapurustoa; kehottaa EUH:ta säilyttämään keskeisen roolinsa ja strategisen painopisteensä Välimeren alueella unionin geopoliittisten haasteiden kattavan arvioinnin perusteella;</w:t>
            </w:r>
          </w:p>
        </w:tc>
        <w:tc>
          <w:tcPr>
            <w:tcW w:w="4876" w:type="dxa"/>
            <w:tcBorders>
              <w:top w:val="nil"/>
              <w:left w:val="nil"/>
              <w:bottom w:val="nil"/>
              <w:right w:val="nil"/>
            </w:tcBorders>
          </w:tcPr>
          <w:p>
            <w:pPr>
              <w:pStyle w:val="Normal6a"/>
            </w:pPr>
            <w:r>
              <w:t>61.</w:t>
            </w:r>
            <w:r>
              <w:tab/>
            </w:r>
            <w:r>
              <w:t xml:space="preserve">panee merkille, että EUH vahvisti jälleen sitoumuksensa säilyttää 145:n unionin edustuston verkosto ja vahvistaa ns. yhden edustuston periaatetta; panee merkille, että meneillään olevalla nykyaikaistamisella pyritään parantamaan tehokkuutta ja mukauttamaan verkosto unionin painopisteisiin samalla kun otetaan huomioon talousarviorajoitukset; korostaa, että tiukkoja säästötoimenpiteitä, kustannusten jakamista koskevia keskusteluja komission kanssa ja unionin keskeisten edustustojen kohdennettua vahvistamista jatketaan, kunnes rahoitusedellytykset paranevat; on jossain määrin huolissaan suunnitelmasta supistaa joidenkin unionin edustustojen kokoa ja vähentää henkilöstöä siirtymällä painottamaan joitakin strategisia etuja sen sijaan, että keskitytään alkuperäiseen tapaan kehitysapuun ja taloudelliseen yhteistyöhön, mikä vaikuttaa rankaisevan eteläistä naapurustoa; kehottaa EUH:ta säilyttämään keskeisen roolinsa ja strategisen painopisteensä Välimeren alueella unionin geopoliittisten haasteiden kattavan arvioinnin perusteella; </w:t>
            </w:r>
            <w:r>
              <w:rPr>
                <w:b/>
                <w:i/>
              </w:rPr>
              <w:t>korostaa, että EUH:n on pidettävä yllä tiivistä yhteistyötä itäisten naapurimaiden kanssa, jotka ovat keskeisiä strategisia kumppaneita EU:n turvallisuuden, vakauden ja häiriönsietokyvyn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 a.</w:t>
            </w:r>
            <w:r>
              <w:tab/>
            </w:r>
            <w:r>
              <w:rPr>
                <w:b/>
                <w:i/>
              </w:rPr>
              <w:t>kehottaa EUH:ta vahvistamaan käytännön koordinointimekanismeja jäsenvaltioiden kolmansissa maissa sijaitsevien diplomaattiedustustojen kanssa muun muassa yhteisten palvelujen, yhteisten logististen järjestelyjen ja tehostetun tietojenvaihdon avulla, jotta voidaan maksimoida tehokkuus ja varmistaa EU:n ja kansallisten resurssien optimaalinen 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a.</w:t>
            </w:r>
            <w:r>
              <w:tab/>
            </w:r>
            <w:r>
              <w:rPr>
                <w:b/>
                <w:i/>
              </w:rPr>
              <w:t>muistuttaa, että perussopimusten mukaisesti unionin ulkoisen toiminnan ja EUH:n tarkoituksena on tukea, koordinoida ja täydentää jäsenvaltioiden diplomaattisia toimia;</w:t>
            </w:r>
            <w:r>
              <w:t xml:space="preserve"> </w:t>
            </w:r>
            <w:r>
              <w:rPr>
                <w:b/>
                <w:i/>
              </w:rPr>
              <w:t>korostaa tiiviin yhteistyön merkitystä tehottomuuden välttämiseksi;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pitää myönteisenä, että EUH:n viestintätoimia koordinoidaan ja yhdenmukaistetaan muiden toimielinten kanssa EU:n viestintäjohtajien verkoston, parlamentin ja komission kanssa perustettujen toimielinten välisten alustojen sekä kulttuuriperinnön suojelua ja </w:t>
            </w:r>
            <w:r>
              <w:rPr>
                <w:b/>
                <w:i/>
              </w:rPr>
              <w:t>sisäisiä</w:t>
            </w:r>
            <w:r>
              <w:t xml:space="preserve"> kulttuurisuhteita käsittelevän RELEX-alaryhmän kautta;</w:t>
            </w:r>
          </w:p>
        </w:tc>
        <w:tc>
          <w:tcPr>
            <w:tcW w:w="4876" w:type="dxa"/>
            <w:tcBorders>
              <w:top w:val="nil"/>
              <w:left w:val="nil"/>
              <w:bottom w:val="nil"/>
              <w:right w:val="nil"/>
            </w:tcBorders>
          </w:tcPr>
          <w:p>
            <w:pPr>
              <w:pStyle w:val="Normal6a"/>
            </w:pPr>
            <w:r>
              <w:t>74.</w:t>
            </w:r>
            <w:r>
              <w:tab/>
            </w:r>
            <w:r>
              <w:t xml:space="preserve">pitää myönteisenä, että EUH:n viestintätoimia koordinoidaan ja yhdenmukaistetaan muiden toimielinten kanssa EU:n viestintäjohtajien verkoston, parlamentin ja komission kanssa perustettujen toimielinten välisten alustojen sekä kulttuuriperinnön suojelua ja </w:t>
            </w:r>
            <w:r>
              <w:rPr>
                <w:b/>
                <w:i/>
              </w:rPr>
              <w:t>kansainvälisiä</w:t>
            </w:r>
            <w:r>
              <w:t xml:space="preserve"> kulttuurisuhteita käsittelevän RELEX-alaryhmän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kannustaa jatkamaan prosessia, jolla lisätään unionin toimintapolitiikkaa koskevaa viestintää kolmansien maiden kansalaisille, sekä lisäämään koordinointitoimia unionin rahoittamien hankkeiden näkyvyyden lisäämiseksi erityisesti ehdokasmaissa, jotta voidaan torjua vilpillisessä mielessä toimivien toimijoiden pyrkimyksiä heikentää unionin toimia;</w:t>
            </w:r>
          </w:p>
        </w:tc>
        <w:tc>
          <w:tcPr>
            <w:tcW w:w="4876" w:type="dxa"/>
            <w:tcBorders>
              <w:top w:val="nil"/>
              <w:left w:val="nil"/>
              <w:bottom w:val="nil"/>
              <w:right w:val="nil"/>
            </w:tcBorders>
          </w:tcPr>
          <w:p>
            <w:pPr>
              <w:pStyle w:val="Normal6a"/>
            </w:pPr>
            <w:r>
              <w:t>77.</w:t>
            </w:r>
            <w:r>
              <w:tab/>
            </w:r>
            <w:r>
              <w:t xml:space="preserve">kannustaa jatkamaan prosessia, jolla lisätään unionin toimintapolitiikkaa koskevaa viestintää kolmansien maiden kansalaisille, sekä lisäämään koordinointitoimia unionin rahoittamien hankkeiden näkyvyyden lisäämiseksi erityisesti ehdokasmaissa, jotta voidaan torjua vilpillisessä mielessä toimivien toimijoiden pyrkimyksiä heikentää unionin toimia; </w:t>
            </w:r>
            <w:r>
              <w:rPr>
                <w:b/>
                <w:i/>
              </w:rPr>
              <w:t>kehottaa jälleen komissiota varmistamaan selkeillä merkinnöillä ja EU:n lipulla, että EU:n tuki ja investoinnit saavat kattavasti näkyvyyttä kolmansissa maissa ja että niistä ollaan tietoisia;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 a.</w:t>
            </w:r>
            <w:r>
              <w:tab/>
            </w:r>
            <w:r>
              <w:rPr>
                <w:b/>
                <w:i/>
              </w:rPr>
              <w:t>panee merkille, että EUH tavoitti EUvsDisinfo-kampanjansa avulla yli 38 miljoonaa käyttäjää ja dokumentoi yli 18 000 tapausta, mikä osoittaa Venäjä-mielisen disinformaation laajuuden ja systeemisen luonteen vuonna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86</w:t>
    </w:r>
    <w:r>
      <w:fldChar w:fldCharType="end"/>
    </w:r>
    <w:r>
      <w:t>/</w:t>
    </w:r>
    <w:r>
      <w:fldChar w:fldCharType="begin"/>
    </w:r>
    <w:r>
      <w:instrText xml:space="preserve"> NUMPAGES </w:instrText>
    </w:r>
    <w:r>
      <w:fldChar w:fldCharType="separate"/>
    </w:r>
    <w:r>
      <w:t>87</w:t>
    </w:r>
    <w:r>
      <w:fldChar w:fldCharType="end"/>
    </w:r>
    <w:r>
      <w:tab/>
    </w:r>
    <w:r>
      <w:rPr>
        <w:rStyle w:val="HideTWBExt"/>
      </w:rPr>
      <w:t>&lt;PathFdR&gt;</w:t>
    </w:r>
    <w:r>
      <w:t>AM\1336297FI.docx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AM\1336297FI.docx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87</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AM\1336297FI.docx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87</Pages>
  <Words>17083</Words>
  <Characters>142998</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375825</vt:lpwstr>
  </property>
  <property fmtid="{D5CDD505-2E9C-101B-9397-08002B2CF9AE}" pid="7" name="dmxml.render.traceId">
    <vt:lpwstr>698c89482609cd6b611c3538a432d4ef</vt:lpwstr>
  </property>
  <property fmtid="{D5CDD505-2E9C-101B-9397-08002B2CF9AE}" pid="8" name="FooterPath">
    <vt:lpwstr>AM\1336297FI.docx</vt:lpwstr>
  </property>
  <property fmtid="{D5CDD505-2E9C-101B-9397-08002B2CF9AE}" pid="9" name="PE Number">
    <vt:lpwstr>784.151</vt:lpwstr>
  </property>
  <property fmtid="{D5CDD505-2E9C-101B-9397-08002B2CF9AE}" pid="10" name="UID">
    <vt:lpwstr>eu.europa.europarl-DIN1-2026-0000020048_01.00-fi-01.00_text-xml</vt:lpwstr>
  </property>
</Properties>
</file>