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82F4D" w:rsidRPr="00B64DD1" w14:paraId="52553F4B" w14:textId="77777777">
        <w:trPr>
          <w:trHeight w:hRule="exact" w:val="1417"/>
          <w:jc w:val="center"/>
        </w:trPr>
        <w:tc>
          <w:tcPr>
            <w:tcW w:w="6804" w:type="dxa"/>
            <w:tcBorders>
              <w:top w:val="nil"/>
              <w:left w:val="nil"/>
              <w:bottom w:val="nil"/>
              <w:right w:val="nil"/>
            </w:tcBorders>
            <w:vAlign w:val="center"/>
          </w:tcPr>
          <w:p w14:paraId="20B10CEB" w14:textId="77777777" w:rsidR="00FE13AB" w:rsidRPr="00B64DD1" w:rsidRDefault="00BA0139">
            <w:pPr>
              <w:pStyle w:val="EPName"/>
            </w:pPr>
            <w:r w:rsidRPr="00B64DD1">
              <w:t>Parlament Europejski</w:t>
            </w:r>
          </w:p>
          <w:p w14:paraId="43495695" w14:textId="77777777" w:rsidR="00FE13AB" w:rsidRPr="00B64DD1" w:rsidRDefault="00BA0139">
            <w:pPr>
              <w:pStyle w:val="EPTerm"/>
            </w:pPr>
            <w:r w:rsidRPr="00B64DD1">
              <w:t>2024-2029</w:t>
            </w:r>
          </w:p>
        </w:tc>
        <w:tc>
          <w:tcPr>
            <w:tcW w:w="2268" w:type="dxa"/>
            <w:tcBorders>
              <w:top w:val="nil"/>
              <w:left w:val="nil"/>
              <w:bottom w:val="nil"/>
              <w:right w:val="nil"/>
            </w:tcBorders>
          </w:tcPr>
          <w:p w14:paraId="6F8B6958" w14:textId="2433CCCF" w:rsidR="00FE13AB" w:rsidRPr="00B64DD1" w:rsidRDefault="00E535EB">
            <w:pPr>
              <w:pStyle w:val="EPLogo"/>
            </w:pPr>
            <w:r w:rsidRPr="00B64DD1">
              <w:rPr>
                <w:noProof/>
              </w:rPr>
              <w:drawing>
                <wp:inline distT="0" distB="0" distL="0" distR="0" wp14:anchorId="2AAD376E" wp14:editId="338B2196">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2B69F07F" w14:textId="77777777" w:rsidR="00FE13AB" w:rsidRPr="00B64DD1" w:rsidRDefault="00BA0139">
      <w:pPr>
        <w:pStyle w:val="LineTop"/>
      </w:pPr>
      <w:r w:rsidRPr="00B64DD1">
        <w:t xml:space="preserve"> </w:t>
      </w:r>
    </w:p>
    <w:p w14:paraId="1A3C0038" w14:textId="77777777" w:rsidR="00FE13AB" w:rsidRPr="00B64DD1" w:rsidRDefault="00BA0139">
      <w:pPr>
        <w:pStyle w:val="EPBody"/>
      </w:pPr>
      <w:r w:rsidRPr="00B64DD1">
        <w:rPr>
          <w:rStyle w:val="HideTWBExt"/>
          <w:rFonts w:eastAsia="Times New Roman"/>
          <w:i w:val="0"/>
        </w:rPr>
        <w:t>&lt;Commission&gt;</w:t>
      </w:r>
      <w:r w:rsidRPr="00B64DD1">
        <w:rPr>
          <w:rStyle w:val="HideTWBInt"/>
          <w:i w:val="0"/>
        </w:rPr>
        <w:t>{CONT}</w:t>
      </w:r>
      <w:r w:rsidRPr="00B64DD1">
        <w:t>Komisja Kontroli Budżetowej</w:t>
      </w:r>
      <w:r w:rsidRPr="00B64DD1">
        <w:rPr>
          <w:rStyle w:val="HideTWBExt"/>
          <w:rFonts w:eastAsia="Times New Roman"/>
          <w:i w:val="0"/>
        </w:rPr>
        <w:t>&lt;/Commission&gt;</w:t>
      </w:r>
    </w:p>
    <w:p w14:paraId="0AE13425" w14:textId="77777777" w:rsidR="00FE13AB" w:rsidRPr="00B64DD1" w:rsidRDefault="00BA0139">
      <w:pPr>
        <w:pStyle w:val="LineBottom"/>
      </w:pPr>
      <w:r w:rsidRPr="00B64DD1">
        <w:t xml:space="preserve"> </w:t>
      </w:r>
    </w:p>
    <w:p w14:paraId="7C9A3413" w14:textId="77777777" w:rsidR="00FE13AB" w:rsidRPr="00B64DD1" w:rsidRDefault="00BA0139">
      <w:pPr>
        <w:pStyle w:val="CoverReference"/>
      </w:pPr>
      <w:r w:rsidRPr="00B64DD1">
        <w:rPr>
          <w:rStyle w:val="HideTWBExt"/>
          <w:rFonts w:eastAsia="Times New Roman"/>
          <w:b w:val="0"/>
        </w:rPr>
        <w:t>&lt;RefProc&gt;</w:t>
      </w:r>
      <w:r w:rsidRPr="00B64DD1">
        <w:t>2025/2150</w:t>
      </w:r>
      <w:r w:rsidRPr="00B64DD1">
        <w:rPr>
          <w:rStyle w:val="HideTWBExt"/>
          <w:rFonts w:eastAsia="Times New Roman"/>
          <w:b w:val="0"/>
        </w:rPr>
        <w:t>&lt;/RefProc&gt;&lt;RefTypeProc&gt;</w:t>
      </w:r>
      <w:r w:rsidRPr="00B64DD1">
        <w:t>(DEC)</w:t>
      </w:r>
      <w:r w:rsidRPr="00B64DD1">
        <w:rPr>
          <w:rStyle w:val="HideTWBExt"/>
          <w:rFonts w:eastAsia="Times New Roman"/>
          <w:b w:val="0"/>
        </w:rPr>
        <w:t>&lt;/RefTypeProc&gt;</w:t>
      </w:r>
    </w:p>
    <w:p w14:paraId="42CCA56D" w14:textId="77777777" w:rsidR="00FE13AB" w:rsidRPr="00B64DD1" w:rsidRDefault="00BA0139">
      <w:pPr>
        <w:pStyle w:val="CoverDate"/>
      </w:pPr>
      <w:r w:rsidRPr="00B64DD1">
        <w:rPr>
          <w:rStyle w:val="HideTWBExt"/>
        </w:rPr>
        <w:t>&lt;Date&gt;</w:t>
      </w:r>
      <w:r w:rsidRPr="00B64DD1">
        <w:rPr>
          <w:rStyle w:val="HideTWBInt"/>
        </w:rPr>
        <w:t>{30/01/2026}</w:t>
      </w:r>
      <w:proofErr w:type="gramStart"/>
      <w:r w:rsidRPr="00B64DD1">
        <w:t>30.1.2026</w:t>
      </w:r>
      <w:proofErr w:type="gramEnd"/>
      <w:r w:rsidRPr="00B64DD1">
        <w:rPr>
          <w:rStyle w:val="HideTWBExt"/>
        </w:rPr>
        <w:t>&lt;/Date&gt;</w:t>
      </w:r>
    </w:p>
    <w:p w14:paraId="3FF32F6C" w14:textId="77777777" w:rsidR="00FE13AB" w:rsidRPr="00B64DD1" w:rsidRDefault="00BA0139">
      <w:pPr>
        <w:pStyle w:val="CoverDocType"/>
      </w:pPr>
      <w:r w:rsidRPr="00B64DD1">
        <w:rPr>
          <w:rStyle w:val="HideTWBExt"/>
          <w:b w:val="0"/>
        </w:rPr>
        <w:t>&lt;TypeAM&gt;</w:t>
      </w:r>
      <w:r w:rsidRPr="00B64DD1">
        <w:t>POPRAWKI</w:t>
      </w:r>
      <w:r w:rsidRPr="00B64DD1">
        <w:rPr>
          <w:rStyle w:val="HideTWBExt"/>
          <w:b w:val="0"/>
        </w:rPr>
        <w:t>&lt;/TypeAM&gt;</w:t>
      </w:r>
    </w:p>
    <w:p w14:paraId="6F6F207E" w14:textId="77777777" w:rsidR="00FE13AB" w:rsidRPr="00B64DD1" w:rsidRDefault="00BA0139">
      <w:pPr>
        <w:pStyle w:val="CoverDocType24a"/>
      </w:pPr>
      <w:r w:rsidRPr="00B64DD1">
        <w:rPr>
          <w:rStyle w:val="HideTWBExt"/>
          <w:rFonts w:eastAsia="Times New Roman"/>
          <w:b w:val="0"/>
        </w:rPr>
        <w:t>&lt;RangeAM&gt;</w:t>
      </w:r>
      <w:r w:rsidRPr="00B64DD1">
        <w:t>1 - 112</w:t>
      </w:r>
      <w:r w:rsidRPr="00B64DD1">
        <w:rPr>
          <w:rStyle w:val="HideTWBExt"/>
          <w:rFonts w:eastAsia="Times New Roman"/>
          <w:b w:val="0"/>
        </w:rPr>
        <w:t>&lt;/RangeAM&gt;</w:t>
      </w:r>
    </w:p>
    <w:p w14:paraId="153E6EF2" w14:textId="77777777" w:rsidR="00FE13AB" w:rsidRPr="00B64DD1" w:rsidRDefault="00BA0139">
      <w:pPr>
        <w:pStyle w:val="CoverBold"/>
      </w:pPr>
      <w:r w:rsidRPr="00B64DD1">
        <w:rPr>
          <w:rStyle w:val="HideTWBExt"/>
          <w:b w:val="0"/>
        </w:rPr>
        <w:t>&lt;TitreType&gt;</w:t>
      </w:r>
      <w:r w:rsidRPr="00B64DD1">
        <w:t>Projekt sprawozdania</w:t>
      </w:r>
      <w:r w:rsidRPr="00B64DD1">
        <w:rPr>
          <w:rStyle w:val="HideTWBExt"/>
          <w:b w:val="0"/>
        </w:rPr>
        <w:t>&lt;/TitreType&gt;</w:t>
      </w:r>
    </w:p>
    <w:p w14:paraId="1733066B" w14:textId="77777777" w:rsidR="00FE13AB" w:rsidRPr="00B64DD1" w:rsidRDefault="00BA0139">
      <w:pPr>
        <w:pStyle w:val="CoverBold"/>
      </w:pPr>
      <w:r w:rsidRPr="00B64DD1">
        <w:rPr>
          <w:rStyle w:val="HideTWBExt"/>
          <w:b w:val="0"/>
        </w:rPr>
        <w:t>&lt;Rapporteur&gt;</w:t>
      </w:r>
      <w:proofErr w:type="spellStart"/>
      <w:r w:rsidRPr="00B64DD1">
        <w:t>Pasquale</w:t>
      </w:r>
      <w:proofErr w:type="spellEnd"/>
      <w:r w:rsidRPr="00B64DD1">
        <w:t xml:space="preserve"> </w:t>
      </w:r>
      <w:proofErr w:type="spellStart"/>
      <w:r w:rsidRPr="00B64DD1">
        <w:t>Tridico</w:t>
      </w:r>
      <w:proofErr w:type="spellEnd"/>
      <w:r w:rsidRPr="00B64DD1">
        <w:rPr>
          <w:rStyle w:val="HideTWBExt"/>
          <w:b w:val="0"/>
        </w:rPr>
        <w:t>&lt;/Rapporteur&gt;</w:t>
      </w:r>
    </w:p>
    <w:p w14:paraId="1B89FBCF" w14:textId="77777777" w:rsidR="00FE13AB" w:rsidRPr="00B64DD1" w:rsidRDefault="00BA0139">
      <w:pPr>
        <w:pStyle w:val="CoverNormal24a"/>
      </w:pPr>
      <w:r w:rsidRPr="00B64DD1">
        <w:rPr>
          <w:rStyle w:val="HideTWBExt"/>
        </w:rPr>
        <w:t>&lt;DocRefPE&gt;</w:t>
      </w:r>
      <w:r w:rsidRPr="00B64DD1">
        <w:t>(PE778.061v01-00)</w:t>
      </w:r>
      <w:r w:rsidRPr="00B64DD1">
        <w:rPr>
          <w:rStyle w:val="HideTWBExt"/>
        </w:rPr>
        <w:t>&lt;/DocRefPE&gt;</w:t>
      </w:r>
    </w:p>
    <w:p w14:paraId="178DEBE0" w14:textId="5F4944AF" w:rsidR="00FE13AB" w:rsidRPr="00B64DD1" w:rsidRDefault="00BA0139">
      <w:pPr>
        <w:pStyle w:val="CoverNormal"/>
      </w:pPr>
      <w:r w:rsidRPr="00B64DD1">
        <w:rPr>
          <w:rStyle w:val="HideTWBExt"/>
        </w:rPr>
        <w:t>&lt;Titre&gt;</w:t>
      </w:r>
      <w:r w:rsidR="00E703C3" w:rsidRPr="00B64DD1">
        <w:t>Absolutorium za rok 2024: budżet ogólny UE – Europejska Służba Działań Zewnętrznych</w:t>
      </w:r>
      <w:r w:rsidRPr="00B64DD1">
        <w:rPr>
          <w:rStyle w:val="HideTWBExt"/>
        </w:rPr>
        <w:t>&lt;/Titre&gt;</w:t>
      </w:r>
    </w:p>
    <w:p w14:paraId="3A9EA247" w14:textId="77777777" w:rsidR="00FE13AB" w:rsidRPr="00B64DD1" w:rsidRDefault="00BA0139">
      <w:pPr>
        <w:pStyle w:val="CoverNormal24a"/>
      </w:pPr>
      <w:r w:rsidRPr="00B64DD1">
        <w:rPr>
          <w:rStyle w:val="HideTWBExt"/>
        </w:rPr>
        <w:t>&lt;DocRef&gt;</w:t>
      </w:r>
      <w:r w:rsidRPr="00B64DD1">
        <w:t>(2025/2150(DEC))</w:t>
      </w:r>
      <w:r w:rsidRPr="00B64DD1">
        <w:rPr>
          <w:rStyle w:val="HideTWBExt"/>
        </w:rPr>
        <w:t>&lt;/DocRef&gt;</w:t>
      </w:r>
    </w:p>
    <w:p w14:paraId="72C45695" w14:textId="77777777" w:rsidR="00FE13AB" w:rsidRPr="00B64DD1" w:rsidRDefault="00BA0139">
      <w:r w:rsidRPr="00B64DD1">
        <w:br w:type="page"/>
      </w:r>
      <w:proofErr w:type="spellStart"/>
      <w:r w:rsidRPr="00B64DD1">
        <w:lastRenderedPageBreak/>
        <w:t>AM_Com_NonLegReport</w:t>
      </w:r>
      <w:proofErr w:type="spellEnd"/>
    </w:p>
    <w:p w14:paraId="56754A59" w14:textId="696DC77E" w:rsidR="00A82F4D" w:rsidRPr="00B64DD1" w:rsidRDefault="00BA0139" w:rsidP="00A82F4D">
      <w:pPr>
        <w:pStyle w:val="AmNumberTabs"/>
      </w:pPr>
      <w:r w:rsidRPr="00B64DD1">
        <w:br w:type="page"/>
      </w:r>
      <w:r w:rsidR="00A82F4D" w:rsidRPr="00B64DD1">
        <w:rPr>
          <w:rStyle w:val="HideTWBExt"/>
          <w:b w:val="0"/>
        </w:rPr>
        <w:lastRenderedPageBreak/>
        <w:t>&lt;RepeatBlock-Amend&gt;</w:t>
      </w:r>
      <w:r w:rsidRPr="00B64DD1">
        <w:rPr>
          <w:rStyle w:val="HideTWBExt"/>
          <w:b w:val="0"/>
        </w:rPr>
        <w:t>&lt;Amend&gt;</w:t>
      </w:r>
      <w:r w:rsidR="00A82F4D" w:rsidRPr="00B64DD1">
        <w:t>Poprawka</w:t>
      </w:r>
      <w:r w:rsidR="00A82F4D" w:rsidRPr="00B64DD1">
        <w:tab/>
      </w:r>
      <w:r w:rsidR="00A82F4D" w:rsidRPr="00B64DD1">
        <w:tab/>
      </w:r>
      <w:r w:rsidR="00A82F4D" w:rsidRPr="00B64DD1">
        <w:rPr>
          <w:rStyle w:val="HideTWBExt"/>
          <w:b w:val="0"/>
        </w:rPr>
        <w:t>&lt;NumAm&gt;</w:t>
      </w:r>
      <w:r w:rsidR="00A82F4D" w:rsidRPr="00B64DD1">
        <w:t>1</w:t>
      </w:r>
      <w:r w:rsidR="00A82F4D" w:rsidRPr="00B64DD1">
        <w:rPr>
          <w:rStyle w:val="HideTWBExt"/>
          <w:b w:val="0"/>
        </w:rPr>
        <w:t>&lt;/NumAm&gt;</w:t>
      </w:r>
    </w:p>
    <w:p w14:paraId="6CB20B80" w14:textId="77777777" w:rsidR="00A82F4D" w:rsidRPr="00B64DD1" w:rsidRDefault="00A82F4D" w:rsidP="00A82F4D">
      <w:pPr>
        <w:pStyle w:val="NormalBold"/>
      </w:pPr>
      <w:r w:rsidRPr="00B64DD1">
        <w:rPr>
          <w:rStyle w:val="HideTWBExt"/>
          <w:b w:val="0"/>
        </w:rPr>
        <w:t>&lt;RepeatBlock-By&gt;&lt;Members&gt;</w:t>
      </w:r>
      <w:proofErr w:type="spellStart"/>
      <w:r w:rsidRPr="00B64DD1">
        <w:t>Şerban</w:t>
      </w:r>
      <w:proofErr w:type="spellEnd"/>
      <w:r w:rsidRPr="00B64DD1">
        <w:t xml:space="preserve"> </w:t>
      </w:r>
      <w:proofErr w:type="spellStart"/>
      <w:r w:rsidRPr="00B64DD1">
        <w:t>Dimitrie</w:t>
      </w:r>
      <w:proofErr w:type="spellEnd"/>
      <w:r w:rsidRPr="00B64DD1">
        <w:t xml:space="preserve"> </w:t>
      </w:r>
      <w:proofErr w:type="spellStart"/>
      <w:r w:rsidRPr="00B64DD1">
        <w:t>Sturdza</w:t>
      </w:r>
      <w:proofErr w:type="spellEnd"/>
      <w:r w:rsidRPr="00B64DD1">
        <w:rPr>
          <w:rStyle w:val="HideTWBExt"/>
          <w:b w:val="0"/>
        </w:rPr>
        <w:t>&lt;/Members&gt;</w:t>
      </w:r>
    </w:p>
    <w:p w14:paraId="05701F2C" w14:textId="77777777" w:rsidR="00A82F4D" w:rsidRPr="00B64DD1" w:rsidRDefault="00A82F4D" w:rsidP="00A82F4D">
      <w:pPr>
        <w:pStyle w:val="NormalBold"/>
      </w:pPr>
      <w:r w:rsidRPr="00B64DD1">
        <w:rPr>
          <w:rStyle w:val="HideTWBExt"/>
          <w:b w:val="0"/>
        </w:rPr>
        <w:t>&lt;/RepeatBlock-By&gt;</w:t>
      </w:r>
    </w:p>
    <w:p w14:paraId="39687D3A"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7898F448" w14:textId="77777777" w:rsidR="00A82F4D" w:rsidRPr="00B64DD1" w:rsidRDefault="00A82F4D" w:rsidP="00A82F4D">
      <w:pPr>
        <w:pStyle w:val="NormalBold"/>
      </w:pPr>
      <w:r w:rsidRPr="00B64DD1">
        <w:rPr>
          <w:rStyle w:val="HideTWBExt"/>
          <w:b w:val="0"/>
        </w:rPr>
        <w:t>&lt;Article&gt;</w:t>
      </w:r>
      <w:r w:rsidRPr="00B64DD1">
        <w:t>Motyw H a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21362558" w14:textId="77777777" w:rsidTr="00EA17FD">
        <w:trPr>
          <w:trHeight w:hRule="exact" w:val="240"/>
          <w:jc w:val="center"/>
        </w:trPr>
        <w:tc>
          <w:tcPr>
            <w:tcW w:w="9752" w:type="dxa"/>
            <w:gridSpan w:val="2"/>
            <w:tcBorders>
              <w:top w:val="nil"/>
              <w:left w:val="nil"/>
              <w:bottom w:val="nil"/>
              <w:right w:val="nil"/>
            </w:tcBorders>
          </w:tcPr>
          <w:p w14:paraId="1EE062AC" w14:textId="77777777" w:rsidR="00A82F4D" w:rsidRPr="00B64DD1" w:rsidRDefault="00A82F4D" w:rsidP="00EA17FD"/>
        </w:tc>
      </w:tr>
      <w:tr w:rsidR="00A82F4D" w:rsidRPr="00B64DD1" w14:paraId="34BE7E73" w14:textId="77777777" w:rsidTr="00EA17FD">
        <w:trPr>
          <w:trHeight w:val="240"/>
          <w:jc w:val="center"/>
        </w:trPr>
        <w:tc>
          <w:tcPr>
            <w:tcW w:w="4876" w:type="dxa"/>
            <w:tcBorders>
              <w:top w:val="nil"/>
              <w:left w:val="nil"/>
              <w:bottom w:val="nil"/>
              <w:right w:val="nil"/>
            </w:tcBorders>
          </w:tcPr>
          <w:p w14:paraId="35437809"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7860CDA7" w14:textId="77777777" w:rsidR="00A82F4D" w:rsidRPr="00B64DD1" w:rsidRDefault="00A82F4D" w:rsidP="00EA17FD">
            <w:pPr>
              <w:pStyle w:val="AmColumnHeading"/>
            </w:pPr>
            <w:r w:rsidRPr="00B64DD1">
              <w:t>Poprawka</w:t>
            </w:r>
          </w:p>
        </w:tc>
      </w:tr>
      <w:tr w:rsidR="00A82F4D" w:rsidRPr="00B64DD1" w14:paraId="4BEEFF1A" w14:textId="77777777" w:rsidTr="00EA17FD">
        <w:trPr>
          <w:jc w:val="center"/>
        </w:trPr>
        <w:tc>
          <w:tcPr>
            <w:tcW w:w="4876" w:type="dxa"/>
            <w:tcBorders>
              <w:top w:val="nil"/>
              <w:left w:val="nil"/>
              <w:bottom w:val="nil"/>
              <w:right w:val="nil"/>
            </w:tcBorders>
          </w:tcPr>
          <w:p w14:paraId="0B05C225" w14:textId="77777777" w:rsidR="00A82F4D" w:rsidRPr="00B64DD1" w:rsidRDefault="00A82F4D" w:rsidP="00EA17FD">
            <w:pPr>
              <w:pStyle w:val="Normal6a"/>
            </w:pPr>
          </w:p>
        </w:tc>
        <w:tc>
          <w:tcPr>
            <w:tcW w:w="4876" w:type="dxa"/>
            <w:tcBorders>
              <w:top w:val="nil"/>
              <w:left w:val="nil"/>
              <w:bottom w:val="nil"/>
              <w:right w:val="nil"/>
            </w:tcBorders>
          </w:tcPr>
          <w:p w14:paraId="76F5BA0A" w14:textId="77777777" w:rsidR="00A82F4D" w:rsidRPr="00B64DD1" w:rsidRDefault="00A82F4D" w:rsidP="00EA17FD">
            <w:pPr>
              <w:pStyle w:val="Normal6a"/>
            </w:pPr>
            <w:r w:rsidRPr="00B64DD1">
              <w:rPr>
                <w:b/>
                <w:i/>
              </w:rPr>
              <w:t>Ha.</w:t>
            </w:r>
            <w:r w:rsidRPr="00B64DD1">
              <w:tab/>
            </w:r>
            <w:r w:rsidRPr="00B64DD1">
              <w:rPr>
                <w:b/>
                <w:i/>
              </w:rPr>
              <w:t>mając na uwadze, że skuteczność i oszczędność kosztowa działań zewnętrznych Unii Europejskiej zależą od ścisłej koordynacji z placówkami dyplomatycznymi i sieciami państw członkowskich, w szczególności w państwach trzecich, w których zarówno ESDZ, jak i państwa członkowskie utrzymują swoją stałą obecność, w celu uniknięcia powielania struktur i wydatków;</w:t>
            </w:r>
          </w:p>
        </w:tc>
      </w:tr>
    </w:tbl>
    <w:p w14:paraId="2ABD70D2"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409E031A" w14:textId="77777777" w:rsidR="00A82F4D" w:rsidRPr="00B64DD1" w:rsidRDefault="00A82F4D" w:rsidP="00A82F4D">
      <w:r w:rsidRPr="00B64DD1">
        <w:rPr>
          <w:rStyle w:val="HideTWBExt"/>
        </w:rPr>
        <w:t>&lt;/Amend&gt;</w:t>
      </w:r>
    </w:p>
    <w:p w14:paraId="65DF639C"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2</w:t>
      </w:r>
      <w:r w:rsidRPr="00B64DD1">
        <w:rPr>
          <w:rStyle w:val="HideTWBExt"/>
          <w:b w:val="0"/>
        </w:rPr>
        <w:t>&lt;/NumAm&gt;</w:t>
      </w:r>
    </w:p>
    <w:p w14:paraId="45FD39A4" w14:textId="77777777" w:rsidR="00A82F4D" w:rsidRPr="00B64DD1" w:rsidRDefault="00A82F4D" w:rsidP="00A82F4D">
      <w:pPr>
        <w:pStyle w:val="NormalBold"/>
      </w:pPr>
      <w:r w:rsidRPr="00B64DD1">
        <w:rPr>
          <w:rStyle w:val="HideTWBExt"/>
          <w:b w:val="0"/>
        </w:rPr>
        <w:t>&lt;RepeatBlock-By&gt;&lt;Members&gt;</w:t>
      </w:r>
      <w:proofErr w:type="spellStart"/>
      <w:r w:rsidRPr="00B64DD1">
        <w:t>Pasquale</w:t>
      </w:r>
      <w:proofErr w:type="spellEnd"/>
      <w:r w:rsidRPr="00B64DD1">
        <w:t xml:space="preserve"> </w:t>
      </w:r>
      <w:proofErr w:type="spellStart"/>
      <w:r w:rsidRPr="00B64DD1">
        <w:t>Tridico</w:t>
      </w:r>
      <w:proofErr w:type="spellEnd"/>
      <w:r w:rsidRPr="00B64DD1">
        <w:rPr>
          <w:rStyle w:val="HideTWBExt"/>
          <w:b w:val="0"/>
        </w:rPr>
        <w:t>&lt;/Members&gt;</w:t>
      </w:r>
    </w:p>
    <w:p w14:paraId="1E992232" w14:textId="77777777" w:rsidR="00A82F4D" w:rsidRPr="00B64DD1" w:rsidRDefault="00A82F4D" w:rsidP="00A82F4D">
      <w:pPr>
        <w:pStyle w:val="NormalBold"/>
      </w:pPr>
      <w:r w:rsidRPr="00B64DD1">
        <w:rPr>
          <w:rStyle w:val="HideTWBExt"/>
          <w:b w:val="0"/>
        </w:rPr>
        <w:t>&lt;/RepeatBlock-By&gt;</w:t>
      </w:r>
    </w:p>
    <w:p w14:paraId="73C194EE"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647B5436" w14:textId="77777777" w:rsidR="00A82F4D" w:rsidRPr="00B64DD1" w:rsidRDefault="00A82F4D" w:rsidP="00A82F4D">
      <w:pPr>
        <w:pStyle w:val="NormalBold"/>
      </w:pPr>
      <w:r w:rsidRPr="00B64DD1">
        <w:rPr>
          <w:rStyle w:val="HideTWBExt"/>
          <w:b w:val="0"/>
        </w:rPr>
        <w:t>&lt;Article&gt;</w:t>
      </w:r>
      <w:r w:rsidRPr="00B64DD1">
        <w:t>Ustęp 1</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2F35AEB0" w14:textId="77777777" w:rsidTr="00EA17FD">
        <w:trPr>
          <w:trHeight w:hRule="exact" w:val="240"/>
          <w:jc w:val="center"/>
        </w:trPr>
        <w:tc>
          <w:tcPr>
            <w:tcW w:w="9752" w:type="dxa"/>
            <w:gridSpan w:val="2"/>
            <w:tcBorders>
              <w:top w:val="nil"/>
              <w:left w:val="nil"/>
              <w:bottom w:val="nil"/>
              <w:right w:val="nil"/>
            </w:tcBorders>
          </w:tcPr>
          <w:p w14:paraId="6A5A8F3B" w14:textId="77777777" w:rsidR="00A82F4D" w:rsidRPr="00B64DD1" w:rsidRDefault="00A82F4D" w:rsidP="00EA17FD"/>
        </w:tc>
      </w:tr>
      <w:tr w:rsidR="00A82F4D" w:rsidRPr="00B64DD1" w14:paraId="22B1AD27" w14:textId="77777777" w:rsidTr="00EA17FD">
        <w:trPr>
          <w:trHeight w:val="240"/>
          <w:jc w:val="center"/>
        </w:trPr>
        <w:tc>
          <w:tcPr>
            <w:tcW w:w="4876" w:type="dxa"/>
            <w:tcBorders>
              <w:top w:val="nil"/>
              <w:left w:val="nil"/>
              <w:bottom w:val="nil"/>
              <w:right w:val="nil"/>
            </w:tcBorders>
          </w:tcPr>
          <w:p w14:paraId="397B7120"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4FAFB4A3" w14:textId="77777777" w:rsidR="00A82F4D" w:rsidRPr="00B64DD1" w:rsidRDefault="00A82F4D" w:rsidP="00EA17FD">
            <w:pPr>
              <w:pStyle w:val="AmColumnHeading"/>
            </w:pPr>
            <w:r w:rsidRPr="00B64DD1">
              <w:t>Poprawka</w:t>
            </w:r>
          </w:p>
        </w:tc>
      </w:tr>
      <w:tr w:rsidR="00A82F4D" w:rsidRPr="00B64DD1" w14:paraId="522B488D" w14:textId="77777777" w:rsidTr="00EA17FD">
        <w:trPr>
          <w:jc w:val="center"/>
        </w:trPr>
        <w:tc>
          <w:tcPr>
            <w:tcW w:w="4876" w:type="dxa"/>
            <w:tcBorders>
              <w:top w:val="nil"/>
              <w:left w:val="nil"/>
              <w:bottom w:val="nil"/>
              <w:right w:val="nil"/>
            </w:tcBorders>
          </w:tcPr>
          <w:p w14:paraId="154C8624" w14:textId="77777777" w:rsidR="00A82F4D" w:rsidRPr="00B64DD1" w:rsidRDefault="00A82F4D" w:rsidP="00EA17FD">
            <w:pPr>
              <w:pStyle w:val="Normal6a"/>
            </w:pPr>
            <w:r w:rsidRPr="00B64DD1">
              <w:t>1.</w:t>
            </w:r>
            <w:r w:rsidRPr="00B64DD1">
              <w:tab/>
              <w:t xml:space="preserve">zauważa, że budżet ESDZ jest objęty działem 7 WRF „Europejska administracja publiczna”, który w 2024 r. wyniósł łącznie 13,3 mld EUR (co stanowi 6,9 % łącznych wydatków z budżetu Unii); zauważa, że budżet wynoszący około </w:t>
            </w:r>
            <w:r w:rsidRPr="00B64DD1">
              <w:rPr>
                <w:b/>
                <w:bCs/>
                <w:i/>
                <w:iCs/>
              </w:rPr>
              <w:t>1,293</w:t>
            </w:r>
            <w:r w:rsidRPr="00B64DD1">
              <w:t> mld EUR zarządzany przez ESDZ stanowi około 9,54 % całkowitych wydatków administracyjnych Unii w 2024 r.;</w:t>
            </w:r>
          </w:p>
        </w:tc>
        <w:tc>
          <w:tcPr>
            <w:tcW w:w="4876" w:type="dxa"/>
            <w:tcBorders>
              <w:top w:val="nil"/>
              <w:left w:val="nil"/>
              <w:bottom w:val="nil"/>
              <w:right w:val="nil"/>
            </w:tcBorders>
          </w:tcPr>
          <w:p w14:paraId="33C2C5CE" w14:textId="77777777" w:rsidR="00A82F4D" w:rsidRPr="00B64DD1" w:rsidRDefault="00A82F4D" w:rsidP="00EA17FD">
            <w:pPr>
              <w:pStyle w:val="Normal6a"/>
            </w:pPr>
            <w:r w:rsidRPr="00B64DD1">
              <w:t>1.</w:t>
            </w:r>
            <w:r w:rsidRPr="00B64DD1">
              <w:tab/>
              <w:t xml:space="preserve">zauważa, że budżet ESDZ jest objęty działem 7 WRF „Europejska administracja publiczna”, który w 2024 r. wyniósł łącznie 13,3 mld EUR (co stanowi 6,9 % łącznych wydatków z budżetu Unii); zauważa, że budżet wynoszący około </w:t>
            </w:r>
            <w:r w:rsidRPr="00B64DD1">
              <w:rPr>
                <w:b/>
                <w:bCs/>
                <w:i/>
                <w:iCs/>
              </w:rPr>
              <w:t>1,239</w:t>
            </w:r>
            <w:r w:rsidRPr="00B64DD1">
              <w:t> mld EUR zarządzany przez ESDZ stanowi około 9,54 % całkowitych wydatków administracyjnych Unii w 2024 r.;</w:t>
            </w:r>
          </w:p>
        </w:tc>
      </w:tr>
    </w:tbl>
    <w:p w14:paraId="618B2575"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3228EA59" w14:textId="77777777" w:rsidR="00A82F4D" w:rsidRPr="00B64DD1" w:rsidRDefault="00A82F4D" w:rsidP="00A82F4D">
      <w:r w:rsidRPr="00B64DD1">
        <w:rPr>
          <w:rStyle w:val="HideTWBExt"/>
        </w:rPr>
        <w:t>&lt;/Amend&gt;</w:t>
      </w:r>
    </w:p>
    <w:p w14:paraId="06B349D7"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3</w:t>
      </w:r>
      <w:r w:rsidRPr="00B64DD1">
        <w:rPr>
          <w:rStyle w:val="HideTWBExt"/>
          <w:b w:val="0"/>
        </w:rPr>
        <w:t>&lt;/NumAm&gt;</w:t>
      </w:r>
    </w:p>
    <w:p w14:paraId="27247D2C" w14:textId="77777777" w:rsidR="00A82F4D" w:rsidRPr="00B64DD1" w:rsidRDefault="00A82F4D" w:rsidP="00A82F4D">
      <w:pPr>
        <w:pStyle w:val="NormalBold"/>
      </w:pPr>
      <w:r w:rsidRPr="00B64DD1">
        <w:rPr>
          <w:rStyle w:val="HideTWBExt"/>
          <w:b w:val="0"/>
        </w:rPr>
        <w:t>&lt;RepeatBlock-By&gt;&lt;Members&gt;</w:t>
      </w:r>
      <w:proofErr w:type="spellStart"/>
      <w:r w:rsidRPr="00B64DD1">
        <w:t>Ondřej</w:t>
      </w:r>
      <w:proofErr w:type="spellEnd"/>
      <w:r w:rsidRPr="00B64DD1">
        <w:t xml:space="preserve"> Knotek, Virginie </w:t>
      </w:r>
      <w:proofErr w:type="spellStart"/>
      <w:r w:rsidRPr="00B64DD1">
        <w:t>Joron</w:t>
      </w:r>
      <w:proofErr w:type="spellEnd"/>
      <w:r w:rsidRPr="00B64DD1">
        <w:t xml:space="preserve">, </w:t>
      </w:r>
      <w:proofErr w:type="spellStart"/>
      <w:r w:rsidRPr="00B64DD1">
        <w:t>Tamás</w:t>
      </w:r>
      <w:proofErr w:type="spellEnd"/>
      <w:r w:rsidRPr="00B64DD1">
        <w:t xml:space="preserve"> </w:t>
      </w:r>
      <w:proofErr w:type="spellStart"/>
      <w:r w:rsidRPr="00B64DD1">
        <w:t>Deutsch</w:t>
      </w:r>
      <w:proofErr w:type="spellEnd"/>
      <w:r w:rsidRPr="00B64DD1">
        <w:rPr>
          <w:rStyle w:val="HideTWBExt"/>
          <w:b w:val="0"/>
        </w:rPr>
        <w:t>&lt;/Members&gt;</w:t>
      </w:r>
    </w:p>
    <w:p w14:paraId="3DE2C013" w14:textId="77777777" w:rsidR="00A82F4D" w:rsidRPr="00B64DD1" w:rsidRDefault="00A82F4D" w:rsidP="00A82F4D">
      <w:pPr>
        <w:pStyle w:val="NormalBold"/>
      </w:pPr>
      <w:r w:rsidRPr="00B64DD1">
        <w:rPr>
          <w:rStyle w:val="HideTWBExt"/>
          <w:b w:val="0"/>
        </w:rPr>
        <w:lastRenderedPageBreak/>
        <w:t>&lt;/RepeatBlock-By&gt;</w:t>
      </w:r>
    </w:p>
    <w:p w14:paraId="3EEF707E"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02BB7894" w14:textId="77777777" w:rsidR="00A82F4D" w:rsidRPr="00B64DD1" w:rsidRDefault="00A82F4D" w:rsidP="00A82F4D">
      <w:pPr>
        <w:pStyle w:val="NormalBold"/>
      </w:pPr>
      <w:r w:rsidRPr="00B64DD1">
        <w:rPr>
          <w:rStyle w:val="HideTWBExt"/>
          <w:b w:val="0"/>
        </w:rPr>
        <w:t>&lt;Article&gt;</w:t>
      </w:r>
      <w:r w:rsidRPr="00B64DD1">
        <w:t>Ustęp 5 a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3A27833B" w14:textId="77777777" w:rsidTr="00EA17FD">
        <w:trPr>
          <w:trHeight w:hRule="exact" w:val="240"/>
          <w:jc w:val="center"/>
        </w:trPr>
        <w:tc>
          <w:tcPr>
            <w:tcW w:w="9752" w:type="dxa"/>
            <w:gridSpan w:val="2"/>
            <w:tcBorders>
              <w:top w:val="nil"/>
              <w:left w:val="nil"/>
              <w:bottom w:val="nil"/>
              <w:right w:val="nil"/>
            </w:tcBorders>
          </w:tcPr>
          <w:p w14:paraId="6D0D8155" w14:textId="77777777" w:rsidR="00A82F4D" w:rsidRPr="00B64DD1" w:rsidRDefault="00A82F4D" w:rsidP="00EA17FD"/>
        </w:tc>
      </w:tr>
      <w:tr w:rsidR="00A82F4D" w:rsidRPr="00B64DD1" w14:paraId="236E7E7E" w14:textId="77777777" w:rsidTr="00EA17FD">
        <w:trPr>
          <w:trHeight w:val="240"/>
          <w:jc w:val="center"/>
        </w:trPr>
        <w:tc>
          <w:tcPr>
            <w:tcW w:w="4876" w:type="dxa"/>
            <w:tcBorders>
              <w:top w:val="nil"/>
              <w:left w:val="nil"/>
              <w:bottom w:val="nil"/>
              <w:right w:val="nil"/>
            </w:tcBorders>
          </w:tcPr>
          <w:p w14:paraId="18E247D3"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3BEA37E1" w14:textId="77777777" w:rsidR="00A82F4D" w:rsidRPr="00B64DD1" w:rsidRDefault="00A82F4D" w:rsidP="00EA17FD">
            <w:pPr>
              <w:pStyle w:val="AmColumnHeading"/>
            </w:pPr>
            <w:r w:rsidRPr="00B64DD1">
              <w:t>Poprawka</w:t>
            </w:r>
          </w:p>
        </w:tc>
      </w:tr>
      <w:tr w:rsidR="00A82F4D" w:rsidRPr="00B64DD1" w14:paraId="471AB45F" w14:textId="77777777" w:rsidTr="00EA17FD">
        <w:trPr>
          <w:jc w:val="center"/>
        </w:trPr>
        <w:tc>
          <w:tcPr>
            <w:tcW w:w="4876" w:type="dxa"/>
            <w:tcBorders>
              <w:top w:val="nil"/>
              <w:left w:val="nil"/>
              <w:bottom w:val="nil"/>
              <w:right w:val="nil"/>
            </w:tcBorders>
          </w:tcPr>
          <w:p w14:paraId="60F773C0" w14:textId="77777777" w:rsidR="00A82F4D" w:rsidRPr="00B64DD1" w:rsidRDefault="00A82F4D" w:rsidP="00EA17FD">
            <w:pPr>
              <w:pStyle w:val="Normal6a"/>
            </w:pPr>
          </w:p>
        </w:tc>
        <w:tc>
          <w:tcPr>
            <w:tcW w:w="4876" w:type="dxa"/>
            <w:tcBorders>
              <w:top w:val="nil"/>
              <w:left w:val="nil"/>
              <w:bottom w:val="nil"/>
              <w:right w:val="nil"/>
            </w:tcBorders>
          </w:tcPr>
          <w:p w14:paraId="10206DA3" w14:textId="77777777" w:rsidR="00A82F4D" w:rsidRPr="00B64DD1" w:rsidRDefault="00A82F4D" w:rsidP="00EA17FD">
            <w:pPr>
              <w:pStyle w:val="Normal6a"/>
            </w:pPr>
            <w:r w:rsidRPr="00B64DD1">
              <w:rPr>
                <w:b/>
                <w:i/>
              </w:rPr>
              <w:t>5a.</w:t>
            </w:r>
            <w:r w:rsidRPr="00B64DD1">
              <w:tab/>
            </w:r>
            <w:r w:rsidRPr="00B64DD1">
              <w:rPr>
                <w:b/>
                <w:i/>
              </w:rPr>
              <w:t>przypomina, że obywatele Unii nadal borykają się z rosnącą presją fiskalną; podkreśla zatem, że instytucje Unii muszą wykazać się najwyższym poziomem ograniczeń budżetowych i efektywności; wzywa ESDZ do priorytetowego traktowania kontroli kosztów, unikania niepotrzebnego wzrostu biurokracji oraz zapewnienia, aby każdy wzrost wydatków administracyjnych przynosił obywatelom wyraźną wartość dodaną;</w:t>
            </w:r>
          </w:p>
        </w:tc>
      </w:tr>
    </w:tbl>
    <w:p w14:paraId="66867627"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4F6FA79C" w14:textId="77777777" w:rsidR="00A82F4D" w:rsidRPr="00B64DD1" w:rsidRDefault="00A82F4D" w:rsidP="00A82F4D">
      <w:r w:rsidRPr="00B64DD1">
        <w:rPr>
          <w:rStyle w:val="HideTWBExt"/>
        </w:rPr>
        <w:t>&lt;/Amend&gt;</w:t>
      </w:r>
    </w:p>
    <w:p w14:paraId="23C80E56"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4</w:t>
      </w:r>
      <w:r w:rsidRPr="00B64DD1">
        <w:rPr>
          <w:rStyle w:val="HideTWBExt"/>
          <w:b w:val="0"/>
        </w:rPr>
        <w:t>&lt;/NumAm&gt;</w:t>
      </w:r>
    </w:p>
    <w:p w14:paraId="4CDABB41" w14:textId="77777777" w:rsidR="00A82F4D" w:rsidRPr="00B64DD1" w:rsidRDefault="00A82F4D" w:rsidP="00A82F4D">
      <w:pPr>
        <w:pStyle w:val="NormalBold"/>
      </w:pPr>
      <w:r w:rsidRPr="00B64DD1">
        <w:rPr>
          <w:rStyle w:val="HideTWBExt"/>
          <w:b w:val="0"/>
        </w:rPr>
        <w:t>&lt;RepeatBlock-By&gt;&lt;Members&gt;</w:t>
      </w:r>
      <w:proofErr w:type="spellStart"/>
      <w:r w:rsidRPr="00B64DD1">
        <w:t>Vlad</w:t>
      </w:r>
      <w:proofErr w:type="spellEnd"/>
      <w:r w:rsidRPr="00B64DD1">
        <w:t xml:space="preserve"> </w:t>
      </w:r>
      <w:proofErr w:type="spellStart"/>
      <w:r w:rsidRPr="00B64DD1">
        <w:t>Vasile-Voiculescu</w:t>
      </w:r>
      <w:proofErr w:type="spellEnd"/>
      <w:r w:rsidRPr="00B64DD1">
        <w:t xml:space="preserve">, Olivier </w:t>
      </w:r>
      <w:proofErr w:type="spellStart"/>
      <w:r w:rsidRPr="00B64DD1">
        <w:t>Chastel</w:t>
      </w:r>
      <w:proofErr w:type="spellEnd"/>
      <w:r w:rsidRPr="00B64DD1">
        <w:t xml:space="preserve">, </w:t>
      </w:r>
      <w:proofErr w:type="spellStart"/>
      <w:r w:rsidRPr="00B64DD1">
        <w:t>Gerben</w:t>
      </w:r>
      <w:proofErr w:type="spellEnd"/>
      <w:r w:rsidRPr="00B64DD1">
        <w:t xml:space="preserve">-Jan </w:t>
      </w:r>
      <w:proofErr w:type="spellStart"/>
      <w:r w:rsidRPr="00B64DD1">
        <w:t>Gerbrandy</w:t>
      </w:r>
      <w:proofErr w:type="spellEnd"/>
      <w:r w:rsidRPr="00B64DD1">
        <w:t xml:space="preserve">, </w:t>
      </w:r>
      <w:proofErr w:type="spellStart"/>
      <w:r w:rsidRPr="00B64DD1">
        <w:t>Gilles</w:t>
      </w:r>
      <w:proofErr w:type="spellEnd"/>
      <w:r w:rsidRPr="00B64DD1">
        <w:t xml:space="preserve"> </w:t>
      </w:r>
      <w:proofErr w:type="spellStart"/>
      <w:r w:rsidRPr="00B64DD1">
        <w:t>Boyer</w:t>
      </w:r>
      <w:proofErr w:type="spellEnd"/>
      <w:r w:rsidRPr="00B64DD1">
        <w:t xml:space="preserve">, Michal </w:t>
      </w:r>
      <w:proofErr w:type="spellStart"/>
      <w:r w:rsidRPr="00B64DD1">
        <w:t>Wiezik</w:t>
      </w:r>
      <w:proofErr w:type="spellEnd"/>
      <w:r w:rsidRPr="00B64DD1">
        <w:rPr>
          <w:rStyle w:val="HideTWBExt"/>
          <w:b w:val="0"/>
        </w:rPr>
        <w:t>&lt;/Members&gt;</w:t>
      </w:r>
    </w:p>
    <w:p w14:paraId="7E4E876C" w14:textId="77777777" w:rsidR="00A82F4D" w:rsidRPr="00B64DD1" w:rsidRDefault="00A82F4D" w:rsidP="00A82F4D">
      <w:pPr>
        <w:pStyle w:val="NormalBold"/>
      </w:pPr>
      <w:r w:rsidRPr="00B64DD1">
        <w:rPr>
          <w:rStyle w:val="HideTWBExt"/>
          <w:b w:val="0"/>
        </w:rPr>
        <w:t>&lt;/RepeatBlock-By&gt;</w:t>
      </w:r>
    </w:p>
    <w:p w14:paraId="25AE4022"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28DF229B" w14:textId="77777777" w:rsidR="00A82F4D" w:rsidRPr="00B64DD1" w:rsidRDefault="00A82F4D" w:rsidP="00A82F4D">
      <w:pPr>
        <w:pStyle w:val="NormalBold"/>
      </w:pPr>
      <w:r w:rsidRPr="00B64DD1">
        <w:rPr>
          <w:rStyle w:val="HideTWBExt"/>
          <w:b w:val="0"/>
        </w:rPr>
        <w:t>&lt;Article&gt;</w:t>
      </w:r>
      <w:r w:rsidRPr="00B64DD1">
        <w:t>Ustęp 6</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037A1918" w14:textId="77777777" w:rsidTr="00EA17FD">
        <w:trPr>
          <w:trHeight w:hRule="exact" w:val="240"/>
          <w:jc w:val="center"/>
        </w:trPr>
        <w:tc>
          <w:tcPr>
            <w:tcW w:w="9752" w:type="dxa"/>
            <w:gridSpan w:val="2"/>
            <w:tcBorders>
              <w:top w:val="nil"/>
              <w:left w:val="nil"/>
              <w:bottom w:val="nil"/>
              <w:right w:val="nil"/>
            </w:tcBorders>
          </w:tcPr>
          <w:p w14:paraId="133F6E60" w14:textId="77777777" w:rsidR="00A82F4D" w:rsidRPr="00B64DD1" w:rsidRDefault="00A82F4D" w:rsidP="00EA17FD"/>
        </w:tc>
      </w:tr>
      <w:tr w:rsidR="00A82F4D" w:rsidRPr="00B64DD1" w14:paraId="58110BE7" w14:textId="77777777" w:rsidTr="00EA17FD">
        <w:trPr>
          <w:trHeight w:val="240"/>
          <w:jc w:val="center"/>
        </w:trPr>
        <w:tc>
          <w:tcPr>
            <w:tcW w:w="4876" w:type="dxa"/>
            <w:tcBorders>
              <w:top w:val="nil"/>
              <w:left w:val="nil"/>
              <w:bottom w:val="nil"/>
              <w:right w:val="nil"/>
            </w:tcBorders>
          </w:tcPr>
          <w:p w14:paraId="7E215461"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5FAF02F3" w14:textId="77777777" w:rsidR="00A82F4D" w:rsidRPr="00B64DD1" w:rsidRDefault="00A82F4D" w:rsidP="00EA17FD">
            <w:pPr>
              <w:pStyle w:val="AmColumnHeading"/>
            </w:pPr>
            <w:r w:rsidRPr="00B64DD1">
              <w:t>Poprawka</w:t>
            </w:r>
          </w:p>
        </w:tc>
      </w:tr>
      <w:tr w:rsidR="00A82F4D" w:rsidRPr="00B64DD1" w14:paraId="0E9D4780" w14:textId="77777777" w:rsidTr="00EA17FD">
        <w:trPr>
          <w:jc w:val="center"/>
        </w:trPr>
        <w:tc>
          <w:tcPr>
            <w:tcW w:w="4876" w:type="dxa"/>
            <w:tcBorders>
              <w:top w:val="nil"/>
              <w:left w:val="nil"/>
              <w:bottom w:val="nil"/>
              <w:right w:val="nil"/>
            </w:tcBorders>
          </w:tcPr>
          <w:p w14:paraId="21027EC7" w14:textId="77777777" w:rsidR="00A82F4D" w:rsidRPr="00B64DD1" w:rsidRDefault="00A82F4D" w:rsidP="00EA17FD">
            <w:pPr>
              <w:pStyle w:val="Normal6a"/>
            </w:pPr>
            <w:r w:rsidRPr="00B64DD1">
              <w:t>6.</w:t>
            </w:r>
            <w:r w:rsidRPr="00B64DD1">
              <w:tab/>
              <w:t xml:space="preserve">zauważa, że w 2024 r. wskaźnik wykonania budżetu w odniesieniu do środków na zobowiązania w bieżącym roku (po przesunięciach) wyniósł 100 %, natomiast wskaźnik wykonania w odniesieniu do płatności wyniósł 88,4 % w porównaniu z 91,9 % w 2023 r.; zauważa, że średni czas płatności wyniósł 13,43 dnia, ale 10,69 % całkowitej liczby płatności dokonanych w 2024 r. (odpowiadające łącznej kwocie 57 357 324,68 EUR) stanowiły płatności zaległe, co spowodowało naliczenie odsetek za zwłokę w wysokości 37 862,61 EUR w 2024 r.; wzywa ESDZ do kontynuowania wysiłków na rzecz zwiększenia liczby płatności elektronicznych i poprawy </w:t>
            </w:r>
            <w:r w:rsidRPr="00B64DD1">
              <w:lastRenderedPageBreak/>
              <w:t>cyfryzacji przepływów pracy, w szczególności w odniesieniu do faktur elektronicznych w delegaturach Unii;</w:t>
            </w:r>
          </w:p>
        </w:tc>
        <w:tc>
          <w:tcPr>
            <w:tcW w:w="4876" w:type="dxa"/>
            <w:tcBorders>
              <w:top w:val="nil"/>
              <w:left w:val="nil"/>
              <w:bottom w:val="nil"/>
              <w:right w:val="nil"/>
            </w:tcBorders>
          </w:tcPr>
          <w:p w14:paraId="77C6544F" w14:textId="77777777" w:rsidR="00A82F4D" w:rsidRPr="00B64DD1" w:rsidRDefault="00A82F4D" w:rsidP="00EA17FD">
            <w:pPr>
              <w:pStyle w:val="Normal6a"/>
            </w:pPr>
            <w:r w:rsidRPr="00B64DD1">
              <w:lastRenderedPageBreak/>
              <w:t>6.</w:t>
            </w:r>
            <w:r w:rsidRPr="00B64DD1">
              <w:tab/>
              <w:t xml:space="preserve">zauważa, że w 2024 r. wskaźnik wykonania budżetu w odniesieniu do środków na zobowiązania w bieżącym roku (po przesunięciach) wyniósł 100 %, natomiast wskaźnik wykonania w odniesieniu do płatności wyniósł 88,4 % w porównaniu z 91,9 % w 2023 r.; zauważa, że średni czas płatności wyniósł 13,43 dnia, ale 10,69 % całkowitej liczby płatności dokonanych w 2024 r. (odpowiadające łącznej kwocie 57 357 324,68 EUR) stanowiły płatności zaległe, co spowodowało naliczenie odsetek za zwłokę w wysokości 37 862,61 EUR w 2024 r.; wzywa ESDZ do kontynuowania wysiłków na rzecz zwiększenia liczby płatności elektronicznych i poprawy </w:t>
            </w:r>
            <w:r w:rsidRPr="00B64DD1">
              <w:lastRenderedPageBreak/>
              <w:t xml:space="preserve">cyfryzacji przepływów pracy, w szczególności w odniesieniu do faktur elektronicznych w delegaturach Unii; </w:t>
            </w:r>
            <w:r w:rsidRPr="00B64DD1">
              <w:rPr>
                <w:b/>
                <w:i/>
              </w:rPr>
              <w:t>wzywa ESDZ do ustalenia rocznych celów w zakresie ograniczenia opóźnień w płatnościach i kosztów odsetek za zwłokę oraz do ujednolicenia procesów e-fakturowania i składania e-zamówień we wszystkich delegaturach;</w:t>
            </w:r>
          </w:p>
        </w:tc>
      </w:tr>
    </w:tbl>
    <w:p w14:paraId="42CCA316"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3F995590" w14:textId="77777777" w:rsidR="00A82F4D" w:rsidRPr="00B64DD1" w:rsidRDefault="00A82F4D" w:rsidP="00A82F4D">
      <w:r w:rsidRPr="00B64DD1">
        <w:rPr>
          <w:rStyle w:val="HideTWBExt"/>
        </w:rPr>
        <w:t>&lt;/Amend&gt;</w:t>
      </w:r>
    </w:p>
    <w:p w14:paraId="5C449909"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5</w:t>
      </w:r>
      <w:r w:rsidRPr="00B64DD1">
        <w:rPr>
          <w:rStyle w:val="HideTWBExt"/>
          <w:b w:val="0"/>
        </w:rPr>
        <w:t>&lt;/NumAm&gt;</w:t>
      </w:r>
    </w:p>
    <w:p w14:paraId="4EAFD239" w14:textId="77777777" w:rsidR="00A82F4D" w:rsidRPr="00B64DD1" w:rsidRDefault="00A82F4D" w:rsidP="00A82F4D">
      <w:pPr>
        <w:pStyle w:val="NormalBold"/>
      </w:pPr>
      <w:r w:rsidRPr="00B64DD1">
        <w:rPr>
          <w:rStyle w:val="HideTWBExt"/>
          <w:b w:val="0"/>
        </w:rPr>
        <w:t>&lt;RepeatBlock-By&gt;&lt;Members&gt;</w:t>
      </w:r>
      <w:r w:rsidRPr="00B64DD1">
        <w:t xml:space="preserve">Dick </w:t>
      </w:r>
      <w:proofErr w:type="spellStart"/>
      <w:r w:rsidRPr="00B64DD1">
        <w:t>Erixon</w:t>
      </w:r>
      <w:proofErr w:type="spellEnd"/>
      <w:r w:rsidRPr="00B64DD1">
        <w:rPr>
          <w:rStyle w:val="HideTWBExt"/>
          <w:b w:val="0"/>
        </w:rPr>
        <w:t>&lt;/Members&gt;</w:t>
      </w:r>
    </w:p>
    <w:p w14:paraId="4A20BA62" w14:textId="77777777" w:rsidR="00A82F4D" w:rsidRPr="00B64DD1" w:rsidRDefault="00A82F4D" w:rsidP="00A82F4D">
      <w:pPr>
        <w:pStyle w:val="NormalBold"/>
      </w:pPr>
      <w:r w:rsidRPr="00B64DD1">
        <w:rPr>
          <w:rStyle w:val="HideTWBExt"/>
          <w:b w:val="0"/>
        </w:rPr>
        <w:t>&lt;/RepeatBlock-By&gt;</w:t>
      </w:r>
    </w:p>
    <w:p w14:paraId="649B2E19"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30444F86" w14:textId="77777777" w:rsidR="00A82F4D" w:rsidRPr="00B64DD1" w:rsidRDefault="00A82F4D" w:rsidP="00A82F4D">
      <w:pPr>
        <w:pStyle w:val="NormalBold"/>
      </w:pPr>
      <w:r w:rsidRPr="00B64DD1">
        <w:rPr>
          <w:rStyle w:val="HideTWBExt"/>
          <w:b w:val="0"/>
        </w:rPr>
        <w:t>&lt;Article&gt;</w:t>
      </w:r>
      <w:r w:rsidRPr="00B64DD1">
        <w:t>Ustęp 7 a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1A020F4C" w14:textId="77777777" w:rsidTr="00EA17FD">
        <w:trPr>
          <w:trHeight w:hRule="exact" w:val="240"/>
          <w:jc w:val="center"/>
        </w:trPr>
        <w:tc>
          <w:tcPr>
            <w:tcW w:w="9752" w:type="dxa"/>
            <w:gridSpan w:val="2"/>
            <w:tcBorders>
              <w:top w:val="nil"/>
              <w:left w:val="nil"/>
              <w:bottom w:val="nil"/>
              <w:right w:val="nil"/>
            </w:tcBorders>
          </w:tcPr>
          <w:p w14:paraId="47AB845F" w14:textId="77777777" w:rsidR="00A82F4D" w:rsidRPr="00B64DD1" w:rsidRDefault="00A82F4D" w:rsidP="00EA17FD"/>
        </w:tc>
      </w:tr>
      <w:tr w:rsidR="00A82F4D" w:rsidRPr="00B64DD1" w14:paraId="0A286CBF" w14:textId="77777777" w:rsidTr="00EA17FD">
        <w:trPr>
          <w:trHeight w:val="240"/>
          <w:jc w:val="center"/>
        </w:trPr>
        <w:tc>
          <w:tcPr>
            <w:tcW w:w="4876" w:type="dxa"/>
            <w:tcBorders>
              <w:top w:val="nil"/>
              <w:left w:val="nil"/>
              <w:bottom w:val="nil"/>
              <w:right w:val="nil"/>
            </w:tcBorders>
          </w:tcPr>
          <w:p w14:paraId="5C11A7D5"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2C606C53" w14:textId="77777777" w:rsidR="00A82F4D" w:rsidRPr="00B64DD1" w:rsidRDefault="00A82F4D" w:rsidP="00EA17FD">
            <w:pPr>
              <w:pStyle w:val="AmColumnHeading"/>
            </w:pPr>
            <w:r w:rsidRPr="00B64DD1">
              <w:t>Poprawka</w:t>
            </w:r>
          </w:p>
        </w:tc>
      </w:tr>
      <w:tr w:rsidR="00A82F4D" w:rsidRPr="00B64DD1" w14:paraId="328AB53B" w14:textId="77777777" w:rsidTr="00EA17FD">
        <w:trPr>
          <w:jc w:val="center"/>
        </w:trPr>
        <w:tc>
          <w:tcPr>
            <w:tcW w:w="4876" w:type="dxa"/>
            <w:tcBorders>
              <w:top w:val="nil"/>
              <w:left w:val="nil"/>
              <w:bottom w:val="nil"/>
              <w:right w:val="nil"/>
            </w:tcBorders>
          </w:tcPr>
          <w:p w14:paraId="4BE07E87" w14:textId="77777777" w:rsidR="00A82F4D" w:rsidRPr="00B64DD1" w:rsidRDefault="00A82F4D" w:rsidP="00EA17FD">
            <w:pPr>
              <w:pStyle w:val="Normal6a"/>
            </w:pPr>
          </w:p>
        </w:tc>
        <w:tc>
          <w:tcPr>
            <w:tcW w:w="4876" w:type="dxa"/>
            <w:tcBorders>
              <w:top w:val="nil"/>
              <w:left w:val="nil"/>
              <w:bottom w:val="nil"/>
              <w:right w:val="nil"/>
            </w:tcBorders>
          </w:tcPr>
          <w:p w14:paraId="7E62E226" w14:textId="77777777" w:rsidR="00A82F4D" w:rsidRPr="00B64DD1" w:rsidRDefault="00A82F4D" w:rsidP="00EA17FD">
            <w:pPr>
              <w:pStyle w:val="Normal6a"/>
            </w:pPr>
            <w:r w:rsidRPr="00B64DD1">
              <w:rPr>
                <w:b/>
                <w:i/>
              </w:rPr>
              <w:t>7a.</w:t>
            </w:r>
            <w:r w:rsidRPr="00B64DD1">
              <w:tab/>
            </w:r>
            <w:r w:rsidRPr="00B64DD1">
              <w:rPr>
                <w:b/>
                <w:i/>
              </w:rPr>
              <w:t>wyraża głębokie zaniepokojenie rosnącym zadłużeniem UE i kosztami finansowania zewnętrznego; zauważa, że zgodnie z rocznym sprawozdaniem Europejskiego Trybunału Obrachunkowego niespłacone pożyczki zaciągnięte przez UE mogą przekroczyć 900 mld EUR do 2027 r., co stanowi prawie dziesięciokrotność poziomu z 2020 r. przed wprowadzeniem pakietu na rzecz odbudowy NGEU; ostrzega, że rosnące koszty zaciągania pożyczek stanowią zagrożenie dla przyszłych budżetów i ograniczają przestrzeń fiskalną dla nowych priorytetów; nalega zatem, aby skutkiem tej bezprecedensowej presji fiskalnej było rygorystyczne poszukiwanie oszczędności w budżecie administracyjnym ESDZ; wzywa ESDZ do przedstawienia planu strukturalnej redukcji kosztów, aby wykazać odpowiedzialność instytucjonalną w czasach wysokiego zadłużenia publicznego;</w:t>
            </w:r>
          </w:p>
        </w:tc>
      </w:tr>
    </w:tbl>
    <w:p w14:paraId="0E5761CB"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494F558E" w14:textId="77777777" w:rsidR="00A82F4D" w:rsidRPr="00B64DD1" w:rsidRDefault="00A82F4D" w:rsidP="00A82F4D">
      <w:r w:rsidRPr="00B64DD1">
        <w:rPr>
          <w:rStyle w:val="HideTWBExt"/>
        </w:rPr>
        <w:lastRenderedPageBreak/>
        <w:t>&lt;/Amend&gt;</w:t>
      </w:r>
    </w:p>
    <w:p w14:paraId="5B85E84E"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6</w:t>
      </w:r>
      <w:r w:rsidRPr="00B64DD1">
        <w:rPr>
          <w:rStyle w:val="HideTWBExt"/>
          <w:b w:val="0"/>
        </w:rPr>
        <w:t>&lt;/NumAm&gt;</w:t>
      </w:r>
    </w:p>
    <w:p w14:paraId="3B2DDACB" w14:textId="77777777" w:rsidR="00A82F4D" w:rsidRPr="00B64DD1" w:rsidRDefault="00A82F4D" w:rsidP="00A82F4D">
      <w:pPr>
        <w:pStyle w:val="NormalBold"/>
      </w:pPr>
      <w:r w:rsidRPr="00B64DD1">
        <w:rPr>
          <w:rStyle w:val="HideTWBExt"/>
          <w:b w:val="0"/>
        </w:rPr>
        <w:t>&lt;RepeatBlock-By&gt;&lt;Members&gt;</w:t>
      </w:r>
      <w:r w:rsidRPr="00B64DD1">
        <w:t xml:space="preserve">José </w:t>
      </w:r>
      <w:proofErr w:type="spellStart"/>
      <w:r w:rsidRPr="00B64DD1">
        <w:t>Cepeda</w:t>
      </w:r>
      <w:proofErr w:type="spellEnd"/>
      <w:r w:rsidRPr="00B64DD1">
        <w:t xml:space="preserve">, </w:t>
      </w:r>
      <w:proofErr w:type="spellStart"/>
      <w:r w:rsidRPr="00B64DD1">
        <w:t>Nacho</w:t>
      </w:r>
      <w:proofErr w:type="spellEnd"/>
      <w:r w:rsidRPr="00B64DD1">
        <w:t xml:space="preserve"> </w:t>
      </w:r>
      <w:proofErr w:type="spellStart"/>
      <w:r w:rsidRPr="00B64DD1">
        <w:t>Sánchez</w:t>
      </w:r>
      <w:proofErr w:type="spellEnd"/>
      <w:r w:rsidRPr="00B64DD1">
        <w:t xml:space="preserve"> Amor</w:t>
      </w:r>
      <w:r w:rsidRPr="00B64DD1">
        <w:rPr>
          <w:rStyle w:val="HideTWBExt"/>
          <w:b w:val="0"/>
        </w:rPr>
        <w:t>&lt;/Members&gt;</w:t>
      </w:r>
    </w:p>
    <w:p w14:paraId="692F6B25" w14:textId="77777777" w:rsidR="00A82F4D" w:rsidRPr="00B64DD1" w:rsidRDefault="00A82F4D" w:rsidP="00A82F4D">
      <w:pPr>
        <w:pStyle w:val="NormalBold"/>
      </w:pPr>
      <w:r w:rsidRPr="00B64DD1">
        <w:rPr>
          <w:rStyle w:val="HideTWBExt"/>
          <w:b w:val="0"/>
        </w:rPr>
        <w:t>&lt;/RepeatBlock-By&gt;</w:t>
      </w:r>
    </w:p>
    <w:p w14:paraId="5B2E5CA1"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1CA485CD" w14:textId="77777777" w:rsidR="00A82F4D" w:rsidRPr="00B64DD1" w:rsidRDefault="00A82F4D" w:rsidP="00A82F4D">
      <w:pPr>
        <w:pStyle w:val="NormalBold"/>
      </w:pPr>
      <w:r w:rsidRPr="00B64DD1">
        <w:rPr>
          <w:rStyle w:val="HideTWBExt"/>
          <w:b w:val="0"/>
        </w:rPr>
        <w:t>&lt;Article&gt;</w:t>
      </w:r>
      <w:r w:rsidRPr="00B64DD1">
        <w:t>Ustęp 8</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1AA6A2E8" w14:textId="77777777" w:rsidTr="00EA17FD">
        <w:trPr>
          <w:trHeight w:hRule="exact" w:val="240"/>
          <w:jc w:val="center"/>
        </w:trPr>
        <w:tc>
          <w:tcPr>
            <w:tcW w:w="9752" w:type="dxa"/>
            <w:gridSpan w:val="2"/>
            <w:tcBorders>
              <w:top w:val="nil"/>
              <w:left w:val="nil"/>
              <w:bottom w:val="nil"/>
              <w:right w:val="nil"/>
            </w:tcBorders>
          </w:tcPr>
          <w:p w14:paraId="6EADBFDE" w14:textId="77777777" w:rsidR="00A82F4D" w:rsidRPr="00B64DD1" w:rsidRDefault="00A82F4D" w:rsidP="00EA17FD"/>
        </w:tc>
      </w:tr>
      <w:tr w:rsidR="00A82F4D" w:rsidRPr="00B64DD1" w14:paraId="33D88F5E" w14:textId="77777777" w:rsidTr="00EA17FD">
        <w:trPr>
          <w:trHeight w:val="240"/>
          <w:jc w:val="center"/>
        </w:trPr>
        <w:tc>
          <w:tcPr>
            <w:tcW w:w="4876" w:type="dxa"/>
            <w:tcBorders>
              <w:top w:val="nil"/>
              <w:left w:val="nil"/>
              <w:bottom w:val="nil"/>
              <w:right w:val="nil"/>
            </w:tcBorders>
          </w:tcPr>
          <w:p w14:paraId="05C4707B"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5C1BDC20" w14:textId="77777777" w:rsidR="00A82F4D" w:rsidRPr="00B64DD1" w:rsidRDefault="00A82F4D" w:rsidP="00EA17FD">
            <w:pPr>
              <w:pStyle w:val="AmColumnHeading"/>
            </w:pPr>
            <w:r w:rsidRPr="00B64DD1">
              <w:t>Poprawka</w:t>
            </w:r>
          </w:p>
        </w:tc>
      </w:tr>
      <w:tr w:rsidR="00A82F4D" w:rsidRPr="00B64DD1" w14:paraId="27C94540" w14:textId="77777777" w:rsidTr="00EA17FD">
        <w:trPr>
          <w:jc w:val="center"/>
        </w:trPr>
        <w:tc>
          <w:tcPr>
            <w:tcW w:w="4876" w:type="dxa"/>
            <w:tcBorders>
              <w:top w:val="nil"/>
              <w:left w:val="nil"/>
              <w:bottom w:val="nil"/>
              <w:right w:val="nil"/>
            </w:tcBorders>
          </w:tcPr>
          <w:p w14:paraId="1600D787" w14:textId="77777777" w:rsidR="00A82F4D" w:rsidRPr="00B64DD1" w:rsidRDefault="00A82F4D" w:rsidP="00EA17FD">
            <w:pPr>
              <w:pStyle w:val="Normal6a"/>
            </w:pPr>
            <w:r w:rsidRPr="00B64DD1">
              <w:t>8.</w:t>
            </w:r>
            <w:r w:rsidRPr="00B64DD1">
              <w:tab/>
              <w:t>zauważa, że w 2024 r. ESDZ napotkała szereg wyzwań związanych z wykonaniem budżetu, wynikających z poważnych skutków rosyjskiej wojny napastniczej przeciwko Ukrainie, presji inflacyjnej, niekorzystnych kursów wymiany walut oraz limitu 2 % na wydatki niezwiązane z wynagrodzeniami, co doprowadziło do deficytu w wysokości 33 mln EUR w delegaturach Unii; zauważa, że ESDZ poradziła sobie z tymi wyzwaniami dzięki połączeniu strategicznych oszczędności oraz realokacji środków i przesunięć budżetowych; zauważa, że ograniczenia dotyczyły głównie budżetów na misje służbowe i reprezentację, infrastrukturę oraz bezpieczeństwo; uznaje potrzebę usprawnienia zarządzania budżetem przez wszystkie instytucje Unii, również przez uwzględnianie wahania cen, zwłaszcza w sektorze energetycznym, przy zawieraniu umów z usługodawcami;</w:t>
            </w:r>
          </w:p>
        </w:tc>
        <w:tc>
          <w:tcPr>
            <w:tcW w:w="4876" w:type="dxa"/>
            <w:tcBorders>
              <w:top w:val="nil"/>
              <w:left w:val="nil"/>
              <w:bottom w:val="nil"/>
              <w:right w:val="nil"/>
            </w:tcBorders>
          </w:tcPr>
          <w:p w14:paraId="3959095F" w14:textId="77777777" w:rsidR="00A82F4D" w:rsidRPr="00B64DD1" w:rsidRDefault="00A82F4D" w:rsidP="00EA17FD">
            <w:pPr>
              <w:pStyle w:val="Normal6a"/>
            </w:pPr>
            <w:r w:rsidRPr="00B64DD1">
              <w:t>8.</w:t>
            </w:r>
            <w:r w:rsidRPr="00B64DD1">
              <w:tab/>
              <w:t xml:space="preserve">zauważa, że w 2024 r. ESDZ napotkała szereg wyzwań związanych z wykonaniem budżetu, wynikających z poważnych skutków rosyjskiej wojny napastniczej przeciwko Ukrainie, presji inflacyjnej, niekorzystnych kursów wymiany walut oraz limitu 2 % na wydatki niezwiązane z wynagrodzeniami, co doprowadziło do deficytu w wysokości 33 mln EUR w delegaturach Unii; </w:t>
            </w:r>
            <w:r w:rsidRPr="00B64DD1">
              <w:rPr>
                <w:b/>
                <w:bCs/>
                <w:i/>
                <w:iCs/>
              </w:rPr>
              <w:t>z satysfakcją</w:t>
            </w:r>
            <w:r w:rsidRPr="00B64DD1">
              <w:t xml:space="preserve"> zauważa, że ESDZ poradziła sobie z tymi wyzwaniami dzięki połączeniu strategicznych oszczędności oraz realokacji środków i przesunięć budżetowych; zauważa, że ograniczenia dotyczyły głównie budżetów na misje służbowe i reprezentację, infrastrukturę oraz bezpieczeństwo; </w:t>
            </w:r>
            <w:r w:rsidRPr="00B64DD1">
              <w:rPr>
                <w:b/>
                <w:i/>
              </w:rPr>
              <w:t>wyraża zaniepokojenie, że ograniczenia budżetowe mogą mieć wpływ na obowiązek ESDZ w zakresie dbania o swoich pracowników, zwłaszcza w odniesieniu do utrzymania infrastruktury i standardów bezpieczeństwa w delegaturach; z zadowoleniem przyjmuje pakiet środków naprawczych, ale ponownie wzywa do ustanowienia budżetu zgodnego z potrzebami i celami ESDZ;</w:t>
            </w:r>
            <w:r w:rsidRPr="00B64DD1">
              <w:t xml:space="preserve"> uznaje potrzebę usprawnienia zarządzania budżetem przez wszystkie instytucje Unii, również przez uwzględnianie wahania cen, zwłaszcza w sektorze energetycznym, przy zawieraniu umów z usługodawcami;</w:t>
            </w:r>
          </w:p>
        </w:tc>
      </w:tr>
    </w:tbl>
    <w:p w14:paraId="6F726384"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1260B2CC" w14:textId="77777777" w:rsidR="00A82F4D" w:rsidRPr="00B64DD1" w:rsidRDefault="00A82F4D" w:rsidP="00A82F4D">
      <w:r w:rsidRPr="00B64DD1">
        <w:rPr>
          <w:rStyle w:val="HideTWBExt"/>
        </w:rPr>
        <w:t>&lt;/Amend&gt;</w:t>
      </w:r>
    </w:p>
    <w:p w14:paraId="54F6C6B2"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7</w:t>
      </w:r>
      <w:r w:rsidRPr="00B64DD1">
        <w:rPr>
          <w:rStyle w:val="HideTWBExt"/>
          <w:b w:val="0"/>
        </w:rPr>
        <w:t>&lt;/NumAm&gt;</w:t>
      </w:r>
    </w:p>
    <w:p w14:paraId="1A317016" w14:textId="77777777" w:rsidR="00A82F4D" w:rsidRPr="00B64DD1" w:rsidRDefault="00A82F4D" w:rsidP="00A82F4D">
      <w:pPr>
        <w:pStyle w:val="NormalBold"/>
      </w:pPr>
      <w:r w:rsidRPr="00B64DD1">
        <w:rPr>
          <w:rStyle w:val="HideTWBExt"/>
          <w:b w:val="0"/>
        </w:rPr>
        <w:lastRenderedPageBreak/>
        <w:t>&lt;RepeatBlock-By&gt;&lt;Members&gt;</w:t>
      </w:r>
      <w:proofErr w:type="spellStart"/>
      <w:r w:rsidRPr="00B64DD1">
        <w:t>Andrey</w:t>
      </w:r>
      <w:proofErr w:type="spellEnd"/>
      <w:r w:rsidRPr="00B64DD1">
        <w:t xml:space="preserve"> </w:t>
      </w:r>
      <w:proofErr w:type="spellStart"/>
      <w:r w:rsidRPr="00B64DD1">
        <w:t>Kovatchev</w:t>
      </w:r>
      <w:proofErr w:type="spellEnd"/>
      <w:r w:rsidRPr="00B64DD1">
        <w:rPr>
          <w:rStyle w:val="HideTWBExt"/>
          <w:b w:val="0"/>
        </w:rPr>
        <w:t>&lt;/Members&gt;</w:t>
      </w:r>
    </w:p>
    <w:p w14:paraId="75A5B22A" w14:textId="77777777" w:rsidR="00A82F4D" w:rsidRPr="00B64DD1" w:rsidRDefault="00A82F4D" w:rsidP="00A82F4D">
      <w:pPr>
        <w:pStyle w:val="NormalBold"/>
      </w:pPr>
      <w:r w:rsidRPr="00B64DD1">
        <w:rPr>
          <w:rStyle w:val="HideTWBExt"/>
          <w:b w:val="0"/>
        </w:rPr>
        <w:t>&lt;/RepeatBlock-By&gt;</w:t>
      </w:r>
    </w:p>
    <w:p w14:paraId="70B0DB9B"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4BE5CE4E" w14:textId="77777777" w:rsidR="00A82F4D" w:rsidRPr="00B64DD1" w:rsidRDefault="00A82F4D" w:rsidP="00A82F4D">
      <w:pPr>
        <w:pStyle w:val="NormalBold"/>
      </w:pPr>
      <w:r w:rsidRPr="00B64DD1">
        <w:rPr>
          <w:rStyle w:val="HideTWBExt"/>
          <w:b w:val="0"/>
        </w:rPr>
        <w:t>&lt;Article&gt;</w:t>
      </w:r>
      <w:r w:rsidRPr="00B64DD1">
        <w:t>Ustęp 8</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0C5FD49B" w14:textId="77777777" w:rsidTr="00EA17FD">
        <w:trPr>
          <w:trHeight w:hRule="exact" w:val="240"/>
          <w:jc w:val="center"/>
        </w:trPr>
        <w:tc>
          <w:tcPr>
            <w:tcW w:w="9752" w:type="dxa"/>
            <w:gridSpan w:val="2"/>
            <w:tcBorders>
              <w:top w:val="nil"/>
              <w:left w:val="nil"/>
              <w:bottom w:val="nil"/>
              <w:right w:val="nil"/>
            </w:tcBorders>
          </w:tcPr>
          <w:p w14:paraId="4A28700F" w14:textId="77777777" w:rsidR="00A82F4D" w:rsidRPr="00B64DD1" w:rsidRDefault="00A82F4D" w:rsidP="00EA17FD"/>
        </w:tc>
      </w:tr>
      <w:tr w:rsidR="00A82F4D" w:rsidRPr="00B64DD1" w14:paraId="3B4F48AA" w14:textId="77777777" w:rsidTr="00EA17FD">
        <w:trPr>
          <w:trHeight w:val="240"/>
          <w:jc w:val="center"/>
        </w:trPr>
        <w:tc>
          <w:tcPr>
            <w:tcW w:w="4876" w:type="dxa"/>
            <w:tcBorders>
              <w:top w:val="nil"/>
              <w:left w:val="nil"/>
              <w:bottom w:val="nil"/>
              <w:right w:val="nil"/>
            </w:tcBorders>
          </w:tcPr>
          <w:p w14:paraId="536BFA07"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7063AF77" w14:textId="77777777" w:rsidR="00A82F4D" w:rsidRPr="00B64DD1" w:rsidRDefault="00A82F4D" w:rsidP="00EA17FD">
            <w:pPr>
              <w:pStyle w:val="AmColumnHeading"/>
            </w:pPr>
            <w:r w:rsidRPr="00B64DD1">
              <w:t>Poprawka</w:t>
            </w:r>
          </w:p>
        </w:tc>
      </w:tr>
      <w:tr w:rsidR="00A82F4D" w:rsidRPr="00B64DD1" w14:paraId="47AF91D6" w14:textId="77777777" w:rsidTr="00EA17FD">
        <w:trPr>
          <w:jc w:val="center"/>
        </w:trPr>
        <w:tc>
          <w:tcPr>
            <w:tcW w:w="4876" w:type="dxa"/>
            <w:tcBorders>
              <w:top w:val="nil"/>
              <w:left w:val="nil"/>
              <w:bottom w:val="nil"/>
              <w:right w:val="nil"/>
            </w:tcBorders>
          </w:tcPr>
          <w:p w14:paraId="6BA372E7" w14:textId="77777777" w:rsidR="00A82F4D" w:rsidRPr="00B64DD1" w:rsidRDefault="00A82F4D" w:rsidP="00EA17FD">
            <w:pPr>
              <w:pStyle w:val="Normal6a"/>
            </w:pPr>
            <w:r w:rsidRPr="00B64DD1">
              <w:t>8.</w:t>
            </w:r>
            <w:r w:rsidRPr="00B64DD1">
              <w:tab/>
              <w:t>zauważa, że w 2024 r. ESDZ napotkała szereg wyzwań związanych z wykonaniem budżetu, wynikających z poważnych skutków rosyjskiej wojny napastniczej przeciwko Ukrainie, presji inflacyjnej, niekorzystnych kursów wymiany walut oraz limitu 2 % na wydatki niezwiązane z wynagrodzeniami, co doprowadziło do deficytu w wysokości 33 mln EUR w delegaturach Unii; zauważa, że ESDZ poradziła sobie z tymi wyzwaniami dzięki połączeniu strategicznych oszczędności oraz realokacji środków i przesunięć budżetowych; zauważa, że ograniczenia dotyczyły głównie budżetów na misje służbowe i reprezentację, infrastrukturę oraz bezpieczeństwo; uznaje potrzebę usprawnienia zarządzania budżetem przez wszystkie instytucje Unii, również przez uwzględnianie wahania cen, zwłaszcza w sektorze energetycznym, przy zawieraniu umów z usługodawcami;</w:t>
            </w:r>
          </w:p>
        </w:tc>
        <w:tc>
          <w:tcPr>
            <w:tcW w:w="4876" w:type="dxa"/>
            <w:tcBorders>
              <w:top w:val="nil"/>
              <w:left w:val="nil"/>
              <w:bottom w:val="nil"/>
              <w:right w:val="nil"/>
            </w:tcBorders>
          </w:tcPr>
          <w:p w14:paraId="787BFD41" w14:textId="77777777" w:rsidR="00A82F4D" w:rsidRPr="00B64DD1" w:rsidRDefault="00A82F4D" w:rsidP="00EA17FD">
            <w:pPr>
              <w:pStyle w:val="Normal6a"/>
            </w:pPr>
            <w:r w:rsidRPr="00B64DD1">
              <w:t>8.</w:t>
            </w:r>
            <w:r w:rsidRPr="00B64DD1">
              <w:tab/>
              <w:t xml:space="preserve">zauważa, że w 2024 r. ESDZ napotkała szereg wyzwań związanych z wykonaniem budżetu, wynikających z poważnych skutków rosyjskiej </w:t>
            </w:r>
            <w:r w:rsidRPr="00B64DD1">
              <w:rPr>
                <w:b/>
                <w:bCs/>
                <w:i/>
                <w:iCs/>
              </w:rPr>
              <w:t>nielegalnej</w:t>
            </w:r>
            <w:r w:rsidRPr="00B64DD1">
              <w:t xml:space="preserve"> wojny napastniczej przeciwko Ukrainie, presji inflacyjnej, niekorzystnych kursów wymiany walut oraz limitu 2 % na wydatki niezwiązane z wynagrodzeniami, co doprowadziło do deficytu w wysokości 33 mln EUR w delegaturach Unii</w:t>
            </w:r>
            <w:r w:rsidRPr="00B64DD1">
              <w:rPr>
                <w:b/>
                <w:bCs/>
                <w:i/>
                <w:iCs/>
              </w:rPr>
              <w:t xml:space="preserve"> i znacznie ograniczyło zdolność operacyjną delegatur Unii</w:t>
            </w:r>
            <w:r w:rsidRPr="00B64DD1">
              <w:t>; zauważa, że ESDZ poradziła sobie z tymi wyzwaniami dzięki połączeniu strategicznych oszczędności oraz realokacji środków i przesunięć budżetowych; zauważa, że ograniczenia dotyczyły głównie budżetów na misje służbowe i reprezentację, infrastrukturę oraz bezpieczeństwo; uznaje potrzebę usprawnienia zarządzania budżetem przez wszystkie instytucje Unii, również przez uwzględnianie wahania cen, zwłaszcza w sektorze energetycznym, przy zawieraniu umów z usługodawcami;</w:t>
            </w:r>
          </w:p>
        </w:tc>
      </w:tr>
    </w:tbl>
    <w:p w14:paraId="357A95E2"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3AD4E275" w14:textId="77777777" w:rsidR="00A82F4D" w:rsidRPr="00B64DD1" w:rsidRDefault="00A82F4D" w:rsidP="00A82F4D">
      <w:r w:rsidRPr="00B64DD1">
        <w:rPr>
          <w:rStyle w:val="HideTWBExt"/>
        </w:rPr>
        <w:t>&lt;/Amend&gt;</w:t>
      </w:r>
    </w:p>
    <w:p w14:paraId="2C95CF03"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8</w:t>
      </w:r>
      <w:r w:rsidRPr="00B64DD1">
        <w:rPr>
          <w:rStyle w:val="HideTWBExt"/>
          <w:b w:val="0"/>
        </w:rPr>
        <w:t>&lt;/NumAm&gt;</w:t>
      </w:r>
    </w:p>
    <w:p w14:paraId="0A336C60" w14:textId="77777777" w:rsidR="00A82F4D" w:rsidRPr="00B64DD1" w:rsidRDefault="00A82F4D" w:rsidP="00A82F4D">
      <w:pPr>
        <w:pStyle w:val="NormalBold"/>
      </w:pPr>
      <w:r w:rsidRPr="00B64DD1">
        <w:rPr>
          <w:rStyle w:val="HideTWBExt"/>
          <w:b w:val="0"/>
        </w:rPr>
        <w:t>&lt;RepeatBlock-By&gt;&lt;Members&gt;</w:t>
      </w:r>
      <w:proofErr w:type="spellStart"/>
      <w:r w:rsidRPr="00B64DD1">
        <w:t>Şerban</w:t>
      </w:r>
      <w:proofErr w:type="spellEnd"/>
      <w:r w:rsidRPr="00B64DD1">
        <w:t xml:space="preserve"> </w:t>
      </w:r>
      <w:proofErr w:type="spellStart"/>
      <w:r w:rsidRPr="00B64DD1">
        <w:t>Dimitrie</w:t>
      </w:r>
      <w:proofErr w:type="spellEnd"/>
      <w:r w:rsidRPr="00B64DD1">
        <w:t xml:space="preserve"> </w:t>
      </w:r>
      <w:proofErr w:type="spellStart"/>
      <w:r w:rsidRPr="00B64DD1">
        <w:t>Sturdza</w:t>
      </w:r>
      <w:proofErr w:type="spellEnd"/>
      <w:r w:rsidRPr="00B64DD1">
        <w:rPr>
          <w:rStyle w:val="HideTWBExt"/>
          <w:b w:val="0"/>
        </w:rPr>
        <w:t>&lt;/Members&gt;</w:t>
      </w:r>
    </w:p>
    <w:p w14:paraId="71D160E2" w14:textId="77777777" w:rsidR="00A82F4D" w:rsidRPr="00B64DD1" w:rsidRDefault="00A82F4D" w:rsidP="00A82F4D">
      <w:pPr>
        <w:pStyle w:val="NormalBold"/>
      </w:pPr>
      <w:r w:rsidRPr="00B64DD1">
        <w:rPr>
          <w:rStyle w:val="HideTWBExt"/>
          <w:b w:val="0"/>
        </w:rPr>
        <w:t>&lt;/RepeatBlock-By&gt;</w:t>
      </w:r>
    </w:p>
    <w:p w14:paraId="087EBF48"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017CE655" w14:textId="77777777" w:rsidR="00A82F4D" w:rsidRPr="00B64DD1" w:rsidRDefault="00A82F4D" w:rsidP="00A82F4D">
      <w:pPr>
        <w:pStyle w:val="NormalBold"/>
      </w:pPr>
      <w:r w:rsidRPr="00B64DD1">
        <w:rPr>
          <w:rStyle w:val="HideTWBExt"/>
          <w:b w:val="0"/>
        </w:rPr>
        <w:t>&lt;Article&gt;</w:t>
      </w:r>
      <w:r w:rsidRPr="00B64DD1">
        <w:t>Ustęp 9</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327DF5C3" w14:textId="77777777" w:rsidTr="00EA17FD">
        <w:trPr>
          <w:trHeight w:hRule="exact" w:val="240"/>
          <w:jc w:val="center"/>
        </w:trPr>
        <w:tc>
          <w:tcPr>
            <w:tcW w:w="9752" w:type="dxa"/>
            <w:gridSpan w:val="2"/>
            <w:tcBorders>
              <w:top w:val="nil"/>
              <w:left w:val="nil"/>
              <w:bottom w:val="nil"/>
              <w:right w:val="nil"/>
            </w:tcBorders>
          </w:tcPr>
          <w:p w14:paraId="2F9CEEB2" w14:textId="77777777" w:rsidR="00A82F4D" w:rsidRPr="00B64DD1" w:rsidRDefault="00A82F4D" w:rsidP="00EA17FD"/>
        </w:tc>
      </w:tr>
      <w:tr w:rsidR="00A82F4D" w:rsidRPr="00B64DD1" w14:paraId="609F3E16" w14:textId="77777777" w:rsidTr="00EA17FD">
        <w:trPr>
          <w:trHeight w:val="240"/>
          <w:jc w:val="center"/>
        </w:trPr>
        <w:tc>
          <w:tcPr>
            <w:tcW w:w="4876" w:type="dxa"/>
            <w:tcBorders>
              <w:top w:val="nil"/>
              <w:left w:val="nil"/>
              <w:bottom w:val="nil"/>
              <w:right w:val="nil"/>
            </w:tcBorders>
          </w:tcPr>
          <w:p w14:paraId="254A09AE"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24620D26" w14:textId="77777777" w:rsidR="00A82F4D" w:rsidRPr="00B64DD1" w:rsidRDefault="00A82F4D" w:rsidP="00EA17FD">
            <w:pPr>
              <w:pStyle w:val="AmColumnHeading"/>
            </w:pPr>
            <w:r w:rsidRPr="00B64DD1">
              <w:t>Poprawka</w:t>
            </w:r>
          </w:p>
        </w:tc>
      </w:tr>
      <w:tr w:rsidR="00A82F4D" w:rsidRPr="00B64DD1" w14:paraId="16558105" w14:textId="77777777" w:rsidTr="00EA17FD">
        <w:trPr>
          <w:jc w:val="center"/>
        </w:trPr>
        <w:tc>
          <w:tcPr>
            <w:tcW w:w="4876" w:type="dxa"/>
            <w:tcBorders>
              <w:top w:val="nil"/>
              <w:left w:val="nil"/>
              <w:bottom w:val="nil"/>
              <w:right w:val="nil"/>
            </w:tcBorders>
          </w:tcPr>
          <w:p w14:paraId="581DBAEE" w14:textId="77777777" w:rsidR="00A82F4D" w:rsidRPr="00B64DD1" w:rsidRDefault="00A82F4D" w:rsidP="00EA17FD">
            <w:pPr>
              <w:pStyle w:val="Normal6a"/>
            </w:pPr>
            <w:r w:rsidRPr="00B64DD1">
              <w:t>9.</w:t>
            </w:r>
            <w:r w:rsidRPr="00B64DD1">
              <w:tab/>
              <w:t xml:space="preserve">na podstawie wysłuchania wiceprzewodniczącej / wysokiej przedstawicielki na posiedzeniu Komisji Kontroli Budżetowej Parlamentu (CONT) w dniu 17 listopada 2025 r. </w:t>
            </w:r>
            <w:r w:rsidRPr="00B64DD1">
              <w:lastRenderedPageBreak/>
              <w:t>(„wysłuchanie”) zauważa, że w ostatnich latach ESDZ zmagała się ze znacznymi ograniczeniami budżetowymi, podczas gdy instytucji tej powierzano coraz szerszy mandat, a jednocześnie rosły koszty i potrzeby związane z siecią 145 delegatur; zauważa stanowisko ESDZ, zgodnie z którym występuje dysproporcja między zadaniami a zasobami, co stanowi istotne wyzwanie dla zdolności ESDZ do pełnej realizacji jej celów oraz do skutecznego wspierania unijnego programu w zakresie polityki zagranicznej i polityki bezpieczeństwa;</w:t>
            </w:r>
          </w:p>
        </w:tc>
        <w:tc>
          <w:tcPr>
            <w:tcW w:w="4876" w:type="dxa"/>
            <w:tcBorders>
              <w:top w:val="nil"/>
              <w:left w:val="nil"/>
              <w:bottom w:val="nil"/>
              <w:right w:val="nil"/>
            </w:tcBorders>
          </w:tcPr>
          <w:p w14:paraId="07991208" w14:textId="77777777" w:rsidR="00A82F4D" w:rsidRPr="00B64DD1" w:rsidRDefault="00A82F4D" w:rsidP="00EA17FD">
            <w:pPr>
              <w:pStyle w:val="Normal6a"/>
            </w:pPr>
            <w:r w:rsidRPr="00B64DD1">
              <w:lastRenderedPageBreak/>
              <w:t>9.</w:t>
            </w:r>
            <w:r w:rsidRPr="00B64DD1">
              <w:tab/>
              <w:t xml:space="preserve">na podstawie wysłuchania wiceprzewodniczącej / wysokiej przedstawicielki na posiedzeniu Komisji Kontroli Budżetowej Parlamentu (CONT) w dniu 17 listopada 2025 r. </w:t>
            </w:r>
            <w:r w:rsidRPr="00B64DD1">
              <w:lastRenderedPageBreak/>
              <w:t xml:space="preserve">(„wysłuchanie”) zauważa, że w ostatnich latach ESDZ zmagała się ze znacznymi ograniczeniami budżetowymi, podczas gdy instytucji tej powierzano coraz szerszy mandat, a jednocześnie rosły koszty i potrzeby związane z siecią 145 delegatur; zauważa stanowisko ESDZ, zgodnie z którym występuje dysproporcja między zadaniami a zasobami, co stanowi istotne wyzwanie dla zdolności ESDZ do pełnej realizacji jej celów oraz do skutecznego wspierania unijnego programu w zakresie polityki zagranicznej i polityki bezpieczeństwa; </w:t>
            </w:r>
            <w:r w:rsidRPr="00B64DD1">
              <w:rPr>
                <w:b/>
                <w:i/>
              </w:rPr>
              <w:t>wzywa ESDZ, aby lepiej dostosowała swoje ambicje strategiczne do dostępnych zasobów finansowych, nadała priorytet działaniom, które przynoszą wyraźną wartość dodaną dla Unii i jej obywateli, a jednocześnie unikała działań i projektów, które mogą osłabić skuteczność i pogorszyć samopoczucie pracowników;</w:t>
            </w:r>
          </w:p>
        </w:tc>
      </w:tr>
    </w:tbl>
    <w:p w14:paraId="69435490"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570FF78C" w14:textId="77777777" w:rsidR="00A82F4D" w:rsidRPr="00B64DD1" w:rsidRDefault="00A82F4D" w:rsidP="00A82F4D">
      <w:r w:rsidRPr="00B64DD1">
        <w:rPr>
          <w:rStyle w:val="HideTWBExt"/>
        </w:rPr>
        <w:t>&lt;/Amend&gt;</w:t>
      </w:r>
    </w:p>
    <w:p w14:paraId="7EBEA024"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9</w:t>
      </w:r>
      <w:r w:rsidRPr="00B64DD1">
        <w:rPr>
          <w:rStyle w:val="HideTWBExt"/>
          <w:b w:val="0"/>
        </w:rPr>
        <w:t>&lt;/NumAm&gt;</w:t>
      </w:r>
    </w:p>
    <w:p w14:paraId="72127CD0" w14:textId="77777777" w:rsidR="00A82F4D" w:rsidRPr="00B64DD1" w:rsidRDefault="00A82F4D" w:rsidP="00A82F4D">
      <w:pPr>
        <w:pStyle w:val="NormalBold"/>
      </w:pPr>
      <w:r w:rsidRPr="00B64DD1">
        <w:rPr>
          <w:rStyle w:val="HideTWBExt"/>
          <w:b w:val="0"/>
        </w:rPr>
        <w:t>&lt;RepeatBlock-By&gt;&lt;Members&gt;</w:t>
      </w:r>
      <w:proofErr w:type="spellStart"/>
      <w:r w:rsidRPr="00B64DD1">
        <w:t>Vlad</w:t>
      </w:r>
      <w:proofErr w:type="spellEnd"/>
      <w:r w:rsidRPr="00B64DD1">
        <w:t xml:space="preserve"> </w:t>
      </w:r>
      <w:proofErr w:type="spellStart"/>
      <w:r w:rsidRPr="00B64DD1">
        <w:t>Vasile-Voiculescu</w:t>
      </w:r>
      <w:proofErr w:type="spellEnd"/>
      <w:r w:rsidRPr="00B64DD1">
        <w:t xml:space="preserve">, Olivier </w:t>
      </w:r>
      <w:proofErr w:type="spellStart"/>
      <w:r w:rsidRPr="00B64DD1">
        <w:t>Chastel</w:t>
      </w:r>
      <w:proofErr w:type="spellEnd"/>
      <w:r w:rsidRPr="00B64DD1">
        <w:t xml:space="preserve">, </w:t>
      </w:r>
      <w:proofErr w:type="spellStart"/>
      <w:r w:rsidRPr="00B64DD1">
        <w:t>Gerben</w:t>
      </w:r>
      <w:proofErr w:type="spellEnd"/>
      <w:r w:rsidRPr="00B64DD1">
        <w:t xml:space="preserve">-Jan </w:t>
      </w:r>
      <w:proofErr w:type="spellStart"/>
      <w:r w:rsidRPr="00B64DD1">
        <w:t>Gerbrandy</w:t>
      </w:r>
      <w:proofErr w:type="spellEnd"/>
      <w:r w:rsidRPr="00B64DD1">
        <w:t xml:space="preserve">, </w:t>
      </w:r>
      <w:proofErr w:type="spellStart"/>
      <w:r w:rsidRPr="00B64DD1">
        <w:t>Gilles</w:t>
      </w:r>
      <w:proofErr w:type="spellEnd"/>
      <w:r w:rsidRPr="00B64DD1">
        <w:t xml:space="preserve"> </w:t>
      </w:r>
      <w:proofErr w:type="spellStart"/>
      <w:r w:rsidRPr="00B64DD1">
        <w:t>Boyer</w:t>
      </w:r>
      <w:proofErr w:type="spellEnd"/>
      <w:r w:rsidRPr="00B64DD1">
        <w:t xml:space="preserve">, Michal </w:t>
      </w:r>
      <w:proofErr w:type="spellStart"/>
      <w:r w:rsidRPr="00B64DD1">
        <w:t>Wiezik</w:t>
      </w:r>
      <w:proofErr w:type="spellEnd"/>
      <w:r w:rsidRPr="00B64DD1">
        <w:rPr>
          <w:rStyle w:val="HideTWBExt"/>
          <w:b w:val="0"/>
        </w:rPr>
        <w:t>&lt;/Members&gt;</w:t>
      </w:r>
    </w:p>
    <w:p w14:paraId="4A4B1B97" w14:textId="77777777" w:rsidR="00A82F4D" w:rsidRPr="00B64DD1" w:rsidRDefault="00A82F4D" w:rsidP="00A82F4D">
      <w:pPr>
        <w:pStyle w:val="NormalBold"/>
      </w:pPr>
      <w:r w:rsidRPr="00B64DD1">
        <w:rPr>
          <w:rStyle w:val="HideTWBExt"/>
          <w:b w:val="0"/>
        </w:rPr>
        <w:t>&lt;/RepeatBlock-By&gt;</w:t>
      </w:r>
    </w:p>
    <w:p w14:paraId="3E6E5C94"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2AE262BF" w14:textId="77777777" w:rsidR="00A82F4D" w:rsidRPr="00B64DD1" w:rsidRDefault="00A82F4D" w:rsidP="00A82F4D">
      <w:pPr>
        <w:pStyle w:val="NormalBold"/>
      </w:pPr>
      <w:r w:rsidRPr="00B64DD1">
        <w:rPr>
          <w:rStyle w:val="HideTWBExt"/>
          <w:b w:val="0"/>
        </w:rPr>
        <w:t>&lt;Article&gt;</w:t>
      </w:r>
      <w:r w:rsidRPr="00B64DD1">
        <w:t>Ustęp 9</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0CBCAF2D" w14:textId="77777777" w:rsidTr="00EA17FD">
        <w:trPr>
          <w:trHeight w:hRule="exact" w:val="240"/>
          <w:jc w:val="center"/>
        </w:trPr>
        <w:tc>
          <w:tcPr>
            <w:tcW w:w="9752" w:type="dxa"/>
            <w:gridSpan w:val="2"/>
            <w:tcBorders>
              <w:top w:val="nil"/>
              <w:left w:val="nil"/>
              <w:bottom w:val="nil"/>
              <w:right w:val="nil"/>
            </w:tcBorders>
          </w:tcPr>
          <w:p w14:paraId="49F31014" w14:textId="77777777" w:rsidR="00A82F4D" w:rsidRPr="00B64DD1" w:rsidRDefault="00A82F4D" w:rsidP="00EA17FD"/>
        </w:tc>
      </w:tr>
      <w:tr w:rsidR="00A82F4D" w:rsidRPr="00B64DD1" w14:paraId="2A60018E" w14:textId="77777777" w:rsidTr="00EA17FD">
        <w:trPr>
          <w:trHeight w:val="240"/>
          <w:jc w:val="center"/>
        </w:trPr>
        <w:tc>
          <w:tcPr>
            <w:tcW w:w="4876" w:type="dxa"/>
            <w:tcBorders>
              <w:top w:val="nil"/>
              <w:left w:val="nil"/>
              <w:bottom w:val="nil"/>
              <w:right w:val="nil"/>
            </w:tcBorders>
          </w:tcPr>
          <w:p w14:paraId="3D991801"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353AC338" w14:textId="77777777" w:rsidR="00A82F4D" w:rsidRPr="00B64DD1" w:rsidRDefault="00A82F4D" w:rsidP="00EA17FD">
            <w:pPr>
              <w:pStyle w:val="AmColumnHeading"/>
            </w:pPr>
            <w:r w:rsidRPr="00B64DD1">
              <w:t>Poprawka</w:t>
            </w:r>
          </w:p>
        </w:tc>
      </w:tr>
      <w:tr w:rsidR="00A82F4D" w:rsidRPr="00B64DD1" w14:paraId="043D4866" w14:textId="77777777" w:rsidTr="00EA17FD">
        <w:trPr>
          <w:jc w:val="center"/>
        </w:trPr>
        <w:tc>
          <w:tcPr>
            <w:tcW w:w="4876" w:type="dxa"/>
            <w:tcBorders>
              <w:top w:val="nil"/>
              <w:left w:val="nil"/>
              <w:bottom w:val="nil"/>
              <w:right w:val="nil"/>
            </w:tcBorders>
          </w:tcPr>
          <w:p w14:paraId="40285FA1" w14:textId="77777777" w:rsidR="00A82F4D" w:rsidRPr="00B64DD1" w:rsidRDefault="00A82F4D" w:rsidP="00EA17FD">
            <w:pPr>
              <w:pStyle w:val="Normal6a"/>
            </w:pPr>
            <w:r w:rsidRPr="00B64DD1">
              <w:t>9.</w:t>
            </w:r>
            <w:r w:rsidRPr="00B64DD1">
              <w:tab/>
              <w:t xml:space="preserve">na podstawie wysłuchania wiceprzewodniczącej / wysokiej przedstawicielki na posiedzeniu Komisji Kontroli Budżetowej Parlamentu (CONT) w dniu 17 listopada 2025 r. („wysłuchanie”) zauważa, że w ostatnich latach ESDZ zmagała się ze znacznymi ograniczeniami budżetowymi, podczas gdy instytucji tej powierzano coraz szerszy mandat, a jednocześnie rosły koszty i potrzeby związane z siecią 145 delegatur; zauważa stanowisko ESDZ, zgodnie z którym występuje dysproporcja między </w:t>
            </w:r>
            <w:r w:rsidRPr="00B64DD1">
              <w:lastRenderedPageBreak/>
              <w:t>zadaniami a zasobami, co stanowi istotne wyzwanie dla zdolności ESDZ do pełnej realizacji jej celów oraz do skutecznego wspierania unijnego programu w zakresie polityki zagranicznej i polityki bezpieczeństwa;</w:t>
            </w:r>
          </w:p>
        </w:tc>
        <w:tc>
          <w:tcPr>
            <w:tcW w:w="4876" w:type="dxa"/>
            <w:tcBorders>
              <w:top w:val="nil"/>
              <w:left w:val="nil"/>
              <w:bottom w:val="nil"/>
              <w:right w:val="nil"/>
            </w:tcBorders>
          </w:tcPr>
          <w:p w14:paraId="67E9826C" w14:textId="77777777" w:rsidR="00A82F4D" w:rsidRPr="00B64DD1" w:rsidRDefault="00A82F4D" w:rsidP="00EA17FD">
            <w:pPr>
              <w:pStyle w:val="Normal6a"/>
            </w:pPr>
            <w:r w:rsidRPr="00B64DD1">
              <w:lastRenderedPageBreak/>
              <w:t>9.</w:t>
            </w:r>
            <w:r w:rsidRPr="00B64DD1">
              <w:tab/>
              <w:t xml:space="preserve">na podstawie wysłuchania wiceprzewodniczącej / wysokiej przedstawicielki na posiedzeniu Komisji Kontroli Budżetowej Parlamentu (CONT) w dniu 17 listopada 2025 r. („wysłuchanie”) zauważa, że w ostatnich latach ESDZ zmagała się ze znacznymi ograniczeniami budżetowymi, podczas gdy instytucji tej powierzano coraz szerszy mandat, a jednocześnie rosły koszty i potrzeby związane z siecią 145 delegatur; zauważa stanowisko ESDZ, zgodnie z którym występuje dysproporcja między </w:t>
            </w:r>
            <w:r w:rsidRPr="00B64DD1">
              <w:lastRenderedPageBreak/>
              <w:t xml:space="preserve">zadaniami a zasobami, co stanowi istotne wyzwanie dla zdolności ESDZ do pełnej realizacji jej celów oraz do skutecznego wspierania unijnego programu w zakresie polityki zagranicznej i polityki bezpieczeństwa; </w:t>
            </w:r>
            <w:r w:rsidRPr="00B64DD1">
              <w:rPr>
                <w:b/>
                <w:i/>
              </w:rPr>
              <w:t>wzywa ESDZ, aby pilnie uzupełniła braki kadrowe w delegaturach UE, zwłaszcza w placówkach borykających się ze złożonymi wyzwaniami w zakresie bezpieczeństwa lub geopolityki, oraz aby zwiększyła przejrzystość i rozliczalność procedur rekrutacji;</w:t>
            </w:r>
          </w:p>
        </w:tc>
      </w:tr>
    </w:tbl>
    <w:p w14:paraId="3E0F1864"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64279C07" w14:textId="77777777" w:rsidR="00A82F4D" w:rsidRPr="00B64DD1" w:rsidRDefault="00A82F4D" w:rsidP="00A82F4D">
      <w:r w:rsidRPr="00B64DD1">
        <w:rPr>
          <w:rStyle w:val="HideTWBExt"/>
        </w:rPr>
        <w:t>&lt;/Amend&gt;</w:t>
      </w:r>
    </w:p>
    <w:p w14:paraId="215E3905"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10</w:t>
      </w:r>
      <w:r w:rsidRPr="00B64DD1">
        <w:rPr>
          <w:rStyle w:val="HideTWBExt"/>
          <w:b w:val="0"/>
        </w:rPr>
        <w:t>&lt;/NumAm&gt;</w:t>
      </w:r>
    </w:p>
    <w:p w14:paraId="36BE467D" w14:textId="77777777" w:rsidR="00A82F4D" w:rsidRPr="00B64DD1" w:rsidRDefault="00A82F4D" w:rsidP="00A82F4D">
      <w:pPr>
        <w:pStyle w:val="NormalBold"/>
      </w:pPr>
      <w:r w:rsidRPr="00B64DD1">
        <w:rPr>
          <w:rStyle w:val="HideTWBExt"/>
          <w:b w:val="0"/>
        </w:rPr>
        <w:t>&lt;RepeatBlock-By&gt;&lt;Members&gt;</w:t>
      </w:r>
      <w:proofErr w:type="spellStart"/>
      <w:r w:rsidRPr="00B64DD1">
        <w:t>Andrey</w:t>
      </w:r>
      <w:proofErr w:type="spellEnd"/>
      <w:r w:rsidRPr="00B64DD1">
        <w:t xml:space="preserve"> </w:t>
      </w:r>
      <w:proofErr w:type="spellStart"/>
      <w:r w:rsidRPr="00B64DD1">
        <w:t>Kovatchev</w:t>
      </w:r>
      <w:proofErr w:type="spellEnd"/>
      <w:r w:rsidRPr="00B64DD1">
        <w:rPr>
          <w:rStyle w:val="HideTWBExt"/>
          <w:b w:val="0"/>
        </w:rPr>
        <w:t>&lt;/Members&gt;</w:t>
      </w:r>
    </w:p>
    <w:p w14:paraId="3CA302CD" w14:textId="77777777" w:rsidR="00A82F4D" w:rsidRPr="00B64DD1" w:rsidRDefault="00A82F4D" w:rsidP="00A82F4D">
      <w:pPr>
        <w:pStyle w:val="NormalBold"/>
      </w:pPr>
      <w:r w:rsidRPr="00B64DD1">
        <w:rPr>
          <w:rStyle w:val="HideTWBExt"/>
          <w:b w:val="0"/>
        </w:rPr>
        <w:t>&lt;/RepeatBlock-By&gt;</w:t>
      </w:r>
    </w:p>
    <w:p w14:paraId="54AF40B2"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6251DEC7" w14:textId="77777777" w:rsidR="00A82F4D" w:rsidRPr="00B64DD1" w:rsidRDefault="00A82F4D" w:rsidP="00A82F4D">
      <w:pPr>
        <w:pStyle w:val="NormalBold"/>
      </w:pPr>
      <w:r w:rsidRPr="00B64DD1">
        <w:rPr>
          <w:rStyle w:val="HideTWBExt"/>
          <w:b w:val="0"/>
        </w:rPr>
        <w:t>&lt;Article&gt;</w:t>
      </w:r>
      <w:r w:rsidRPr="00B64DD1">
        <w:t>Ustęp 9</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17F3A9BD" w14:textId="77777777" w:rsidTr="00EA17FD">
        <w:trPr>
          <w:trHeight w:hRule="exact" w:val="240"/>
          <w:jc w:val="center"/>
        </w:trPr>
        <w:tc>
          <w:tcPr>
            <w:tcW w:w="9752" w:type="dxa"/>
            <w:gridSpan w:val="2"/>
            <w:tcBorders>
              <w:top w:val="nil"/>
              <w:left w:val="nil"/>
              <w:bottom w:val="nil"/>
              <w:right w:val="nil"/>
            </w:tcBorders>
          </w:tcPr>
          <w:p w14:paraId="79DC6AA1" w14:textId="77777777" w:rsidR="00A82F4D" w:rsidRPr="00B64DD1" w:rsidRDefault="00A82F4D" w:rsidP="00EA17FD"/>
        </w:tc>
      </w:tr>
      <w:tr w:rsidR="00A82F4D" w:rsidRPr="00B64DD1" w14:paraId="2D388E02" w14:textId="77777777" w:rsidTr="00EA17FD">
        <w:trPr>
          <w:trHeight w:val="240"/>
          <w:jc w:val="center"/>
        </w:trPr>
        <w:tc>
          <w:tcPr>
            <w:tcW w:w="4876" w:type="dxa"/>
            <w:tcBorders>
              <w:top w:val="nil"/>
              <w:left w:val="nil"/>
              <w:bottom w:val="nil"/>
              <w:right w:val="nil"/>
            </w:tcBorders>
          </w:tcPr>
          <w:p w14:paraId="79C365E3"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5828B870" w14:textId="77777777" w:rsidR="00A82F4D" w:rsidRPr="00B64DD1" w:rsidRDefault="00A82F4D" w:rsidP="00EA17FD">
            <w:pPr>
              <w:pStyle w:val="AmColumnHeading"/>
            </w:pPr>
            <w:r w:rsidRPr="00B64DD1">
              <w:t>Poprawka</w:t>
            </w:r>
          </w:p>
        </w:tc>
      </w:tr>
      <w:tr w:rsidR="00A82F4D" w:rsidRPr="00B64DD1" w14:paraId="02C78D09" w14:textId="77777777" w:rsidTr="00EA17FD">
        <w:trPr>
          <w:jc w:val="center"/>
        </w:trPr>
        <w:tc>
          <w:tcPr>
            <w:tcW w:w="4876" w:type="dxa"/>
            <w:tcBorders>
              <w:top w:val="nil"/>
              <w:left w:val="nil"/>
              <w:bottom w:val="nil"/>
              <w:right w:val="nil"/>
            </w:tcBorders>
          </w:tcPr>
          <w:p w14:paraId="6DACBD16" w14:textId="77777777" w:rsidR="00A82F4D" w:rsidRPr="00B64DD1" w:rsidRDefault="00A82F4D" w:rsidP="00EA17FD">
            <w:pPr>
              <w:pStyle w:val="Normal6a"/>
            </w:pPr>
            <w:r w:rsidRPr="00B64DD1">
              <w:t>9.</w:t>
            </w:r>
            <w:r w:rsidRPr="00B64DD1">
              <w:tab/>
              <w:t>na podstawie wysłuchania wiceprzewodniczącej / wysokiej przedstawicielki na posiedzeniu Komisji Kontroli Budżetowej Parlamentu (CONT) w dniu 17 listopada 2025 r. („wysłuchanie”) zauważa, że w ostatnich latach ESDZ zmagała się ze znacznymi ograniczeniami budżetowymi, podczas gdy instytucji tej powierzano coraz szerszy mandat, a jednocześnie rosły koszty i potrzeby związane z siecią 145 delegatur; zauważa stanowisko ESDZ, zgodnie z którym występuje dysproporcja między zadaniami a zasobami, co stanowi istotne wyzwanie dla zdolności ESDZ do pełnej realizacji jej celów oraz do skutecznego wspierania unijnego programu w zakresie polityki zagranicznej i polityki bezpieczeństwa;</w:t>
            </w:r>
          </w:p>
        </w:tc>
        <w:tc>
          <w:tcPr>
            <w:tcW w:w="4876" w:type="dxa"/>
            <w:tcBorders>
              <w:top w:val="nil"/>
              <w:left w:val="nil"/>
              <w:bottom w:val="nil"/>
              <w:right w:val="nil"/>
            </w:tcBorders>
          </w:tcPr>
          <w:p w14:paraId="16DEF772" w14:textId="77777777" w:rsidR="00A82F4D" w:rsidRPr="00B64DD1" w:rsidRDefault="00A82F4D" w:rsidP="00EA17FD">
            <w:pPr>
              <w:pStyle w:val="Normal6a"/>
            </w:pPr>
            <w:r w:rsidRPr="00B64DD1">
              <w:t>9.</w:t>
            </w:r>
            <w:r w:rsidRPr="00B64DD1">
              <w:tab/>
              <w:t>na podstawie wysłuchania wiceprzewodniczącej / wysokiej przedstawicielki na posiedzeniu Komisji Kontroli Budżetowej Parlamentu (CONT) w dniu 17 listopada 2025 r. („wysłuchanie”) zauważa, że w ostatnich latach ESDZ zmagała się ze znacznymi ograniczeniami budżetowymi, podczas gdy instytucji tej powierzano coraz szerszy mandat, a jednocześnie rosły koszty i potrzeby związane z siecią 145 delegatur; zauważa stanowisko ESDZ, zgodnie z którym występuje dysproporcja między zadaniami a zasobami, co stanowi istotne wyzwanie dla zdolności ESDZ do pełnej realizacji jej celów oraz do skutecznego wspierania unijnego programu w zakresie polityki zagranicznej i polityki bezpieczeństwa</w:t>
            </w:r>
            <w:r w:rsidRPr="00B64DD1">
              <w:rPr>
                <w:b/>
                <w:bCs/>
                <w:i/>
                <w:iCs/>
              </w:rPr>
              <w:t>, a także podważa wiarygodność Unii jako podmiotu globalnego</w:t>
            </w:r>
            <w:r w:rsidRPr="00B64DD1">
              <w:t>;</w:t>
            </w:r>
          </w:p>
        </w:tc>
      </w:tr>
    </w:tbl>
    <w:p w14:paraId="3C7A43B9"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3984E58E" w14:textId="77777777" w:rsidR="00A82F4D" w:rsidRPr="00B64DD1" w:rsidRDefault="00A82F4D" w:rsidP="00A82F4D">
      <w:r w:rsidRPr="00B64DD1">
        <w:rPr>
          <w:rStyle w:val="HideTWBExt"/>
        </w:rPr>
        <w:lastRenderedPageBreak/>
        <w:t>&lt;/Amend&gt;</w:t>
      </w:r>
    </w:p>
    <w:p w14:paraId="0C9AAAB3"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11</w:t>
      </w:r>
      <w:r w:rsidRPr="00B64DD1">
        <w:rPr>
          <w:rStyle w:val="HideTWBExt"/>
          <w:b w:val="0"/>
        </w:rPr>
        <w:t>&lt;/NumAm&gt;</w:t>
      </w:r>
    </w:p>
    <w:p w14:paraId="249346EE" w14:textId="77777777" w:rsidR="00A82F4D" w:rsidRPr="00B64DD1" w:rsidRDefault="00A82F4D" w:rsidP="00A82F4D">
      <w:pPr>
        <w:pStyle w:val="NormalBold"/>
      </w:pPr>
      <w:r w:rsidRPr="00B64DD1">
        <w:rPr>
          <w:rStyle w:val="HideTWBExt"/>
          <w:b w:val="0"/>
        </w:rPr>
        <w:t>&lt;RepeatBlock-By&gt;&lt;Members&gt;</w:t>
      </w:r>
      <w:r w:rsidRPr="00B64DD1">
        <w:t xml:space="preserve">José </w:t>
      </w:r>
      <w:proofErr w:type="spellStart"/>
      <w:r w:rsidRPr="00B64DD1">
        <w:t>Cepeda</w:t>
      </w:r>
      <w:proofErr w:type="spellEnd"/>
      <w:r w:rsidRPr="00B64DD1">
        <w:t xml:space="preserve">, </w:t>
      </w:r>
      <w:proofErr w:type="spellStart"/>
      <w:r w:rsidRPr="00B64DD1">
        <w:t>Nacho</w:t>
      </w:r>
      <w:proofErr w:type="spellEnd"/>
      <w:r w:rsidRPr="00B64DD1">
        <w:t xml:space="preserve"> </w:t>
      </w:r>
      <w:proofErr w:type="spellStart"/>
      <w:r w:rsidRPr="00B64DD1">
        <w:t>Sánchez</w:t>
      </w:r>
      <w:proofErr w:type="spellEnd"/>
      <w:r w:rsidRPr="00B64DD1">
        <w:t xml:space="preserve"> Amor</w:t>
      </w:r>
      <w:r w:rsidRPr="00B64DD1">
        <w:rPr>
          <w:rStyle w:val="HideTWBExt"/>
          <w:b w:val="0"/>
        </w:rPr>
        <w:t>&lt;/Members&gt;</w:t>
      </w:r>
    </w:p>
    <w:p w14:paraId="4114F140" w14:textId="77777777" w:rsidR="00A82F4D" w:rsidRPr="00B64DD1" w:rsidRDefault="00A82F4D" w:rsidP="00A82F4D">
      <w:pPr>
        <w:pStyle w:val="NormalBold"/>
      </w:pPr>
      <w:r w:rsidRPr="00B64DD1">
        <w:rPr>
          <w:rStyle w:val="HideTWBExt"/>
          <w:b w:val="0"/>
        </w:rPr>
        <w:t>&lt;/RepeatBlock-By&gt;</w:t>
      </w:r>
    </w:p>
    <w:p w14:paraId="5B780774"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26C2D9DD" w14:textId="77777777" w:rsidR="00A82F4D" w:rsidRPr="00B64DD1" w:rsidRDefault="00A82F4D" w:rsidP="00A82F4D">
      <w:pPr>
        <w:pStyle w:val="NormalBold"/>
      </w:pPr>
      <w:r w:rsidRPr="00B64DD1">
        <w:rPr>
          <w:rStyle w:val="HideTWBExt"/>
          <w:b w:val="0"/>
        </w:rPr>
        <w:t>&lt;Article&gt;</w:t>
      </w:r>
      <w:r w:rsidRPr="00B64DD1">
        <w:t>Ustęp 9</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7B3F5364" w14:textId="77777777" w:rsidTr="00EA17FD">
        <w:trPr>
          <w:trHeight w:hRule="exact" w:val="240"/>
          <w:jc w:val="center"/>
        </w:trPr>
        <w:tc>
          <w:tcPr>
            <w:tcW w:w="9752" w:type="dxa"/>
            <w:gridSpan w:val="2"/>
            <w:tcBorders>
              <w:top w:val="nil"/>
              <w:left w:val="nil"/>
              <w:bottom w:val="nil"/>
              <w:right w:val="nil"/>
            </w:tcBorders>
          </w:tcPr>
          <w:p w14:paraId="1C2CBC45" w14:textId="77777777" w:rsidR="00A82F4D" w:rsidRPr="00B64DD1" w:rsidRDefault="00A82F4D" w:rsidP="00EA17FD"/>
        </w:tc>
      </w:tr>
      <w:tr w:rsidR="00A82F4D" w:rsidRPr="00B64DD1" w14:paraId="08125BCD" w14:textId="77777777" w:rsidTr="00EA17FD">
        <w:trPr>
          <w:trHeight w:val="240"/>
          <w:jc w:val="center"/>
        </w:trPr>
        <w:tc>
          <w:tcPr>
            <w:tcW w:w="4876" w:type="dxa"/>
            <w:tcBorders>
              <w:top w:val="nil"/>
              <w:left w:val="nil"/>
              <w:bottom w:val="nil"/>
              <w:right w:val="nil"/>
            </w:tcBorders>
          </w:tcPr>
          <w:p w14:paraId="476F2999"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0E9BBF9B" w14:textId="77777777" w:rsidR="00A82F4D" w:rsidRPr="00B64DD1" w:rsidRDefault="00A82F4D" w:rsidP="00EA17FD">
            <w:pPr>
              <w:pStyle w:val="AmColumnHeading"/>
            </w:pPr>
            <w:r w:rsidRPr="00B64DD1">
              <w:t>Poprawka</w:t>
            </w:r>
          </w:p>
        </w:tc>
      </w:tr>
      <w:tr w:rsidR="00A82F4D" w:rsidRPr="00B64DD1" w14:paraId="3422E555" w14:textId="77777777" w:rsidTr="00EA17FD">
        <w:trPr>
          <w:jc w:val="center"/>
        </w:trPr>
        <w:tc>
          <w:tcPr>
            <w:tcW w:w="4876" w:type="dxa"/>
            <w:tcBorders>
              <w:top w:val="nil"/>
              <w:left w:val="nil"/>
              <w:bottom w:val="nil"/>
              <w:right w:val="nil"/>
            </w:tcBorders>
          </w:tcPr>
          <w:p w14:paraId="43588DAE" w14:textId="77777777" w:rsidR="00A82F4D" w:rsidRPr="00B64DD1" w:rsidRDefault="00A82F4D" w:rsidP="00EA17FD">
            <w:pPr>
              <w:pStyle w:val="Normal6a"/>
            </w:pPr>
            <w:r w:rsidRPr="00B64DD1">
              <w:t>9.</w:t>
            </w:r>
            <w:r w:rsidRPr="00B64DD1">
              <w:tab/>
              <w:t xml:space="preserve">na podstawie wysłuchania wiceprzewodniczącej / wysokiej przedstawicielki na posiedzeniu Komisji Kontroli Budżetowej Parlamentu (CONT) w dniu 17 listopada 2025 r. („wysłuchanie”) zauważa, że w ostatnich latach ESDZ zmagała się ze znacznymi ograniczeniami budżetowymi, podczas gdy instytucji tej powierzano coraz szerszy mandat, a jednocześnie rosły koszty i potrzeby związane z siecią 145 delegatur; </w:t>
            </w:r>
            <w:r w:rsidRPr="00B64DD1">
              <w:rPr>
                <w:b/>
                <w:bCs/>
                <w:i/>
                <w:iCs/>
              </w:rPr>
              <w:t>zauważa</w:t>
            </w:r>
            <w:r w:rsidRPr="00B64DD1">
              <w:t xml:space="preserve"> stanowisko ESDZ, zgodnie z którym występuje dysproporcja między zadaniami a zasobami, co stanowi istotne wyzwanie dla zdolności ESDZ do pełnej realizacji jej celów oraz do skutecznego wspierania unijnego programu w zakresie polityki zagranicznej i polityki bezpieczeństwa;</w:t>
            </w:r>
          </w:p>
        </w:tc>
        <w:tc>
          <w:tcPr>
            <w:tcW w:w="4876" w:type="dxa"/>
            <w:tcBorders>
              <w:top w:val="nil"/>
              <w:left w:val="nil"/>
              <w:bottom w:val="nil"/>
              <w:right w:val="nil"/>
            </w:tcBorders>
          </w:tcPr>
          <w:p w14:paraId="37402D9E" w14:textId="77777777" w:rsidR="00A82F4D" w:rsidRPr="00B64DD1" w:rsidRDefault="00A82F4D" w:rsidP="00EA17FD">
            <w:pPr>
              <w:pStyle w:val="Normal6a"/>
            </w:pPr>
            <w:r w:rsidRPr="00B64DD1">
              <w:t>9.</w:t>
            </w:r>
            <w:r w:rsidRPr="00B64DD1">
              <w:tab/>
              <w:t xml:space="preserve">na podstawie wysłuchania wiceprzewodniczącej / wysokiej przedstawicielki na posiedzeniu Komisji Kontroli Budżetowej Parlamentu (CONT) w dniu 17 listopada 2025 r. („wysłuchanie”) zauważa, że w ostatnich latach ESDZ zmagała się ze znacznymi ograniczeniami budżetowymi, podczas gdy instytucji tej powierzano coraz szerszy mandat, a jednocześnie rosły koszty i potrzeby związane z siecią 145 delegatur; </w:t>
            </w:r>
            <w:r w:rsidRPr="00B64DD1">
              <w:rPr>
                <w:b/>
                <w:bCs/>
                <w:i/>
                <w:iCs/>
              </w:rPr>
              <w:t>wspiera</w:t>
            </w:r>
            <w:r w:rsidRPr="00B64DD1">
              <w:t xml:space="preserve"> stanowisko ESDZ, zgodnie z którym występuje dysproporcja między zadaniami a zasobami, co stanowi istotne wyzwanie dla zdolności ESDZ do pełnej realizacji jej celów oraz do skutecznego wspierania unijnego programu w zakresie polityki zagranicznej i polityki bezpieczeństwa;</w:t>
            </w:r>
          </w:p>
        </w:tc>
      </w:tr>
    </w:tbl>
    <w:p w14:paraId="39C4CD0A"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4DFAC655" w14:textId="77777777" w:rsidR="00A82F4D" w:rsidRPr="00B64DD1" w:rsidRDefault="00A82F4D" w:rsidP="00A82F4D">
      <w:r w:rsidRPr="00B64DD1">
        <w:rPr>
          <w:rStyle w:val="HideTWBExt"/>
        </w:rPr>
        <w:t>&lt;/Amend&gt;</w:t>
      </w:r>
    </w:p>
    <w:p w14:paraId="3523419B"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12</w:t>
      </w:r>
      <w:r w:rsidRPr="00B64DD1">
        <w:rPr>
          <w:rStyle w:val="HideTWBExt"/>
          <w:b w:val="0"/>
        </w:rPr>
        <w:t>&lt;/NumAm&gt;</w:t>
      </w:r>
    </w:p>
    <w:p w14:paraId="24989726" w14:textId="77777777" w:rsidR="00A82F4D" w:rsidRPr="00B64DD1" w:rsidRDefault="00A82F4D" w:rsidP="00A82F4D">
      <w:pPr>
        <w:pStyle w:val="NormalBold"/>
      </w:pPr>
      <w:r w:rsidRPr="00B64DD1">
        <w:rPr>
          <w:rStyle w:val="HideTWBExt"/>
          <w:b w:val="0"/>
        </w:rPr>
        <w:t>&lt;RepeatBlock-By&gt;&lt;Members&gt;</w:t>
      </w:r>
      <w:r w:rsidRPr="00B64DD1">
        <w:t xml:space="preserve">José </w:t>
      </w:r>
      <w:proofErr w:type="spellStart"/>
      <w:r w:rsidRPr="00B64DD1">
        <w:t>Cepeda</w:t>
      </w:r>
      <w:proofErr w:type="spellEnd"/>
      <w:r w:rsidRPr="00B64DD1">
        <w:t xml:space="preserve">, </w:t>
      </w:r>
      <w:proofErr w:type="spellStart"/>
      <w:r w:rsidRPr="00B64DD1">
        <w:t>Nacho</w:t>
      </w:r>
      <w:proofErr w:type="spellEnd"/>
      <w:r w:rsidRPr="00B64DD1">
        <w:t xml:space="preserve"> </w:t>
      </w:r>
      <w:proofErr w:type="spellStart"/>
      <w:r w:rsidRPr="00B64DD1">
        <w:t>Sánchez</w:t>
      </w:r>
      <w:proofErr w:type="spellEnd"/>
      <w:r w:rsidRPr="00B64DD1">
        <w:t xml:space="preserve"> Amor</w:t>
      </w:r>
      <w:r w:rsidRPr="00B64DD1">
        <w:rPr>
          <w:rStyle w:val="HideTWBExt"/>
          <w:b w:val="0"/>
        </w:rPr>
        <w:t>&lt;/Members&gt;</w:t>
      </w:r>
    </w:p>
    <w:p w14:paraId="0CEB5D5B" w14:textId="77777777" w:rsidR="00A82F4D" w:rsidRPr="00B64DD1" w:rsidRDefault="00A82F4D" w:rsidP="00A82F4D">
      <w:pPr>
        <w:pStyle w:val="NormalBold"/>
      </w:pPr>
      <w:r w:rsidRPr="00B64DD1">
        <w:rPr>
          <w:rStyle w:val="HideTWBExt"/>
          <w:b w:val="0"/>
        </w:rPr>
        <w:t>&lt;/RepeatBlock-By&gt;</w:t>
      </w:r>
    </w:p>
    <w:p w14:paraId="3C6929A6"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296FAAFC" w14:textId="77777777" w:rsidR="00A82F4D" w:rsidRPr="00B64DD1" w:rsidRDefault="00A82F4D" w:rsidP="00A82F4D">
      <w:pPr>
        <w:pStyle w:val="NormalBold"/>
      </w:pPr>
      <w:r w:rsidRPr="00B64DD1">
        <w:rPr>
          <w:rStyle w:val="HideTWBExt"/>
          <w:b w:val="0"/>
        </w:rPr>
        <w:t>&lt;Article&gt;</w:t>
      </w:r>
      <w:r w:rsidRPr="00B64DD1">
        <w:t>Ustęp 9 a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4C072CA6" w14:textId="77777777" w:rsidTr="00EA17FD">
        <w:trPr>
          <w:trHeight w:hRule="exact" w:val="240"/>
          <w:jc w:val="center"/>
        </w:trPr>
        <w:tc>
          <w:tcPr>
            <w:tcW w:w="9752" w:type="dxa"/>
            <w:gridSpan w:val="2"/>
            <w:tcBorders>
              <w:top w:val="nil"/>
              <w:left w:val="nil"/>
              <w:bottom w:val="nil"/>
              <w:right w:val="nil"/>
            </w:tcBorders>
          </w:tcPr>
          <w:p w14:paraId="3BFF4BAE" w14:textId="77777777" w:rsidR="00A82F4D" w:rsidRPr="00B64DD1" w:rsidRDefault="00A82F4D" w:rsidP="00EA17FD"/>
        </w:tc>
      </w:tr>
      <w:tr w:rsidR="00A82F4D" w:rsidRPr="00B64DD1" w14:paraId="71D4C179" w14:textId="77777777" w:rsidTr="00EA17FD">
        <w:trPr>
          <w:trHeight w:val="240"/>
          <w:jc w:val="center"/>
        </w:trPr>
        <w:tc>
          <w:tcPr>
            <w:tcW w:w="4876" w:type="dxa"/>
            <w:tcBorders>
              <w:top w:val="nil"/>
              <w:left w:val="nil"/>
              <w:bottom w:val="nil"/>
              <w:right w:val="nil"/>
            </w:tcBorders>
          </w:tcPr>
          <w:p w14:paraId="4A48BF5C"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63E20B34" w14:textId="77777777" w:rsidR="00A82F4D" w:rsidRPr="00B64DD1" w:rsidRDefault="00A82F4D" w:rsidP="00EA17FD">
            <w:pPr>
              <w:pStyle w:val="AmColumnHeading"/>
            </w:pPr>
            <w:r w:rsidRPr="00B64DD1">
              <w:t>Poprawka</w:t>
            </w:r>
          </w:p>
        </w:tc>
      </w:tr>
      <w:tr w:rsidR="00A82F4D" w:rsidRPr="00B64DD1" w14:paraId="03BAC6A0" w14:textId="77777777" w:rsidTr="00EA17FD">
        <w:trPr>
          <w:jc w:val="center"/>
        </w:trPr>
        <w:tc>
          <w:tcPr>
            <w:tcW w:w="4876" w:type="dxa"/>
            <w:tcBorders>
              <w:top w:val="nil"/>
              <w:left w:val="nil"/>
              <w:bottom w:val="nil"/>
              <w:right w:val="nil"/>
            </w:tcBorders>
          </w:tcPr>
          <w:p w14:paraId="0A0F3B44" w14:textId="77777777" w:rsidR="00A82F4D" w:rsidRPr="00B64DD1" w:rsidRDefault="00A82F4D" w:rsidP="00EA17FD">
            <w:pPr>
              <w:pStyle w:val="Normal6a"/>
            </w:pPr>
          </w:p>
        </w:tc>
        <w:tc>
          <w:tcPr>
            <w:tcW w:w="4876" w:type="dxa"/>
            <w:tcBorders>
              <w:top w:val="nil"/>
              <w:left w:val="nil"/>
              <w:bottom w:val="nil"/>
              <w:right w:val="nil"/>
            </w:tcBorders>
          </w:tcPr>
          <w:p w14:paraId="0561605F" w14:textId="77777777" w:rsidR="00A82F4D" w:rsidRPr="00B64DD1" w:rsidRDefault="00A82F4D" w:rsidP="00EA17FD">
            <w:pPr>
              <w:pStyle w:val="Normal6a"/>
            </w:pPr>
            <w:r w:rsidRPr="00B64DD1">
              <w:rPr>
                <w:b/>
                <w:i/>
              </w:rPr>
              <w:t>9a.</w:t>
            </w:r>
            <w:r w:rsidRPr="00B64DD1">
              <w:tab/>
            </w:r>
            <w:r w:rsidRPr="00B64DD1">
              <w:rPr>
                <w:b/>
                <w:i/>
              </w:rPr>
              <w:t xml:space="preserve">podkreśla, że obecna sytuacja międzynarodowa sprawiła, iż polityka zagraniczna Unii stała się jednym z głównych przedmiotów obaw obywateli UE, państw członkowskich i instytucji; zwraca uwagę na kluczową rolę ESDZ i jej delegatur w prowadzeniu polityki </w:t>
            </w:r>
            <w:r w:rsidRPr="00B64DD1">
              <w:rPr>
                <w:b/>
                <w:i/>
              </w:rPr>
              <w:lastRenderedPageBreak/>
              <w:t xml:space="preserve">zewnętrznej Unii oraz w zwalczaniu zagranicznych manipulacji informacjami i ingerencji w informacje; </w:t>
            </w:r>
            <w:r w:rsidRPr="00B64DD1">
              <w:rPr>
                <w:b/>
                <w:bCs/>
                <w:i/>
              </w:rPr>
              <w:t>podkreśla, jak ważna jest ESDZ dla 25–30 mln obywateli Unii mieszkających poza UE;</w:t>
            </w:r>
            <w:r w:rsidRPr="00B64DD1">
              <w:rPr>
                <w:b/>
                <w:i/>
              </w:rPr>
              <w:t xml:space="preserve"> ubolewa, że problem niedofinansowania ESDZ nie jest rozwiązywany w sposób strukturalny i należy zaradzić mu w ramach corocznego budżetu UE; wyraża zaniepokojenie negatywnymi konsekwencjami dla ESDZ i skuteczności polityki zagranicznej Unii w stosunkach z państwami trzecimi, zwłaszcza z krajami globalnego Południa, w okresie gwałtownych zmian geopolitycznych;</w:t>
            </w:r>
          </w:p>
        </w:tc>
      </w:tr>
    </w:tbl>
    <w:p w14:paraId="2F629EC0"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7570EF2F" w14:textId="77777777" w:rsidR="00A82F4D" w:rsidRPr="00B64DD1" w:rsidRDefault="00A82F4D" w:rsidP="00A82F4D">
      <w:r w:rsidRPr="00B64DD1">
        <w:rPr>
          <w:rStyle w:val="HideTWBExt"/>
        </w:rPr>
        <w:t>&lt;/Amend&gt;</w:t>
      </w:r>
    </w:p>
    <w:p w14:paraId="2879A858"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13</w:t>
      </w:r>
      <w:r w:rsidRPr="00B64DD1">
        <w:rPr>
          <w:rStyle w:val="HideTWBExt"/>
          <w:b w:val="0"/>
        </w:rPr>
        <w:t>&lt;/NumAm&gt;</w:t>
      </w:r>
    </w:p>
    <w:p w14:paraId="5E3C0ECF" w14:textId="77777777" w:rsidR="00A82F4D" w:rsidRPr="00B64DD1" w:rsidRDefault="00A82F4D" w:rsidP="00A82F4D">
      <w:pPr>
        <w:pStyle w:val="NormalBold"/>
      </w:pPr>
      <w:r w:rsidRPr="00B64DD1">
        <w:rPr>
          <w:rStyle w:val="HideTWBExt"/>
          <w:b w:val="0"/>
        </w:rPr>
        <w:t>&lt;RepeatBlock-By&gt;&lt;Members&gt;</w:t>
      </w:r>
      <w:r w:rsidRPr="00B64DD1">
        <w:t xml:space="preserve">Dick </w:t>
      </w:r>
      <w:proofErr w:type="spellStart"/>
      <w:r w:rsidRPr="00B64DD1">
        <w:t>Erixon</w:t>
      </w:r>
      <w:proofErr w:type="spellEnd"/>
      <w:r w:rsidRPr="00B64DD1">
        <w:rPr>
          <w:rStyle w:val="HideTWBExt"/>
          <w:b w:val="0"/>
        </w:rPr>
        <w:t>&lt;/Members&gt;</w:t>
      </w:r>
    </w:p>
    <w:p w14:paraId="4111090B" w14:textId="77777777" w:rsidR="00A82F4D" w:rsidRPr="00B64DD1" w:rsidRDefault="00A82F4D" w:rsidP="00A82F4D">
      <w:pPr>
        <w:pStyle w:val="NormalBold"/>
      </w:pPr>
      <w:r w:rsidRPr="00B64DD1">
        <w:rPr>
          <w:rStyle w:val="HideTWBExt"/>
          <w:b w:val="0"/>
        </w:rPr>
        <w:t>&lt;/RepeatBlock-By&gt;</w:t>
      </w:r>
    </w:p>
    <w:p w14:paraId="4594CFC6"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78F3C488" w14:textId="77777777" w:rsidR="00A82F4D" w:rsidRPr="00B64DD1" w:rsidRDefault="00A82F4D" w:rsidP="00A82F4D">
      <w:pPr>
        <w:pStyle w:val="NormalBold"/>
      </w:pPr>
      <w:r w:rsidRPr="00B64DD1">
        <w:rPr>
          <w:rStyle w:val="HideTWBExt"/>
          <w:b w:val="0"/>
        </w:rPr>
        <w:t>&lt;Article&gt;</w:t>
      </w:r>
      <w:r w:rsidRPr="00B64DD1">
        <w:t>Ustęp 9 a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11C40176" w14:textId="77777777" w:rsidTr="00EA17FD">
        <w:trPr>
          <w:trHeight w:hRule="exact" w:val="240"/>
          <w:jc w:val="center"/>
        </w:trPr>
        <w:tc>
          <w:tcPr>
            <w:tcW w:w="9752" w:type="dxa"/>
            <w:gridSpan w:val="2"/>
            <w:tcBorders>
              <w:top w:val="nil"/>
              <w:left w:val="nil"/>
              <w:bottom w:val="nil"/>
              <w:right w:val="nil"/>
            </w:tcBorders>
          </w:tcPr>
          <w:p w14:paraId="3AC77AEF" w14:textId="77777777" w:rsidR="00A82F4D" w:rsidRPr="00B64DD1" w:rsidRDefault="00A82F4D" w:rsidP="00EA17FD"/>
        </w:tc>
      </w:tr>
      <w:tr w:rsidR="00A82F4D" w:rsidRPr="00B64DD1" w14:paraId="579807E5" w14:textId="77777777" w:rsidTr="00EA17FD">
        <w:trPr>
          <w:trHeight w:val="240"/>
          <w:jc w:val="center"/>
        </w:trPr>
        <w:tc>
          <w:tcPr>
            <w:tcW w:w="4876" w:type="dxa"/>
            <w:tcBorders>
              <w:top w:val="nil"/>
              <w:left w:val="nil"/>
              <w:bottom w:val="nil"/>
              <w:right w:val="nil"/>
            </w:tcBorders>
          </w:tcPr>
          <w:p w14:paraId="2778CF28"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60AFE95A" w14:textId="77777777" w:rsidR="00A82F4D" w:rsidRPr="00B64DD1" w:rsidRDefault="00A82F4D" w:rsidP="00EA17FD">
            <w:pPr>
              <w:pStyle w:val="AmColumnHeading"/>
            </w:pPr>
            <w:r w:rsidRPr="00B64DD1">
              <w:t>Poprawka</w:t>
            </w:r>
          </w:p>
        </w:tc>
      </w:tr>
      <w:tr w:rsidR="00A82F4D" w:rsidRPr="00B64DD1" w14:paraId="26C2DEE2" w14:textId="77777777" w:rsidTr="00EA17FD">
        <w:trPr>
          <w:jc w:val="center"/>
        </w:trPr>
        <w:tc>
          <w:tcPr>
            <w:tcW w:w="4876" w:type="dxa"/>
            <w:tcBorders>
              <w:top w:val="nil"/>
              <w:left w:val="nil"/>
              <w:bottom w:val="nil"/>
              <w:right w:val="nil"/>
            </w:tcBorders>
          </w:tcPr>
          <w:p w14:paraId="7E73D319" w14:textId="77777777" w:rsidR="00A82F4D" w:rsidRPr="00B64DD1" w:rsidRDefault="00A82F4D" w:rsidP="00EA17FD">
            <w:pPr>
              <w:pStyle w:val="Normal6a"/>
            </w:pPr>
          </w:p>
        </w:tc>
        <w:tc>
          <w:tcPr>
            <w:tcW w:w="4876" w:type="dxa"/>
            <w:tcBorders>
              <w:top w:val="nil"/>
              <w:left w:val="nil"/>
              <w:bottom w:val="nil"/>
              <w:right w:val="nil"/>
            </w:tcBorders>
          </w:tcPr>
          <w:p w14:paraId="3C767066" w14:textId="77777777" w:rsidR="00A82F4D" w:rsidRPr="00B64DD1" w:rsidRDefault="00A82F4D" w:rsidP="00EA17FD">
            <w:pPr>
              <w:pStyle w:val="Normal6a"/>
            </w:pPr>
            <w:r w:rsidRPr="00B64DD1">
              <w:rPr>
                <w:b/>
                <w:i/>
              </w:rPr>
              <w:t>9a.</w:t>
            </w:r>
            <w:r w:rsidRPr="00B64DD1">
              <w:tab/>
            </w:r>
            <w:r w:rsidRPr="00B64DD1">
              <w:rPr>
                <w:b/>
                <w:i/>
              </w:rPr>
              <w:t xml:space="preserve">wzywa Europejski Trybunał Obrachunkowy, aby przeprowadził kompleksową kontrolę wyników ESDZ w celu oceny efektywności jej działań w porównaniu ze służbami dyplomatycznymi krajów OECD; zwraca się o wskazanie w ramach tej kontroli obszarów, w których ESDZ zapewnia wyjątkową, niezastąpioną wartość dodaną, oraz obszarów, w których jej działania pokrywają się z działaniami państw członkowskich; jednocześnie apeluje do ESDZ o przeprowadzenie analizy kosztów i korzyści swojej globalnej sieci oraz o priorytetowe traktowanie zasobów przeznaczonych dla delegatur w krajach, które w wyraźny sposób przyczyniają się do realizacji bezpośrednich interesów UE, takich jak dobrobyt gospodarczy, bezpieczeństwo energetyczne, ochrona granic i zapobieganie nielegalnym przepływom </w:t>
            </w:r>
            <w:r w:rsidRPr="00B64DD1">
              <w:rPr>
                <w:b/>
                <w:i/>
              </w:rPr>
              <w:lastRenderedPageBreak/>
              <w:t>migracyjnym; nalega na ustanowienie jasnych, mierzalnych wskaźników wydajności w celu wykazania „opłacalności” działań na rzecz obywateli Unii i domaga się, aby ESDZ zaprzestała wszelkich działań lub misji, które w wyniku tych ocen zostaną uznane za nieskuteczne lub zbędne;</w:t>
            </w:r>
          </w:p>
        </w:tc>
      </w:tr>
    </w:tbl>
    <w:p w14:paraId="1CED582C"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585C622E" w14:textId="77777777" w:rsidR="00A82F4D" w:rsidRPr="00B64DD1" w:rsidRDefault="00A82F4D" w:rsidP="00A82F4D">
      <w:r w:rsidRPr="00B64DD1">
        <w:rPr>
          <w:rStyle w:val="HideTWBExt"/>
        </w:rPr>
        <w:t>&lt;/Amend&gt;</w:t>
      </w:r>
    </w:p>
    <w:p w14:paraId="7D30B2B7"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14</w:t>
      </w:r>
      <w:r w:rsidRPr="00B64DD1">
        <w:rPr>
          <w:rStyle w:val="HideTWBExt"/>
          <w:b w:val="0"/>
        </w:rPr>
        <w:t>&lt;/NumAm&gt;</w:t>
      </w:r>
    </w:p>
    <w:p w14:paraId="50450E11" w14:textId="77777777" w:rsidR="00A82F4D" w:rsidRPr="00B64DD1" w:rsidRDefault="00A82F4D" w:rsidP="00A82F4D">
      <w:pPr>
        <w:pStyle w:val="NormalBold"/>
      </w:pPr>
      <w:r w:rsidRPr="00B64DD1">
        <w:rPr>
          <w:rStyle w:val="HideTWBExt"/>
          <w:b w:val="0"/>
        </w:rPr>
        <w:t>&lt;RepeatBlock-By&gt;&lt;Members&gt;</w:t>
      </w:r>
      <w:proofErr w:type="spellStart"/>
      <w:r w:rsidRPr="00B64DD1">
        <w:t>Vlad</w:t>
      </w:r>
      <w:proofErr w:type="spellEnd"/>
      <w:r w:rsidRPr="00B64DD1">
        <w:t xml:space="preserve"> </w:t>
      </w:r>
      <w:proofErr w:type="spellStart"/>
      <w:r w:rsidRPr="00B64DD1">
        <w:t>Vasile-Voiculescu</w:t>
      </w:r>
      <w:proofErr w:type="spellEnd"/>
      <w:r w:rsidRPr="00B64DD1">
        <w:t xml:space="preserve">, Olivier </w:t>
      </w:r>
      <w:proofErr w:type="spellStart"/>
      <w:r w:rsidRPr="00B64DD1">
        <w:t>Chastel</w:t>
      </w:r>
      <w:proofErr w:type="spellEnd"/>
      <w:r w:rsidRPr="00B64DD1">
        <w:t xml:space="preserve">, </w:t>
      </w:r>
      <w:proofErr w:type="spellStart"/>
      <w:r w:rsidRPr="00B64DD1">
        <w:t>Gerben</w:t>
      </w:r>
      <w:proofErr w:type="spellEnd"/>
      <w:r w:rsidRPr="00B64DD1">
        <w:t xml:space="preserve">-Jan </w:t>
      </w:r>
      <w:proofErr w:type="spellStart"/>
      <w:r w:rsidRPr="00B64DD1">
        <w:t>Gerbrandy</w:t>
      </w:r>
      <w:proofErr w:type="spellEnd"/>
      <w:r w:rsidRPr="00B64DD1">
        <w:t xml:space="preserve">, </w:t>
      </w:r>
      <w:proofErr w:type="spellStart"/>
      <w:r w:rsidRPr="00B64DD1">
        <w:t>Gilles</w:t>
      </w:r>
      <w:proofErr w:type="spellEnd"/>
      <w:r w:rsidRPr="00B64DD1">
        <w:t xml:space="preserve"> </w:t>
      </w:r>
      <w:proofErr w:type="spellStart"/>
      <w:r w:rsidRPr="00B64DD1">
        <w:t>Boyer</w:t>
      </w:r>
      <w:proofErr w:type="spellEnd"/>
      <w:r w:rsidRPr="00B64DD1">
        <w:t xml:space="preserve">, Michal </w:t>
      </w:r>
      <w:proofErr w:type="spellStart"/>
      <w:r w:rsidRPr="00B64DD1">
        <w:t>Wiezik</w:t>
      </w:r>
      <w:proofErr w:type="spellEnd"/>
      <w:r w:rsidRPr="00B64DD1">
        <w:rPr>
          <w:rStyle w:val="HideTWBExt"/>
          <w:b w:val="0"/>
        </w:rPr>
        <w:t>&lt;/Members&gt;</w:t>
      </w:r>
    </w:p>
    <w:p w14:paraId="0439781F" w14:textId="77777777" w:rsidR="00A82F4D" w:rsidRPr="00B64DD1" w:rsidRDefault="00A82F4D" w:rsidP="00A82F4D">
      <w:pPr>
        <w:pStyle w:val="NormalBold"/>
      </w:pPr>
      <w:r w:rsidRPr="00B64DD1">
        <w:rPr>
          <w:rStyle w:val="HideTWBExt"/>
          <w:b w:val="0"/>
        </w:rPr>
        <w:t>&lt;/RepeatBlock-By&gt;</w:t>
      </w:r>
    </w:p>
    <w:p w14:paraId="2BC1FDDA"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4C345DB3" w14:textId="77777777" w:rsidR="00A82F4D" w:rsidRPr="00B64DD1" w:rsidRDefault="00A82F4D" w:rsidP="00A82F4D">
      <w:pPr>
        <w:pStyle w:val="NormalBold"/>
      </w:pPr>
      <w:r w:rsidRPr="00B64DD1">
        <w:rPr>
          <w:rStyle w:val="HideTWBExt"/>
          <w:b w:val="0"/>
        </w:rPr>
        <w:t>&lt;Article&gt;</w:t>
      </w:r>
      <w:r w:rsidRPr="00B64DD1">
        <w:t>Ustęp 10</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3DFC6AC7" w14:textId="77777777" w:rsidTr="00EA17FD">
        <w:trPr>
          <w:trHeight w:hRule="exact" w:val="240"/>
          <w:jc w:val="center"/>
        </w:trPr>
        <w:tc>
          <w:tcPr>
            <w:tcW w:w="9752" w:type="dxa"/>
            <w:gridSpan w:val="2"/>
            <w:tcBorders>
              <w:top w:val="nil"/>
              <w:left w:val="nil"/>
              <w:bottom w:val="nil"/>
              <w:right w:val="nil"/>
            </w:tcBorders>
          </w:tcPr>
          <w:p w14:paraId="0FFB7D23" w14:textId="77777777" w:rsidR="00A82F4D" w:rsidRPr="00B64DD1" w:rsidRDefault="00A82F4D" w:rsidP="00EA17FD"/>
        </w:tc>
      </w:tr>
      <w:tr w:rsidR="00A82F4D" w:rsidRPr="00B64DD1" w14:paraId="56BD75BB" w14:textId="77777777" w:rsidTr="00EA17FD">
        <w:trPr>
          <w:trHeight w:val="240"/>
          <w:jc w:val="center"/>
        </w:trPr>
        <w:tc>
          <w:tcPr>
            <w:tcW w:w="4876" w:type="dxa"/>
            <w:tcBorders>
              <w:top w:val="nil"/>
              <w:left w:val="nil"/>
              <w:bottom w:val="nil"/>
              <w:right w:val="nil"/>
            </w:tcBorders>
          </w:tcPr>
          <w:p w14:paraId="17991D93"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68105C9A" w14:textId="77777777" w:rsidR="00A82F4D" w:rsidRPr="00B64DD1" w:rsidRDefault="00A82F4D" w:rsidP="00EA17FD">
            <w:pPr>
              <w:pStyle w:val="AmColumnHeading"/>
            </w:pPr>
            <w:r w:rsidRPr="00B64DD1">
              <w:t>Poprawka</w:t>
            </w:r>
          </w:p>
        </w:tc>
      </w:tr>
      <w:tr w:rsidR="00A82F4D" w:rsidRPr="00B64DD1" w14:paraId="30E0E029" w14:textId="77777777" w:rsidTr="00EA17FD">
        <w:trPr>
          <w:jc w:val="center"/>
        </w:trPr>
        <w:tc>
          <w:tcPr>
            <w:tcW w:w="4876" w:type="dxa"/>
            <w:tcBorders>
              <w:top w:val="nil"/>
              <w:left w:val="nil"/>
              <w:bottom w:val="nil"/>
              <w:right w:val="nil"/>
            </w:tcBorders>
          </w:tcPr>
          <w:p w14:paraId="3D5A7574" w14:textId="77777777" w:rsidR="00A82F4D" w:rsidRPr="00B64DD1" w:rsidRDefault="00A82F4D" w:rsidP="00EA17FD">
            <w:pPr>
              <w:pStyle w:val="Normal6a"/>
            </w:pPr>
            <w:r w:rsidRPr="00B64DD1">
              <w:t>10.</w:t>
            </w:r>
            <w:r w:rsidRPr="00B64DD1">
              <w:tab/>
              <w:t>zauważa ponadto, że w 2024 r. odroczono inwestycje w nieruchomości i projekty związane z technologiami informacyjnymi oraz ograniczono liczbę stażystów; zauważa stanowisko ESDZ, zgodnie z którym ograniczenia te mogą w ostatecznym rozrachunku wpłynąć na globalną obecność Unii oraz bezpieczeństwo personelu; oczekuje, że dodatkowe 10 mln EUR przyznane ESDZ w budżecie na 2025 r. przyczyni się do poprawy wykonania budżetu ESDZ w kierunku realizacji jej celów oraz do uniknięcia sytuacji, w których obowiązek dochowania należytej staranności ESDZ wobec personelu oddelegowanego do delegatur Unii mógłby zostać naruszony;</w:t>
            </w:r>
          </w:p>
        </w:tc>
        <w:tc>
          <w:tcPr>
            <w:tcW w:w="4876" w:type="dxa"/>
            <w:tcBorders>
              <w:top w:val="nil"/>
              <w:left w:val="nil"/>
              <w:bottom w:val="nil"/>
              <w:right w:val="nil"/>
            </w:tcBorders>
          </w:tcPr>
          <w:p w14:paraId="5258B9E8" w14:textId="77777777" w:rsidR="00A82F4D" w:rsidRPr="00B64DD1" w:rsidRDefault="00A82F4D" w:rsidP="00EA17FD">
            <w:pPr>
              <w:pStyle w:val="Normal6a"/>
            </w:pPr>
            <w:r w:rsidRPr="00B64DD1">
              <w:t>10.</w:t>
            </w:r>
            <w:r w:rsidRPr="00B64DD1">
              <w:tab/>
              <w:t xml:space="preserve">zauważa ponadto, że w 2024 r. odroczono inwestycje w nieruchomości i projekty związane z technologiami informacyjnymi oraz ograniczono liczbę stażystów; zauważa stanowisko ESDZ, zgodnie z którym ograniczenia te mogą w ostatecznym rozrachunku wpłynąć na globalną obecność Unii oraz bezpieczeństwo personelu; oczekuje, że dodatkowe 10 mln EUR przyznane ESDZ w budżecie na 2025 r. przyczyni się do poprawy wykonania budżetu ESDZ w kierunku realizacji jej celów oraz do uniknięcia sytuacji, w których obowiązek dochowania należytej staranności ESDZ wobec personelu oddelegowanego do delegatur Unii mógłby zostać naruszony; </w:t>
            </w:r>
            <w:r w:rsidRPr="00B64DD1">
              <w:rPr>
                <w:b/>
                <w:i/>
              </w:rPr>
              <w:t xml:space="preserve">wzywa ESDZ, aby przedstawiła priorytetowy plan inwestycji w krytyczną infrastrukturę informatyczną, </w:t>
            </w:r>
            <w:proofErr w:type="spellStart"/>
            <w:r w:rsidRPr="00B64DD1">
              <w:rPr>
                <w:b/>
                <w:i/>
              </w:rPr>
              <w:t>cyberbezpieczeństwo</w:t>
            </w:r>
            <w:proofErr w:type="spellEnd"/>
            <w:r w:rsidRPr="00B64DD1">
              <w:rPr>
                <w:b/>
                <w:i/>
              </w:rPr>
              <w:t xml:space="preserve"> i infrastrukturę związaną z obowiązkiem opieki, w tym analizę kosztów i korzyści oraz oczekiwany wpływ operacyjny w celu uniknięcia powtarzających się opóźnień, </w:t>
            </w:r>
            <w:r w:rsidRPr="00B64DD1">
              <w:rPr>
                <w:b/>
                <w:i/>
              </w:rPr>
              <w:lastRenderedPageBreak/>
              <w:t>które podważają wydajność i bezpieczeństwo personelu.</w:t>
            </w:r>
          </w:p>
        </w:tc>
      </w:tr>
    </w:tbl>
    <w:p w14:paraId="3E04476E"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45352C30" w14:textId="77777777" w:rsidR="00A82F4D" w:rsidRPr="00B64DD1" w:rsidRDefault="00A82F4D" w:rsidP="00A82F4D">
      <w:r w:rsidRPr="00B64DD1">
        <w:rPr>
          <w:rStyle w:val="HideTWBExt"/>
        </w:rPr>
        <w:t>&lt;/Amend&gt;</w:t>
      </w:r>
    </w:p>
    <w:p w14:paraId="79995211"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15</w:t>
      </w:r>
      <w:r w:rsidRPr="00B64DD1">
        <w:rPr>
          <w:rStyle w:val="HideTWBExt"/>
          <w:b w:val="0"/>
        </w:rPr>
        <w:t>&lt;/NumAm&gt;</w:t>
      </w:r>
    </w:p>
    <w:p w14:paraId="09EE3DA8" w14:textId="77777777" w:rsidR="00A82F4D" w:rsidRPr="00B64DD1" w:rsidRDefault="00A82F4D" w:rsidP="00A82F4D">
      <w:pPr>
        <w:pStyle w:val="NormalBold"/>
      </w:pPr>
      <w:r w:rsidRPr="00B64DD1">
        <w:rPr>
          <w:rStyle w:val="HideTWBExt"/>
          <w:b w:val="0"/>
        </w:rPr>
        <w:t>&lt;RepeatBlock-By&gt;&lt;Members&gt;</w:t>
      </w:r>
      <w:r w:rsidRPr="00B64DD1">
        <w:t xml:space="preserve">Damian </w:t>
      </w:r>
      <w:proofErr w:type="spellStart"/>
      <w:r w:rsidRPr="00B64DD1">
        <w:t>Boeselager</w:t>
      </w:r>
      <w:proofErr w:type="spellEnd"/>
      <w:r w:rsidRPr="00B64DD1">
        <w:rPr>
          <w:rStyle w:val="HideTWBExt"/>
          <w:b w:val="0"/>
        </w:rPr>
        <w:t>&lt;/Members&gt;</w:t>
      </w:r>
    </w:p>
    <w:p w14:paraId="13C003AA" w14:textId="77777777" w:rsidR="00A82F4D" w:rsidRPr="00B64DD1" w:rsidRDefault="00A82F4D" w:rsidP="00A82F4D">
      <w:r w:rsidRPr="00B64DD1">
        <w:rPr>
          <w:rStyle w:val="HideTWBExt"/>
        </w:rPr>
        <w:t>&lt;AuNomDe&gt;</w:t>
      </w:r>
      <w:r w:rsidRPr="00B64DD1">
        <w:rPr>
          <w:rStyle w:val="HideTWBInt"/>
        </w:rPr>
        <w:t>{Verts/ALE}</w:t>
      </w:r>
      <w:r w:rsidRPr="00B64DD1">
        <w:t xml:space="preserve">w imieniu grupy </w:t>
      </w:r>
      <w:proofErr w:type="spellStart"/>
      <w:r w:rsidRPr="00B64DD1">
        <w:t>Verts</w:t>
      </w:r>
      <w:proofErr w:type="spellEnd"/>
      <w:r w:rsidRPr="00B64DD1">
        <w:t>/ALE</w:t>
      </w:r>
      <w:r w:rsidRPr="00B64DD1">
        <w:rPr>
          <w:rStyle w:val="HideTWBExt"/>
        </w:rPr>
        <w:t>&lt;/AuNomDe&gt;</w:t>
      </w:r>
    </w:p>
    <w:p w14:paraId="48595BFC" w14:textId="77777777" w:rsidR="00A82F4D" w:rsidRPr="00B64DD1" w:rsidRDefault="00A82F4D" w:rsidP="00A82F4D">
      <w:pPr>
        <w:pStyle w:val="NormalBold"/>
      </w:pPr>
      <w:r w:rsidRPr="00B64DD1">
        <w:rPr>
          <w:rStyle w:val="HideTWBExt"/>
          <w:b w:val="0"/>
        </w:rPr>
        <w:t>&lt;/RepeatBlock-By&gt;</w:t>
      </w:r>
    </w:p>
    <w:p w14:paraId="272ABA79"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2D408B53" w14:textId="77777777" w:rsidR="00A82F4D" w:rsidRPr="00B64DD1" w:rsidRDefault="00A82F4D" w:rsidP="00A82F4D">
      <w:pPr>
        <w:pStyle w:val="NormalBold"/>
      </w:pPr>
      <w:r w:rsidRPr="00B64DD1">
        <w:rPr>
          <w:rStyle w:val="HideTWBExt"/>
          <w:b w:val="0"/>
        </w:rPr>
        <w:t>&lt;Article&gt;</w:t>
      </w:r>
      <w:r w:rsidRPr="00B64DD1">
        <w:t>Ustęp 10</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1653D7A8" w14:textId="77777777" w:rsidTr="00EA17FD">
        <w:trPr>
          <w:trHeight w:hRule="exact" w:val="240"/>
          <w:jc w:val="center"/>
        </w:trPr>
        <w:tc>
          <w:tcPr>
            <w:tcW w:w="9752" w:type="dxa"/>
            <w:gridSpan w:val="2"/>
            <w:tcBorders>
              <w:top w:val="nil"/>
              <w:left w:val="nil"/>
              <w:bottom w:val="nil"/>
              <w:right w:val="nil"/>
            </w:tcBorders>
          </w:tcPr>
          <w:p w14:paraId="202DC10D" w14:textId="77777777" w:rsidR="00A82F4D" w:rsidRPr="00B64DD1" w:rsidRDefault="00A82F4D" w:rsidP="00EA17FD"/>
        </w:tc>
      </w:tr>
      <w:tr w:rsidR="00A82F4D" w:rsidRPr="00B64DD1" w14:paraId="01BA6AF5" w14:textId="77777777" w:rsidTr="00EA17FD">
        <w:trPr>
          <w:trHeight w:val="240"/>
          <w:jc w:val="center"/>
        </w:trPr>
        <w:tc>
          <w:tcPr>
            <w:tcW w:w="4876" w:type="dxa"/>
            <w:tcBorders>
              <w:top w:val="nil"/>
              <w:left w:val="nil"/>
              <w:bottom w:val="nil"/>
              <w:right w:val="nil"/>
            </w:tcBorders>
          </w:tcPr>
          <w:p w14:paraId="298509E5"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6FD96311" w14:textId="77777777" w:rsidR="00A82F4D" w:rsidRPr="00B64DD1" w:rsidRDefault="00A82F4D" w:rsidP="00EA17FD">
            <w:pPr>
              <w:pStyle w:val="AmColumnHeading"/>
            </w:pPr>
            <w:r w:rsidRPr="00B64DD1">
              <w:t>Poprawka</w:t>
            </w:r>
          </w:p>
        </w:tc>
      </w:tr>
      <w:tr w:rsidR="00A82F4D" w:rsidRPr="00B64DD1" w14:paraId="2580F34A" w14:textId="77777777" w:rsidTr="00EA17FD">
        <w:trPr>
          <w:jc w:val="center"/>
        </w:trPr>
        <w:tc>
          <w:tcPr>
            <w:tcW w:w="4876" w:type="dxa"/>
            <w:tcBorders>
              <w:top w:val="nil"/>
              <w:left w:val="nil"/>
              <w:bottom w:val="nil"/>
              <w:right w:val="nil"/>
            </w:tcBorders>
          </w:tcPr>
          <w:p w14:paraId="67A5DC25" w14:textId="77777777" w:rsidR="00A82F4D" w:rsidRPr="00B64DD1" w:rsidRDefault="00A82F4D" w:rsidP="00EA17FD">
            <w:pPr>
              <w:pStyle w:val="Normal6a"/>
            </w:pPr>
            <w:r w:rsidRPr="00B64DD1">
              <w:t>10.</w:t>
            </w:r>
            <w:r w:rsidRPr="00B64DD1">
              <w:tab/>
              <w:t xml:space="preserve">zauważa ponadto, że w 2024 r. odroczono inwestycje w nieruchomości i projekty związane z technologiami informacyjnymi oraz ograniczono liczbę stażystów; </w:t>
            </w:r>
            <w:r w:rsidRPr="00B64DD1">
              <w:rPr>
                <w:b/>
                <w:bCs/>
                <w:i/>
                <w:iCs/>
              </w:rPr>
              <w:t>zauważa stanowisko</w:t>
            </w:r>
            <w:r w:rsidRPr="00B64DD1">
              <w:t xml:space="preserve"> ESDZ</w:t>
            </w:r>
            <w:r w:rsidRPr="00B64DD1">
              <w:rPr>
                <w:b/>
                <w:bCs/>
                <w:i/>
                <w:iCs/>
              </w:rPr>
              <w:t>, zgodnie z którym ograniczenia te mogą w ostatecznym rozrachunku wpłynąć na globalną obecność Unii oraz bezpieczeństwo</w:t>
            </w:r>
            <w:r w:rsidRPr="00B64DD1">
              <w:t xml:space="preserve"> personelu; oczekuje, że dodatkowe 10 mln EUR przyznane ESDZ w budżecie na 2025 r. przyczyni się do poprawy wykonania budżetu ESDZ w kierunku realizacji jej celów </w:t>
            </w:r>
            <w:r w:rsidRPr="00B64DD1">
              <w:rPr>
                <w:b/>
                <w:bCs/>
                <w:i/>
                <w:iCs/>
              </w:rPr>
              <w:t>oraz do uniknięcia sytuacji, w których obowiązek dochowania należytej staranności ESDZ wobec personelu oddelegowanego do delegatur Unii mógłby zostać naruszony</w:t>
            </w:r>
            <w:r w:rsidRPr="00B64DD1">
              <w:t>;</w:t>
            </w:r>
          </w:p>
        </w:tc>
        <w:tc>
          <w:tcPr>
            <w:tcW w:w="4876" w:type="dxa"/>
            <w:tcBorders>
              <w:top w:val="nil"/>
              <w:left w:val="nil"/>
              <w:bottom w:val="nil"/>
              <w:right w:val="nil"/>
            </w:tcBorders>
          </w:tcPr>
          <w:p w14:paraId="60FB588D" w14:textId="77777777" w:rsidR="00A82F4D" w:rsidRPr="00B64DD1" w:rsidRDefault="00A82F4D" w:rsidP="00EA17FD">
            <w:pPr>
              <w:pStyle w:val="Normal6a"/>
            </w:pPr>
            <w:r w:rsidRPr="00B64DD1">
              <w:t>10.</w:t>
            </w:r>
            <w:r w:rsidRPr="00B64DD1">
              <w:tab/>
              <w:t xml:space="preserve">zauważa ponadto, że w 2024 r. odroczono inwestycje w nieruchomości i projekty związane z technologiami informacyjnymi oraz ograniczono liczbę stażystów; </w:t>
            </w:r>
            <w:r w:rsidRPr="00B64DD1">
              <w:rPr>
                <w:b/>
                <w:bCs/>
                <w:i/>
                <w:iCs/>
              </w:rPr>
              <w:t>ostrzega, że dalsze odkładanie inwestycji i redukcje personelu mogą podważyć obowiązek dochowania należytej staranności</w:t>
            </w:r>
            <w:r w:rsidRPr="00B64DD1">
              <w:t xml:space="preserve"> ESDZ</w:t>
            </w:r>
            <w:r w:rsidRPr="00B64DD1">
              <w:rPr>
                <w:b/>
                <w:bCs/>
                <w:i/>
                <w:iCs/>
              </w:rPr>
              <w:t>, zwłaszcza w odniesieniu do bezpieczeństwa</w:t>
            </w:r>
            <w:r w:rsidRPr="00B64DD1">
              <w:t xml:space="preserve"> personelu</w:t>
            </w:r>
            <w:r w:rsidRPr="00B64DD1">
              <w:rPr>
                <w:b/>
                <w:bCs/>
                <w:i/>
                <w:iCs/>
              </w:rPr>
              <w:t>, zdrowia psychicznego i bezpieczeństwa w przypadku placówek o wysokim ryzyku;</w:t>
            </w:r>
            <w:r w:rsidRPr="00B64DD1">
              <w:rPr>
                <w:b/>
                <w:i/>
              </w:rPr>
              <w:t xml:space="preserve"> </w:t>
            </w:r>
            <w:r w:rsidRPr="00B64DD1">
              <w:rPr>
                <w:b/>
                <w:bCs/>
                <w:i/>
                <w:iCs/>
              </w:rPr>
              <w:t>oczekuje, że w przyszłych decyzjach budżetowych obowiązki te będą traktowane priorytetowo</w:t>
            </w:r>
            <w:r w:rsidRPr="00B64DD1">
              <w:t>; oczekuje, że dodatkowe 10 mln EUR przyznane ESDZ w budżecie na 2025 r. przyczyni się do poprawy wykonania budżetu ESDZ w kierunku realizacji jej celów;</w:t>
            </w:r>
          </w:p>
        </w:tc>
      </w:tr>
    </w:tbl>
    <w:p w14:paraId="5F021E18"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6F49721B" w14:textId="77777777" w:rsidR="00A82F4D" w:rsidRPr="00B64DD1" w:rsidRDefault="00A82F4D" w:rsidP="00A82F4D">
      <w:r w:rsidRPr="00B64DD1">
        <w:rPr>
          <w:rStyle w:val="HideTWBExt"/>
        </w:rPr>
        <w:t>&lt;/Amend&gt;</w:t>
      </w:r>
    </w:p>
    <w:p w14:paraId="70CCC805"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16</w:t>
      </w:r>
      <w:r w:rsidRPr="00B64DD1">
        <w:rPr>
          <w:rStyle w:val="HideTWBExt"/>
          <w:b w:val="0"/>
        </w:rPr>
        <w:t>&lt;/NumAm&gt;</w:t>
      </w:r>
    </w:p>
    <w:p w14:paraId="7B224A58" w14:textId="77777777" w:rsidR="00A82F4D" w:rsidRPr="00B64DD1" w:rsidRDefault="00A82F4D" w:rsidP="00A82F4D">
      <w:pPr>
        <w:pStyle w:val="NormalBold"/>
      </w:pPr>
      <w:r w:rsidRPr="00B64DD1">
        <w:rPr>
          <w:rStyle w:val="HideTWBExt"/>
          <w:b w:val="0"/>
        </w:rPr>
        <w:t>&lt;RepeatBlock-By&gt;&lt;Members&gt;</w:t>
      </w:r>
      <w:proofErr w:type="spellStart"/>
      <w:r w:rsidRPr="00B64DD1">
        <w:t>Andrey</w:t>
      </w:r>
      <w:proofErr w:type="spellEnd"/>
      <w:r w:rsidRPr="00B64DD1">
        <w:t xml:space="preserve"> </w:t>
      </w:r>
      <w:proofErr w:type="spellStart"/>
      <w:r w:rsidRPr="00B64DD1">
        <w:t>Kovatchev</w:t>
      </w:r>
      <w:proofErr w:type="spellEnd"/>
      <w:r w:rsidRPr="00B64DD1">
        <w:rPr>
          <w:rStyle w:val="HideTWBExt"/>
          <w:b w:val="0"/>
        </w:rPr>
        <w:t>&lt;/Members&gt;</w:t>
      </w:r>
    </w:p>
    <w:p w14:paraId="6D8B0CC6" w14:textId="77777777" w:rsidR="00A82F4D" w:rsidRPr="00B64DD1" w:rsidRDefault="00A82F4D" w:rsidP="00A82F4D">
      <w:pPr>
        <w:pStyle w:val="NormalBold"/>
      </w:pPr>
      <w:r w:rsidRPr="00B64DD1">
        <w:rPr>
          <w:rStyle w:val="HideTWBExt"/>
          <w:b w:val="0"/>
        </w:rPr>
        <w:t>&lt;/RepeatBlock-By&gt;</w:t>
      </w:r>
    </w:p>
    <w:p w14:paraId="0A75FD0C"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6B79653C" w14:textId="77777777" w:rsidR="00A82F4D" w:rsidRPr="00B64DD1" w:rsidRDefault="00A82F4D" w:rsidP="00A82F4D">
      <w:pPr>
        <w:pStyle w:val="NormalBold"/>
      </w:pPr>
      <w:r w:rsidRPr="00B64DD1">
        <w:rPr>
          <w:rStyle w:val="HideTWBExt"/>
          <w:b w:val="0"/>
        </w:rPr>
        <w:t>&lt;Article&gt;</w:t>
      </w:r>
      <w:r w:rsidRPr="00B64DD1">
        <w:t>Ustęp 11</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1304004C" w14:textId="77777777" w:rsidTr="00EA17FD">
        <w:trPr>
          <w:trHeight w:hRule="exact" w:val="240"/>
          <w:jc w:val="center"/>
        </w:trPr>
        <w:tc>
          <w:tcPr>
            <w:tcW w:w="9752" w:type="dxa"/>
            <w:gridSpan w:val="2"/>
            <w:tcBorders>
              <w:top w:val="nil"/>
              <w:left w:val="nil"/>
              <w:bottom w:val="nil"/>
              <w:right w:val="nil"/>
            </w:tcBorders>
          </w:tcPr>
          <w:p w14:paraId="2B2DB1A0" w14:textId="77777777" w:rsidR="00A82F4D" w:rsidRPr="00B64DD1" w:rsidRDefault="00A82F4D" w:rsidP="00EA17FD"/>
        </w:tc>
      </w:tr>
      <w:tr w:rsidR="00A82F4D" w:rsidRPr="00B64DD1" w14:paraId="109F4005" w14:textId="77777777" w:rsidTr="00EA17FD">
        <w:trPr>
          <w:trHeight w:val="240"/>
          <w:jc w:val="center"/>
        </w:trPr>
        <w:tc>
          <w:tcPr>
            <w:tcW w:w="4876" w:type="dxa"/>
            <w:tcBorders>
              <w:top w:val="nil"/>
              <w:left w:val="nil"/>
              <w:bottom w:val="nil"/>
              <w:right w:val="nil"/>
            </w:tcBorders>
          </w:tcPr>
          <w:p w14:paraId="1B8C2DCA"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6BC5717A" w14:textId="77777777" w:rsidR="00A82F4D" w:rsidRPr="00B64DD1" w:rsidRDefault="00A82F4D" w:rsidP="00EA17FD">
            <w:pPr>
              <w:pStyle w:val="AmColumnHeading"/>
            </w:pPr>
            <w:r w:rsidRPr="00B64DD1">
              <w:t>Poprawka</w:t>
            </w:r>
          </w:p>
        </w:tc>
      </w:tr>
      <w:tr w:rsidR="00A82F4D" w:rsidRPr="00B64DD1" w14:paraId="36FEAD06" w14:textId="77777777" w:rsidTr="00EA17FD">
        <w:trPr>
          <w:jc w:val="center"/>
        </w:trPr>
        <w:tc>
          <w:tcPr>
            <w:tcW w:w="4876" w:type="dxa"/>
            <w:tcBorders>
              <w:top w:val="nil"/>
              <w:left w:val="nil"/>
              <w:bottom w:val="nil"/>
              <w:right w:val="nil"/>
            </w:tcBorders>
          </w:tcPr>
          <w:p w14:paraId="4867CC78" w14:textId="77777777" w:rsidR="00A82F4D" w:rsidRPr="00B64DD1" w:rsidRDefault="00A82F4D" w:rsidP="00EA17FD">
            <w:pPr>
              <w:pStyle w:val="Normal6a"/>
            </w:pPr>
            <w:r w:rsidRPr="00B64DD1">
              <w:t>11.</w:t>
            </w:r>
            <w:r w:rsidRPr="00B64DD1">
              <w:tab/>
              <w:t xml:space="preserve">zauważa, że w 2024 r. pułap finansowy Europejskiego Instrumentu na </w:t>
            </w:r>
            <w:r w:rsidRPr="00B64DD1">
              <w:lastRenderedPageBreak/>
              <w:t>rzecz Pokoju zarządzanego pod zwierzchnictwem wiceprzewodniczącej / wysokiej przedstawicielki zwiększono z 12 mld EUR w 2023 r. do 17 mld EUR w 2024 r., przy czym dodatkowe 5 mld EUR przeznaczono na wsparcie wojskowe dla Ukrainy; wzywa ESDZ do współpracy z Dyrekcją Generalną Komisji ds. Rozszerzenia i Wschodniego Sąsiedztwa (DG ENEST) w celu zapewnienia skutecznego nadzoru nad projektami finansowanymi z Europejskiego Instrumentu na rzecz Pokoju oraz monitorowania tych projektów;</w:t>
            </w:r>
          </w:p>
        </w:tc>
        <w:tc>
          <w:tcPr>
            <w:tcW w:w="4876" w:type="dxa"/>
            <w:tcBorders>
              <w:top w:val="nil"/>
              <w:left w:val="nil"/>
              <w:bottom w:val="nil"/>
              <w:right w:val="nil"/>
            </w:tcBorders>
          </w:tcPr>
          <w:p w14:paraId="511BEA77" w14:textId="77777777" w:rsidR="00A82F4D" w:rsidRPr="00B64DD1" w:rsidRDefault="00A82F4D" w:rsidP="00EA17FD">
            <w:pPr>
              <w:pStyle w:val="Normal6a"/>
            </w:pPr>
            <w:r w:rsidRPr="00B64DD1">
              <w:lastRenderedPageBreak/>
              <w:t>11.</w:t>
            </w:r>
            <w:r w:rsidRPr="00B64DD1">
              <w:tab/>
              <w:t xml:space="preserve">zauważa, że w 2024 r. pułap finansowy Europejskiego Instrumentu na </w:t>
            </w:r>
            <w:r w:rsidRPr="00B64DD1">
              <w:lastRenderedPageBreak/>
              <w:t xml:space="preserve">rzecz Pokoju zarządzanego pod zwierzchnictwem wiceprzewodniczącej / wysokiej przedstawicielki zwiększono z 12 mld EUR w 2023 r. do 17 mld EUR w 2024 r., przy czym dodatkowe 5 mld EUR przeznaczono na wsparcie wojskowe dla Ukrainy; wzywa ESDZ do współpracy z Dyrekcją Generalną Komisji ds. Rozszerzenia i Wschodniego Sąsiedztwa (DG ENEST) w celu zapewnienia skutecznego nadzoru nad projektami finansowanymi z Europejskiego Instrumentu na rzecz Pokoju oraz monitorowania tych projektów; </w:t>
            </w:r>
            <w:r w:rsidRPr="00B64DD1">
              <w:rPr>
                <w:b/>
                <w:i/>
              </w:rPr>
              <w:t>uznaje Europejski Instrument na rzecz Pokoju za niezbędne narzędzie w dobie konkurencji geopolitycznej, służące wzmocnieniu roli UE jako gwaranta bezpieczeństwa, przy jednoczesnym dążeniu do bardziej zdecydowanej i zjednoczonej europejskiej współpracy w dziedzinie obronności;</w:t>
            </w:r>
          </w:p>
        </w:tc>
      </w:tr>
    </w:tbl>
    <w:p w14:paraId="63409831"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401B87E9" w14:textId="77777777" w:rsidR="00A82F4D" w:rsidRPr="00B64DD1" w:rsidRDefault="00A82F4D" w:rsidP="00A82F4D">
      <w:r w:rsidRPr="00B64DD1">
        <w:rPr>
          <w:rStyle w:val="HideTWBExt"/>
        </w:rPr>
        <w:t>&lt;/Amend&gt;</w:t>
      </w:r>
    </w:p>
    <w:p w14:paraId="2E25333C"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17</w:t>
      </w:r>
      <w:r w:rsidRPr="00B64DD1">
        <w:rPr>
          <w:rStyle w:val="HideTWBExt"/>
          <w:b w:val="0"/>
        </w:rPr>
        <w:t>&lt;/NumAm&gt;</w:t>
      </w:r>
    </w:p>
    <w:p w14:paraId="642B3D97" w14:textId="77777777" w:rsidR="00A82F4D" w:rsidRPr="00B64DD1" w:rsidRDefault="00A82F4D" w:rsidP="00A82F4D">
      <w:pPr>
        <w:pStyle w:val="NormalBold"/>
      </w:pPr>
      <w:r w:rsidRPr="00B64DD1">
        <w:rPr>
          <w:rStyle w:val="HideTWBExt"/>
          <w:b w:val="0"/>
        </w:rPr>
        <w:t>&lt;RepeatBlock-By&gt;&lt;Members&gt;</w:t>
      </w:r>
      <w:r w:rsidRPr="00B64DD1">
        <w:t xml:space="preserve">Damian </w:t>
      </w:r>
      <w:proofErr w:type="spellStart"/>
      <w:r w:rsidRPr="00B64DD1">
        <w:t>Boeselager</w:t>
      </w:r>
      <w:proofErr w:type="spellEnd"/>
      <w:r w:rsidRPr="00B64DD1">
        <w:rPr>
          <w:rStyle w:val="HideTWBExt"/>
          <w:b w:val="0"/>
        </w:rPr>
        <w:t>&lt;/Members&gt;</w:t>
      </w:r>
    </w:p>
    <w:p w14:paraId="69E6BDEB" w14:textId="77777777" w:rsidR="00A82F4D" w:rsidRPr="00B64DD1" w:rsidRDefault="00A82F4D" w:rsidP="00A82F4D">
      <w:r w:rsidRPr="00B64DD1">
        <w:rPr>
          <w:rStyle w:val="HideTWBExt"/>
        </w:rPr>
        <w:t>&lt;AuNomDe&gt;</w:t>
      </w:r>
      <w:r w:rsidRPr="00B64DD1">
        <w:rPr>
          <w:rStyle w:val="HideTWBInt"/>
        </w:rPr>
        <w:t>{Verts/ALE}</w:t>
      </w:r>
      <w:r w:rsidRPr="00B64DD1">
        <w:t xml:space="preserve">w imieniu grupy </w:t>
      </w:r>
      <w:proofErr w:type="spellStart"/>
      <w:r w:rsidRPr="00B64DD1">
        <w:t>Verts</w:t>
      </w:r>
      <w:proofErr w:type="spellEnd"/>
      <w:r w:rsidRPr="00B64DD1">
        <w:t>/ALE</w:t>
      </w:r>
      <w:r w:rsidRPr="00B64DD1">
        <w:rPr>
          <w:rStyle w:val="HideTWBExt"/>
        </w:rPr>
        <w:t>&lt;/AuNomDe&gt;</w:t>
      </w:r>
    </w:p>
    <w:p w14:paraId="5410C812" w14:textId="77777777" w:rsidR="00A82F4D" w:rsidRPr="00B64DD1" w:rsidRDefault="00A82F4D" w:rsidP="00A82F4D">
      <w:pPr>
        <w:pStyle w:val="NormalBold"/>
      </w:pPr>
      <w:r w:rsidRPr="00B64DD1">
        <w:rPr>
          <w:rStyle w:val="HideTWBExt"/>
          <w:b w:val="0"/>
        </w:rPr>
        <w:t>&lt;/RepeatBlock-By&gt;</w:t>
      </w:r>
    </w:p>
    <w:p w14:paraId="22D8435E"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5D9D250B" w14:textId="77777777" w:rsidR="00A82F4D" w:rsidRPr="00B64DD1" w:rsidRDefault="00A82F4D" w:rsidP="00A82F4D">
      <w:pPr>
        <w:pStyle w:val="NormalBold"/>
      </w:pPr>
      <w:r w:rsidRPr="00B64DD1">
        <w:rPr>
          <w:rStyle w:val="HideTWBExt"/>
          <w:b w:val="0"/>
        </w:rPr>
        <w:t>&lt;Article&gt;</w:t>
      </w:r>
      <w:r w:rsidRPr="00B64DD1">
        <w:t>Ustęp 11 a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38E3B20C" w14:textId="77777777" w:rsidTr="00EA17FD">
        <w:trPr>
          <w:trHeight w:hRule="exact" w:val="240"/>
          <w:jc w:val="center"/>
        </w:trPr>
        <w:tc>
          <w:tcPr>
            <w:tcW w:w="9752" w:type="dxa"/>
            <w:gridSpan w:val="2"/>
            <w:tcBorders>
              <w:top w:val="nil"/>
              <w:left w:val="nil"/>
              <w:bottom w:val="nil"/>
              <w:right w:val="nil"/>
            </w:tcBorders>
          </w:tcPr>
          <w:p w14:paraId="70A3042A" w14:textId="77777777" w:rsidR="00A82F4D" w:rsidRPr="00B64DD1" w:rsidRDefault="00A82F4D" w:rsidP="00EA17FD"/>
        </w:tc>
      </w:tr>
      <w:tr w:rsidR="00A82F4D" w:rsidRPr="00B64DD1" w14:paraId="681A149C" w14:textId="77777777" w:rsidTr="00EA17FD">
        <w:trPr>
          <w:trHeight w:val="240"/>
          <w:jc w:val="center"/>
        </w:trPr>
        <w:tc>
          <w:tcPr>
            <w:tcW w:w="4876" w:type="dxa"/>
            <w:tcBorders>
              <w:top w:val="nil"/>
              <w:left w:val="nil"/>
              <w:bottom w:val="nil"/>
              <w:right w:val="nil"/>
            </w:tcBorders>
          </w:tcPr>
          <w:p w14:paraId="12325AB1"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30CDF418" w14:textId="77777777" w:rsidR="00A82F4D" w:rsidRPr="00B64DD1" w:rsidRDefault="00A82F4D" w:rsidP="00EA17FD">
            <w:pPr>
              <w:pStyle w:val="AmColumnHeading"/>
            </w:pPr>
            <w:r w:rsidRPr="00B64DD1">
              <w:t>Poprawka</w:t>
            </w:r>
          </w:p>
        </w:tc>
      </w:tr>
      <w:tr w:rsidR="00A82F4D" w:rsidRPr="00B64DD1" w14:paraId="366C3F1F" w14:textId="77777777" w:rsidTr="00EA17FD">
        <w:trPr>
          <w:jc w:val="center"/>
        </w:trPr>
        <w:tc>
          <w:tcPr>
            <w:tcW w:w="4876" w:type="dxa"/>
            <w:tcBorders>
              <w:top w:val="nil"/>
              <w:left w:val="nil"/>
              <w:bottom w:val="nil"/>
              <w:right w:val="nil"/>
            </w:tcBorders>
          </w:tcPr>
          <w:p w14:paraId="4B9580FC" w14:textId="77777777" w:rsidR="00A82F4D" w:rsidRPr="00B64DD1" w:rsidRDefault="00A82F4D" w:rsidP="00EA17FD">
            <w:pPr>
              <w:pStyle w:val="Normal6a"/>
            </w:pPr>
          </w:p>
        </w:tc>
        <w:tc>
          <w:tcPr>
            <w:tcW w:w="4876" w:type="dxa"/>
            <w:tcBorders>
              <w:top w:val="nil"/>
              <w:left w:val="nil"/>
              <w:bottom w:val="nil"/>
              <w:right w:val="nil"/>
            </w:tcBorders>
          </w:tcPr>
          <w:p w14:paraId="418214FF" w14:textId="77777777" w:rsidR="00A82F4D" w:rsidRPr="00B64DD1" w:rsidRDefault="00A82F4D" w:rsidP="00EA17FD">
            <w:pPr>
              <w:pStyle w:val="Normal6a"/>
            </w:pPr>
            <w:r w:rsidRPr="00B64DD1">
              <w:rPr>
                <w:b/>
                <w:i/>
              </w:rPr>
              <w:t>11a.</w:t>
            </w:r>
            <w:r w:rsidRPr="00B64DD1">
              <w:tab/>
            </w:r>
            <w:r w:rsidRPr="00B64DD1">
              <w:rPr>
                <w:b/>
                <w:i/>
              </w:rPr>
              <w:t xml:space="preserve">podkreśla, że znaczne zwiększenie finansowania z Europejskiego Instrumentu na rzecz Pokoju wymaga większej przejrzystości i nadzoru parlamentarnego; wzywa do regularnego, ustrukturyzowanego składania sprawozdań organowi udzielającemu absolutorium w sprawie zarządzania ryzykiem, ustaleń dotyczących monitorowania oraz zgodności z wartościami Unii i międzynarodowym prawem humanitarnym; wzywa do wprowadzenia wiążących ocen w zakresie praw człowieka w odniesieniu całej </w:t>
            </w:r>
            <w:r w:rsidRPr="00B64DD1">
              <w:rPr>
                <w:b/>
                <w:i/>
              </w:rPr>
              <w:lastRenderedPageBreak/>
              <w:t>pomocy w dziedzinie bezpieczeństwa i pomocy wojskowej udzielanej w ramach EPF;</w:t>
            </w:r>
          </w:p>
        </w:tc>
      </w:tr>
    </w:tbl>
    <w:p w14:paraId="71BE62D9"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2FE30FD3" w14:textId="77777777" w:rsidR="00A82F4D" w:rsidRPr="00B64DD1" w:rsidRDefault="00A82F4D" w:rsidP="00A82F4D">
      <w:r w:rsidRPr="00B64DD1">
        <w:rPr>
          <w:rStyle w:val="HideTWBExt"/>
        </w:rPr>
        <w:t>&lt;/Amend&gt;</w:t>
      </w:r>
    </w:p>
    <w:p w14:paraId="27168269"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18</w:t>
      </w:r>
      <w:r w:rsidRPr="00B64DD1">
        <w:rPr>
          <w:rStyle w:val="HideTWBExt"/>
          <w:b w:val="0"/>
        </w:rPr>
        <w:t>&lt;/NumAm&gt;</w:t>
      </w:r>
    </w:p>
    <w:p w14:paraId="2595CD23" w14:textId="77777777" w:rsidR="00A82F4D" w:rsidRPr="00B64DD1" w:rsidRDefault="00A82F4D" w:rsidP="00A82F4D">
      <w:pPr>
        <w:pStyle w:val="NormalBold"/>
      </w:pPr>
      <w:r w:rsidRPr="00B64DD1">
        <w:rPr>
          <w:rStyle w:val="HideTWBExt"/>
          <w:b w:val="0"/>
        </w:rPr>
        <w:t>&lt;RepeatBlock-By&gt;&lt;Members&gt;</w:t>
      </w:r>
      <w:proofErr w:type="spellStart"/>
      <w:r w:rsidRPr="00B64DD1">
        <w:t>Tamás</w:t>
      </w:r>
      <w:proofErr w:type="spellEnd"/>
      <w:r w:rsidRPr="00B64DD1">
        <w:t xml:space="preserve"> </w:t>
      </w:r>
      <w:proofErr w:type="spellStart"/>
      <w:r w:rsidRPr="00B64DD1">
        <w:t>Deutsch</w:t>
      </w:r>
      <w:proofErr w:type="spellEnd"/>
      <w:r w:rsidRPr="00B64DD1">
        <w:rPr>
          <w:rStyle w:val="HideTWBExt"/>
          <w:b w:val="0"/>
        </w:rPr>
        <w:t>&lt;/Members&gt;</w:t>
      </w:r>
    </w:p>
    <w:p w14:paraId="7EEB8D21" w14:textId="77777777" w:rsidR="00A82F4D" w:rsidRPr="00B64DD1" w:rsidRDefault="00A82F4D" w:rsidP="00A82F4D">
      <w:pPr>
        <w:pStyle w:val="NormalBold"/>
      </w:pPr>
      <w:r w:rsidRPr="00B64DD1">
        <w:rPr>
          <w:rStyle w:val="HideTWBExt"/>
          <w:b w:val="0"/>
        </w:rPr>
        <w:t>&lt;/RepeatBlock-By&gt;</w:t>
      </w:r>
    </w:p>
    <w:p w14:paraId="2D922DE4"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5BF743E4" w14:textId="77777777" w:rsidR="00A82F4D" w:rsidRPr="00B64DD1" w:rsidRDefault="00A82F4D" w:rsidP="00A82F4D">
      <w:pPr>
        <w:pStyle w:val="NormalBold"/>
      </w:pPr>
      <w:r w:rsidRPr="00B64DD1">
        <w:rPr>
          <w:rStyle w:val="HideTWBExt"/>
          <w:b w:val="0"/>
        </w:rPr>
        <w:t>&lt;Article&gt;</w:t>
      </w:r>
      <w:r w:rsidRPr="00B64DD1">
        <w:t>Ustęp 11 a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362B0CC0" w14:textId="77777777" w:rsidTr="00EA17FD">
        <w:trPr>
          <w:trHeight w:hRule="exact" w:val="240"/>
          <w:jc w:val="center"/>
        </w:trPr>
        <w:tc>
          <w:tcPr>
            <w:tcW w:w="9752" w:type="dxa"/>
            <w:gridSpan w:val="2"/>
            <w:tcBorders>
              <w:top w:val="nil"/>
              <w:left w:val="nil"/>
              <w:bottom w:val="nil"/>
              <w:right w:val="nil"/>
            </w:tcBorders>
          </w:tcPr>
          <w:p w14:paraId="37F46748" w14:textId="77777777" w:rsidR="00A82F4D" w:rsidRPr="00B64DD1" w:rsidRDefault="00A82F4D" w:rsidP="00EA17FD"/>
        </w:tc>
      </w:tr>
      <w:tr w:rsidR="00A82F4D" w:rsidRPr="00B64DD1" w14:paraId="75F7587F" w14:textId="77777777" w:rsidTr="00EA17FD">
        <w:trPr>
          <w:trHeight w:val="240"/>
          <w:jc w:val="center"/>
        </w:trPr>
        <w:tc>
          <w:tcPr>
            <w:tcW w:w="4876" w:type="dxa"/>
            <w:tcBorders>
              <w:top w:val="nil"/>
              <w:left w:val="nil"/>
              <w:bottom w:val="nil"/>
              <w:right w:val="nil"/>
            </w:tcBorders>
          </w:tcPr>
          <w:p w14:paraId="2C94E231"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66B62D5E" w14:textId="77777777" w:rsidR="00A82F4D" w:rsidRPr="00B64DD1" w:rsidRDefault="00A82F4D" w:rsidP="00EA17FD">
            <w:pPr>
              <w:pStyle w:val="AmColumnHeading"/>
            </w:pPr>
            <w:r w:rsidRPr="00B64DD1">
              <w:t>Poprawka</w:t>
            </w:r>
          </w:p>
        </w:tc>
      </w:tr>
      <w:tr w:rsidR="00A82F4D" w:rsidRPr="00B64DD1" w14:paraId="04460A64" w14:textId="77777777" w:rsidTr="00EA17FD">
        <w:trPr>
          <w:jc w:val="center"/>
        </w:trPr>
        <w:tc>
          <w:tcPr>
            <w:tcW w:w="4876" w:type="dxa"/>
            <w:tcBorders>
              <w:top w:val="nil"/>
              <w:left w:val="nil"/>
              <w:bottom w:val="nil"/>
              <w:right w:val="nil"/>
            </w:tcBorders>
          </w:tcPr>
          <w:p w14:paraId="2D0AE8D0" w14:textId="77777777" w:rsidR="00A82F4D" w:rsidRPr="00B64DD1" w:rsidRDefault="00A82F4D" w:rsidP="00EA17FD">
            <w:pPr>
              <w:pStyle w:val="Normal6a"/>
            </w:pPr>
          </w:p>
        </w:tc>
        <w:tc>
          <w:tcPr>
            <w:tcW w:w="4876" w:type="dxa"/>
            <w:tcBorders>
              <w:top w:val="nil"/>
              <w:left w:val="nil"/>
              <w:bottom w:val="nil"/>
              <w:right w:val="nil"/>
            </w:tcBorders>
          </w:tcPr>
          <w:p w14:paraId="169243F7" w14:textId="77777777" w:rsidR="00A82F4D" w:rsidRPr="00B64DD1" w:rsidRDefault="00A82F4D" w:rsidP="00EA17FD">
            <w:pPr>
              <w:pStyle w:val="Normal6a"/>
            </w:pPr>
            <w:r w:rsidRPr="00B64DD1">
              <w:rPr>
                <w:b/>
                <w:i/>
              </w:rPr>
              <w:t>11a.</w:t>
            </w:r>
            <w:r w:rsidRPr="00B64DD1">
              <w:tab/>
            </w:r>
            <w:r w:rsidRPr="00B64DD1">
              <w:rPr>
                <w:b/>
                <w:i/>
              </w:rPr>
              <w:t>przypomina ESDZ o zaleceniach Trybunału Obrachunkowego, zgodnie z którymi niezbędne jest określenie bardziej rygorystycznych warunków wsparcia w Ukrainie, przy udzielaniu wsparcia instytucjonalnego dla instytucji sądowych, organów ścigania i instytucji prokuratorskich, podkreślenie kryteriów uczciwości i dążenia do reform, a także w szczególności w przypadku walki z korupcją w Ukrainie, przez skoncentrowanie się na wkładzie UE;</w:t>
            </w:r>
          </w:p>
        </w:tc>
      </w:tr>
    </w:tbl>
    <w:p w14:paraId="0E093F86"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13D6BD11" w14:textId="77777777" w:rsidR="00A82F4D" w:rsidRPr="00B64DD1" w:rsidRDefault="00A82F4D" w:rsidP="00A82F4D">
      <w:r w:rsidRPr="00B64DD1">
        <w:rPr>
          <w:rStyle w:val="HideTWBExt"/>
        </w:rPr>
        <w:t>&lt;/Amend&gt;</w:t>
      </w:r>
    </w:p>
    <w:p w14:paraId="532F8C60"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19</w:t>
      </w:r>
      <w:r w:rsidRPr="00B64DD1">
        <w:rPr>
          <w:rStyle w:val="HideTWBExt"/>
          <w:b w:val="0"/>
        </w:rPr>
        <w:t>&lt;/NumAm&gt;</w:t>
      </w:r>
    </w:p>
    <w:p w14:paraId="62291B43" w14:textId="77777777" w:rsidR="00A82F4D" w:rsidRPr="00B64DD1" w:rsidRDefault="00A82F4D" w:rsidP="00A82F4D">
      <w:pPr>
        <w:pStyle w:val="NormalBold"/>
      </w:pPr>
      <w:r w:rsidRPr="00B64DD1">
        <w:rPr>
          <w:rStyle w:val="HideTWBExt"/>
          <w:b w:val="0"/>
        </w:rPr>
        <w:t>&lt;RepeatBlock-By&gt;&lt;Members&gt;</w:t>
      </w:r>
      <w:proofErr w:type="spellStart"/>
      <w:r w:rsidRPr="00B64DD1">
        <w:t>Şerban</w:t>
      </w:r>
      <w:proofErr w:type="spellEnd"/>
      <w:r w:rsidRPr="00B64DD1">
        <w:t xml:space="preserve"> </w:t>
      </w:r>
      <w:proofErr w:type="spellStart"/>
      <w:r w:rsidRPr="00B64DD1">
        <w:t>Dimitrie</w:t>
      </w:r>
      <w:proofErr w:type="spellEnd"/>
      <w:r w:rsidRPr="00B64DD1">
        <w:t xml:space="preserve"> </w:t>
      </w:r>
      <w:proofErr w:type="spellStart"/>
      <w:r w:rsidRPr="00B64DD1">
        <w:t>Sturdza</w:t>
      </w:r>
      <w:proofErr w:type="spellEnd"/>
      <w:r w:rsidRPr="00B64DD1">
        <w:rPr>
          <w:rStyle w:val="HideTWBExt"/>
          <w:b w:val="0"/>
        </w:rPr>
        <w:t>&lt;/Members&gt;</w:t>
      </w:r>
    </w:p>
    <w:p w14:paraId="5E07B1C1" w14:textId="77777777" w:rsidR="00A82F4D" w:rsidRPr="00B64DD1" w:rsidRDefault="00A82F4D" w:rsidP="00A82F4D">
      <w:pPr>
        <w:pStyle w:val="NormalBold"/>
      </w:pPr>
      <w:r w:rsidRPr="00B64DD1">
        <w:rPr>
          <w:rStyle w:val="HideTWBExt"/>
          <w:b w:val="0"/>
        </w:rPr>
        <w:t>&lt;/RepeatBlock-By&gt;</w:t>
      </w:r>
    </w:p>
    <w:p w14:paraId="683B1FD6"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3F415612" w14:textId="77777777" w:rsidR="00A82F4D" w:rsidRPr="00B64DD1" w:rsidRDefault="00A82F4D" w:rsidP="00A82F4D">
      <w:pPr>
        <w:pStyle w:val="NormalBold"/>
      </w:pPr>
      <w:r w:rsidRPr="00B64DD1">
        <w:rPr>
          <w:rStyle w:val="HideTWBExt"/>
          <w:b w:val="0"/>
        </w:rPr>
        <w:t>&lt;Article&gt;</w:t>
      </w:r>
      <w:r w:rsidRPr="00B64DD1">
        <w:t>Ustęp 12</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4C851D3E" w14:textId="77777777" w:rsidTr="00EA17FD">
        <w:trPr>
          <w:trHeight w:hRule="exact" w:val="240"/>
          <w:jc w:val="center"/>
        </w:trPr>
        <w:tc>
          <w:tcPr>
            <w:tcW w:w="9752" w:type="dxa"/>
            <w:gridSpan w:val="2"/>
            <w:tcBorders>
              <w:top w:val="nil"/>
              <w:left w:val="nil"/>
              <w:bottom w:val="nil"/>
              <w:right w:val="nil"/>
            </w:tcBorders>
          </w:tcPr>
          <w:p w14:paraId="488FB7A5" w14:textId="77777777" w:rsidR="00A82F4D" w:rsidRPr="00B64DD1" w:rsidRDefault="00A82F4D" w:rsidP="00EA17FD"/>
        </w:tc>
      </w:tr>
      <w:tr w:rsidR="00A82F4D" w:rsidRPr="00B64DD1" w14:paraId="53B33CA4" w14:textId="77777777" w:rsidTr="00EA17FD">
        <w:trPr>
          <w:trHeight w:val="240"/>
          <w:jc w:val="center"/>
        </w:trPr>
        <w:tc>
          <w:tcPr>
            <w:tcW w:w="4876" w:type="dxa"/>
            <w:tcBorders>
              <w:top w:val="nil"/>
              <w:left w:val="nil"/>
              <w:bottom w:val="nil"/>
              <w:right w:val="nil"/>
            </w:tcBorders>
          </w:tcPr>
          <w:p w14:paraId="29BFA75F"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3884A4CE" w14:textId="77777777" w:rsidR="00A82F4D" w:rsidRPr="00B64DD1" w:rsidRDefault="00A82F4D" w:rsidP="00EA17FD">
            <w:pPr>
              <w:pStyle w:val="AmColumnHeading"/>
            </w:pPr>
            <w:r w:rsidRPr="00B64DD1">
              <w:t>Poprawka</w:t>
            </w:r>
          </w:p>
        </w:tc>
      </w:tr>
      <w:tr w:rsidR="00A82F4D" w:rsidRPr="00B64DD1" w14:paraId="1960D797" w14:textId="77777777" w:rsidTr="00EA17FD">
        <w:trPr>
          <w:jc w:val="center"/>
        </w:trPr>
        <w:tc>
          <w:tcPr>
            <w:tcW w:w="4876" w:type="dxa"/>
            <w:tcBorders>
              <w:top w:val="nil"/>
              <w:left w:val="nil"/>
              <w:bottom w:val="nil"/>
              <w:right w:val="nil"/>
            </w:tcBorders>
          </w:tcPr>
          <w:p w14:paraId="1E2A3633" w14:textId="77777777" w:rsidR="00A82F4D" w:rsidRPr="00B64DD1" w:rsidRDefault="00A82F4D" w:rsidP="00EA17FD">
            <w:pPr>
              <w:pStyle w:val="Normal6a"/>
            </w:pPr>
            <w:r w:rsidRPr="00B64DD1">
              <w:t>12.</w:t>
            </w:r>
            <w:r w:rsidRPr="00B64DD1">
              <w:tab/>
              <w:t xml:space="preserve">na podstawie odpowiedzi ESDZ na pytania zawarte w kwestionariuszu Komisji Kontroli Budżetowej (CONT) dotyczącym absolutorium za 2024 r. („kwestionariusz”) zauważa, że w 2024 r. ESDZ – zarówno w centrali, jak i w delegaturach Unii – wszczęła łącznie 71 procedur udzielania zamówień </w:t>
            </w:r>
            <w:r w:rsidRPr="00B64DD1">
              <w:lastRenderedPageBreak/>
              <w:t>dotyczących umów o wysokiej wartości, tj. przekraczających próg 143 000 EUR dla dostaw i usług określony w dyrektywie Parlamentu Europejskiego i Rady 2014/24/UE</w:t>
            </w:r>
            <w:r w:rsidRPr="00B64DD1">
              <w:rPr>
                <w:vertAlign w:val="superscript"/>
              </w:rPr>
              <w:t>1</w:t>
            </w:r>
            <w:r w:rsidRPr="00B64DD1">
              <w:t>; zwraca uwagę, że 63 z tych procedur zakończyły się powodzeniem i podpisano 63 umowy, natomiast 8 procedur zakończyło się niepowodzeniem; zauważa, że wraz z wejściem w życie nowego rozporządzenia finansowego w dniu 29 września 2024 r. uproszczono zarządzanie procedurami udzielania zamówień w delegaturach Unii w państwach trzecich przez wprowadzenie odrębnego zestawu pułapów w odniesieniu do umów o bardzo niskiej, niskiej i średniej wartości, co rozwiązuje długotrwały problem związany z ograniczoną zdolnością lokalnych podmiotów do spełniania złożonych wymogów unijnych zasad udzielania zamówień; oczekuje, że uproszczenia te pozwolą lepiej zaspokoić potrzeby zarówno krajów przyjmujących, jak i delegatur Unii w zakresie procedur udzielania zamówień publicznych; zachęca ESDZ do informowania organu udzielającego absolutorium o wynikach wdrażania nowych przepisów rozporządzenia finansowego;</w:t>
            </w:r>
          </w:p>
        </w:tc>
        <w:tc>
          <w:tcPr>
            <w:tcW w:w="4876" w:type="dxa"/>
            <w:tcBorders>
              <w:top w:val="nil"/>
              <w:left w:val="nil"/>
              <w:bottom w:val="nil"/>
              <w:right w:val="nil"/>
            </w:tcBorders>
          </w:tcPr>
          <w:p w14:paraId="546DF51A" w14:textId="77777777" w:rsidR="00A82F4D" w:rsidRPr="00B64DD1" w:rsidRDefault="00A82F4D" w:rsidP="00EA17FD">
            <w:pPr>
              <w:pStyle w:val="Normal6a"/>
            </w:pPr>
            <w:r w:rsidRPr="00B64DD1">
              <w:lastRenderedPageBreak/>
              <w:t>12.</w:t>
            </w:r>
            <w:r w:rsidRPr="00B64DD1">
              <w:tab/>
              <w:t xml:space="preserve">na podstawie odpowiedzi ESDZ na pytania zawarte w kwestionariuszu Komisji Kontroli Budżetowej (CONT) dotyczącym absolutorium za 2024 r. („kwestionariusz”) zauważa, że w 2024 r. ESDZ – zarówno w centrali, jak i w delegaturach Unii – wszczęła łącznie 71 procedur udzielania zamówień </w:t>
            </w:r>
            <w:r w:rsidRPr="00B64DD1">
              <w:lastRenderedPageBreak/>
              <w:t>dotyczących umów o wysokiej wartości, tj. przekraczających próg 143 000 EUR dla dostaw i usług określony w dyrektywie Parlamentu Europejskiego i Rady 2014/24/UE</w:t>
            </w:r>
            <w:r w:rsidRPr="00B64DD1">
              <w:rPr>
                <w:vertAlign w:val="superscript"/>
              </w:rPr>
              <w:t>1</w:t>
            </w:r>
            <w:r w:rsidRPr="00B64DD1">
              <w:t xml:space="preserve">; zwraca uwagę, że 63 z tych procedur zakończyły się powodzeniem i podpisano 63 umowy, natomiast 8 procedur zakończyło się niepowodzeniem; zauważa, że wraz z wejściem w życie nowego rozporządzenia finansowego w dniu 29 września 2024 r. uproszczono zarządzanie procedurami udzielania zamówień w delegaturach Unii w państwach trzecich przez wprowadzenie odrębnego zestawu pułapów w odniesieniu do umów o bardzo niskiej, niskiej i średniej wartości, co rozwiązuje długotrwały problem związany z ograniczoną zdolnością lokalnych podmiotów do spełniania złożonych wymogów unijnych zasad udzielania zamówień; oczekuje, że uproszczenia te pozwolą lepiej zaspokoić potrzeby zarówno krajów przyjmujących, jak i delegatur Unii w zakresie procedur udzielania zamówień publicznych; </w:t>
            </w:r>
            <w:r w:rsidRPr="00B64DD1">
              <w:rPr>
                <w:b/>
                <w:i/>
              </w:rPr>
              <w:t>podkreśla, że uproszczenie procedur udzielania zamówień publicznych w państwach trzecich nie może nigdy skutkować obniżeniem standardów UE w zakresie udzielania zamówień publicznych ani służyć jako uzasadnienie dla zmniejszenia kontroli, oraz że należy zawsze przestrzegać najwyższych standardów przejrzystości, konkurencji i zapobiegania nadużyciom finansowym;</w:t>
            </w:r>
            <w:r w:rsidRPr="00B64DD1">
              <w:t xml:space="preserve"> zachęca ESDZ do informowania organu udzielającego absolutorium o wynikach wdrażania nowych przepisów rozporządzenia finansowego;</w:t>
            </w:r>
          </w:p>
        </w:tc>
      </w:tr>
      <w:tr w:rsidR="00A82F4D" w:rsidRPr="00B64DD1" w14:paraId="552A7416" w14:textId="77777777" w:rsidTr="00EA17FD">
        <w:trPr>
          <w:jc w:val="center"/>
        </w:trPr>
        <w:tc>
          <w:tcPr>
            <w:tcW w:w="4876" w:type="dxa"/>
            <w:tcBorders>
              <w:top w:val="nil"/>
              <w:left w:val="nil"/>
              <w:bottom w:val="nil"/>
              <w:right w:val="nil"/>
            </w:tcBorders>
          </w:tcPr>
          <w:p w14:paraId="333B79F9" w14:textId="77777777" w:rsidR="00A82F4D" w:rsidRPr="00B64DD1" w:rsidRDefault="00A82F4D" w:rsidP="00EA17FD">
            <w:pPr>
              <w:pStyle w:val="Normal6a"/>
            </w:pPr>
            <w:r w:rsidRPr="00B64DD1">
              <w:rPr>
                <w:b/>
                <w:i/>
              </w:rPr>
              <w:lastRenderedPageBreak/>
              <w:t>_________________</w:t>
            </w:r>
          </w:p>
        </w:tc>
        <w:tc>
          <w:tcPr>
            <w:tcW w:w="4876" w:type="dxa"/>
            <w:tcBorders>
              <w:top w:val="nil"/>
              <w:left w:val="nil"/>
              <w:bottom w:val="nil"/>
              <w:right w:val="nil"/>
            </w:tcBorders>
          </w:tcPr>
          <w:p w14:paraId="0BC30F31" w14:textId="77777777" w:rsidR="00A82F4D" w:rsidRPr="00B64DD1" w:rsidRDefault="00A82F4D" w:rsidP="00EA17FD">
            <w:pPr>
              <w:pStyle w:val="Normal6a"/>
            </w:pPr>
            <w:r w:rsidRPr="00B64DD1">
              <w:rPr>
                <w:b/>
                <w:i/>
              </w:rPr>
              <w:t>_________________</w:t>
            </w:r>
          </w:p>
        </w:tc>
      </w:tr>
      <w:tr w:rsidR="00A82F4D" w:rsidRPr="00B64DD1" w14:paraId="5AA38F69" w14:textId="77777777" w:rsidTr="00EA17FD">
        <w:trPr>
          <w:jc w:val="center"/>
        </w:trPr>
        <w:tc>
          <w:tcPr>
            <w:tcW w:w="4876" w:type="dxa"/>
            <w:tcBorders>
              <w:top w:val="nil"/>
              <w:left w:val="nil"/>
              <w:bottom w:val="nil"/>
              <w:right w:val="nil"/>
            </w:tcBorders>
          </w:tcPr>
          <w:p w14:paraId="58B44D0D" w14:textId="77777777" w:rsidR="00A82F4D" w:rsidRPr="00B64DD1" w:rsidRDefault="00A82F4D" w:rsidP="00EA17FD">
            <w:pPr>
              <w:pStyle w:val="Normal6a"/>
            </w:pPr>
            <w:r w:rsidRPr="00B64DD1">
              <w:rPr>
                <w:vertAlign w:val="superscript"/>
              </w:rPr>
              <w:t>1</w:t>
            </w:r>
            <w:r w:rsidRPr="00B64DD1">
              <w:t xml:space="preserve"> Dyrektywa Parlamentu Europejskiego i Rady 2014/24/UE z dnia 26 lutego 2014 r. w sprawie zamówień publicznych, uchylająca dyrektywę 2004/18/WE (Dz.U. L 94 z </w:t>
            </w:r>
            <w:proofErr w:type="gramStart"/>
            <w:r w:rsidRPr="00B64DD1">
              <w:t>28.3.2014</w:t>
            </w:r>
            <w:proofErr w:type="gramEnd"/>
            <w:r w:rsidRPr="00B64DD1">
              <w:t>, s. 65, ELI: http://data.europa.eu/eli/dir/2014/24/oj).</w:t>
            </w:r>
          </w:p>
        </w:tc>
        <w:tc>
          <w:tcPr>
            <w:tcW w:w="4876" w:type="dxa"/>
            <w:tcBorders>
              <w:top w:val="nil"/>
              <w:left w:val="nil"/>
              <w:bottom w:val="nil"/>
              <w:right w:val="nil"/>
            </w:tcBorders>
          </w:tcPr>
          <w:p w14:paraId="17FCDC7E" w14:textId="77777777" w:rsidR="00A82F4D" w:rsidRPr="00B64DD1" w:rsidRDefault="00A82F4D" w:rsidP="00EA17FD">
            <w:pPr>
              <w:pStyle w:val="Normal6a"/>
            </w:pPr>
            <w:r w:rsidRPr="00B64DD1">
              <w:rPr>
                <w:vertAlign w:val="superscript"/>
              </w:rPr>
              <w:t>1</w:t>
            </w:r>
            <w:r w:rsidRPr="00B64DD1">
              <w:t xml:space="preserve"> Dyrektywa Parlamentu Europejskiego i Rady 2014/24/UE z dnia 26 lutego 2014 r. w sprawie zamówień publicznych, uchylająca dyrektywę 2004/18/WE (Dz.U. L 94 z </w:t>
            </w:r>
            <w:proofErr w:type="gramStart"/>
            <w:r w:rsidRPr="00B64DD1">
              <w:t>28.3.2014</w:t>
            </w:r>
            <w:proofErr w:type="gramEnd"/>
            <w:r w:rsidRPr="00B64DD1">
              <w:t>, s. 65, ELI: http://data.europa.eu/eli/dir/2014/24/oj).</w:t>
            </w:r>
          </w:p>
        </w:tc>
      </w:tr>
    </w:tbl>
    <w:p w14:paraId="4FC18D7B"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4F5D7575" w14:textId="77777777" w:rsidR="00A82F4D" w:rsidRPr="00B64DD1" w:rsidRDefault="00A82F4D" w:rsidP="00A82F4D">
      <w:r w:rsidRPr="00B64DD1">
        <w:rPr>
          <w:rStyle w:val="HideTWBExt"/>
        </w:rPr>
        <w:t>&lt;/Amend&gt;</w:t>
      </w:r>
    </w:p>
    <w:p w14:paraId="235BF8C6"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20</w:t>
      </w:r>
      <w:r w:rsidRPr="00B64DD1">
        <w:rPr>
          <w:rStyle w:val="HideTWBExt"/>
          <w:b w:val="0"/>
        </w:rPr>
        <w:t>&lt;/NumAm&gt;</w:t>
      </w:r>
    </w:p>
    <w:p w14:paraId="1A638C2A" w14:textId="77777777" w:rsidR="00A82F4D" w:rsidRPr="00B64DD1" w:rsidRDefault="00A82F4D" w:rsidP="00A82F4D">
      <w:pPr>
        <w:pStyle w:val="NormalBold"/>
      </w:pPr>
      <w:r w:rsidRPr="00B64DD1">
        <w:rPr>
          <w:rStyle w:val="HideTWBExt"/>
          <w:b w:val="0"/>
        </w:rPr>
        <w:t>&lt;RepeatBlock-By&gt;&lt;Members&gt;</w:t>
      </w:r>
      <w:r w:rsidRPr="00B64DD1">
        <w:t xml:space="preserve">Damian </w:t>
      </w:r>
      <w:proofErr w:type="spellStart"/>
      <w:r w:rsidRPr="00B64DD1">
        <w:t>Boeselager</w:t>
      </w:r>
      <w:proofErr w:type="spellEnd"/>
      <w:r w:rsidRPr="00B64DD1">
        <w:rPr>
          <w:rStyle w:val="HideTWBExt"/>
          <w:b w:val="0"/>
        </w:rPr>
        <w:t>&lt;/Members&gt;</w:t>
      </w:r>
    </w:p>
    <w:p w14:paraId="7804DEA0" w14:textId="77777777" w:rsidR="00A82F4D" w:rsidRPr="00B64DD1" w:rsidRDefault="00A82F4D" w:rsidP="00A82F4D">
      <w:r w:rsidRPr="00B64DD1">
        <w:rPr>
          <w:rStyle w:val="HideTWBExt"/>
        </w:rPr>
        <w:t>&lt;AuNomDe&gt;</w:t>
      </w:r>
      <w:r w:rsidRPr="00B64DD1">
        <w:rPr>
          <w:rStyle w:val="HideTWBInt"/>
        </w:rPr>
        <w:t>{Verts/ALE}</w:t>
      </w:r>
      <w:r w:rsidRPr="00B64DD1">
        <w:t xml:space="preserve">w imieniu grupy </w:t>
      </w:r>
      <w:proofErr w:type="spellStart"/>
      <w:r w:rsidRPr="00B64DD1">
        <w:t>Verts</w:t>
      </w:r>
      <w:proofErr w:type="spellEnd"/>
      <w:r w:rsidRPr="00B64DD1">
        <w:t>/ALE</w:t>
      </w:r>
      <w:r w:rsidRPr="00B64DD1">
        <w:rPr>
          <w:rStyle w:val="HideTWBExt"/>
        </w:rPr>
        <w:t>&lt;/AuNomDe&gt;</w:t>
      </w:r>
    </w:p>
    <w:p w14:paraId="6DDDA93E" w14:textId="77777777" w:rsidR="00A82F4D" w:rsidRPr="00B64DD1" w:rsidRDefault="00A82F4D" w:rsidP="00A82F4D">
      <w:pPr>
        <w:pStyle w:val="NormalBold"/>
      </w:pPr>
      <w:r w:rsidRPr="00B64DD1">
        <w:rPr>
          <w:rStyle w:val="HideTWBExt"/>
          <w:b w:val="0"/>
        </w:rPr>
        <w:t>&lt;/RepeatBlock-By&gt;</w:t>
      </w:r>
    </w:p>
    <w:p w14:paraId="6BB298F2"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3DA26BA2" w14:textId="77777777" w:rsidR="00A82F4D" w:rsidRPr="00B64DD1" w:rsidRDefault="00A82F4D" w:rsidP="00A82F4D">
      <w:pPr>
        <w:pStyle w:val="NormalBold"/>
      </w:pPr>
      <w:r w:rsidRPr="00B64DD1">
        <w:rPr>
          <w:rStyle w:val="HideTWBExt"/>
          <w:b w:val="0"/>
        </w:rPr>
        <w:t>&lt;Article&gt;</w:t>
      </w:r>
      <w:r w:rsidRPr="00B64DD1">
        <w:t>Ustęp 12</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1BEC065B" w14:textId="77777777" w:rsidTr="00EA17FD">
        <w:trPr>
          <w:trHeight w:hRule="exact" w:val="240"/>
          <w:jc w:val="center"/>
        </w:trPr>
        <w:tc>
          <w:tcPr>
            <w:tcW w:w="9752" w:type="dxa"/>
            <w:gridSpan w:val="2"/>
            <w:tcBorders>
              <w:top w:val="nil"/>
              <w:left w:val="nil"/>
              <w:bottom w:val="nil"/>
              <w:right w:val="nil"/>
            </w:tcBorders>
          </w:tcPr>
          <w:p w14:paraId="1B07F919" w14:textId="77777777" w:rsidR="00A82F4D" w:rsidRPr="00B64DD1" w:rsidRDefault="00A82F4D" w:rsidP="00EA17FD"/>
        </w:tc>
      </w:tr>
      <w:tr w:rsidR="00A82F4D" w:rsidRPr="00B64DD1" w14:paraId="09123CBC" w14:textId="77777777" w:rsidTr="00EA17FD">
        <w:trPr>
          <w:trHeight w:val="240"/>
          <w:jc w:val="center"/>
        </w:trPr>
        <w:tc>
          <w:tcPr>
            <w:tcW w:w="4876" w:type="dxa"/>
            <w:tcBorders>
              <w:top w:val="nil"/>
              <w:left w:val="nil"/>
              <w:bottom w:val="nil"/>
              <w:right w:val="nil"/>
            </w:tcBorders>
          </w:tcPr>
          <w:p w14:paraId="48BC9578"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05BEF038" w14:textId="77777777" w:rsidR="00A82F4D" w:rsidRPr="00B64DD1" w:rsidRDefault="00A82F4D" w:rsidP="00EA17FD">
            <w:pPr>
              <w:pStyle w:val="AmColumnHeading"/>
            </w:pPr>
            <w:r w:rsidRPr="00B64DD1">
              <w:t>Poprawka</w:t>
            </w:r>
          </w:p>
        </w:tc>
      </w:tr>
      <w:tr w:rsidR="00A82F4D" w:rsidRPr="00B64DD1" w14:paraId="6D9C54B1" w14:textId="77777777" w:rsidTr="00EA17FD">
        <w:trPr>
          <w:jc w:val="center"/>
        </w:trPr>
        <w:tc>
          <w:tcPr>
            <w:tcW w:w="4876" w:type="dxa"/>
            <w:tcBorders>
              <w:top w:val="nil"/>
              <w:left w:val="nil"/>
              <w:bottom w:val="nil"/>
              <w:right w:val="nil"/>
            </w:tcBorders>
          </w:tcPr>
          <w:p w14:paraId="1BB0A81B" w14:textId="77777777" w:rsidR="00A82F4D" w:rsidRPr="00B64DD1" w:rsidRDefault="00A82F4D" w:rsidP="00EA17FD">
            <w:pPr>
              <w:pStyle w:val="Normal6a"/>
            </w:pPr>
            <w:r w:rsidRPr="00B64DD1">
              <w:t>12.</w:t>
            </w:r>
            <w:r w:rsidRPr="00B64DD1">
              <w:tab/>
              <w:t>na podstawie odpowiedzi ESDZ na pytania zawarte w kwestionariuszu Komisji Kontroli Budżetowej (CONT) dotyczącym absolutorium za 2024 r. („kwestionariusz”) zauważa, że w 2024 r. ESDZ – zarówno w centrali, jak i w delegaturach Unii – wszczęła łącznie 71 procedur udzielania zamówień dotyczących umów o wysokiej wartości, tj. przekraczających próg 143 000 EUR dla dostaw i usług określony w dyrektywie Parlamentu Europejskiego i Rady 2014/24/UE</w:t>
            </w:r>
            <w:r w:rsidRPr="00B64DD1">
              <w:rPr>
                <w:vertAlign w:val="superscript"/>
              </w:rPr>
              <w:t>1</w:t>
            </w:r>
            <w:r w:rsidRPr="00B64DD1">
              <w:t xml:space="preserve">; zwraca uwagę, że 63 z tych procedur zakończyły się powodzeniem i podpisano 63 umowy, natomiast 8 procedur zakończyło się niepowodzeniem; zauważa, że wraz z wejściem w życie nowego rozporządzenia finansowego w dniu 29 września 2024 r. uproszczono zarządzanie procedurami udzielania zamówień w delegaturach Unii w państwach trzecich przez wprowadzenie odrębnego zestawu pułapów w odniesieniu do umów o bardzo niskiej, niskiej i średniej wartości, co rozwiązuje długotrwały problem związany z ograniczoną zdolnością lokalnych podmiotów do spełniania złożonych wymogów unijnych zasad udzielania zamówień; oczekuje, że uproszczenia te pozwolą lepiej zaspokoić potrzeby zarówno krajów przyjmujących, jak i delegatur Unii w zakresie procedur udzielania zamówień publicznych; zachęca ESDZ do informowania organu udzielającego absolutorium o wynikach </w:t>
            </w:r>
            <w:r w:rsidRPr="00B64DD1">
              <w:lastRenderedPageBreak/>
              <w:t>wdrażania nowych przepisów rozporządzenia finansowego;</w:t>
            </w:r>
          </w:p>
        </w:tc>
        <w:tc>
          <w:tcPr>
            <w:tcW w:w="4876" w:type="dxa"/>
            <w:tcBorders>
              <w:top w:val="nil"/>
              <w:left w:val="nil"/>
              <w:bottom w:val="nil"/>
              <w:right w:val="nil"/>
            </w:tcBorders>
          </w:tcPr>
          <w:p w14:paraId="632DC2F0" w14:textId="77777777" w:rsidR="00A82F4D" w:rsidRPr="00B64DD1" w:rsidRDefault="00A82F4D" w:rsidP="00EA17FD">
            <w:pPr>
              <w:pStyle w:val="Normal6a"/>
            </w:pPr>
            <w:r w:rsidRPr="00B64DD1">
              <w:lastRenderedPageBreak/>
              <w:t>12.</w:t>
            </w:r>
            <w:r w:rsidRPr="00B64DD1">
              <w:tab/>
              <w:t>na podstawie odpowiedzi ESDZ na pytania zawarte w kwestionariuszu Komisji Kontroli Budżetowej (CONT) dotyczącym absolutorium za 2024 r. („kwestionariusz”) zauważa, że w 2024 r. ESDZ – zarówno w centrali, jak i w delegaturach Unii – wszczęła łącznie 71 procedur udzielania zamówień dotyczących umów o wysokiej wartości, tj. przekraczających próg 143 000 EUR dla dostaw i usług określony w dyrektywie Parlamentu Europejskiego i Rady 2014/24/UE</w:t>
            </w:r>
            <w:r w:rsidRPr="00B64DD1">
              <w:rPr>
                <w:vertAlign w:val="superscript"/>
              </w:rPr>
              <w:t>1</w:t>
            </w:r>
            <w:r w:rsidRPr="00B64DD1">
              <w:t xml:space="preserve">; zwraca uwagę, że 63 z tych procedur zakończyły się powodzeniem i podpisano 63 umowy, natomiast 8 procedur zakończyło się niepowodzeniem; zauważa, że wraz z wejściem w życie nowego rozporządzenia finansowego w dniu 29 września 2024 r. uproszczono zarządzanie procedurami udzielania zamówień w delegaturach Unii w państwach trzecich przez wprowadzenie odrębnego zestawu pułapów w odniesieniu do umów o bardzo niskiej, niskiej i średniej wartości, co rozwiązuje długotrwały problem związany z ograniczoną zdolnością lokalnych podmiotów do spełniania złożonych wymogów unijnych zasad udzielania zamówień; oczekuje, że uproszczenia te pozwolą lepiej zaspokoić potrzeby zarówno krajów przyjmujących, jak i delegatur Unii w zakresie procedur udzielania zamówień publicznych; zachęca ESDZ do informowania organu udzielającego absolutorium o wynikach </w:t>
            </w:r>
            <w:r w:rsidRPr="00B64DD1">
              <w:lastRenderedPageBreak/>
              <w:t xml:space="preserve">wdrażania nowych przepisów rozporządzenia finansowego; </w:t>
            </w:r>
            <w:r w:rsidRPr="00B64DD1">
              <w:rPr>
                <w:b/>
                <w:i/>
              </w:rPr>
              <w:t>podkreśla, że uproszczone zasady udzielania zamówień publicznych w państwach trzecich nie mogą powodować osłabienia przejrzystości, konkurencji ani zabezpieczeń przed nadużyciami finansowymi; apeluje do ESDZ o ocenę wpływu tych zmian na wskaźniki błędów i ryzyko naruszenia integralności oraz o przedstawienie sprawozdania na ten temat;</w:t>
            </w:r>
          </w:p>
        </w:tc>
      </w:tr>
      <w:tr w:rsidR="00A82F4D" w:rsidRPr="00B64DD1" w14:paraId="691474C3" w14:textId="77777777" w:rsidTr="00EA17FD">
        <w:trPr>
          <w:jc w:val="center"/>
        </w:trPr>
        <w:tc>
          <w:tcPr>
            <w:tcW w:w="4876" w:type="dxa"/>
            <w:tcBorders>
              <w:top w:val="nil"/>
              <w:left w:val="nil"/>
              <w:bottom w:val="nil"/>
              <w:right w:val="nil"/>
            </w:tcBorders>
          </w:tcPr>
          <w:p w14:paraId="2169EC89" w14:textId="77777777" w:rsidR="00A82F4D" w:rsidRPr="00B64DD1" w:rsidRDefault="00A82F4D" w:rsidP="00EA17FD">
            <w:pPr>
              <w:pStyle w:val="Normal6a"/>
            </w:pPr>
            <w:r w:rsidRPr="00B64DD1">
              <w:rPr>
                <w:b/>
                <w:i/>
              </w:rPr>
              <w:lastRenderedPageBreak/>
              <w:t>_________________</w:t>
            </w:r>
          </w:p>
        </w:tc>
        <w:tc>
          <w:tcPr>
            <w:tcW w:w="4876" w:type="dxa"/>
            <w:tcBorders>
              <w:top w:val="nil"/>
              <w:left w:val="nil"/>
              <w:bottom w:val="nil"/>
              <w:right w:val="nil"/>
            </w:tcBorders>
          </w:tcPr>
          <w:p w14:paraId="77A3FC56" w14:textId="77777777" w:rsidR="00A82F4D" w:rsidRPr="00B64DD1" w:rsidRDefault="00A82F4D" w:rsidP="00EA17FD">
            <w:pPr>
              <w:pStyle w:val="Normal6a"/>
            </w:pPr>
            <w:r w:rsidRPr="00B64DD1">
              <w:rPr>
                <w:b/>
                <w:i/>
              </w:rPr>
              <w:t>_________________</w:t>
            </w:r>
          </w:p>
        </w:tc>
      </w:tr>
      <w:tr w:rsidR="00A82F4D" w:rsidRPr="00B64DD1" w14:paraId="54518B01" w14:textId="77777777" w:rsidTr="00EA17FD">
        <w:trPr>
          <w:jc w:val="center"/>
        </w:trPr>
        <w:tc>
          <w:tcPr>
            <w:tcW w:w="4876" w:type="dxa"/>
            <w:tcBorders>
              <w:top w:val="nil"/>
              <w:left w:val="nil"/>
              <w:bottom w:val="nil"/>
              <w:right w:val="nil"/>
            </w:tcBorders>
          </w:tcPr>
          <w:p w14:paraId="50D0510E" w14:textId="77777777" w:rsidR="00A82F4D" w:rsidRPr="00B64DD1" w:rsidRDefault="00A82F4D" w:rsidP="00EA17FD">
            <w:pPr>
              <w:pStyle w:val="Normal6a"/>
            </w:pPr>
            <w:r w:rsidRPr="00B64DD1">
              <w:rPr>
                <w:vertAlign w:val="superscript"/>
              </w:rPr>
              <w:t>1</w:t>
            </w:r>
            <w:r w:rsidRPr="00B64DD1">
              <w:t xml:space="preserve"> Dyrektywa Parlamentu Europejskiego i Rady 2014/24/UE z dnia 26 lutego 2014 r. w sprawie zamówień publicznych, uchylająca dyrektywę 2004/18/WE (Dz.U. L 94 z </w:t>
            </w:r>
            <w:proofErr w:type="gramStart"/>
            <w:r w:rsidRPr="00B64DD1">
              <w:t>28.3.2014</w:t>
            </w:r>
            <w:proofErr w:type="gramEnd"/>
            <w:r w:rsidRPr="00B64DD1">
              <w:t>, s. 65, ELI: http://data.europa.eu/eli/dir/2014/24/oj).</w:t>
            </w:r>
          </w:p>
        </w:tc>
        <w:tc>
          <w:tcPr>
            <w:tcW w:w="4876" w:type="dxa"/>
            <w:tcBorders>
              <w:top w:val="nil"/>
              <w:left w:val="nil"/>
              <w:bottom w:val="nil"/>
              <w:right w:val="nil"/>
            </w:tcBorders>
          </w:tcPr>
          <w:p w14:paraId="62C2555C" w14:textId="77777777" w:rsidR="00A82F4D" w:rsidRPr="00B64DD1" w:rsidRDefault="00A82F4D" w:rsidP="00EA17FD">
            <w:pPr>
              <w:pStyle w:val="Normal6a"/>
            </w:pPr>
            <w:r w:rsidRPr="00B64DD1">
              <w:rPr>
                <w:vertAlign w:val="superscript"/>
              </w:rPr>
              <w:t>1</w:t>
            </w:r>
            <w:r w:rsidRPr="00B64DD1">
              <w:t xml:space="preserve"> Dyrektywa Parlamentu Europejskiego i Rady 2014/24/UE z dnia 26 lutego 2014 r. w sprawie zamówień publicznych, uchylająca dyrektywę 2004/18/WE (Dz.U. L 94 z </w:t>
            </w:r>
            <w:proofErr w:type="gramStart"/>
            <w:r w:rsidRPr="00B64DD1">
              <w:t>28.3.2014</w:t>
            </w:r>
            <w:proofErr w:type="gramEnd"/>
            <w:r w:rsidRPr="00B64DD1">
              <w:t>, s. 65, ELI: http://data.europa.eu/eli/dir/2014/24/oj).</w:t>
            </w:r>
          </w:p>
        </w:tc>
      </w:tr>
    </w:tbl>
    <w:p w14:paraId="574E845F"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7A3916A3" w14:textId="77777777" w:rsidR="00A82F4D" w:rsidRPr="00B64DD1" w:rsidRDefault="00A82F4D" w:rsidP="00A82F4D">
      <w:r w:rsidRPr="00B64DD1">
        <w:rPr>
          <w:rStyle w:val="HideTWBExt"/>
        </w:rPr>
        <w:t>&lt;/Amend&gt;</w:t>
      </w:r>
    </w:p>
    <w:p w14:paraId="6FEE2367"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21</w:t>
      </w:r>
      <w:r w:rsidRPr="00B64DD1">
        <w:rPr>
          <w:rStyle w:val="HideTWBExt"/>
          <w:b w:val="0"/>
        </w:rPr>
        <w:t>&lt;/NumAm&gt;</w:t>
      </w:r>
    </w:p>
    <w:p w14:paraId="1DD12AE5" w14:textId="77777777" w:rsidR="00A82F4D" w:rsidRPr="00B64DD1" w:rsidRDefault="00A82F4D" w:rsidP="00A82F4D">
      <w:pPr>
        <w:pStyle w:val="NormalBold"/>
      </w:pPr>
      <w:r w:rsidRPr="00B64DD1">
        <w:rPr>
          <w:rStyle w:val="HideTWBExt"/>
          <w:b w:val="0"/>
        </w:rPr>
        <w:t>&lt;RepeatBlock-By&gt;&lt;Members&gt;</w:t>
      </w:r>
      <w:proofErr w:type="spellStart"/>
      <w:r w:rsidRPr="00B64DD1">
        <w:t>Pasquale</w:t>
      </w:r>
      <w:proofErr w:type="spellEnd"/>
      <w:r w:rsidRPr="00B64DD1">
        <w:t xml:space="preserve"> </w:t>
      </w:r>
      <w:proofErr w:type="spellStart"/>
      <w:r w:rsidRPr="00B64DD1">
        <w:t>Tridico</w:t>
      </w:r>
      <w:proofErr w:type="spellEnd"/>
      <w:r w:rsidRPr="00B64DD1">
        <w:rPr>
          <w:rStyle w:val="HideTWBExt"/>
          <w:b w:val="0"/>
        </w:rPr>
        <w:t>&lt;/Members&gt;</w:t>
      </w:r>
    </w:p>
    <w:p w14:paraId="7C674C0F" w14:textId="77777777" w:rsidR="00A82F4D" w:rsidRPr="00B64DD1" w:rsidRDefault="00A82F4D" w:rsidP="00A82F4D">
      <w:pPr>
        <w:pStyle w:val="NormalBold"/>
      </w:pPr>
      <w:r w:rsidRPr="00B64DD1">
        <w:rPr>
          <w:rStyle w:val="HideTWBExt"/>
          <w:b w:val="0"/>
        </w:rPr>
        <w:t>&lt;/RepeatBlock-By&gt;</w:t>
      </w:r>
    </w:p>
    <w:p w14:paraId="21DDD67C"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567A1069" w14:textId="77777777" w:rsidR="00A82F4D" w:rsidRPr="00B64DD1" w:rsidRDefault="00A82F4D" w:rsidP="00A82F4D">
      <w:pPr>
        <w:pStyle w:val="NormalBold"/>
      </w:pPr>
      <w:r w:rsidRPr="00B64DD1">
        <w:rPr>
          <w:rStyle w:val="HideTWBExt"/>
          <w:b w:val="0"/>
        </w:rPr>
        <w:t>&lt;Article&gt;</w:t>
      </w:r>
      <w:r w:rsidRPr="00B64DD1">
        <w:t>Ustęp 12 a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2ABD33A7" w14:textId="77777777" w:rsidTr="00EA17FD">
        <w:trPr>
          <w:trHeight w:hRule="exact" w:val="240"/>
          <w:jc w:val="center"/>
        </w:trPr>
        <w:tc>
          <w:tcPr>
            <w:tcW w:w="9752" w:type="dxa"/>
            <w:gridSpan w:val="2"/>
            <w:tcBorders>
              <w:top w:val="nil"/>
              <w:left w:val="nil"/>
              <w:bottom w:val="nil"/>
              <w:right w:val="nil"/>
            </w:tcBorders>
          </w:tcPr>
          <w:p w14:paraId="23D48348" w14:textId="77777777" w:rsidR="00A82F4D" w:rsidRPr="00B64DD1" w:rsidRDefault="00A82F4D" w:rsidP="00EA17FD"/>
        </w:tc>
      </w:tr>
      <w:tr w:rsidR="00A82F4D" w:rsidRPr="00B64DD1" w14:paraId="52ECE6B5" w14:textId="77777777" w:rsidTr="00EA17FD">
        <w:trPr>
          <w:trHeight w:val="240"/>
          <w:jc w:val="center"/>
        </w:trPr>
        <w:tc>
          <w:tcPr>
            <w:tcW w:w="4876" w:type="dxa"/>
            <w:tcBorders>
              <w:top w:val="nil"/>
              <w:left w:val="nil"/>
              <w:bottom w:val="nil"/>
              <w:right w:val="nil"/>
            </w:tcBorders>
          </w:tcPr>
          <w:p w14:paraId="377366FC"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614298CD" w14:textId="77777777" w:rsidR="00A82F4D" w:rsidRPr="00B64DD1" w:rsidRDefault="00A82F4D" w:rsidP="00EA17FD">
            <w:pPr>
              <w:pStyle w:val="AmColumnHeading"/>
            </w:pPr>
            <w:r w:rsidRPr="00B64DD1">
              <w:t>Poprawka</w:t>
            </w:r>
          </w:p>
        </w:tc>
      </w:tr>
      <w:tr w:rsidR="00A82F4D" w:rsidRPr="00B64DD1" w14:paraId="54C66C03" w14:textId="77777777" w:rsidTr="00EA17FD">
        <w:trPr>
          <w:jc w:val="center"/>
        </w:trPr>
        <w:tc>
          <w:tcPr>
            <w:tcW w:w="4876" w:type="dxa"/>
            <w:tcBorders>
              <w:top w:val="nil"/>
              <w:left w:val="nil"/>
              <w:bottom w:val="nil"/>
              <w:right w:val="nil"/>
            </w:tcBorders>
          </w:tcPr>
          <w:p w14:paraId="655B9FB8" w14:textId="77777777" w:rsidR="00A82F4D" w:rsidRPr="00B64DD1" w:rsidRDefault="00A82F4D" w:rsidP="00EA17FD">
            <w:pPr>
              <w:pStyle w:val="Normal6a"/>
            </w:pPr>
          </w:p>
        </w:tc>
        <w:tc>
          <w:tcPr>
            <w:tcW w:w="4876" w:type="dxa"/>
            <w:tcBorders>
              <w:top w:val="nil"/>
              <w:left w:val="nil"/>
              <w:bottom w:val="nil"/>
              <w:right w:val="nil"/>
            </w:tcBorders>
          </w:tcPr>
          <w:p w14:paraId="070B3A40" w14:textId="77777777" w:rsidR="00A82F4D" w:rsidRPr="00B64DD1" w:rsidRDefault="00A82F4D" w:rsidP="00EA17FD">
            <w:pPr>
              <w:pStyle w:val="Normal6a"/>
            </w:pPr>
            <w:r w:rsidRPr="00B64DD1">
              <w:rPr>
                <w:b/>
                <w:i/>
              </w:rPr>
              <w:t>12a.</w:t>
            </w:r>
            <w:r w:rsidRPr="00B64DD1">
              <w:tab/>
            </w:r>
            <w:r w:rsidRPr="00B64DD1">
              <w:rPr>
                <w:b/>
                <w:i/>
              </w:rPr>
              <w:t>odnotowuje, że w 2024 r. utworzono specjalną grupę zadaniową w celu usprawnienia procedur udzielania zamówień przez ESDZ zarówno w centrali, jak i w delegaturach; jest świadomy, że w 2024 r. Wydział Audytu Wewnętrznego przeprowadził konsultacje doradcze w celu zapewnienia niezależnego przeglądu procedury udzielania zamówień, którego wyniki są obecnie omawiane z odpowiedzialnymi służbami; apeluje do ESDZ o podanie do wiadomości publicznej wniosków z tego przeglądu, a także wykazu środków wprowadzonych w odpowiedzi na zidentyfikowane wyzwania;</w:t>
            </w:r>
          </w:p>
        </w:tc>
      </w:tr>
    </w:tbl>
    <w:p w14:paraId="5B2A82DC"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08EB0E9D" w14:textId="77777777" w:rsidR="00A82F4D" w:rsidRPr="00B64DD1" w:rsidRDefault="00A82F4D" w:rsidP="00A82F4D">
      <w:r w:rsidRPr="00B64DD1">
        <w:rPr>
          <w:rStyle w:val="HideTWBExt"/>
        </w:rPr>
        <w:t>&lt;/Amend&gt;</w:t>
      </w:r>
    </w:p>
    <w:p w14:paraId="71874A41"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22</w:t>
      </w:r>
      <w:r w:rsidRPr="00B64DD1">
        <w:rPr>
          <w:rStyle w:val="HideTWBExt"/>
          <w:b w:val="0"/>
        </w:rPr>
        <w:t>&lt;/NumAm&gt;</w:t>
      </w:r>
    </w:p>
    <w:p w14:paraId="6E38A4AF" w14:textId="77777777" w:rsidR="00A82F4D" w:rsidRPr="00B64DD1" w:rsidRDefault="00A82F4D" w:rsidP="00A82F4D">
      <w:pPr>
        <w:pStyle w:val="NormalBold"/>
      </w:pPr>
      <w:r w:rsidRPr="00B64DD1">
        <w:rPr>
          <w:rStyle w:val="HideTWBExt"/>
          <w:b w:val="0"/>
        </w:rPr>
        <w:t>&lt;RepeatBlock-By&gt;&lt;Members&gt;</w:t>
      </w:r>
      <w:r w:rsidRPr="00B64DD1">
        <w:t xml:space="preserve">Damian </w:t>
      </w:r>
      <w:proofErr w:type="spellStart"/>
      <w:r w:rsidRPr="00B64DD1">
        <w:t>Boeselager</w:t>
      </w:r>
      <w:proofErr w:type="spellEnd"/>
      <w:r w:rsidRPr="00B64DD1">
        <w:rPr>
          <w:rStyle w:val="HideTWBExt"/>
          <w:b w:val="0"/>
        </w:rPr>
        <w:t>&lt;/Members&gt;</w:t>
      </w:r>
    </w:p>
    <w:p w14:paraId="0E12BE32" w14:textId="77777777" w:rsidR="00A82F4D" w:rsidRPr="00B64DD1" w:rsidRDefault="00A82F4D" w:rsidP="00A82F4D">
      <w:r w:rsidRPr="00B64DD1">
        <w:rPr>
          <w:rStyle w:val="HideTWBExt"/>
        </w:rPr>
        <w:t>&lt;AuNomDe&gt;</w:t>
      </w:r>
      <w:r w:rsidRPr="00B64DD1">
        <w:rPr>
          <w:rStyle w:val="HideTWBInt"/>
        </w:rPr>
        <w:t>{Verts/ALE}</w:t>
      </w:r>
      <w:r w:rsidRPr="00B64DD1">
        <w:t xml:space="preserve">w imieniu grupy </w:t>
      </w:r>
      <w:proofErr w:type="spellStart"/>
      <w:r w:rsidRPr="00B64DD1">
        <w:t>Verts</w:t>
      </w:r>
      <w:proofErr w:type="spellEnd"/>
      <w:r w:rsidRPr="00B64DD1">
        <w:t>/ALE</w:t>
      </w:r>
      <w:r w:rsidRPr="00B64DD1">
        <w:rPr>
          <w:rStyle w:val="HideTWBExt"/>
        </w:rPr>
        <w:t>&lt;/AuNomDe&gt;</w:t>
      </w:r>
    </w:p>
    <w:p w14:paraId="001737F2" w14:textId="77777777" w:rsidR="00A82F4D" w:rsidRPr="00B64DD1" w:rsidRDefault="00A82F4D" w:rsidP="00A82F4D">
      <w:pPr>
        <w:pStyle w:val="NormalBold"/>
      </w:pPr>
      <w:r w:rsidRPr="00B64DD1">
        <w:rPr>
          <w:rStyle w:val="HideTWBExt"/>
          <w:b w:val="0"/>
        </w:rPr>
        <w:t>&lt;/RepeatBlock-By&gt;</w:t>
      </w:r>
    </w:p>
    <w:p w14:paraId="15C9DFBC"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7C98F833" w14:textId="77777777" w:rsidR="00A82F4D" w:rsidRPr="00B64DD1" w:rsidRDefault="00A82F4D" w:rsidP="00A82F4D">
      <w:pPr>
        <w:pStyle w:val="NormalBold"/>
      </w:pPr>
      <w:r w:rsidRPr="00B64DD1">
        <w:rPr>
          <w:rStyle w:val="HideTWBExt"/>
          <w:b w:val="0"/>
        </w:rPr>
        <w:t>&lt;Article&gt;</w:t>
      </w:r>
      <w:r w:rsidRPr="00B64DD1">
        <w:t>Ustęp 14</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4DBAF58D" w14:textId="77777777" w:rsidTr="00EA17FD">
        <w:trPr>
          <w:trHeight w:hRule="exact" w:val="240"/>
          <w:jc w:val="center"/>
        </w:trPr>
        <w:tc>
          <w:tcPr>
            <w:tcW w:w="9752" w:type="dxa"/>
            <w:gridSpan w:val="2"/>
            <w:tcBorders>
              <w:top w:val="nil"/>
              <w:left w:val="nil"/>
              <w:bottom w:val="nil"/>
              <w:right w:val="nil"/>
            </w:tcBorders>
          </w:tcPr>
          <w:p w14:paraId="1376C046" w14:textId="77777777" w:rsidR="00A82F4D" w:rsidRPr="00B64DD1" w:rsidRDefault="00A82F4D" w:rsidP="00EA17FD"/>
        </w:tc>
      </w:tr>
      <w:tr w:rsidR="00A82F4D" w:rsidRPr="00B64DD1" w14:paraId="22BC9CB4" w14:textId="77777777" w:rsidTr="00EA17FD">
        <w:trPr>
          <w:trHeight w:val="240"/>
          <w:jc w:val="center"/>
        </w:trPr>
        <w:tc>
          <w:tcPr>
            <w:tcW w:w="4876" w:type="dxa"/>
            <w:tcBorders>
              <w:top w:val="nil"/>
              <w:left w:val="nil"/>
              <w:bottom w:val="nil"/>
              <w:right w:val="nil"/>
            </w:tcBorders>
          </w:tcPr>
          <w:p w14:paraId="186AFDF0"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5B9CA040" w14:textId="77777777" w:rsidR="00A82F4D" w:rsidRPr="00B64DD1" w:rsidRDefault="00A82F4D" w:rsidP="00EA17FD">
            <w:pPr>
              <w:pStyle w:val="AmColumnHeading"/>
            </w:pPr>
            <w:r w:rsidRPr="00B64DD1">
              <w:t>Poprawka</w:t>
            </w:r>
          </w:p>
        </w:tc>
      </w:tr>
      <w:tr w:rsidR="00A82F4D" w:rsidRPr="00B64DD1" w14:paraId="7E5F987A" w14:textId="77777777" w:rsidTr="00EA17FD">
        <w:trPr>
          <w:jc w:val="center"/>
        </w:trPr>
        <w:tc>
          <w:tcPr>
            <w:tcW w:w="4876" w:type="dxa"/>
            <w:tcBorders>
              <w:top w:val="nil"/>
              <w:left w:val="nil"/>
              <w:bottom w:val="nil"/>
              <w:right w:val="nil"/>
            </w:tcBorders>
          </w:tcPr>
          <w:p w14:paraId="38D47CFC" w14:textId="77777777" w:rsidR="00A82F4D" w:rsidRPr="00B64DD1" w:rsidRDefault="00A82F4D" w:rsidP="00EA17FD">
            <w:pPr>
              <w:pStyle w:val="Normal6a"/>
            </w:pPr>
            <w:r w:rsidRPr="00B64DD1">
              <w:t>14.</w:t>
            </w:r>
            <w:r w:rsidRPr="00B64DD1">
              <w:tab/>
              <w:t xml:space="preserve">na podstawie kwestionariusza zauważa, że budżet na wyjazdy służbowe w 2024 r. wyniósł 21 582 843 EUR, co stanowi wzrost o około 2,33 % w porównaniu z kwotą 21 091 935 EUR (zaktualizowana wartość) w 2023 r.; zauważa, że ESDZ nie posiada odrębnej linii budżetowej na wyjazdy służbowe i przejazdy wiceprzewodniczącej / wysokiej przedstawicielki oraz że koszty wyjazdów służbowych i przejazdów wiceprzewodniczącej / wysokiej przedstawicielki są dzielone między ESDZ a Komisję w zależności od celu wyjazdu służbowego; na podstawie sprawozdania z działań następczych ESDZ dotyczącego uwag Parlamentu zawartych w rezolucji w sprawie udzielenia absolutorium za 2023 r. („sprawozdanie uzupełniające”) zauważa jednak, że wewnętrzny system zarządzania ESDZ wyodrębnia wyjazdy służbowe wiceprzewodniczącej / wysokiej przedstawicielki oraz przejazdy współpracowników jej towarzyszących w ramach specjalnej alokacji w głównej linii budżetowej dotyczącej wyjazdów służbowych; na podstawie kwestionariusza zauważa ponadto, że w 2024 r. ani ustępujący wiceprzewodniczący / wysoki przedstawiciel, ani nowo powołana wiceprzewodnicząca / wysoka przedstawicielka nie odbyli żadnych misji finansowanych przez ESDZ; na podstawie sprawozdania uzupełniającego przyjmuje do wiadomości, że nakładające się zobowiązania wiceprzewodniczącej / </w:t>
            </w:r>
            <w:r w:rsidRPr="00B64DD1">
              <w:lastRenderedPageBreak/>
              <w:t>wysokiej przedstawicielki oraz bardzo napięty harmonogram, często determinowany sytuacją geopolityczną, sprawiają, iż niekiedy nie jest możliwe korzystanie przez nią z regularnych połączeń lotniczych lub innych środków transportu w celu realizacji obowiązków służbowych; podkreśla jednak, że szefowie instytucji Unii powinni służyć za dobry przykład dla społeczeństwa i obywateli, zwłaszcza gdy wykorzystują zasoby Unii do wykonywania swoich zadań; podkreśla, że opcje lotu powinny być wybierane na podstawie kryteriów należytego zarządzania finansami, o ile takie rozwiązania alternatywne są dostępne i dostosowane do porządku obrad i miejsca posiedzeń; podkreśla, że przejrzystość i należyte zarządzanie finansami przy wykorzystywaniu unijnych środków publicznych muszą nadal stanowić podstawową zasadę obowiązującą wszystkie instytucje Unii;</w:t>
            </w:r>
          </w:p>
        </w:tc>
        <w:tc>
          <w:tcPr>
            <w:tcW w:w="4876" w:type="dxa"/>
            <w:tcBorders>
              <w:top w:val="nil"/>
              <w:left w:val="nil"/>
              <w:bottom w:val="nil"/>
              <w:right w:val="nil"/>
            </w:tcBorders>
          </w:tcPr>
          <w:p w14:paraId="4ACB8FFC" w14:textId="77777777" w:rsidR="00A82F4D" w:rsidRPr="00B64DD1" w:rsidRDefault="00A82F4D" w:rsidP="00EA17FD">
            <w:pPr>
              <w:pStyle w:val="Normal6a"/>
            </w:pPr>
            <w:r w:rsidRPr="00B64DD1">
              <w:lastRenderedPageBreak/>
              <w:t>14.</w:t>
            </w:r>
            <w:r w:rsidRPr="00B64DD1">
              <w:tab/>
              <w:t xml:space="preserve">na podstawie kwestionariusza zauważa, że budżet na wyjazdy służbowe w 2024 r. wyniósł 21 582 843 EUR, co stanowi wzrost o około 2,33 % w porównaniu z kwotą 21 091 935 EUR (zaktualizowana wartość) w 2023 r.; zauważa, że ESDZ nie posiada odrębnej linii budżetowej na wyjazdy służbowe i przejazdy wiceprzewodniczącej / wysokiej przedstawicielki oraz że koszty wyjazdów służbowych i przejazdów wiceprzewodniczącej / wysokiej przedstawicielki są dzielone między ESDZ a Komisję w zależności od celu wyjazdu służbowego; na podstawie sprawozdania z działań następczych ESDZ dotyczącego uwag Parlamentu zawartych w rezolucji w sprawie udzielenia absolutorium za 2023 r. („sprawozdanie uzupełniające”) zauważa jednak, że wewnętrzny system zarządzania ESDZ wyodrębnia wyjazdy służbowe wiceprzewodniczącej / wysokiej przedstawicielki oraz przejazdy współpracowników jej towarzyszących w ramach specjalnej alokacji w głównej linii budżetowej dotyczącej wyjazdów służbowych; na podstawie kwestionariusza zauważa ponadto, że w 2024 r. ani ustępujący wiceprzewodniczący / wysoki przedstawiciel, ani nowo powołana wiceprzewodnicząca / wysoka przedstawicielka nie odbyli żadnych misji finansowanych przez ESDZ; na podstawie sprawozdania uzupełniającego przyjmuje do wiadomości, że nakładające się zobowiązania wiceprzewodniczącej / </w:t>
            </w:r>
            <w:r w:rsidRPr="00B64DD1">
              <w:lastRenderedPageBreak/>
              <w:t xml:space="preserve">wysokiej przedstawicielki oraz bardzo napięty harmonogram, często determinowany sytuacją geopolityczną, sprawiają, iż niekiedy nie jest możliwe korzystanie przez nią z regularnych połączeń lotniczych lub innych środków transportu w celu realizacji obowiązków służbowych; podkreśla jednak, że szefowie instytucji Unii powinni służyć za dobry przykład dla społeczeństwa i obywateli, zwłaszcza gdy wykorzystują zasoby Unii do wykonywania swoich zadań; podkreśla, że opcje lotu powinny być wybierane na podstawie kryteriów należytego zarządzania finansami, o ile takie rozwiązania alternatywne są dostępne i dostosowane do porządku obrad i miejsca posiedzeń; podkreśla, że przejrzystość i należyte zarządzanie finansami przy wykorzystywaniu unijnych środków publicznych muszą nadal stanowić podstawową zasadę obowiązującą wszystkie instytucje Unii; </w:t>
            </w:r>
            <w:r w:rsidRPr="00B64DD1">
              <w:rPr>
                <w:b/>
                <w:i/>
              </w:rPr>
              <w:t>wzywa ESDZ, aby systematycznie uwzględniała kwestie środowiskowe w planowaniu podróży, w tym poprzez priorytetowe traktowanie transportu kolejowego i lotów w klasie ekonomicznej, gdy jest to możliwe, oraz do składania sprawozdania organowi udzielającemu absolutorium z osiągniętych postępów;</w:t>
            </w:r>
          </w:p>
        </w:tc>
      </w:tr>
    </w:tbl>
    <w:p w14:paraId="346969AC"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4B07ADF2" w14:textId="77777777" w:rsidR="00A82F4D" w:rsidRPr="00B64DD1" w:rsidRDefault="00A82F4D" w:rsidP="00A82F4D">
      <w:r w:rsidRPr="00B64DD1">
        <w:rPr>
          <w:rStyle w:val="HideTWBExt"/>
        </w:rPr>
        <w:t>&lt;/Amend&gt;</w:t>
      </w:r>
    </w:p>
    <w:p w14:paraId="00336ACB"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23</w:t>
      </w:r>
      <w:r w:rsidRPr="00B64DD1">
        <w:rPr>
          <w:rStyle w:val="HideTWBExt"/>
          <w:b w:val="0"/>
        </w:rPr>
        <w:t>&lt;/NumAm&gt;</w:t>
      </w:r>
    </w:p>
    <w:p w14:paraId="4F949FF3" w14:textId="77777777" w:rsidR="00A82F4D" w:rsidRPr="00B64DD1" w:rsidRDefault="00A82F4D" w:rsidP="00A82F4D">
      <w:pPr>
        <w:pStyle w:val="NormalBold"/>
      </w:pPr>
      <w:r w:rsidRPr="00B64DD1">
        <w:rPr>
          <w:rStyle w:val="HideTWBExt"/>
          <w:b w:val="0"/>
        </w:rPr>
        <w:t>&lt;RepeatBlock-By&gt;&lt;Members&gt;</w:t>
      </w:r>
      <w:proofErr w:type="spellStart"/>
      <w:r w:rsidRPr="00B64DD1">
        <w:t>Andrey</w:t>
      </w:r>
      <w:proofErr w:type="spellEnd"/>
      <w:r w:rsidRPr="00B64DD1">
        <w:t xml:space="preserve"> </w:t>
      </w:r>
      <w:proofErr w:type="spellStart"/>
      <w:r w:rsidRPr="00B64DD1">
        <w:t>Kovatchev</w:t>
      </w:r>
      <w:proofErr w:type="spellEnd"/>
      <w:r w:rsidRPr="00B64DD1">
        <w:rPr>
          <w:rStyle w:val="HideTWBExt"/>
          <w:b w:val="0"/>
        </w:rPr>
        <w:t>&lt;/Members&gt;</w:t>
      </w:r>
    </w:p>
    <w:p w14:paraId="13C8FB95" w14:textId="77777777" w:rsidR="00A82F4D" w:rsidRPr="00B64DD1" w:rsidRDefault="00A82F4D" w:rsidP="00A82F4D">
      <w:pPr>
        <w:pStyle w:val="NormalBold"/>
      </w:pPr>
      <w:r w:rsidRPr="00B64DD1">
        <w:rPr>
          <w:rStyle w:val="HideTWBExt"/>
          <w:b w:val="0"/>
        </w:rPr>
        <w:t>&lt;/RepeatBlock-By&gt;</w:t>
      </w:r>
    </w:p>
    <w:p w14:paraId="20683DE0"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5A1A7D6F" w14:textId="77777777" w:rsidR="00A82F4D" w:rsidRPr="00B64DD1" w:rsidRDefault="00A82F4D" w:rsidP="00A82F4D">
      <w:pPr>
        <w:pStyle w:val="NormalBold"/>
      </w:pPr>
      <w:r w:rsidRPr="00B64DD1">
        <w:rPr>
          <w:rStyle w:val="HideTWBExt"/>
          <w:b w:val="0"/>
        </w:rPr>
        <w:t>&lt;Article&gt;</w:t>
      </w:r>
      <w:r w:rsidRPr="00B64DD1">
        <w:t>Ustęp 15</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688AC84B" w14:textId="77777777" w:rsidTr="00EA17FD">
        <w:trPr>
          <w:trHeight w:hRule="exact" w:val="240"/>
          <w:jc w:val="center"/>
        </w:trPr>
        <w:tc>
          <w:tcPr>
            <w:tcW w:w="9752" w:type="dxa"/>
            <w:gridSpan w:val="2"/>
            <w:tcBorders>
              <w:top w:val="nil"/>
              <w:left w:val="nil"/>
              <w:bottom w:val="nil"/>
              <w:right w:val="nil"/>
            </w:tcBorders>
          </w:tcPr>
          <w:p w14:paraId="454AFAF8" w14:textId="77777777" w:rsidR="00A82F4D" w:rsidRPr="00B64DD1" w:rsidRDefault="00A82F4D" w:rsidP="00EA17FD"/>
        </w:tc>
      </w:tr>
      <w:tr w:rsidR="00A82F4D" w:rsidRPr="00B64DD1" w14:paraId="07C21C5E" w14:textId="77777777" w:rsidTr="00EA17FD">
        <w:trPr>
          <w:trHeight w:val="240"/>
          <w:jc w:val="center"/>
        </w:trPr>
        <w:tc>
          <w:tcPr>
            <w:tcW w:w="4876" w:type="dxa"/>
            <w:tcBorders>
              <w:top w:val="nil"/>
              <w:left w:val="nil"/>
              <w:bottom w:val="nil"/>
              <w:right w:val="nil"/>
            </w:tcBorders>
          </w:tcPr>
          <w:p w14:paraId="2F32DB09"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4D09B06D" w14:textId="77777777" w:rsidR="00A82F4D" w:rsidRPr="00B64DD1" w:rsidRDefault="00A82F4D" w:rsidP="00EA17FD">
            <w:pPr>
              <w:pStyle w:val="AmColumnHeading"/>
            </w:pPr>
            <w:r w:rsidRPr="00B64DD1">
              <w:t>Poprawka</w:t>
            </w:r>
          </w:p>
        </w:tc>
      </w:tr>
      <w:tr w:rsidR="00A82F4D" w:rsidRPr="00B64DD1" w14:paraId="479E8079" w14:textId="77777777" w:rsidTr="00EA17FD">
        <w:trPr>
          <w:jc w:val="center"/>
        </w:trPr>
        <w:tc>
          <w:tcPr>
            <w:tcW w:w="4876" w:type="dxa"/>
            <w:tcBorders>
              <w:top w:val="nil"/>
              <w:left w:val="nil"/>
              <w:bottom w:val="nil"/>
              <w:right w:val="nil"/>
            </w:tcBorders>
          </w:tcPr>
          <w:p w14:paraId="3CC702AA" w14:textId="77777777" w:rsidR="00A82F4D" w:rsidRPr="00B64DD1" w:rsidRDefault="00A82F4D" w:rsidP="00EA17FD">
            <w:pPr>
              <w:pStyle w:val="Normal6a"/>
            </w:pPr>
            <w:r w:rsidRPr="00B64DD1">
              <w:t>15.</w:t>
            </w:r>
            <w:r w:rsidRPr="00B64DD1">
              <w:tab/>
              <w:t xml:space="preserve">zauważa, że w 2024 r. ESDZ nadal mierzyła się z narastającymi wyzwaniami politycznymi i finansowymi, a także wyzwaniami w zakresie praw człowieka i praworządności; zwraca uwagę, że </w:t>
            </w:r>
            <w:r w:rsidRPr="00B64DD1">
              <w:lastRenderedPageBreak/>
              <w:t>rosyjska wojna napastnicza przeciwko Ukrainie oraz jej konsekwencje geopolityczne pozostawały w 2024 r. jedną z kluczowych kwestii; podkreśla w tym kontekście znaczenie i potrzebę odgrywania przez ESDZ zasadniczej roli w budowaniu strategicznej autonomii Unii, którą należy chronić również przez zwalczanie zagranicznych manipulacji informacjami i ingerencji w informacje (FIMI) oraz kampanii dezinformacyjnych; zauważa, że w 2024 r. ESDZ opublikowała drugie sprawozdanie na temat zagrożeń z tytułu zagranicznych manipulacji informacjami i ingerencji w informacje, w którym szczegółowo opisano 750 incydentów oraz ujawniono operację „</w:t>
            </w:r>
            <w:proofErr w:type="spellStart"/>
            <w:r w:rsidRPr="00B64DD1">
              <w:t>False</w:t>
            </w:r>
            <w:proofErr w:type="spellEnd"/>
            <w:r w:rsidRPr="00B64DD1">
              <w:t xml:space="preserve"> </w:t>
            </w:r>
            <w:proofErr w:type="spellStart"/>
            <w:r w:rsidRPr="00B64DD1">
              <w:t>Façade</w:t>
            </w:r>
            <w:proofErr w:type="spellEnd"/>
            <w:r w:rsidRPr="00B64DD1">
              <w:t>” (schemat „prania” informacji prowadzony przez podmioty prokremlowskie), wykorzystała system szybkiego ostrzegania jako centralny mechanizm koordynacji działań w zakresie zwalczania FIMI w kontekście ochrony integralności wyborów europejskich, opublikowała zestaw narzędzi służących wykrywaniu FIMI opartych na kradzieży lub nadużyciu tożsamości, zorganizowała coroczną konferencję wysokiego szczebla poświęconą FIMI, opracowała podręcznik wspólnej polityki bezpieczeństwa i obrony (</w:t>
            </w:r>
            <w:proofErr w:type="spellStart"/>
            <w:r w:rsidRPr="00B64DD1">
              <w:t>WPBiO</w:t>
            </w:r>
            <w:proofErr w:type="spellEnd"/>
            <w:r w:rsidRPr="00B64DD1">
              <w:t xml:space="preserve">) dotyczący FIMI w celu wzmocnienia zdolności misji </w:t>
            </w:r>
            <w:proofErr w:type="spellStart"/>
            <w:r w:rsidRPr="00B64DD1">
              <w:t>WPBiO</w:t>
            </w:r>
            <w:proofErr w:type="spellEnd"/>
            <w:r w:rsidRPr="00B64DD1">
              <w:t xml:space="preserve"> do wykrywania ataków związanych z FIMI i reagowania na nie oraz przyczyniła się do wzmocnienia odporności mediów podczas wydarzenia „</w:t>
            </w:r>
            <w:proofErr w:type="spellStart"/>
            <w:r w:rsidRPr="00B64DD1">
              <w:t>Connecting</w:t>
            </w:r>
            <w:proofErr w:type="spellEnd"/>
            <w:r w:rsidRPr="00B64DD1">
              <w:t xml:space="preserve"> Media </w:t>
            </w:r>
            <w:proofErr w:type="spellStart"/>
            <w:r w:rsidRPr="00B64DD1">
              <w:t>Communities</w:t>
            </w:r>
            <w:proofErr w:type="spellEnd"/>
            <w:r w:rsidRPr="00B64DD1">
              <w:t xml:space="preserve">” [Łączenie społeczności medialnych] w Kosowie, w którym uczestniczyło 130 dziennikarzy i weryfikatorów informacji; wyraża uznanie dla ESDZ za kampanię </w:t>
            </w:r>
            <w:proofErr w:type="spellStart"/>
            <w:r w:rsidRPr="00B64DD1">
              <w:t>EUvsDisinfo</w:t>
            </w:r>
            <w:proofErr w:type="spellEnd"/>
            <w:r w:rsidRPr="00B64DD1">
              <w:t xml:space="preserve">, w ramach której w 2024 r. analizowano i ujawniano rosyjskie działania FIMI; zauważa z niepokojem, że liczba przypadków dezinformacji prokremlowskiej przekroczyła 18 000 wpisów; odnotowuje, że w niektórych delegaturach Unii zatrudniono urzędników ds. komunikacji strategicznej </w:t>
            </w:r>
            <w:r w:rsidRPr="00B64DD1">
              <w:lastRenderedPageBreak/>
              <w:t>odpowiedzialnych za analizę i przeciwdziałanie FIMI, jednak zdolności w zakresie pozyskiwania informacji wywiadowczych pozostają w gestii państw członkowskich; wyraża uznanie dla ESDZ za uruchomienie ośrodka wymiany i analizy informacji dotyczących FIMI w celu wzmocnienia współpracy oraz wspólnej orientacji sytuacyjnej; przyznaje, że działania te, wspierane przez zwiększony budżet w wysokości 6,12 mln EUR w 2024 r. na rozwój zdolności w zakresie komunikacji strategicznej, zapewniły bardziej zdecydowaną, skoordynowaną i kompleksową reakcję Unii na zagrożenia związane z FIMI; zachęca do dalszego rozwijania i rozszerzania sieci „obrońców przed FIMI” przez inicjatywy w zakresie budowania zdolności;</w:t>
            </w:r>
          </w:p>
        </w:tc>
        <w:tc>
          <w:tcPr>
            <w:tcW w:w="4876" w:type="dxa"/>
            <w:tcBorders>
              <w:top w:val="nil"/>
              <w:left w:val="nil"/>
              <w:bottom w:val="nil"/>
              <w:right w:val="nil"/>
            </w:tcBorders>
          </w:tcPr>
          <w:p w14:paraId="39BDF64B" w14:textId="77777777" w:rsidR="00A82F4D" w:rsidRPr="00B64DD1" w:rsidRDefault="00A82F4D" w:rsidP="00EA17FD">
            <w:pPr>
              <w:pStyle w:val="Normal6a"/>
            </w:pPr>
            <w:r w:rsidRPr="00B64DD1">
              <w:lastRenderedPageBreak/>
              <w:t>15.</w:t>
            </w:r>
            <w:r w:rsidRPr="00B64DD1">
              <w:tab/>
              <w:t xml:space="preserve">zauważa, że w 2024 r. ESDZ nadal mierzyła się z narastającymi wyzwaniami politycznymi i finansowymi, a także wyzwaniami w zakresie praw człowieka i praworządności </w:t>
            </w:r>
            <w:r w:rsidRPr="00B64DD1">
              <w:rPr>
                <w:b/>
                <w:bCs/>
                <w:i/>
                <w:iCs/>
              </w:rPr>
              <w:t xml:space="preserve">w coraz bardziej </w:t>
            </w:r>
            <w:r w:rsidRPr="00B64DD1">
              <w:rPr>
                <w:b/>
                <w:bCs/>
                <w:i/>
                <w:iCs/>
              </w:rPr>
              <w:lastRenderedPageBreak/>
              <w:t>niestabilnym otoczeniu geopolitycznym, charakteryzującym się nasilonymi zagrożeniami hybrydowymi dla systemów demokratycznych</w:t>
            </w:r>
            <w:r w:rsidRPr="00B64DD1">
              <w:t xml:space="preserve">; zwraca uwagę, że rosyjska </w:t>
            </w:r>
            <w:r w:rsidRPr="00B64DD1">
              <w:rPr>
                <w:b/>
                <w:bCs/>
                <w:i/>
                <w:iCs/>
              </w:rPr>
              <w:t>nielegalna</w:t>
            </w:r>
            <w:r w:rsidRPr="00B64DD1">
              <w:t xml:space="preserve"> wojna napastnicza przeciwko Ukrainie oraz jej konsekwencje geopolityczne pozostawały w 2024 r. jedną z kluczowych kwestii; podkreśla w tym kontekście znaczenie i potrzebę odgrywania przez ESDZ </w:t>
            </w:r>
            <w:r w:rsidRPr="00B64DD1">
              <w:rPr>
                <w:b/>
                <w:bCs/>
                <w:i/>
                <w:iCs/>
              </w:rPr>
              <w:t>centralnej i wzmocnionej</w:t>
            </w:r>
            <w:r w:rsidRPr="00B64DD1">
              <w:t xml:space="preserve"> zasadniczej roli w budowaniu strategicznej autonomii</w:t>
            </w:r>
            <w:r w:rsidRPr="00B64DD1">
              <w:rPr>
                <w:b/>
                <w:bCs/>
                <w:i/>
                <w:iCs/>
              </w:rPr>
              <w:t>, odporności i bezpieczeństwa</w:t>
            </w:r>
            <w:r w:rsidRPr="00B64DD1">
              <w:t xml:space="preserve"> Unii, którą należy chronić również przez </w:t>
            </w:r>
            <w:r w:rsidRPr="00B64DD1">
              <w:rPr>
                <w:b/>
                <w:bCs/>
                <w:i/>
                <w:iCs/>
              </w:rPr>
              <w:t>systematyczne i zdecydowane</w:t>
            </w:r>
            <w:r w:rsidRPr="00B64DD1">
              <w:t xml:space="preserve"> zwalczanie zagranicznych manipulacji informacjami i ingerencji w informacje (FIMI) oraz kampanii dezinformacyjnych; zauważa, że w 2024 r. ESDZ opublikowała drugie sprawozdanie na temat zagrożeń z tytułu zagranicznych manipulacji informacjami i ingerencji w informacje, w którym szczegółowo opisano 750 incydentów oraz ujawniono operację „</w:t>
            </w:r>
            <w:proofErr w:type="spellStart"/>
            <w:r w:rsidRPr="00B64DD1">
              <w:t>False</w:t>
            </w:r>
            <w:proofErr w:type="spellEnd"/>
            <w:r w:rsidRPr="00B64DD1">
              <w:t xml:space="preserve"> </w:t>
            </w:r>
            <w:proofErr w:type="spellStart"/>
            <w:r w:rsidRPr="00B64DD1">
              <w:t>Façade</w:t>
            </w:r>
            <w:proofErr w:type="spellEnd"/>
            <w:r w:rsidRPr="00B64DD1">
              <w:t>” (schemat „prania” informacji prowadzony przez podmioty prokremlowskie)</w:t>
            </w:r>
            <w:r w:rsidRPr="00B64DD1">
              <w:rPr>
                <w:b/>
                <w:bCs/>
                <w:i/>
                <w:iCs/>
              </w:rPr>
              <w:t>, co przyczyniło się do publicznego przypisania odpowiedzialności i strategicznej świadomości wrogich ingerencji sponsorowanych przez państwo, oraz</w:t>
            </w:r>
            <w:r w:rsidRPr="00B64DD1">
              <w:t xml:space="preserve"> wykorzystała system szybkiego ostrzegania jako centralny mechanizm koordynacji działań w zakresie zwalczania FIMI w kontekście ochrony integralności wyborów europejskich</w:t>
            </w:r>
            <w:r w:rsidRPr="00B64DD1">
              <w:rPr>
                <w:b/>
                <w:bCs/>
                <w:i/>
                <w:iCs/>
              </w:rPr>
              <w:t>; z zadowoleniem przyjmuje fakt, że ESDZ</w:t>
            </w:r>
            <w:r w:rsidRPr="00B64DD1">
              <w:t xml:space="preserve"> opublikowała zestaw narzędzi służących wykrywaniu FIMI opartych na kradzieży lub nadużyciu tożsamości, zorganizowała coroczną konferencję wysokiego szczebla poświęconą FIMI, opracowała podręcznik wspólnej polityki bezpieczeństwa i obrony (</w:t>
            </w:r>
            <w:proofErr w:type="spellStart"/>
            <w:r w:rsidRPr="00B64DD1">
              <w:t>WPBiO</w:t>
            </w:r>
            <w:proofErr w:type="spellEnd"/>
            <w:r w:rsidRPr="00B64DD1">
              <w:t xml:space="preserve">) dotyczący FIMI w celu wzmocnienia zdolności misji </w:t>
            </w:r>
            <w:proofErr w:type="spellStart"/>
            <w:r w:rsidRPr="00B64DD1">
              <w:t>WPBiO</w:t>
            </w:r>
            <w:proofErr w:type="spellEnd"/>
            <w:r w:rsidRPr="00B64DD1">
              <w:t xml:space="preserve"> do wykrywania ataków związanych z FIMI i reagowania na nie oraz przyczyniła się do wzmocnienia odporności mediów podczas wydarzenia „</w:t>
            </w:r>
            <w:proofErr w:type="spellStart"/>
            <w:r w:rsidRPr="00B64DD1">
              <w:t>Connecting</w:t>
            </w:r>
            <w:proofErr w:type="spellEnd"/>
            <w:r w:rsidRPr="00B64DD1">
              <w:t xml:space="preserve"> Media </w:t>
            </w:r>
            <w:proofErr w:type="spellStart"/>
            <w:r w:rsidRPr="00B64DD1">
              <w:t>Communities</w:t>
            </w:r>
            <w:proofErr w:type="spellEnd"/>
            <w:r w:rsidRPr="00B64DD1">
              <w:t xml:space="preserve">” [Łączenie społeczności </w:t>
            </w:r>
            <w:r w:rsidRPr="00B64DD1">
              <w:lastRenderedPageBreak/>
              <w:t xml:space="preserve">medialnych] w Kosowie, w którym uczestniczyło 130 dziennikarzy i weryfikatorów informacji; wyraża </w:t>
            </w:r>
            <w:r w:rsidRPr="00B64DD1">
              <w:rPr>
                <w:b/>
                <w:bCs/>
                <w:i/>
                <w:iCs/>
              </w:rPr>
              <w:t>wielkie</w:t>
            </w:r>
            <w:r w:rsidRPr="00B64DD1">
              <w:t xml:space="preserve"> uznanie dla ESDZ za kampanię </w:t>
            </w:r>
            <w:proofErr w:type="spellStart"/>
            <w:r w:rsidRPr="00B64DD1">
              <w:t>EUvsDisinfo</w:t>
            </w:r>
            <w:proofErr w:type="spellEnd"/>
            <w:r w:rsidRPr="00B64DD1">
              <w:t>, w ramach której w 2024 r. analizowano i ujawniano rosyjskie działania FIMI; zauważa z niepokojem, że liczba przypadków dezinformacji prokremlowskiej przekroczyła 18 000 wpisów</w:t>
            </w:r>
            <w:r w:rsidRPr="00B64DD1">
              <w:rPr>
                <w:b/>
                <w:bCs/>
                <w:i/>
                <w:iCs/>
              </w:rPr>
              <w:t>, co potwierdza skalę, trwałość i strategiczny charakter zagrożenia ze strony w szczególności Rosji, a także innych wrogich podmiotów</w:t>
            </w:r>
            <w:r w:rsidRPr="00B64DD1">
              <w:t xml:space="preserve">; odnotowuje, że w niektórych delegaturach Unii zatrudniono urzędników ds. komunikacji strategicznej odpowiedzialnych za analizę i przeciwdziałanie FIMI, jednak zdolności w zakresie pozyskiwania informacji wywiadowczych pozostają w gestii państw członkowskich; </w:t>
            </w:r>
            <w:r w:rsidRPr="00B64DD1">
              <w:rPr>
                <w:b/>
                <w:bCs/>
                <w:i/>
                <w:iCs/>
              </w:rPr>
              <w:t>podkreśla zatem potrzebę wzmocnionej koordynacji, ustrukturyzowanej wymiany informacji i ściślejszej współpracy z państwami członkowskimi i zaufanymi partnerami;</w:t>
            </w:r>
            <w:r w:rsidRPr="00B64DD1">
              <w:t xml:space="preserve"> wyraża uznanie dla ESDZ za uruchomienie ośrodka wymiany i analizy informacji dotyczących FIMI w celu wzmocnienia współpracy oraz wspólnej orientacji sytuacyjnej; przyznaje, że działania te, wspierane przez zwiększony budżet w wysokości 6,12 mln EUR w 2024 r. na rozwój zdolności w zakresie komunikacji strategicznej, zapewniły bardziej zdecydowaną, skoordynowaną i kompleksową reakcję Unii na zagrożenia związane z FIMI; </w:t>
            </w:r>
            <w:r w:rsidRPr="00B64DD1">
              <w:rPr>
                <w:b/>
                <w:i/>
              </w:rPr>
              <w:t>podkreśla, że trwałe i przewidywalne finansowanie ma zasadnicze znaczenie dla zapewnienia ciągłości i skuteczności przeciwdziałania zagrożeniom hybrydowym;</w:t>
            </w:r>
            <w:r w:rsidRPr="00B64DD1">
              <w:t xml:space="preserve"> zachęca do dalszego rozwijania i rozszerzania sieci „obrońców przed FIMI” przez inicjatywy w zakresie budowania zdolności;</w:t>
            </w:r>
          </w:p>
        </w:tc>
      </w:tr>
    </w:tbl>
    <w:p w14:paraId="26B38B02"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50E89887" w14:textId="77777777" w:rsidR="00A82F4D" w:rsidRPr="00B64DD1" w:rsidRDefault="00A82F4D" w:rsidP="00A82F4D">
      <w:r w:rsidRPr="00B64DD1">
        <w:rPr>
          <w:rStyle w:val="HideTWBExt"/>
        </w:rPr>
        <w:t>&lt;/Amend&gt;</w:t>
      </w:r>
    </w:p>
    <w:p w14:paraId="1D29838B"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24</w:t>
      </w:r>
      <w:r w:rsidRPr="00B64DD1">
        <w:rPr>
          <w:rStyle w:val="HideTWBExt"/>
          <w:b w:val="0"/>
        </w:rPr>
        <w:t>&lt;/NumAm&gt;</w:t>
      </w:r>
    </w:p>
    <w:p w14:paraId="5CA81D2C" w14:textId="77777777" w:rsidR="00A82F4D" w:rsidRPr="00B64DD1" w:rsidRDefault="00A82F4D" w:rsidP="00A82F4D">
      <w:pPr>
        <w:pStyle w:val="NormalBold"/>
      </w:pPr>
      <w:r w:rsidRPr="00B64DD1">
        <w:rPr>
          <w:rStyle w:val="HideTWBExt"/>
          <w:b w:val="0"/>
        </w:rPr>
        <w:lastRenderedPageBreak/>
        <w:t>&lt;RepeatBlock-By&gt;&lt;Members&gt;</w:t>
      </w:r>
      <w:r w:rsidRPr="00B64DD1">
        <w:t xml:space="preserve">José </w:t>
      </w:r>
      <w:proofErr w:type="spellStart"/>
      <w:r w:rsidRPr="00B64DD1">
        <w:t>Cepeda</w:t>
      </w:r>
      <w:proofErr w:type="spellEnd"/>
      <w:r w:rsidRPr="00B64DD1">
        <w:t xml:space="preserve">, </w:t>
      </w:r>
      <w:proofErr w:type="spellStart"/>
      <w:r w:rsidRPr="00B64DD1">
        <w:t>Nacho</w:t>
      </w:r>
      <w:proofErr w:type="spellEnd"/>
      <w:r w:rsidRPr="00B64DD1">
        <w:t xml:space="preserve"> </w:t>
      </w:r>
      <w:proofErr w:type="spellStart"/>
      <w:r w:rsidRPr="00B64DD1">
        <w:t>Sánchez</w:t>
      </w:r>
      <w:proofErr w:type="spellEnd"/>
      <w:r w:rsidRPr="00B64DD1">
        <w:t xml:space="preserve"> Amor</w:t>
      </w:r>
      <w:r w:rsidRPr="00B64DD1">
        <w:rPr>
          <w:rStyle w:val="HideTWBExt"/>
          <w:b w:val="0"/>
        </w:rPr>
        <w:t>&lt;/Members&gt;</w:t>
      </w:r>
    </w:p>
    <w:p w14:paraId="38740B3C" w14:textId="77777777" w:rsidR="00A82F4D" w:rsidRPr="00B64DD1" w:rsidRDefault="00A82F4D" w:rsidP="00A82F4D">
      <w:pPr>
        <w:pStyle w:val="NormalBold"/>
      </w:pPr>
      <w:r w:rsidRPr="00B64DD1">
        <w:rPr>
          <w:rStyle w:val="HideTWBExt"/>
          <w:b w:val="0"/>
        </w:rPr>
        <w:t>&lt;/RepeatBlock-By&gt;</w:t>
      </w:r>
    </w:p>
    <w:p w14:paraId="56DFC600"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61BBD998" w14:textId="77777777" w:rsidR="00A82F4D" w:rsidRPr="00B64DD1" w:rsidRDefault="00A82F4D" w:rsidP="00A82F4D">
      <w:pPr>
        <w:pStyle w:val="NormalBold"/>
      </w:pPr>
      <w:r w:rsidRPr="00B64DD1">
        <w:rPr>
          <w:rStyle w:val="HideTWBExt"/>
          <w:b w:val="0"/>
        </w:rPr>
        <w:t>&lt;Article&gt;</w:t>
      </w:r>
      <w:r w:rsidRPr="00B64DD1">
        <w:t>Ustęp 15</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186737C6" w14:textId="77777777" w:rsidTr="00EA17FD">
        <w:trPr>
          <w:trHeight w:hRule="exact" w:val="240"/>
          <w:jc w:val="center"/>
        </w:trPr>
        <w:tc>
          <w:tcPr>
            <w:tcW w:w="9752" w:type="dxa"/>
            <w:gridSpan w:val="2"/>
            <w:tcBorders>
              <w:top w:val="nil"/>
              <w:left w:val="nil"/>
              <w:bottom w:val="nil"/>
              <w:right w:val="nil"/>
            </w:tcBorders>
          </w:tcPr>
          <w:p w14:paraId="7E979620" w14:textId="77777777" w:rsidR="00A82F4D" w:rsidRPr="00B64DD1" w:rsidRDefault="00A82F4D" w:rsidP="00EA17FD"/>
        </w:tc>
      </w:tr>
      <w:tr w:rsidR="00A82F4D" w:rsidRPr="00B64DD1" w14:paraId="0D509FA9" w14:textId="77777777" w:rsidTr="00EA17FD">
        <w:trPr>
          <w:trHeight w:val="240"/>
          <w:jc w:val="center"/>
        </w:trPr>
        <w:tc>
          <w:tcPr>
            <w:tcW w:w="4876" w:type="dxa"/>
            <w:tcBorders>
              <w:top w:val="nil"/>
              <w:left w:val="nil"/>
              <w:bottom w:val="nil"/>
              <w:right w:val="nil"/>
            </w:tcBorders>
          </w:tcPr>
          <w:p w14:paraId="4AD35B01"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2957186C" w14:textId="77777777" w:rsidR="00A82F4D" w:rsidRPr="00B64DD1" w:rsidRDefault="00A82F4D" w:rsidP="00EA17FD">
            <w:pPr>
              <w:pStyle w:val="AmColumnHeading"/>
            </w:pPr>
            <w:r w:rsidRPr="00B64DD1">
              <w:t>Poprawka</w:t>
            </w:r>
          </w:p>
        </w:tc>
      </w:tr>
      <w:tr w:rsidR="00A82F4D" w:rsidRPr="00B64DD1" w14:paraId="774D1E89" w14:textId="77777777" w:rsidTr="00EA17FD">
        <w:trPr>
          <w:jc w:val="center"/>
        </w:trPr>
        <w:tc>
          <w:tcPr>
            <w:tcW w:w="4876" w:type="dxa"/>
            <w:tcBorders>
              <w:top w:val="nil"/>
              <w:left w:val="nil"/>
              <w:bottom w:val="nil"/>
              <w:right w:val="nil"/>
            </w:tcBorders>
          </w:tcPr>
          <w:p w14:paraId="6909C140" w14:textId="77777777" w:rsidR="00A82F4D" w:rsidRPr="00B64DD1" w:rsidRDefault="00A82F4D" w:rsidP="00EA17FD">
            <w:pPr>
              <w:pStyle w:val="Normal6a"/>
            </w:pPr>
            <w:r w:rsidRPr="00B64DD1">
              <w:t>15.</w:t>
            </w:r>
            <w:r w:rsidRPr="00B64DD1">
              <w:tab/>
              <w:t>zauważa, że w 2024 r. ESDZ nadal mierzyła się z narastającymi wyzwaniami politycznymi i finansowymi, a także wyzwaniami w zakresie praw człowieka i praworządności; zwraca uwagę, że rosyjska wojna napastnicza przeciwko Ukrainie oraz jej konsekwencje geopolityczne pozostawały w 2024 r. jedną z kluczowych kwestii; podkreśla w tym kontekście znaczenie i potrzebę odgrywania przez ESDZ zasadniczej roli w budowaniu strategicznej autonomii Unii, którą należy chronić również przez zwalczanie zagranicznych manipulacji informacjami i ingerencji w informacje (FIMI) oraz kampanii dezinformacyjnych; zauważa, że w 2024 r. ESDZ opublikowała drugie sprawozdanie na temat zagrożeń z tytułu zagranicznych manipulacji informacjami i ingerencji w informacje, w którym szczegółowo opisano 750 incydentów oraz ujawniono operację „</w:t>
            </w:r>
            <w:proofErr w:type="spellStart"/>
            <w:r w:rsidRPr="00B64DD1">
              <w:t>False</w:t>
            </w:r>
            <w:proofErr w:type="spellEnd"/>
            <w:r w:rsidRPr="00B64DD1">
              <w:t xml:space="preserve"> </w:t>
            </w:r>
            <w:proofErr w:type="spellStart"/>
            <w:r w:rsidRPr="00B64DD1">
              <w:t>Façade</w:t>
            </w:r>
            <w:proofErr w:type="spellEnd"/>
            <w:r w:rsidRPr="00B64DD1">
              <w:t>” (schemat „prania” informacji prowadzony przez podmioty prokremlowskie), wykorzystała system szybkiego ostrzegania jako centralny mechanizm koordynacji działań w zakresie zwalczania FIMI w kontekście ochrony integralności wyborów europejskich, opublikowała zestaw narzędzi służących wykrywaniu FIMI opartych na kradzieży lub nadużyciu tożsamości, zorganizowała coroczną konferencję wysokiego szczebla poświęconą FIMI, opracowała podręcznik wspólnej polityki bezpieczeństwa i obrony (</w:t>
            </w:r>
            <w:proofErr w:type="spellStart"/>
            <w:r w:rsidRPr="00B64DD1">
              <w:t>WPBiO</w:t>
            </w:r>
            <w:proofErr w:type="spellEnd"/>
            <w:r w:rsidRPr="00B64DD1">
              <w:t xml:space="preserve">) dotyczący FIMI w celu wzmocnienia zdolności misji </w:t>
            </w:r>
            <w:proofErr w:type="spellStart"/>
            <w:r w:rsidRPr="00B64DD1">
              <w:t>WPBiO</w:t>
            </w:r>
            <w:proofErr w:type="spellEnd"/>
            <w:r w:rsidRPr="00B64DD1">
              <w:t xml:space="preserve"> do wykrywania ataków związanych z FIMI i reagowania na nie oraz przyczyniła się do wzmocnienia odporności mediów podczas wydarzenia „</w:t>
            </w:r>
            <w:proofErr w:type="spellStart"/>
            <w:r w:rsidRPr="00B64DD1">
              <w:t>Connecting</w:t>
            </w:r>
            <w:proofErr w:type="spellEnd"/>
            <w:r w:rsidRPr="00B64DD1">
              <w:t xml:space="preserve"> Media </w:t>
            </w:r>
            <w:proofErr w:type="spellStart"/>
            <w:r w:rsidRPr="00B64DD1">
              <w:t>Communities</w:t>
            </w:r>
            <w:proofErr w:type="spellEnd"/>
            <w:r w:rsidRPr="00B64DD1">
              <w:t xml:space="preserve">” [Łączenie społeczności </w:t>
            </w:r>
            <w:r w:rsidRPr="00B64DD1">
              <w:lastRenderedPageBreak/>
              <w:t xml:space="preserve">medialnych] w Kosowie, w którym uczestniczyło 130 dziennikarzy i weryfikatorów informacji; wyraża uznanie dla ESDZ za kampanię </w:t>
            </w:r>
            <w:proofErr w:type="spellStart"/>
            <w:r w:rsidRPr="00B64DD1">
              <w:t>EUvsDisinfo</w:t>
            </w:r>
            <w:proofErr w:type="spellEnd"/>
            <w:r w:rsidRPr="00B64DD1">
              <w:t>, w ramach której w 2024 r. analizowano i ujawniano rosyjskie działania FIMI; zauważa z niepokojem, że liczba przypadków dezinformacji prokremlowskiej przekroczyła 18 000 wpisów; odnotowuje, że w niektórych delegaturach Unii zatrudniono urzędników ds. komunikacji strategicznej odpowiedzialnych za analizę i przeciwdziałanie FIMI, jednak zdolności w zakresie pozyskiwania informacji wywiadowczych pozostają w gestii państw członkowskich; wyraża uznanie dla ESDZ za uruchomienie ośrodka wymiany i analizy informacji dotyczących FIMI w celu wzmocnienia współpracy oraz wspólnej orientacji sytuacyjnej; przyznaje, że działania te, wspierane przez zwiększony budżet w wysokości 6,12 mln EUR w 2024 r. na rozwój zdolności w zakresie komunikacji strategicznej, zapewniły bardziej zdecydowaną, skoordynowaną i kompleksową reakcję Unii na zagrożenia związane z FIMI; zachęca do dalszego rozwijania i rozszerzania sieci „obrońców przed FIMI” przez inicjatywy w zakresie budowania zdolności;</w:t>
            </w:r>
          </w:p>
        </w:tc>
        <w:tc>
          <w:tcPr>
            <w:tcW w:w="4876" w:type="dxa"/>
            <w:tcBorders>
              <w:top w:val="nil"/>
              <w:left w:val="nil"/>
              <w:bottom w:val="nil"/>
              <w:right w:val="nil"/>
            </w:tcBorders>
          </w:tcPr>
          <w:p w14:paraId="3647B08F" w14:textId="77777777" w:rsidR="00A82F4D" w:rsidRPr="00B64DD1" w:rsidRDefault="00A82F4D" w:rsidP="00EA17FD">
            <w:pPr>
              <w:pStyle w:val="Normal6a"/>
            </w:pPr>
            <w:r w:rsidRPr="00B64DD1">
              <w:lastRenderedPageBreak/>
              <w:t>15.</w:t>
            </w:r>
            <w:r w:rsidRPr="00B64DD1">
              <w:tab/>
              <w:t>zauważa, że w 2024 r. ESDZ nadal mierzyła się z narastającymi wyzwaniami politycznymi i finansowymi, a także wyzwaniami w zakresie praw człowieka i praworządności; zwraca uwagę, że rosyjska wojna napastnicza przeciwko Ukrainie oraz jej konsekwencje geopolityczne pozostawały w 2024 r. jedną z kluczowych kwestii; podkreśla w tym kontekście znaczenie i potrzebę odgrywania przez ESDZ zasadniczej roli w budowaniu strategicznej autonomii Unii, którą należy chronić również przez zwalczanie zagranicznych manipulacji informacjami i ingerencji w informacje (FIMI) oraz kampanii dezinformacyjnych; zauważa, że w 2024 r. ESDZ opublikowała drugie sprawozdanie na temat zagrożeń z tytułu zagranicznych manipulacji informacjami i ingerencji w informacje, w którym szczegółowo opisano 750 incydentów oraz ujawniono operację „</w:t>
            </w:r>
            <w:proofErr w:type="spellStart"/>
            <w:r w:rsidRPr="00B64DD1">
              <w:t>False</w:t>
            </w:r>
            <w:proofErr w:type="spellEnd"/>
            <w:r w:rsidRPr="00B64DD1">
              <w:t xml:space="preserve"> </w:t>
            </w:r>
            <w:proofErr w:type="spellStart"/>
            <w:r w:rsidRPr="00B64DD1">
              <w:t>Façade</w:t>
            </w:r>
            <w:proofErr w:type="spellEnd"/>
            <w:r w:rsidRPr="00B64DD1">
              <w:t>” (schemat „prania” informacji prowadzony przez podmioty prokremlowskie), wykorzystała system szybkiego ostrzegania jako centralny mechanizm koordynacji działań w zakresie zwalczania FIMI w kontekście ochrony integralności wyborów europejskich, opublikowała zestaw narzędzi służących wykrywaniu FIMI opartych na kradzieży lub nadużyciu tożsamości, zorganizowała coroczną konferencję wysokiego szczebla poświęconą FIMI, opracowała podręcznik wspólnej polityki bezpieczeństwa i obrony (</w:t>
            </w:r>
            <w:proofErr w:type="spellStart"/>
            <w:r w:rsidRPr="00B64DD1">
              <w:t>WPBiO</w:t>
            </w:r>
            <w:proofErr w:type="spellEnd"/>
            <w:r w:rsidRPr="00B64DD1">
              <w:t xml:space="preserve">) dotyczący FIMI w celu wzmocnienia zdolności misji </w:t>
            </w:r>
            <w:proofErr w:type="spellStart"/>
            <w:r w:rsidRPr="00B64DD1">
              <w:t>WPBiO</w:t>
            </w:r>
            <w:proofErr w:type="spellEnd"/>
            <w:r w:rsidRPr="00B64DD1">
              <w:t xml:space="preserve"> do wykrywania ataków związanych z FIMI i reagowania na nie oraz przyczyniła się do wzmocnienia odporności mediów podczas wydarzenia „</w:t>
            </w:r>
            <w:proofErr w:type="spellStart"/>
            <w:r w:rsidRPr="00B64DD1">
              <w:t>Connecting</w:t>
            </w:r>
            <w:proofErr w:type="spellEnd"/>
            <w:r w:rsidRPr="00B64DD1">
              <w:t xml:space="preserve"> Media </w:t>
            </w:r>
            <w:proofErr w:type="spellStart"/>
            <w:r w:rsidRPr="00B64DD1">
              <w:t>Communities</w:t>
            </w:r>
            <w:proofErr w:type="spellEnd"/>
            <w:r w:rsidRPr="00B64DD1">
              <w:t xml:space="preserve">” [Łączenie społeczności </w:t>
            </w:r>
            <w:r w:rsidRPr="00B64DD1">
              <w:lastRenderedPageBreak/>
              <w:t xml:space="preserve">medialnych] w Kosowie, w którym uczestniczyło 130 dziennikarzy i weryfikatorów informacji; wyraża uznanie dla ESDZ za kampanię </w:t>
            </w:r>
            <w:proofErr w:type="spellStart"/>
            <w:r w:rsidRPr="00B64DD1">
              <w:t>EUvsDisinfo</w:t>
            </w:r>
            <w:proofErr w:type="spellEnd"/>
            <w:r w:rsidRPr="00B64DD1">
              <w:t xml:space="preserve">, w ramach której w 2024 r. analizowano i ujawniano rosyjskie działania FIMI; zauważa z niepokojem, że liczba przypadków dezinformacji prokremlowskiej przekroczyła 18 000 wpisów; odnotowuje, że w niektórych delegaturach Unii zatrudniono urzędników ds. komunikacji strategicznej odpowiedzialnych za analizę i przeciwdziałanie FIMI, jednak zdolności w zakresie pozyskiwania informacji wywiadowczych pozostają w gestii państw członkowskich; wyraża uznanie dla ESDZ za uruchomienie ośrodka wymiany i analizy informacji dotyczących FIMI w celu wzmocnienia współpracy oraz wspólnej orientacji sytuacyjnej; przyznaje, że działania te, wspierane przez zwiększony budżet w wysokości 6,12 mln EUR w 2024 r. na rozwój zdolności w zakresie komunikacji strategicznej, zapewniły bardziej zdecydowaną, skoordynowaną i kompleksową reakcję Unii na zagrożenia związane z FIMI; zachęca do dalszego rozwijania i rozszerzania sieci „obrońców przed FIMI” przez inicjatywy w zakresie budowania zdolności; </w:t>
            </w:r>
            <w:r w:rsidRPr="00B64DD1">
              <w:rPr>
                <w:b/>
                <w:i/>
              </w:rPr>
              <w:t xml:space="preserve">podkreśla zatem potrzebę zapewnienia odpowiednich zasobów dla Wydziału Komunikacji Strategicznej i Prognoz Strategicznych ESDZ, aby skutecznie zwalczać </w:t>
            </w:r>
            <w:proofErr w:type="spellStart"/>
            <w:r w:rsidRPr="00B64DD1">
              <w:rPr>
                <w:b/>
                <w:i/>
              </w:rPr>
              <w:t>antyunijne</w:t>
            </w:r>
            <w:proofErr w:type="spellEnd"/>
            <w:r w:rsidRPr="00B64DD1">
              <w:rPr>
                <w:b/>
                <w:i/>
              </w:rPr>
              <w:t xml:space="preserve"> kampanie dezinformacyjne i narracje stosowane strategicznie przez autorytarne i nieliberalne reżimy, które dążą do osłabienia działań zewnętrznych UE w państwach trzecich;</w:t>
            </w:r>
          </w:p>
        </w:tc>
      </w:tr>
    </w:tbl>
    <w:p w14:paraId="64995DA3"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6AAA1765" w14:textId="77777777" w:rsidR="00A82F4D" w:rsidRPr="00B64DD1" w:rsidRDefault="00A82F4D" w:rsidP="00A82F4D">
      <w:r w:rsidRPr="00B64DD1">
        <w:rPr>
          <w:rStyle w:val="HideTWBExt"/>
        </w:rPr>
        <w:t>&lt;/Amend&gt;</w:t>
      </w:r>
    </w:p>
    <w:p w14:paraId="284CCA37"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25</w:t>
      </w:r>
      <w:r w:rsidRPr="00B64DD1">
        <w:rPr>
          <w:rStyle w:val="HideTWBExt"/>
          <w:b w:val="0"/>
        </w:rPr>
        <w:t>&lt;/NumAm&gt;</w:t>
      </w:r>
    </w:p>
    <w:p w14:paraId="24F66EF5" w14:textId="77777777" w:rsidR="00A82F4D" w:rsidRPr="00B64DD1" w:rsidRDefault="00A82F4D" w:rsidP="00A82F4D">
      <w:pPr>
        <w:pStyle w:val="NormalBold"/>
      </w:pPr>
      <w:r w:rsidRPr="00B64DD1">
        <w:rPr>
          <w:rStyle w:val="HideTWBExt"/>
          <w:b w:val="0"/>
        </w:rPr>
        <w:t>&lt;RepeatBlock-By&gt;&lt;Members&gt;</w:t>
      </w:r>
      <w:r w:rsidRPr="00B64DD1">
        <w:t xml:space="preserve">José </w:t>
      </w:r>
      <w:proofErr w:type="spellStart"/>
      <w:r w:rsidRPr="00B64DD1">
        <w:t>Cepeda</w:t>
      </w:r>
      <w:proofErr w:type="spellEnd"/>
      <w:r w:rsidRPr="00B64DD1">
        <w:t xml:space="preserve">, </w:t>
      </w:r>
      <w:proofErr w:type="spellStart"/>
      <w:r w:rsidRPr="00B64DD1">
        <w:t>Nacho</w:t>
      </w:r>
      <w:proofErr w:type="spellEnd"/>
      <w:r w:rsidRPr="00B64DD1">
        <w:t xml:space="preserve"> </w:t>
      </w:r>
      <w:proofErr w:type="spellStart"/>
      <w:r w:rsidRPr="00B64DD1">
        <w:t>Sánchez</w:t>
      </w:r>
      <w:proofErr w:type="spellEnd"/>
      <w:r w:rsidRPr="00B64DD1">
        <w:t xml:space="preserve"> Amor</w:t>
      </w:r>
      <w:r w:rsidRPr="00B64DD1">
        <w:rPr>
          <w:rStyle w:val="HideTWBExt"/>
          <w:b w:val="0"/>
        </w:rPr>
        <w:t>&lt;/Members&gt;</w:t>
      </w:r>
    </w:p>
    <w:p w14:paraId="1D0B71B7" w14:textId="77777777" w:rsidR="00A82F4D" w:rsidRPr="00B64DD1" w:rsidRDefault="00A82F4D" w:rsidP="00A82F4D">
      <w:pPr>
        <w:pStyle w:val="NormalBold"/>
      </w:pPr>
      <w:r w:rsidRPr="00B64DD1">
        <w:rPr>
          <w:rStyle w:val="HideTWBExt"/>
          <w:b w:val="0"/>
        </w:rPr>
        <w:t>&lt;/RepeatBlock-By&gt;</w:t>
      </w:r>
    </w:p>
    <w:p w14:paraId="5B16429C" w14:textId="77777777" w:rsidR="00A82F4D" w:rsidRPr="00B64DD1" w:rsidRDefault="00A82F4D" w:rsidP="00A82F4D">
      <w:pPr>
        <w:pStyle w:val="NormalBold"/>
      </w:pPr>
      <w:r w:rsidRPr="00B64DD1">
        <w:rPr>
          <w:rStyle w:val="HideTWBExt"/>
          <w:b w:val="0"/>
        </w:rPr>
        <w:lastRenderedPageBreak/>
        <w:t>&lt;DocAmend&gt;</w:t>
      </w:r>
      <w:r w:rsidRPr="00B64DD1">
        <w:t>Projekt rezolucji</w:t>
      </w:r>
      <w:r w:rsidRPr="00B64DD1">
        <w:rPr>
          <w:rStyle w:val="HideTWBExt"/>
          <w:b w:val="0"/>
        </w:rPr>
        <w:t>&lt;/DocAmend&gt;</w:t>
      </w:r>
    </w:p>
    <w:p w14:paraId="00063F4E" w14:textId="77777777" w:rsidR="00A82F4D" w:rsidRPr="00B64DD1" w:rsidRDefault="00A82F4D" w:rsidP="00A82F4D">
      <w:pPr>
        <w:pStyle w:val="NormalBold"/>
      </w:pPr>
      <w:r w:rsidRPr="00B64DD1">
        <w:rPr>
          <w:rStyle w:val="HideTWBExt"/>
          <w:b w:val="0"/>
        </w:rPr>
        <w:t>&lt;Article&gt;</w:t>
      </w:r>
      <w:r w:rsidRPr="00B64DD1">
        <w:t>Ustęp 15 a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33D10EFD" w14:textId="77777777" w:rsidTr="00EA17FD">
        <w:trPr>
          <w:trHeight w:hRule="exact" w:val="240"/>
          <w:jc w:val="center"/>
        </w:trPr>
        <w:tc>
          <w:tcPr>
            <w:tcW w:w="9752" w:type="dxa"/>
            <w:gridSpan w:val="2"/>
            <w:tcBorders>
              <w:top w:val="nil"/>
              <w:left w:val="nil"/>
              <w:bottom w:val="nil"/>
              <w:right w:val="nil"/>
            </w:tcBorders>
          </w:tcPr>
          <w:p w14:paraId="0AB744A4" w14:textId="77777777" w:rsidR="00A82F4D" w:rsidRPr="00B64DD1" w:rsidRDefault="00A82F4D" w:rsidP="00EA17FD"/>
        </w:tc>
      </w:tr>
      <w:tr w:rsidR="00A82F4D" w:rsidRPr="00B64DD1" w14:paraId="20DA936B" w14:textId="77777777" w:rsidTr="00EA17FD">
        <w:trPr>
          <w:trHeight w:val="240"/>
          <w:jc w:val="center"/>
        </w:trPr>
        <w:tc>
          <w:tcPr>
            <w:tcW w:w="4876" w:type="dxa"/>
            <w:tcBorders>
              <w:top w:val="nil"/>
              <w:left w:val="nil"/>
              <w:bottom w:val="nil"/>
              <w:right w:val="nil"/>
            </w:tcBorders>
          </w:tcPr>
          <w:p w14:paraId="7638C503"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7AEAE831" w14:textId="77777777" w:rsidR="00A82F4D" w:rsidRPr="00B64DD1" w:rsidRDefault="00A82F4D" w:rsidP="00EA17FD">
            <w:pPr>
              <w:pStyle w:val="AmColumnHeading"/>
            </w:pPr>
            <w:r w:rsidRPr="00B64DD1">
              <w:t>Poprawka</w:t>
            </w:r>
          </w:p>
        </w:tc>
      </w:tr>
      <w:tr w:rsidR="00A82F4D" w:rsidRPr="00B64DD1" w14:paraId="7877EB98" w14:textId="77777777" w:rsidTr="00EA17FD">
        <w:trPr>
          <w:jc w:val="center"/>
        </w:trPr>
        <w:tc>
          <w:tcPr>
            <w:tcW w:w="4876" w:type="dxa"/>
            <w:tcBorders>
              <w:top w:val="nil"/>
              <w:left w:val="nil"/>
              <w:bottom w:val="nil"/>
              <w:right w:val="nil"/>
            </w:tcBorders>
          </w:tcPr>
          <w:p w14:paraId="7C562DD5" w14:textId="77777777" w:rsidR="00A82F4D" w:rsidRPr="00B64DD1" w:rsidRDefault="00A82F4D" w:rsidP="00EA17FD">
            <w:pPr>
              <w:pStyle w:val="Normal6a"/>
            </w:pPr>
          </w:p>
        </w:tc>
        <w:tc>
          <w:tcPr>
            <w:tcW w:w="4876" w:type="dxa"/>
            <w:tcBorders>
              <w:top w:val="nil"/>
              <w:left w:val="nil"/>
              <w:bottom w:val="nil"/>
              <w:right w:val="nil"/>
            </w:tcBorders>
          </w:tcPr>
          <w:p w14:paraId="11294CE7" w14:textId="77777777" w:rsidR="00A82F4D" w:rsidRPr="00B64DD1" w:rsidRDefault="00A82F4D" w:rsidP="00EA17FD">
            <w:pPr>
              <w:pStyle w:val="Normal6a"/>
            </w:pPr>
            <w:r w:rsidRPr="00B64DD1">
              <w:rPr>
                <w:b/>
                <w:i/>
              </w:rPr>
              <w:t>15a.</w:t>
            </w:r>
            <w:r w:rsidRPr="00B64DD1">
              <w:tab/>
            </w:r>
            <w:r w:rsidRPr="00B64DD1">
              <w:rPr>
                <w:b/>
                <w:i/>
              </w:rPr>
              <w:t xml:space="preserve">przypomina wezwania kierowane w ramach Strategicznego kompasu oraz w rezolucji Parlamentu Europejskiego dotyczące wzmocnienia zdolności Unii w zakresie wywiadu i orientacji sytuacyjnej; podkreśla, że rosnące potrzeby Unii w zakresie analizy i zarządzania kryzysowego wymagają zwiększenia zasobów przydzielonych Centrum Analiz Wywiadowczych Unii Europejskiej (EU INTCEN) oraz Centrum Reagowania Kryzysowego ESDZ, tak aby zapewnić im odpowiednie wyposażenie do wypełniania ich zadań w coraz bardziej złożonym i wymagającym środowisku geopolitycznym; podkreśla kluczową rolę EU INTCEN w dostarczaniu zintegrowanych, opartych na wszystkich źródłach ocen analitycznych wspierających proces decyzyjny w zakresie </w:t>
            </w:r>
            <w:proofErr w:type="spellStart"/>
            <w:r w:rsidRPr="00B64DD1">
              <w:rPr>
                <w:b/>
                <w:i/>
              </w:rPr>
              <w:t>WPZiB</w:t>
            </w:r>
            <w:proofErr w:type="spellEnd"/>
            <w:r w:rsidRPr="00B64DD1">
              <w:rPr>
                <w:b/>
                <w:i/>
              </w:rPr>
              <w:t xml:space="preserve"> i </w:t>
            </w:r>
            <w:proofErr w:type="spellStart"/>
            <w:r w:rsidRPr="00B64DD1">
              <w:rPr>
                <w:b/>
                <w:i/>
              </w:rPr>
              <w:t>WPBiO</w:t>
            </w:r>
            <w:proofErr w:type="spellEnd"/>
            <w:r w:rsidRPr="00B64DD1">
              <w:rPr>
                <w:b/>
                <w:i/>
              </w:rPr>
              <w:t xml:space="preserve"> oraz podkreśla potencjał sieci delegatur UE, bez uszczerbku dla kompetencji państw członkowskich, jako kluczowego czynnika wnoszącego wkład w orientację sytuacyjną poprzez integrację odpowiednich informacji już dostępnych w terenie; uważa, że ustanowienie jaśniejszych i bardziej widocznych przydziałów budżetowych dla EU INTCEN mogłoby ułatwić zwiększenie przejrzystości, kontroli demokratycznej i rozliczalności w ramach procedury udzielania absolutorium;</w:t>
            </w:r>
          </w:p>
        </w:tc>
      </w:tr>
    </w:tbl>
    <w:p w14:paraId="2B961078"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370294F3" w14:textId="77777777" w:rsidR="00A82F4D" w:rsidRPr="00B64DD1" w:rsidRDefault="00A82F4D" w:rsidP="00A82F4D">
      <w:r w:rsidRPr="00B64DD1">
        <w:rPr>
          <w:rStyle w:val="HideTWBExt"/>
        </w:rPr>
        <w:t>&lt;/Amend&gt;</w:t>
      </w:r>
    </w:p>
    <w:p w14:paraId="6B1331BB"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26</w:t>
      </w:r>
      <w:r w:rsidRPr="00B64DD1">
        <w:rPr>
          <w:rStyle w:val="HideTWBExt"/>
          <w:b w:val="0"/>
        </w:rPr>
        <w:t>&lt;/NumAm&gt;</w:t>
      </w:r>
    </w:p>
    <w:p w14:paraId="5A67D48F" w14:textId="77777777" w:rsidR="00A82F4D" w:rsidRPr="00B64DD1" w:rsidRDefault="00A82F4D" w:rsidP="00A82F4D">
      <w:pPr>
        <w:pStyle w:val="NormalBold"/>
      </w:pPr>
      <w:r w:rsidRPr="00B64DD1">
        <w:rPr>
          <w:rStyle w:val="HideTWBExt"/>
          <w:b w:val="0"/>
        </w:rPr>
        <w:t>&lt;RepeatBlock-By&gt;&lt;Members&gt;</w:t>
      </w:r>
      <w:proofErr w:type="spellStart"/>
      <w:r w:rsidRPr="00B64DD1">
        <w:t>Andrey</w:t>
      </w:r>
      <w:proofErr w:type="spellEnd"/>
      <w:r w:rsidRPr="00B64DD1">
        <w:t xml:space="preserve"> </w:t>
      </w:r>
      <w:proofErr w:type="spellStart"/>
      <w:r w:rsidRPr="00B64DD1">
        <w:t>Kovatchev</w:t>
      </w:r>
      <w:proofErr w:type="spellEnd"/>
      <w:r w:rsidRPr="00B64DD1">
        <w:rPr>
          <w:rStyle w:val="HideTWBExt"/>
          <w:b w:val="0"/>
        </w:rPr>
        <w:t>&lt;/Members&gt;</w:t>
      </w:r>
    </w:p>
    <w:p w14:paraId="5C525514" w14:textId="77777777" w:rsidR="00A82F4D" w:rsidRPr="00B64DD1" w:rsidRDefault="00A82F4D" w:rsidP="00A82F4D">
      <w:pPr>
        <w:pStyle w:val="NormalBold"/>
      </w:pPr>
      <w:r w:rsidRPr="00B64DD1">
        <w:rPr>
          <w:rStyle w:val="HideTWBExt"/>
          <w:b w:val="0"/>
        </w:rPr>
        <w:t>&lt;/RepeatBlock-By&gt;</w:t>
      </w:r>
    </w:p>
    <w:p w14:paraId="5D96C604"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7C377AEA" w14:textId="77777777" w:rsidR="00A82F4D" w:rsidRPr="00B64DD1" w:rsidRDefault="00A82F4D" w:rsidP="00A82F4D">
      <w:pPr>
        <w:pStyle w:val="NormalBold"/>
      </w:pPr>
      <w:r w:rsidRPr="00B64DD1">
        <w:rPr>
          <w:rStyle w:val="HideTWBExt"/>
          <w:b w:val="0"/>
        </w:rPr>
        <w:t>&lt;Article&gt;</w:t>
      </w:r>
      <w:r w:rsidRPr="00B64DD1">
        <w:t>Ustęp 15 a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202AC65F" w14:textId="77777777" w:rsidTr="00EA17FD">
        <w:trPr>
          <w:trHeight w:hRule="exact" w:val="240"/>
          <w:jc w:val="center"/>
        </w:trPr>
        <w:tc>
          <w:tcPr>
            <w:tcW w:w="9752" w:type="dxa"/>
            <w:gridSpan w:val="2"/>
            <w:tcBorders>
              <w:top w:val="nil"/>
              <w:left w:val="nil"/>
              <w:bottom w:val="nil"/>
              <w:right w:val="nil"/>
            </w:tcBorders>
          </w:tcPr>
          <w:p w14:paraId="77735FAF" w14:textId="77777777" w:rsidR="00A82F4D" w:rsidRPr="00B64DD1" w:rsidRDefault="00A82F4D" w:rsidP="00EA17FD"/>
        </w:tc>
      </w:tr>
      <w:tr w:rsidR="00A82F4D" w:rsidRPr="00B64DD1" w14:paraId="5AF1E755" w14:textId="77777777" w:rsidTr="00EA17FD">
        <w:trPr>
          <w:trHeight w:val="240"/>
          <w:jc w:val="center"/>
        </w:trPr>
        <w:tc>
          <w:tcPr>
            <w:tcW w:w="4876" w:type="dxa"/>
            <w:tcBorders>
              <w:top w:val="nil"/>
              <w:left w:val="nil"/>
              <w:bottom w:val="nil"/>
              <w:right w:val="nil"/>
            </w:tcBorders>
          </w:tcPr>
          <w:p w14:paraId="2408DF7D" w14:textId="77777777" w:rsidR="00A82F4D" w:rsidRPr="00B64DD1" w:rsidRDefault="00A82F4D" w:rsidP="00EA17FD">
            <w:pPr>
              <w:pStyle w:val="AmColumnHeading"/>
            </w:pPr>
            <w:r w:rsidRPr="00B64DD1">
              <w:lastRenderedPageBreak/>
              <w:t>Projekt rezolucji</w:t>
            </w:r>
          </w:p>
        </w:tc>
        <w:tc>
          <w:tcPr>
            <w:tcW w:w="4876" w:type="dxa"/>
            <w:tcBorders>
              <w:top w:val="nil"/>
              <w:left w:val="nil"/>
              <w:bottom w:val="nil"/>
              <w:right w:val="nil"/>
            </w:tcBorders>
          </w:tcPr>
          <w:p w14:paraId="03728200" w14:textId="77777777" w:rsidR="00A82F4D" w:rsidRPr="00B64DD1" w:rsidRDefault="00A82F4D" w:rsidP="00EA17FD">
            <w:pPr>
              <w:pStyle w:val="AmColumnHeading"/>
            </w:pPr>
            <w:r w:rsidRPr="00B64DD1">
              <w:t>Poprawka</w:t>
            </w:r>
          </w:p>
        </w:tc>
      </w:tr>
      <w:tr w:rsidR="00A82F4D" w:rsidRPr="00B64DD1" w14:paraId="038A7E5C" w14:textId="77777777" w:rsidTr="00EA17FD">
        <w:trPr>
          <w:jc w:val="center"/>
        </w:trPr>
        <w:tc>
          <w:tcPr>
            <w:tcW w:w="4876" w:type="dxa"/>
            <w:tcBorders>
              <w:top w:val="nil"/>
              <w:left w:val="nil"/>
              <w:bottom w:val="nil"/>
              <w:right w:val="nil"/>
            </w:tcBorders>
          </w:tcPr>
          <w:p w14:paraId="0D447D9A" w14:textId="77777777" w:rsidR="00A82F4D" w:rsidRPr="00B64DD1" w:rsidRDefault="00A82F4D" w:rsidP="00EA17FD">
            <w:pPr>
              <w:pStyle w:val="Normal6a"/>
            </w:pPr>
          </w:p>
        </w:tc>
        <w:tc>
          <w:tcPr>
            <w:tcW w:w="4876" w:type="dxa"/>
            <w:tcBorders>
              <w:top w:val="nil"/>
              <w:left w:val="nil"/>
              <w:bottom w:val="nil"/>
              <w:right w:val="nil"/>
            </w:tcBorders>
          </w:tcPr>
          <w:p w14:paraId="179328A2" w14:textId="77777777" w:rsidR="00A82F4D" w:rsidRPr="00B64DD1" w:rsidRDefault="00A82F4D" w:rsidP="00EA17FD">
            <w:pPr>
              <w:pStyle w:val="Normal6a"/>
            </w:pPr>
            <w:r w:rsidRPr="00B64DD1">
              <w:rPr>
                <w:b/>
                <w:i/>
              </w:rPr>
              <w:t>15a.</w:t>
            </w:r>
            <w:r w:rsidRPr="00B64DD1">
              <w:tab/>
            </w:r>
            <w:r w:rsidRPr="00B64DD1">
              <w:rPr>
                <w:b/>
                <w:i/>
              </w:rPr>
              <w:t xml:space="preserve">z zadowoleniem przyjmuje utworzenie europejskiej tarczy demokracji oraz utworzenie Ośrodka Odporności Demokratycznej jako ważne kroki w kierunku wzmocnienia zdolności UE do przeciwdziałania FIMI; z zadowoleniem przyjmuje zamiar, by rozszerzyć zaproponowaną europejską tarczę demokracji na kraje przystępujące, co wzmocniłoby ich zdolność do reagowania na zagrożenia, takie jak zagraniczne manipulacje informacjami i ingerencje w informacje oraz kampanie dezinformacyjne; apeluje do Komisji i ESDZ o pogłębienie współpracy z krajami objętymi procesem rozszerzenia najbardziej podatnymi na zagrożenia w zakresie odporności informacyjnej, </w:t>
            </w:r>
            <w:proofErr w:type="spellStart"/>
            <w:r w:rsidRPr="00B64DD1">
              <w:rPr>
                <w:b/>
                <w:i/>
              </w:rPr>
              <w:t>cyberbezpieczeństwa</w:t>
            </w:r>
            <w:proofErr w:type="spellEnd"/>
            <w:r w:rsidRPr="00B64DD1">
              <w:rPr>
                <w:b/>
                <w:i/>
              </w:rPr>
              <w:t xml:space="preserve"> i zagrożeń hybrydowych; wzywa ESDZ i delegatury UE w państwach trzecich do dalszego wzmacniania swoich zdolności w zakresie zwalczania i przeciwdziałania dezinformacji i propagandzie skierowanej przeciwko </w:t>
            </w:r>
            <w:proofErr w:type="spellStart"/>
            <w:r w:rsidRPr="00B64DD1">
              <w:rPr>
                <w:b/>
                <w:i/>
              </w:rPr>
              <w:t>WPZiB</w:t>
            </w:r>
            <w:proofErr w:type="spellEnd"/>
            <w:r w:rsidRPr="00B64DD1">
              <w:rPr>
                <w:b/>
                <w:i/>
              </w:rPr>
              <w:t xml:space="preserve"> UE, w tym poprzez inwestowanie w kampanie informacyjne mające na celu zwalczanie wpływów zagranicznych;</w:t>
            </w:r>
          </w:p>
        </w:tc>
      </w:tr>
    </w:tbl>
    <w:p w14:paraId="731E490A"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6BE4F89F" w14:textId="77777777" w:rsidR="00A82F4D" w:rsidRPr="00B64DD1" w:rsidRDefault="00A82F4D" w:rsidP="00A82F4D">
      <w:r w:rsidRPr="00B64DD1">
        <w:rPr>
          <w:rStyle w:val="HideTWBExt"/>
        </w:rPr>
        <w:t>&lt;/Amend&gt;</w:t>
      </w:r>
    </w:p>
    <w:p w14:paraId="55A40C3C"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27</w:t>
      </w:r>
      <w:r w:rsidRPr="00B64DD1">
        <w:rPr>
          <w:rStyle w:val="HideTWBExt"/>
          <w:b w:val="0"/>
        </w:rPr>
        <w:t>&lt;/NumAm&gt;</w:t>
      </w:r>
    </w:p>
    <w:p w14:paraId="1176464C" w14:textId="77777777" w:rsidR="00A82F4D" w:rsidRPr="00B64DD1" w:rsidRDefault="00A82F4D" w:rsidP="00A82F4D">
      <w:pPr>
        <w:pStyle w:val="NormalBold"/>
      </w:pPr>
      <w:r w:rsidRPr="00B64DD1">
        <w:rPr>
          <w:rStyle w:val="HideTWBExt"/>
          <w:b w:val="0"/>
        </w:rPr>
        <w:t>&lt;RepeatBlock-By&gt;&lt;Members&gt;</w:t>
      </w:r>
      <w:proofErr w:type="spellStart"/>
      <w:r w:rsidRPr="00B64DD1">
        <w:t>Cristian</w:t>
      </w:r>
      <w:proofErr w:type="spellEnd"/>
      <w:r w:rsidRPr="00B64DD1">
        <w:t xml:space="preserve"> </w:t>
      </w:r>
      <w:proofErr w:type="spellStart"/>
      <w:r w:rsidRPr="00B64DD1">
        <w:t>Terheş</w:t>
      </w:r>
      <w:proofErr w:type="spellEnd"/>
      <w:r w:rsidRPr="00B64DD1">
        <w:rPr>
          <w:rStyle w:val="HideTWBExt"/>
          <w:b w:val="0"/>
        </w:rPr>
        <w:t>&lt;/Members&gt;</w:t>
      </w:r>
    </w:p>
    <w:p w14:paraId="017385B0" w14:textId="77777777" w:rsidR="00A82F4D" w:rsidRPr="00B64DD1" w:rsidRDefault="00A82F4D" w:rsidP="00A82F4D">
      <w:pPr>
        <w:pStyle w:val="NormalBold"/>
      </w:pPr>
      <w:r w:rsidRPr="00B64DD1">
        <w:rPr>
          <w:rStyle w:val="HideTWBExt"/>
          <w:b w:val="0"/>
        </w:rPr>
        <w:t>&lt;/RepeatBlock-By&gt;</w:t>
      </w:r>
    </w:p>
    <w:p w14:paraId="47DC6DA1"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6E669845" w14:textId="77777777" w:rsidR="00A82F4D" w:rsidRPr="00B64DD1" w:rsidRDefault="00A82F4D" w:rsidP="00A82F4D">
      <w:pPr>
        <w:pStyle w:val="NormalBold"/>
      </w:pPr>
      <w:r w:rsidRPr="00B64DD1">
        <w:rPr>
          <w:rStyle w:val="HideTWBExt"/>
          <w:b w:val="0"/>
        </w:rPr>
        <w:t>&lt;Article&gt;</w:t>
      </w:r>
      <w:r w:rsidRPr="00B64DD1">
        <w:t>Ustęp 15 a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3EAE56E6" w14:textId="77777777" w:rsidTr="00EA17FD">
        <w:trPr>
          <w:trHeight w:hRule="exact" w:val="240"/>
          <w:jc w:val="center"/>
        </w:trPr>
        <w:tc>
          <w:tcPr>
            <w:tcW w:w="9752" w:type="dxa"/>
            <w:gridSpan w:val="2"/>
            <w:tcBorders>
              <w:top w:val="nil"/>
              <w:left w:val="nil"/>
              <w:bottom w:val="nil"/>
              <w:right w:val="nil"/>
            </w:tcBorders>
          </w:tcPr>
          <w:p w14:paraId="70EC921D" w14:textId="77777777" w:rsidR="00A82F4D" w:rsidRPr="00B64DD1" w:rsidRDefault="00A82F4D" w:rsidP="00EA17FD"/>
        </w:tc>
      </w:tr>
      <w:tr w:rsidR="00A82F4D" w:rsidRPr="00B64DD1" w14:paraId="6FACBB24" w14:textId="77777777" w:rsidTr="00EA17FD">
        <w:trPr>
          <w:trHeight w:val="240"/>
          <w:jc w:val="center"/>
        </w:trPr>
        <w:tc>
          <w:tcPr>
            <w:tcW w:w="4876" w:type="dxa"/>
            <w:tcBorders>
              <w:top w:val="nil"/>
              <w:left w:val="nil"/>
              <w:bottom w:val="nil"/>
              <w:right w:val="nil"/>
            </w:tcBorders>
          </w:tcPr>
          <w:p w14:paraId="414892D7"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1836216B" w14:textId="77777777" w:rsidR="00A82F4D" w:rsidRPr="00B64DD1" w:rsidRDefault="00A82F4D" w:rsidP="00EA17FD">
            <w:pPr>
              <w:pStyle w:val="AmColumnHeading"/>
            </w:pPr>
            <w:r w:rsidRPr="00B64DD1">
              <w:t>Poprawka</w:t>
            </w:r>
          </w:p>
        </w:tc>
      </w:tr>
      <w:tr w:rsidR="00A82F4D" w:rsidRPr="00B64DD1" w14:paraId="34E2A6F2" w14:textId="77777777" w:rsidTr="00EA17FD">
        <w:trPr>
          <w:jc w:val="center"/>
        </w:trPr>
        <w:tc>
          <w:tcPr>
            <w:tcW w:w="4876" w:type="dxa"/>
            <w:tcBorders>
              <w:top w:val="nil"/>
              <w:left w:val="nil"/>
              <w:bottom w:val="nil"/>
              <w:right w:val="nil"/>
            </w:tcBorders>
          </w:tcPr>
          <w:p w14:paraId="509459E6" w14:textId="77777777" w:rsidR="00A82F4D" w:rsidRPr="00B64DD1" w:rsidRDefault="00A82F4D" w:rsidP="00EA17FD">
            <w:pPr>
              <w:pStyle w:val="Normal6a"/>
            </w:pPr>
          </w:p>
        </w:tc>
        <w:tc>
          <w:tcPr>
            <w:tcW w:w="4876" w:type="dxa"/>
            <w:tcBorders>
              <w:top w:val="nil"/>
              <w:left w:val="nil"/>
              <w:bottom w:val="nil"/>
              <w:right w:val="nil"/>
            </w:tcBorders>
          </w:tcPr>
          <w:p w14:paraId="6649B647" w14:textId="77777777" w:rsidR="00A82F4D" w:rsidRPr="00B64DD1" w:rsidRDefault="00A82F4D" w:rsidP="00EA17FD">
            <w:pPr>
              <w:pStyle w:val="Normal6a"/>
            </w:pPr>
            <w:r w:rsidRPr="00B64DD1">
              <w:rPr>
                <w:b/>
                <w:i/>
              </w:rPr>
              <w:t>15a.</w:t>
            </w:r>
            <w:r w:rsidRPr="00B64DD1">
              <w:tab/>
            </w:r>
            <w:r w:rsidRPr="00B64DD1">
              <w:rPr>
                <w:b/>
                <w:i/>
              </w:rPr>
              <w:t xml:space="preserve">podkreśla potrzebę zapewnienia odpowiednich zasobów Wydziałowi Komunikacji Strategicznej i Prognoz Strategicznych Europejskiej Służby Działań Zewnętrznych (ESDZ) w celu skutecznego przeciwdziałania </w:t>
            </w:r>
            <w:r w:rsidRPr="00B64DD1">
              <w:rPr>
                <w:b/>
                <w:i/>
              </w:rPr>
              <w:lastRenderedPageBreak/>
              <w:t>dezinformacji stosowanej przez reżimy autorytarne, zwłaszcza przez Kreml; przypomina, że w Mołdawii i na Ukrainie podmioty powiązane z Rosją wykorzystują religię, w tym Kościół prawosławny podlegający patriarchatowi moskiewskiemu, do osłabiania odporności demokratycznej; podkreśla, jak ważne jest wzmocnienie dyplomacji UE opartej na wierze w ramach jej działań zewnętrznych i wzywa do utworzenia specjalnej linii budżetowej ESDZ w celu wspierania dialogu, promowania tolerancji międzywyznaniowej i przeciwdziałania geopolitycznemu nadużywaniu religii;</w:t>
            </w:r>
          </w:p>
        </w:tc>
      </w:tr>
    </w:tbl>
    <w:p w14:paraId="762B73FE"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7C0DCE8E" w14:textId="77777777" w:rsidR="00A82F4D" w:rsidRPr="00B64DD1" w:rsidRDefault="00A82F4D" w:rsidP="00A82F4D">
      <w:r w:rsidRPr="00B64DD1">
        <w:rPr>
          <w:rStyle w:val="HideTWBExt"/>
        </w:rPr>
        <w:t>&lt;/Amend&gt;</w:t>
      </w:r>
    </w:p>
    <w:p w14:paraId="15E7355F"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28</w:t>
      </w:r>
      <w:r w:rsidRPr="00B64DD1">
        <w:rPr>
          <w:rStyle w:val="HideTWBExt"/>
          <w:b w:val="0"/>
        </w:rPr>
        <w:t>&lt;/NumAm&gt;</w:t>
      </w:r>
    </w:p>
    <w:p w14:paraId="61F7455E" w14:textId="77777777" w:rsidR="00A82F4D" w:rsidRPr="00B64DD1" w:rsidRDefault="00A82F4D" w:rsidP="00A82F4D">
      <w:pPr>
        <w:pStyle w:val="NormalBold"/>
      </w:pPr>
      <w:r w:rsidRPr="00B64DD1">
        <w:rPr>
          <w:rStyle w:val="HideTWBExt"/>
          <w:b w:val="0"/>
        </w:rPr>
        <w:t>&lt;RepeatBlock-By&gt;&lt;Members&gt;</w:t>
      </w:r>
      <w:r w:rsidRPr="00B64DD1">
        <w:t xml:space="preserve">Bert-Jan </w:t>
      </w:r>
      <w:proofErr w:type="spellStart"/>
      <w:r w:rsidRPr="00B64DD1">
        <w:t>Ruissen</w:t>
      </w:r>
      <w:proofErr w:type="spellEnd"/>
      <w:r w:rsidRPr="00B64DD1">
        <w:rPr>
          <w:rStyle w:val="HideTWBExt"/>
          <w:b w:val="0"/>
        </w:rPr>
        <w:t>&lt;/Members&gt;</w:t>
      </w:r>
    </w:p>
    <w:p w14:paraId="662D0867" w14:textId="77777777" w:rsidR="00A82F4D" w:rsidRPr="00B64DD1" w:rsidRDefault="00A82F4D" w:rsidP="00A82F4D">
      <w:pPr>
        <w:pStyle w:val="NormalBold"/>
      </w:pPr>
      <w:r w:rsidRPr="00B64DD1">
        <w:rPr>
          <w:rStyle w:val="HideTWBExt"/>
          <w:b w:val="0"/>
        </w:rPr>
        <w:t>&lt;/RepeatBlock-By&gt;</w:t>
      </w:r>
    </w:p>
    <w:p w14:paraId="68A84EC7"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1BE30FB2" w14:textId="77777777" w:rsidR="00A82F4D" w:rsidRPr="00B64DD1" w:rsidRDefault="00A82F4D" w:rsidP="00A82F4D">
      <w:pPr>
        <w:pStyle w:val="NormalBold"/>
      </w:pPr>
      <w:r w:rsidRPr="00B64DD1">
        <w:rPr>
          <w:rStyle w:val="HideTWBExt"/>
          <w:b w:val="0"/>
        </w:rPr>
        <w:t>&lt;Article&gt;</w:t>
      </w:r>
      <w:r w:rsidRPr="00B64DD1">
        <w:t>Ustęp 15 – punkt a (nowy)</w:t>
      </w:r>
      <w:r w:rsidRPr="00B64DD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0CCB31C8" w14:textId="77777777" w:rsidTr="00EA17FD">
        <w:trPr>
          <w:trHeight w:hRule="exact" w:val="240"/>
          <w:jc w:val="center"/>
        </w:trPr>
        <w:tc>
          <w:tcPr>
            <w:tcW w:w="9752" w:type="dxa"/>
            <w:gridSpan w:val="2"/>
            <w:tcBorders>
              <w:top w:val="nil"/>
              <w:left w:val="nil"/>
              <w:bottom w:val="nil"/>
              <w:right w:val="nil"/>
            </w:tcBorders>
          </w:tcPr>
          <w:p w14:paraId="70DDEC9D" w14:textId="77777777" w:rsidR="00A82F4D" w:rsidRPr="00B64DD1" w:rsidRDefault="00A82F4D" w:rsidP="00EA17FD"/>
        </w:tc>
      </w:tr>
      <w:tr w:rsidR="00A82F4D" w:rsidRPr="00B64DD1" w14:paraId="060C0855" w14:textId="77777777" w:rsidTr="00EA17FD">
        <w:trPr>
          <w:trHeight w:val="240"/>
          <w:jc w:val="center"/>
        </w:trPr>
        <w:tc>
          <w:tcPr>
            <w:tcW w:w="4876" w:type="dxa"/>
            <w:tcBorders>
              <w:top w:val="nil"/>
              <w:left w:val="nil"/>
              <w:bottom w:val="nil"/>
              <w:right w:val="nil"/>
            </w:tcBorders>
          </w:tcPr>
          <w:p w14:paraId="6A418B1D"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6F82BFFC" w14:textId="77777777" w:rsidR="00A82F4D" w:rsidRPr="00B64DD1" w:rsidRDefault="00A82F4D" w:rsidP="00EA17FD">
            <w:pPr>
              <w:pStyle w:val="AmColumnHeading"/>
            </w:pPr>
            <w:r w:rsidRPr="00B64DD1">
              <w:t>Poprawka</w:t>
            </w:r>
          </w:p>
        </w:tc>
      </w:tr>
      <w:tr w:rsidR="00A82F4D" w:rsidRPr="00B64DD1" w14:paraId="162F34EC" w14:textId="77777777" w:rsidTr="00EA17FD">
        <w:trPr>
          <w:jc w:val="center"/>
        </w:trPr>
        <w:tc>
          <w:tcPr>
            <w:tcW w:w="4876" w:type="dxa"/>
            <w:tcBorders>
              <w:top w:val="nil"/>
              <w:left w:val="nil"/>
              <w:bottom w:val="nil"/>
              <w:right w:val="nil"/>
            </w:tcBorders>
          </w:tcPr>
          <w:p w14:paraId="16A85A02" w14:textId="77777777" w:rsidR="00A82F4D" w:rsidRPr="00B64DD1" w:rsidRDefault="00A82F4D" w:rsidP="00EA17FD">
            <w:pPr>
              <w:pStyle w:val="Normal6a"/>
            </w:pPr>
          </w:p>
        </w:tc>
        <w:tc>
          <w:tcPr>
            <w:tcW w:w="4876" w:type="dxa"/>
            <w:tcBorders>
              <w:top w:val="nil"/>
              <w:left w:val="nil"/>
              <w:bottom w:val="nil"/>
              <w:right w:val="nil"/>
            </w:tcBorders>
          </w:tcPr>
          <w:p w14:paraId="5391A9E2" w14:textId="77777777" w:rsidR="00A82F4D" w:rsidRPr="00B64DD1" w:rsidRDefault="00A82F4D" w:rsidP="00EA17FD">
            <w:pPr>
              <w:pStyle w:val="Normal6a"/>
            </w:pPr>
            <w:r w:rsidRPr="00B64DD1">
              <w:rPr>
                <w:b/>
                <w:i/>
              </w:rPr>
              <w:t>a)</w:t>
            </w:r>
            <w:r w:rsidRPr="00B64DD1">
              <w:tab/>
            </w:r>
            <w:r w:rsidRPr="00B64DD1">
              <w:rPr>
                <w:b/>
                <w:i/>
              </w:rPr>
              <w:t>przypomina Komisji, że Parlament wystosował apel o zapewnienie pracownikom ESDZ odpowiednich zasobów, aby mogli zaangażować się w dialog na temat wolności religii, oraz o uczynienie tego ważnym priorytetem działań zewnętrznych ESDZ</w:t>
            </w:r>
            <w:r w:rsidRPr="00B64DD1">
              <w:rPr>
                <w:b/>
                <w:i/>
                <w:vertAlign w:val="superscript"/>
              </w:rPr>
              <w:t>1 a</w:t>
            </w:r>
            <w:r w:rsidRPr="00B64DD1">
              <w:rPr>
                <w:b/>
                <w:i/>
              </w:rPr>
              <w:t>;</w:t>
            </w:r>
            <w:r w:rsidRPr="00B64DD1">
              <w:t xml:space="preserve"> </w:t>
            </w:r>
            <w:r w:rsidRPr="00B64DD1">
              <w:rPr>
                <w:b/>
                <w:i/>
              </w:rPr>
              <w:t>wzywa ESDZ do zdecydowanej reakcji na ten apel i do dostosowania swoich zasobów do wymaganego poziomu;</w:t>
            </w:r>
          </w:p>
        </w:tc>
      </w:tr>
      <w:tr w:rsidR="00A82F4D" w:rsidRPr="00B64DD1" w14:paraId="59BC5531" w14:textId="77777777" w:rsidTr="00EA17FD">
        <w:trPr>
          <w:jc w:val="center"/>
        </w:trPr>
        <w:tc>
          <w:tcPr>
            <w:tcW w:w="4876" w:type="dxa"/>
            <w:tcBorders>
              <w:top w:val="nil"/>
              <w:left w:val="nil"/>
              <w:bottom w:val="nil"/>
              <w:right w:val="nil"/>
            </w:tcBorders>
          </w:tcPr>
          <w:p w14:paraId="2C0DF1D7" w14:textId="77777777" w:rsidR="00A82F4D" w:rsidRPr="00B64DD1" w:rsidRDefault="00A82F4D" w:rsidP="00EA17FD"/>
        </w:tc>
        <w:tc>
          <w:tcPr>
            <w:tcW w:w="4876" w:type="dxa"/>
            <w:tcBorders>
              <w:top w:val="nil"/>
              <w:left w:val="nil"/>
              <w:bottom w:val="nil"/>
              <w:right w:val="nil"/>
            </w:tcBorders>
          </w:tcPr>
          <w:p w14:paraId="2E03901C" w14:textId="77777777" w:rsidR="00A82F4D" w:rsidRPr="00B64DD1" w:rsidRDefault="00A82F4D" w:rsidP="00EA17FD">
            <w:pPr>
              <w:pStyle w:val="Normal6a"/>
            </w:pPr>
            <w:r w:rsidRPr="00B64DD1">
              <w:rPr>
                <w:b/>
                <w:i/>
              </w:rPr>
              <w:t>_________________</w:t>
            </w:r>
          </w:p>
        </w:tc>
      </w:tr>
      <w:tr w:rsidR="00A82F4D" w:rsidRPr="00B64DD1" w14:paraId="0D15DD36" w14:textId="77777777" w:rsidTr="00EA17FD">
        <w:trPr>
          <w:jc w:val="center"/>
        </w:trPr>
        <w:tc>
          <w:tcPr>
            <w:tcW w:w="4876" w:type="dxa"/>
            <w:tcBorders>
              <w:top w:val="nil"/>
              <w:left w:val="nil"/>
              <w:bottom w:val="nil"/>
              <w:right w:val="nil"/>
            </w:tcBorders>
          </w:tcPr>
          <w:p w14:paraId="291D1C88" w14:textId="77777777" w:rsidR="00A82F4D" w:rsidRPr="00B64DD1" w:rsidRDefault="00A82F4D" w:rsidP="00EA17FD"/>
        </w:tc>
        <w:tc>
          <w:tcPr>
            <w:tcW w:w="4876" w:type="dxa"/>
            <w:tcBorders>
              <w:top w:val="nil"/>
              <w:left w:val="nil"/>
              <w:bottom w:val="nil"/>
              <w:right w:val="nil"/>
            </w:tcBorders>
          </w:tcPr>
          <w:p w14:paraId="5CDC5E2D" w14:textId="77777777" w:rsidR="00A82F4D" w:rsidRPr="00B64DD1" w:rsidRDefault="00A82F4D" w:rsidP="00EA17FD">
            <w:pPr>
              <w:pStyle w:val="Normal6a"/>
            </w:pPr>
            <w:r w:rsidRPr="00B64DD1">
              <w:rPr>
                <w:b/>
                <w:i/>
                <w:vertAlign w:val="superscript"/>
              </w:rPr>
              <w:t>1 a</w:t>
            </w:r>
            <w:r w:rsidRPr="00B64DD1">
              <w:t xml:space="preserve"> </w:t>
            </w:r>
            <w:r w:rsidRPr="00B64DD1">
              <w:rPr>
                <w:b/>
                <w:i/>
              </w:rPr>
              <w:t>Rezolucja P10_</w:t>
            </w:r>
            <w:proofErr w:type="gramStart"/>
            <w:r w:rsidRPr="00B64DD1">
              <w:rPr>
                <w:b/>
                <w:i/>
              </w:rPr>
              <w:t>TA(</w:t>
            </w:r>
            <w:proofErr w:type="gramEnd"/>
            <w:r w:rsidRPr="00B64DD1">
              <w:rPr>
                <w:b/>
                <w:i/>
              </w:rPr>
              <w:t>2025)0086, ustęp 83.</w:t>
            </w:r>
          </w:p>
        </w:tc>
      </w:tr>
    </w:tbl>
    <w:p w14:paraId="1AD41392"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{NL}</w:t>
      </w:r>
      <w:proofErr w:type="spellStart"/>
      <w:r w:rsidRPr="00B64DD1">
        <w:t>nl</w:t>
      </w:r>
      <w:proofErr w:type="spellEnd"/>
      <w:r w:rsidRPr="00B64DD1">
        <w:rPr>
          <w:rStyle w:val="HideTWBExt"/>
        </w:rPr>
        <w:t>&lt;/Original&gt;</w:t>
      </w:r>
    </w:p>
    <w:p w14:paraId="54FF8F4B" w14:textId="77777777" w:rsidR="00A82F4D" w:rsidRPr="00B64DD1" w:rsidRDefault="00A82F4D" w:rsidP="00A82F4D">
      <w:r w:rsidRPr="00B64DD1">
        <w:rPr>
          <w:rStyle w:val="HideTWBExt"/>
        </w:rPr>
        <w:t>&lt;/Amend&gt;</w:t>
      </w:r>
    </w:p>
    <w:p w14:paraId="24931C4C"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29</w:t>
      </w:r>
      <w:r w:rsidRPr="00B64DD1">
        <w:rPr>
          <w:rStyle w:val="HideTWBExt"/>
          <w:b w:val="0"/>
        </w:rPr>
        <w:t>&lt;/NumAm&gt;</w:t>
      </w:r>
    </w:p>
    <w:p w14:paraId="3AB14E1A" w14:textId="77777777" w:rsidR="00A82F4D" w:rsidRPr="00B64DD1" w:rsidRDefault="00A82F4D" w:rsidP="00A82F4D">
      <w:pPr>
        <w:pStyle w:val="NormalBold"/>
      </w:pPr>
      <w:r w:rsidRPr="00B64DD1">
        <w:rPr>
          <w:rStyle w:val="HideTWBExt"/>
          <w:b w:val="0"/>
        </w:rPr>
        <w:t>&lt;RepeatBlock-By&gt;&lt;Members&gt;</w:t>
      </w:r>
      <w:proofErr w:type="spellStart"/>
      <w:r w:rsidRPr="00B64DD1">
        <w:t>Tamás</w:t>
      </w:r>
      <w:proofErr w:type="spellEnd"/>
      <w:r w:rsidRPr="00B64DD1">
        <w:t xml:space="preserve"> </w:t>
      </w:r>
      <w:proofErr w:type="spellStart"/>
      <w:r w:rsidRPr="00B64DD1">
        <w:t>Deutsch</w:t>
      </w:r>
      <w:proofErr w:type="spellEnd"/>
      <w:r w:rsidRPr="00B64DD1">
        <w:t xml:space="preserve">, Virginie </w:t>
      </w:r>
      <w:proofErr w:type="spellStart"/>
      <w:r w:rsidRPr="00B64DD1">
        <w:t>Joron</w:t>
      </w:r>
      <w:proofErr w:type="spellEnd"/>
      <w:r w:rsidRPr="00B64DD1">
        <w:rPr>
          <w:rStyle w:val="HideTWBExt"/>
          <w:b w:val="0"/>
        </w:rPr>
        <w:t>&lt;/Members&gt;</w:t>
      </w:r>
    </w:p>
    <w:p w14:paraId="3F0E01A7" w14:textId="77777777" w:rsidR="00A82F4D" w:rsidRPr="00B64DD1" w:rsidRDefault="00A82F4D" w:rsidP="00A82F4D">
      <w:pPr>
        <w:pStyle w:val="NormalBold"/>
      </w:pPr>
      <w:r w:rsidRPr="00B64DD1">
        <w:rPr>
          <w:rStyle w:val="HideTWBExt"/>
          <w:b w:val="0"/>
        </w:rPr>
        <w:lastRenderedPageBreak/>
        <w:t>&lt;/RepeatBlock-By&gt;</w:t>
      </w:r>
    </w:p>
    <w:p w14:paraId="17624514"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3000C8D6" w14:textId="77777777" w:rsidR="00A82F4D" w:rsidRPr="00B64DD1" w:rsidRDefault="00A82F4D" w:rsidP="00A82F4D">
      <w:pPr>
        <w:pStyle w:val="NormalBold"/>
      </w:pPr>
      <w:r w:rsidRPr="00B64DD1">
        <w:rPr>
          <w:rStyle w:val="HideTWBExt"/>
          <w:b w:val="0"/>
        </w:rPr>
        <w:t>&lt;Article&gt;</w:t>
      </w:r>
      <w:r w:rsidRPr="00B64DD1">
        <w:t>Ustęp 15 a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2267A39F" w14:textId="77777777" w:rsidTr="00EA17FD">
        <w:trPr>
          <w:trHeight w:hRule="exact" w:val="240"/>
          <w:jc w:val="center"/>
        </w:trPr>
        <w:tc>
          <w:tcPr>
            <w:tcW w:w="9752" w:type="dxa"/>
            <w:gridSpan w:val="2"/>
            <w:tcBorders>
              <w:top w:val="nil"/>
              <w:left w:val="nil"/>
              <w:bottom w:val="nil"/>
              <w:right w:val="nil"/>
            </w:tcBorders>
          </w:tcPr>
          <w:p w14:paraId="292598E7" w14:textId="77777777" w:rsidR="00A82F4D" w:rsidRPr="00B64DD1" w:rsidRDefault="00A82F4D" w:rsidP="00EA17FD"/>
        </w:tc>
      </w:tr>
      <w:tr w:rsidR="00A82F4D" w:rsidRPr="00B64DD1" w14:paraId="621E799D" w14:textId="77777777" w:rsidTr="00EA17FD">
        <w:trPr>
          <w:trHeight w:val="240"/>
          <w:jc w:val="center"/>
        </w:trPr>
        <w:tc>
          <w:tcPr>
            <w:tcW w:w="4876" w:type="dxa"/>
            <w:tcBorders>
              <w:top w:val="nil"/>
              <w:left w:val="nil"/>
              <w:bottom w:val="nil"/>
              <w:right w:val="nil"/>
            </w:tcBorders>
          </w:tcPr>
          <w:p w14:paraId="7CFCCC19"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092EC3E9" w14:textId="77777777" w:rsidR="00A82F4D" w:rsidRPr="00B64DD1" w:rsidRDefault="00A82F4D" w:rsidP="00EA17FD">
            <w:pPr>
              <w:pStyle w:val="AmColumnHeading"/>
            </w:pPr>
            <w:r w:rsidRPr="00B64DD1">
              <w:t>Poprawka</w:t>
            </w:r>
          </w:p>
        </w:tc>
      </w:tr>
      <w:tr w:rsidR="00A82F4D" w:rsidRPr="00B64DD1" w14:paraId="4EB5895F" w14:textId="77777777" w:rsidTr="00EA17FD">
        <w:trPr>
          <w:jc w:val="center"/>
        </w:trPr>
        <w:tc>
          <w:tcPr>
            <w:tcW w:w="4876" w:type="dxa"/>
            <w:tcBorders>
              <w:top w:val="nil"/>
              <w:left w:val="nil"/>
              <w:bottom w:val="nil"/>
              <w:right w:val="nil"/>
            </w:tcBorders>
          </w:tcPr>
          <w:p w14:paraId="462C702D" w14:textId="77777777" w:rsidR="00A82F4D" w:rsidRPr="00B64DD1" w:rsidRDefault="00A82F4D" w:rsidP="00EA17FD">
            <w:pPr>
              <w:pStyle w:val="Normal6a"/>
            </w:pPr>
          </w:p>
        </w:tc>
        <w:tc>
          <w:tcPr>
            <w:tcW w:w="4876" w:type="dxa"/>
            <w:tcBorders>
              <w:top w:val="nil"/>
              <w:left w:val="nil"/>
              <w:bottom w:val="nil"/>
              <w:right w:val="nil"/>
            </w:tcBorders>
          </w:tcPr>
          <w:p w14:paraId="31D836A8" w14:textId="77777777" w:rsidR="00A82F4D" w:rsidRPr="00B64DD1" w:rsidRDefault="00A82F4D" w:rsidP="00EA17FD">
            <w:pPr>
              <w:pStyle w:val="Normal6a"/>
            </w:pPr>
            <w:r w:rsidRPr="00B64DD1">
              <w:rPr>
                <w:b/>
                <w:i/>
              </w:rPr>
              <w:t>15a.</w:t>
            </w:r>
            <w:r w:rsidRPr="00B64DD1">
              <w:tab/>
            </w:r>
            <w:r w:rsidRPr="00B64DD1">
              <w:rPr>
                <w:b/>
                <w:i/>
              </w:rPr>
              <w:t>wzywa instytucję do dokonania oceny, w jaki sposób ramy regulacyjne Europejskiej Służby Działań Zewnętrznych mające na celu zapobieganie korupcji i nadużyciom okazały się nieskuteczne, przez co umożliwiły aktywny udział urzędników instytucji, nawet na najwyższych szczeblach administracji instytucjonalnej, w korupcji i praniu pieniędzy przez kilka lat bez wykrycia;</w:t>
            </w:r>
          </w:p>
        </w:tc>
      </w:tr>
    </w:tbl>
    <w:p w14:paraId="2563E026"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039AD518" w14:textId="77777777" w:rsidR="00A82F4D" w:rsidRPr="00B64DD1" w:rsidRDefault="00A82F4D" w:rsidP="00A82F4D">
      <w:r w:rsidRPr="00B64DD1">
        <w:rPr>
          <w:rStyle w:val="HideTWBExt"/>
        </w:rPr>
        <w:t>&lt;/Amend&gt;</w:t>
      </w:r>
    </w:p>
    <w:p w14:paraId="77CAC6FA"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30</w:t>
      </w:r>
      <w:r w:rsidRPr="00B64DD1">
        <w:rPr>
          <w:rStyle w:val="HideTWBExt"/>
          <w:b w:val="0"/>
        </w:rPr>
        <w:t>&lt;/NumAm&gt;</w:t>
      </w:r>
    </w:p>
    <w:p w14:paraId="39405BBB" w14:textId="77777777" w:rsidR="00A82F4D" w:rsidRPr="00B64DD1" w:rsidRDefault="00A82F4D" w:rsidP="00A82F4D">
      <w:pPr>
        <w:pStyle w:val="NormalBold"/>
      </w:pPr>
      <w:r w:rsidRPr="00B64DD1">
        <w:rPr>
          <w:rStyle w:val="HideTWBExt"/>
          <w:b w:val="0"/>
        </w:rPr>
        <w:t>&lt;RepeatBlock-By&gt;&lt;Members&gt;</w:t>
      </w:r>
      <w:r w:rsidRPr="00B64DD1">
        <w:t xml:space="preserve">Damian </w:t>
      </w:r>
      <w:proofErr w:type="spellStart"/>
      <w:r w:rsidRPr="00B64DD1">
        <w:t>Boeselager</w:t>
      </w:r>
      <w:proofErr w:type="spellEnd"/>
      <w:r w:rsidRPr="00B64DD1">
        <w:rPr>
          <w:rStyle w:val="HideTWBExt"/>
          <w:b w:val="0"/>
        </w:rPr>
        <w:t>&lt;/Members&gt;</w:t>
      </w:r>
    </w:p>
    <w:p w14:paraId="750BF8F6" w14:textId="77777777" w:rsidR="00A82F4D" w:rsidRPr="00B64DD1" w:rsidRDefault="00A82F4D" w:rsidP="00A82F4D">
      <w:r w:rsidRPr="00B64DD1">
        <w:rPr>
          <w:rStyle w:val="HideTWBExt"/>
        </w:rPr>
        <w:t>&lt;AuNomDe&gt;</w:t>
      </w:r>
      <w:r w:rsidRPr="00B64DD1">
        <w:rPr>
          <w:rStyle w:val="HideTWBInt"/>
        </w:rPr>
        <w:t>{Verts/ALE}</w:t>
      </w:r>
      <w:r w:rsidRPr="00B64DD1">
        <w:t xml:space="preserve">w imieniu grupy </w:t>
      </w:r>
      <w:proofErr w:type="spellStart"/>
      <w:r w:rsidRPr="00B64DD1">
        <w:t>Verts</w:t>
      </w:r>
      <w:proofErr w:type="spellEnd"/>
      <w:r w:rsidRPr="00B64DD1">
        <w:t>/ALE</w:t>
      </w:r>
      <w:r w:rsidRPr="00B64DD1">
        <w:rPr>
          <w:rStyle w:val="HideTWBExt"/>
        </w:rPr>
        <w:t>&lt;/AuNomDe&gt;</w:t>
      </w:r>
    </w:p>
    <w:p w14:paraId="675AE203" w14:textId="77777777" w:rsidR="00A82F4D" w:rsidRPr="00B64DD1" w:rsidRDefault="00A82F4D" w:rsidP="00A82F4D">
      <w:pPr>
        <w:pStyle w:val="NormalBold"/>
      </w:pPr>
      <w:r w:rsidRPr="00B64DD1">
        <w:rPr>
          <w:rStyle w:val="HideTWBExt"/>
          <w:b w:val="0"/>
        </w:rPr>
        <w:t>&lt;/RepeatBlock-By&gt;</w:t>
      </w:r>
    </w:p>
    <w:p w14:paraId="249D759E"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47B5F0C9" w14:textId="77777777" w:rsidR="00A82F4D" w:rsidRPr="00B64DD1" w:rsidRDefault="00A82F4D" w:rsidP="00A82F4D">
      <w:pPr>
        <w:pStyle w:val="NormalBold"/>
      </w:pPr>
      <w:r w:rsidRPr="00B64DD1">
        <w:rPr>
          <w:rStyle w:val="HideTWBExt"/>
          <w:b w:val="0"/>
        </w:rPr>
        <w:t>&lt;Article&gt;</w:t>
      </w:r>
      <w:r w:rsidRPr="00B64DD1">
        <w:t>Ustęp 15 a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0A4195FF" w14:textId="77777777" w:rsidTr="00EA17FD">
        <w:trPr>
          <w:trHeight w:hRule="exact" w:val="240"/>
          <w:jc w:val="center"/>
        </w:trPr>
        <w:tc>
          <w:tcPr>
            <w:tcW w:w="9752" w:type="dxa"/>
            <w:gridSpan w:val="2"/>
            <w:tcBorders>
              <w:top w:val="nil"/>
              <w:left w:val="nil"/>
              <w:bottom w:val="nil"/>
              <w:right w:val="nil"/>
            </w:tcBorders>
          </w:tcPr>
          <w:p w14:paraId="29E32650" w14:textId="77777777" w:rsidR="00A82F4D" w:rsidRPr="00B64DD1" w:rsidRDefault="00A82F4D" w:rsidP="00EA17FD"/>
        </w:tc>
      </w:tr>
      <w:tr w:rsidR="00A82F4D" w:rsidRPr="00B64DD1" w14:paraId="005C93C4" w14:textId="77777777" w:rsidTr="00EA17FD">
        <w:trPr>
          <w:trHeight w:val="240"/>
          <w:jc w:val="center"/>
        </w:trPr>
        <w:tc>
          <w:tcPr>
            <w:tcW w:w="4876" w:type="dxa"/>
            <w:tcBorders>
              <w:top w:val="nil"/>
              <w:left w:val="nil"/>
              <w:bottom w:val="nil"/>
              <w:right w:val="nil"/>
            </w:tcBorders>
          </w:tcPr>
          <w:p w14:paraId="1123FD54"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2CBA4101" w14:textId="77777777" w:rsidR="00A82F4D" w:rsidRPr="00B64DD1" w:rsidRDefault="00A82F4D" w:rsidP="00EA17FD">
            <w:pPr>
              <w:pStyle w:val="AmColumnHeading"/>
            </w:pPr>
            <w:r w:rsidRPr="00B64DD1">
              <w:t>Poprawka</w:t>
            </w:r>
          </w:p>
        </w:tc>
      </w:tr>
      <w:tr w:rsidR="00A82F4D" w:rsidRPr="00B64DD1" w14:paraId="15198288" w14:textId="77777777" w:rsidTr="00EA17FD">
        <w:trPr>
          <w:jc w:val="center"/>
        </w:trPr>
        <w:tc>
          <w:tcPr>
            <w:tcW w:w="4876" w:type="dxa"/>
            <w:tcBorders>
              <w:top w:val="nil"/>
              <w:left w:val="nil"/>
              <w:bottom w:val="nil"/>
              <w:right w:val="nil"/>
            </w:tcBorders>
          </w:tcPr>
          <w:p w14:paraId="7A9D75DB" w14:textId="77777777" w:rsidR="00A82F4D" w:rsidRPr="00B64DD1" w:rsidRDefault="00A82F4D" w:rsidP="00EA17FD">
            <w:pPr>
              <w:pStyle w:val="Normal6a"/>
            </w:pPr>
          </w:p>
        </w:tc>
        <w:tc>
          <w:tcPr>
            <w:tcW w:w="4876" w:type="dxa"/>
            <w:tcBorders>
              <w:top w:val="nil"/>
              <w:left w:val="nil"/>
              <w:bottom w:val="nil"/>
              <w:right w:val="nil"/>
            </w:tcBorders>
          </w:tcPr>
          <w:p w14:paraId="05BF407C" w14:textId="77777777" w:rsidR="00A82F4D" w:rsidRPr="00B64DD1" w:rsidRDefault="00A82F4D" w:rsidP="00EA17FD">
            <w:pPr>
              <w:pStyle w:val="Normal6a"/>
            </w:pPr>
            <w:r w:rsidRPr="00B64DD1">
              <w:rPr>
                <w:b/>
                <w:i/>
              </w:rPr>
              <w:t>15a.</w:t>
            </w:r>
            <w:r w:rsidRPr="00B64DD1">
              <w:tab/>
            </w:r>
            <w:r w:rsidRPr="00B64DD1">
              <w:rPr>
                <w:b/>
                <w:i/>
              </w:rPr>
              <w:t>wzywa ESDZ do zapewnienia, aby zdolności do przeciwdziałania zagranicznym manipulacjom informacjami i ingerencjom w informacje były strukturalnie zakorzenione i finansowane w sposób zrównoważony, w tym poprzez dedykowany personel, szkolenia i długoterminowe planowanie wykraczające poza roczne cykle budżetowe;</w:t>
            </w:r>
          </w:p>
        </w:tc>
      </w:tr>
    </w:tbl>
    <w:p w14:paraId="0EB158B3"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44A494D5" w14:textId="77777777" w:rsidR="00A82F4D" w:rsidRPr="00B64DD1" w:rsidRDefault="00A82F4D" w:rsidP="00A82F4D">
      <w:r w:rsidRPr="00B64DD1">
        <w:rPr>
          <w:rStyle w:val="HideTWBExt"/>
        </w:rPr>
        <w:t>&lt;/Amend&gt;</w:t>
      </w:r>
    </w:p>
    <w:p w14:paraId="121DCBD9"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31</w:t>
      </w:r>
      <w:r w:rsidRPr="00B64DD1">
        <w:rPr>
          <w:rStyle w:val="HideTWBExt"/>
          <w:b w:val="0"/>
        </w:rPr>
        <w:t>&lt;/NumAm&gt;</w:t>
      </w:r>
    </w:p>
    <w:p w14:paraId="1C21FA28" w14:textId="77777777" w:rsidR="00A82F4D" w:rsidRPr="00B64DD1" w:rsidRDefault="00A82F4D" w:rsidP="00A82F4D">
      <w:pPr>
        <w:pStyle w:val="NormalBold"/>
      </w:pPr>
      <w:r w:rsidRPr="00B64DD1">
        <w:rPr>
          <w:rStyle w:val="HideTWBExt"/>
          <w:b w:val="0"/>
        </w:rPr>
        <w:t>&lt;RepeatBlock-By&gt;&lt;Members&gt;</w:t>
      </w:r>
      <w:proofErr w:type="spellStart"/>
      <w:r w:rsidRPr="00B64DD1">
        <w:t>Cristian</w:t>
      </w:r>
      <w:proofErr w:type="spellEnd"/>
      <w:r w:rsidRPr="00B64DD1">
        <w:t xml:space="preserve"> </w:t>
      </w:r>
      <w:proofErr w:type="spellStart"/>
      <w:r w:rsidRPr="00B64DD1">
        <w:t>Terheş</w:t>
      </w:r>
      <w:proofErr w:type="spellEnd"/>
      <w:r w:rsidRPr="00B64DD1">
        <w:rPr>
          <w:rStyle w:val="HideTWBExt"/>
          <w:b w:val="0"/>
        </w:rPr>
        <w:t>&lt;/Members&gt;</w:t>
      </w:r>
    </w:p>
    <w:p w14:paraId="5E869E75" w14:textId="77777777" w:rsidR="00A82F4D" w:rsidRPr="00B64DD1" w:rsidRDefault="00A82F4D" w:rsidP="00A82F4D">
      <w:pPr>
        <w:pStyle w:val="NormalBold"/>
      </w:pPr>
      <w:r w:rsidRPr="00B64DD1">
        <w:rPr>
          <w:rStyle w:val="HideTWBExt"/>
          <w:b w:val="0"/>
        </w:rPr>
        <w:t>&lt;/RepeatBlock-By&gt;</w:t>
      </w:r>
    </w:p>
    <w:p w14:paraId="6D79C4BE" w14:textId="77777777" w:rsidR="00A82F4D" w:rsidRPr="00B64DD1" w:rsidRDefault="00A82F4D" w:rsidP="00A82F4D">
      <w:pPr>
        <w:pStyle w:val="NormalBold"/>
      </w:pPr>
      <w:r w:rsidRPr="00B64DD1">
        <w:rPr>
          <w:rStyle w:val="HideTWBExt"/>
          <w:b w:val="0"/>
        </w:rPr>
        <w:lastRenderedPageBreak/>
        <w:t>&lt;DocAmend&gt;</w:t>
      </w:r>
      <w:r w:rsidRPr="00B64DD1">
        <w:t>Projekt rezolucji</w:t>
      </w:r>
      <w:r w:rsidRPr="00B64DD1">
        <w:rPr>
          <w:rStyle w:val="HideTWBExt"/>
          <w:b w:val="0"/>
        </w:rPr>
        <w:t>&lt;/DocAmend&gt;</w:t>
      </w:r>
    </w:p>
    <w:p w14:paraId="737DAFD8" w14:textId="77777777" w:rsidR="00A82F4D" w:rsidRPr="00B64DD1" w:rsidRDefault="00A82F4D" w:rsidP="00A82F4D">
      <w:pPr>
        <w:pStyle w:val="NormalBold"/>
      </w:pPr>
      <w:r w:rsidRPr="00B64DD1">
        <w:rPr>
          <w:rStyle w:val="HideTWBExt"/>
          <w:b w:val="0"/>
        </w:rPr>
        <w:t>&lt;Article&gt;</w:t>
      </w:r>
      <w:r w:rsidRPr="00B64DD1">
        <w:t>Ustęp 15 b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40519B67" w14:textId="77777777" w:rsidTr="00EA17FD">
        <w:trPr>
          <w:trHeight w:hRule="exact" w:val="240"/>
          <w:jc w:val="center"/>
        </w:trPr>
        <w:tc>
          <w:tcPr>
            <w:tcW w:w="9752" w:type="dxa"/>
            <w:gridSpan w:val="2"/>
            <w:tcBorders>
              <w:top w:val="nil"/>
              <w:left w:val="nil"/>
              <w:bottom w:val="nil"/>
              <w:right w:val="nil"/>
            </w:tcBorders>
          </w:tcPr>
          <w:p w14:paraId="37CFF75E" w14:textId="77777777" w:rsidR="00A82F4D" w:rsidRPr="00B64DD1" w:rsidRDefault="00A82F4D" w:rsidP="00EA17FD"/>
        </w:tc>
      </w:tr>
      <w:tr w:rsidR="00A82F4D" w:rsidRPr="00B64DD1" w14:paraId="01E1105F" w14:textId="77777777" w:rsidTr="00EA17FD">
        <w:trPr>
          <w:trHeight w:val="240"/>
          <w:jc w:val="center"/>
        </w:trPr>
        <w:tc>
          <w:tcPr>
            <w:tcW w:w="4876" w:type="dxa"/>
            <w:tcBorders>
              <w:top w:val="nil"/>
              <w:left w:val="nil"/>
              <w:bottom w:val="nil"/>
              <w:right w:val="nil"/>
            </w:tcBorders>
          </w:tcPr>
          <w:p w14:paraId="15C3987C"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0BBD8D44" w14:textId="77777777" w:rsidR="00A82F4D" w:rsidRPr="00B64DD1" w:rsidRDefault="00A82F4D" w:rsidP="00EA17FD">
            <w:pPr>
              <w:pStyle w:val="AmColumnHeading"/>
            </w:pPr>
            <w:r w:rsidRPr="00B64DD1">
              <w:t>Poprawka</w:t>
            </w:r>
          </w:p>
        </w:tc>
      </w:tr>
      <w:tr w:rsidR="00A82F4D" w:rsidRPr="00B64DD1" w14:paraId="3F4F41D4" w14:textId="77777777" w:rsidTr="00EA17FD">
        <w:trPr>
          <w:jc w:val="center"/>
        </w:trPr>
        <w:tc>
          <w:tcPr>
            <w:tcW w:w="4876" w:type="dxa"/>
            <w:tcBorders>
              <w:top w:val="nil"/>
              <w:left w:val="nil"/>
              <w:bottom w:val="nil"/>
              <w:right w:val="nil"/>
            </w:tcBorders>
          </w:tcPr>
          <w:p w14:paraId="323DB580" w14:textId="77777777" w:rsidR="00A82F4D" w:rsidRPr="00B64DD1" w:rsidRDefault="00A82F4D" w:rsidP="00EA17FD">
            <w:pPr>
              <w:pStyle w:val="Normal6a"/>
            </w:pPr>
          </w:p>
        </w:tc>
        <w:tc>
          <w:tcPr>
            <w:tcW w:w="4876" w:type="dxa"/>
            <w:tcBorders>
              <w:top w:val="nil"/>
              <w:left w:val="nil"/>
              <w:bottom w:val="nil"/>
              <w:right w:val="nil"/>
            </w:tcBorders>
          </w:tcPr>
          <w:p w14:paraId="0468B0B2" w14:textId="77777777" w:rsidR="00A82F4D" w:rsidRPr="00B64DD1" w:rsidRDefault="00A82F4D" w:rsidP="00EA17FD">
            <w:pPr>
              <w:pStyle w:val="Normal6a"/>
            </w:pPr>
            <w:r w:rsidRPr="00B64DD1">
              <w:rPr>
                <w:b/>
                <w:i/>
              </w:rPr>
              <w:t>15b.</w:t>
            </w:r>
            <w:r w:rsidRPr="00B64DD1">
              <w:tab/>
            </w:r>
            <w:r w:rsidRPr="00B64DD1">
              <w:rPr>
                <w:b/>
                <w:i/>
              </w:rPr>
              <w:t xml:space="preserve">wzywa wysoką przedstawicielkę i wiceprzewodniczącą do wzmocnienia misji i operacji </w:t>
            </w:r>
            <w:proofErr w:type="spellStart"/>
            <w:r w:rsidRPr="00B64DD1">
              <w:rPr>
                <w:b/>
                <w:i/>
              </w:rPr>
              <w:t>WPBiO</w:t>
            </w:r>
            <w:proofErr w:type="spellEnd"/>
            <w:r w:rsidRPr="00B64DD1">
              <w:rPr>
                <w:b/>
                <w:i/>
              </w:rPr>
              <w:t xml:space="preserve"> UE poprzez zapewnienie odpowiednich pracowników, zasobów i elastycznych mandatów, aby skutecznie reagować na wyzwania związane z bezpieczeństwem; </w:t>
            </w:r>
          </w:p>
        </w:tc>
      </w:tr>
    </w:tbl>
    <w:p w14:paraId="5E9D3F73"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51980C06" w14:textId="77777777" w:rsidR="00A82F4D" w:rsidRPr="00B64DD1" w:rsidRDefault="00A82F4D" w:rsidP="00A82F4D">
      <w:r w:rsidRPr="00B64DD1">
        <w:rPr>
          <w:rStyle w:val="HideTWBExt"/>
        </w:rPr>
        <w:t>&lt;/Amend&gt;</w:t>
      </w:r>
    </w:p>
    <w:p w14:paraId="2B128B34"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32</w:t>
      </w:r>
      <w:r w:rsidRPr="00B64DD1">
        <w:rPr>
          <w:rStyle w:val="HideTWBExt"/>
          <w:b w:val="0"/>
        </w:rPr>
        <w:t>&lt;/NumAm&gt;</w:t>
      </w:r>
    </w:p>
    <w:p w14:paraId="017307DC" w14:textId="77777777" w:rsidR="00A82F4D" w:rsidRPr="00B64DD1" w:rsidRDefault="00A82F4D" w:rsidP="00A82F4D">
      <w:pPr>
        <w:pStyle w:val="NormalBold"/>
      </w:pPr>
      <w:r w:rsidRPr="00B64DD1">
        <w:rPr>
          <w:rStyle w:val="HideTWBExt"/>
          <w:b w:val="0"/>
        </w:rPr>
        <w:t>&lt;RepeatBlock-By&gt;&lt;Members&gt;</w:t>
      </w:r>
      <w:proofErr w:type="spellStart"/>
      <w:r w:rsidRPr="00B64DD1">
        <w:t>Cristian</w:t>
      </w:r>
      <w:proofErr w:type="spellEnd"/>
      <w:r w:rsidRPr="00B64DD1">
        <w:t xml:space="preserve"> </w:t>
      </w:r>
      <w:proofErr w:type="spellStart"/>
      <w:r w:rsidRPr="00B64DD1">
        <w:t>Terheş</w:t>
      </w:r>
      <w:proofErr w:type="spellEnd"/>
      <w:r w:rsidRPr="00B64DD1">
        <w:rPr>
          <w:rStyle w:val="HideTWBExt"/>
          <w:b w:val="0"/>
        </w:rPr>
        <w:t>&lt;/Members&gt;</w:t>
      </w:r>
    </w:p>
    <w:p w14:paraId="35013EB7" w14:textId="77777777" w:rsidR="00A82F4D" w:rsidRPr="00B64DD1" w:rsidRDefault="00A82F4D" w:rsidP="00A82F4D">
      <w:pPr>
        <w:pStyle w:val="NormalBold"/>
      </w:pPr>
      <w:r w:rsidRPr="00B64DD1">
        <w:rPr>
          <w:rStyle w:val="HideTWBExt"/>
          <w:b w:val="0"/>
        </w:rPr>
        <w:t>&lt;/RepeatBlock-By&gt;</w:t>
      </w:r>
    </w:p>
    <w:p w14:paraId="0BCFCA60"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3D938653" w14:textId="77777777" w:rsidR="00A82F4D" w:rsidRPr="00B64DD1" w:rsidRDefault="00A82F4D" w:rsidP="00A82F4D">
      <w:pPr>
        <w:pStyle w:val="NormalBold"/>
      </w:pPr>
      <w:r w:rsidRPr="00B64DD1">
        <w:rPr>
          <w:rStyle w:val="HideTWBExt"/>
          <w:b w:val="0"/>
        </w:rPr>
        <w:t>&lt;Article&gt;</w:t>
      </w:r>
      <w:r w:rsidRPr="00B64DD1">
        <w:t>Ustęp 15 c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71EAA22E" w14:textId="77777777" w:rsidTr="00EA17FD">
        <w:trPr>
          <w:trHeight w:hRule="exact" w:val="240"/>
          <w:jc w:val="center"/>
        </w:trPr>
        <w:tc>
          <w:tcPr>
            <w:tcW w:w="9752" w:type="dxa"/>
            <w:gridSpan w:val="2"/>
            <w:tcBorders>
              <w:top w:val="nil"/>
              <w:left w:val="nil"/>
              <w:bottom w:val="nil"/>
              <w:right w:val="nil"/>
            </w:tcBorders>
          </w:tcPr>
          <w:p w14:paraId="5F94FE3F" w14:textId="77777777" w:rsidR="00A82F4D" w:rsidRPr="00B64DD1" w:rsidRDefault="00A82F4D" w:rsidP="00EA17FD"/>
        </w:tc>
      </w:tr>
      <w:tr w:rsidR="00A82F4D" w:rsidRPr="00B64DD1" w14:paraId="52993E59" w14:textId="77777777" w:rsidTr="00EA17FD">
        <w:trPr>
          <w:trHeight w:val="240"/>
          <w:jc w:val="center"/>
        </w:trPr>
        <w:tc>
          <w:tcPr>
            <w:tcW w:w="4876" w:type="dxa"/>
            <w:tcBorders>
              <w:top w:val="nil"/>
              <w:left w:val="nil"/>
              <w:bottom w:val="nil"/>
              <w:right w:val="nil"/>
            </w:tcBorders>
          </w:tcPr>
          <w:p w14:paraId="515CC31C"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6EB5E183" w14:textId="77777777" w:rsidR="00A82F4D" w:rsidRPr="00B64DD1" w:rsidRDefault="00A82F4D" w:rsidP="00EA17FD">
            <w:pPr>
              <w:pStyle w:val="AmColumnHeading"/>
            </w:pPr>
            <w:r w:rsidRPr="00B64DD1">
              <w:t>Poprawka</w:t>
            </w:r>
          </w:p>
        </w:tc>
      </w:tr>
      <w:tr w:rsidR="00A82F4D" w:rsidRPr="00B64DD1" w14:paraId="3304D98D" w14:textId="77777777" w:rsidTr="00EA17FD">
        <w:trPr>
          <w:jc w:val="center"/>
        </w:trPr>
        <w:tc>
          <w:tcPr>
            <w:tcW w:w="4876" w:type="dxa"/>
            <w:tcBorders>
              <w:top w:val="nil"/>
              <w:left w:val="nil"/>
              <w:bottom w:val="nil"/>
              <w:right w:val="nil"/>
            </w:tcBorders>
          </w:tcPr>
          <w:p w14:paraId="5BF9BB91" w14:textId="77777777" w:rsidR="00A82F4D" w:rsidRPr="00B64DD1" w:rsidRDefault="00A82F4D" w:rsidP="00EA17FD">
            <w:pPr>
              <w:pStyle w:val="Normal6a"/>
            </w:pPr>
          </w:p>
        </w:tc>
        <w:tc>
          <w:tcPr>
            <w:tcW w:w="4876" w:type="dxa"/>
            <w:tcBorders>
              <w:top w:val="nil"/>
              <w:left w:val="nil"/>
              <w:bottom w:val="nil"/>
              <w:right w:val="nil"/>
            </w:tcBorders>
          </w:tcPr>
          <w:p w14:paraId="169D7E59" w14:textId="77777777" w:rsidR="00A82F4D" w:rsidRPr="00B64DD1" w:rsidRDefault="00A82F4D" w:rsidP="00EA17FD">
            <w:pPr>
              <w:pStyle w:val="Normal6a"/>
            </w:pPr>
            <w:r w:rsidRPr="00B64DD1">
              <w:rPr>
                <w:b/>
                <w:i/>
              </w:rPr>
              <w:t>15c.</w:t>
            </w:r>
            <w:r w:rsidRPr="00B64DD1">
              <w:tab/>
            </w:r>
            <w:r w:rsidRPr="00B64DD1">
              <w:rPr>
                <w:b/>
                <w:i/>
              </w:rPr>
              <w:t>podkreśla, jak ważne jest utrzymanie misji EUMM w Gruzji w celu monitorowania sytuacji na terytoriach okupowanych oraz zapewnienia wczesnego ostrzegania i zgłaszania zagrożeń;</w:t>
            </w:r>
          </w:p>
        </w:tc>
      </w:tr>
    </w:tbl>
    <w:p w14:paraId="5C1AB90F"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083A4F31" w14:textId="77777777" w:rsidR="00A82F4D" w:rsidRPr="00B64DD1" w:rsidRDefault="00A82F4D" w:rsidP="00A82F4D">
      <w:r w:rsidRPr="00B64DD1">
        <w:rPr>
          <w:rStyle w:val="HideTWBExt"/>
        </w:rPr>
        <w:t>&lt;/Amend&gt;</w:t>
      </w:r>
    </w:p>
    <w:p w14:paraId="69D5942E"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33</w:t>
      </w:r>
      <w:r w:rsidRPr="00B64DD1">
        <w:rPr>
          <w:rStyle w:val="HideTWBExt"/>
          <w:b w:val="0"/>
        </w:rPr>
        <w:t>&lt;/NumAm&gt;</w:t>
      </w:r>
    </w:p>
    <w:p w14:paraId="41A292BC" w14:textId="77777777" w:rsidR="00A82F4D" w:rsidRPr="00B64DD1" w:rsidRDefault="00A82F4D" w:rsidP="00A82F4D">
      <w:pPr>
        <w:pStyle w:val="NormalBold"/>
      </w:pPr>
      <w:r w:rsidRPr="00B64DD1">
        <w:rPr>
          <w:rStyle w:val="HideTWBExt"/>
          <w:b w:val="0"/>
        </w:rPr>
        <w:t>&lt;RepeatBlock-By&gt;&lt;Members&gt;</w:t>
      </w:r>
      <w:proofErr w:type="spellStart"/>
      <w:r w:rsidRPr="00B64DD1">
        <w:t>Cristian</w:t>
      </w:r>
      <w:proofErr w:type="spellEnd"/>
      <w:r w:rsidRPr="00B64DD1">
        <w:t xml:space="preserve"> </w:t>
      </w:r>
      <w:proofErr w:type="spellStart"/>
      <w:r w:rsidRPr="00B64DD1">
        <w:t>Terheş</w:t>
      </w:r>
      <w:proofErr w:type="spellEnd"/>
      <w:r w:rsidRPr="00B64DD1">
        <w:rPr>
          <w:rStyle w:val="HideTWBExt"/>
          <w:b w:val="0"/>
        </w:rPr>
        <w:t>&lt;/Members&gt;</w:t>
      </w:r>
    </w:p>
    <w:p w14:paraId="14E410F7" w14:textId="77777777" w:rsidR="00A82F4D" w:rsidRPr="00B64DD1" w:rsidRDefault="00A82F4D" w:rsidP="00A82F4D">
      <w:pPr>
        <w:pStyle w:val="NormalBold"/>
      </w:pPr>
      <w:r w:rsidRPr="00B64DD1">
        <w:rPr>
          <w:rStyle w:val="HideTWBExt"/>
          <w:b w:val="0"/>
        </w:rPr>
        <w:t>&lt;/RepeatBlock-By&gt;</w:t>
      </w:r>
    </w:p>
    <w:p w14:paraId="0C6B7EF8"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12F29C28" w14:textId="77777777" w:rsidR="00A82F4D" w:rsidRPr="00B64DD1" w:rsidRDefault="00A82F4D" w:rsidP="00A82F4D">
      <w:pPr>
        <w:pStyle w:val="NormalBold"/>
      </w:pPr>
      <w:r w:rsidRPr="00B64DD1">
        <w:rPr>
          <w:rStyle w:val="HideTWBExt"/>
          <w:b w:val="0"/>
        </w:rPr>
        <w:t>&lt;Article&gt;</w:t>
      </w:r>
      <w:r w:rsidRPr="00B64DD1">
        <w:t>Ustęp 15 e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17CCD155" w14:textId="77777777" w:rsidTr="00EA17FD">
        <w:trPr>
          <w:trHeight w:hRule="exact" w:val="240"/>
          <w:jc w:val="center"/>
        </w:trPr>
        <w:tc>
          <w:tcPr>
            <w:tcW w:w="9752" w:type="dxa"/>
            <w:gridSpan w:val="2"/>
            <w:tcBorders>
              <w:top w:val="nil"/>
              <w:left w:val="nil"/>
              <w:bottom w:val="nil"/>
              <w:right w:val="nil"/>
            </w:tcBorders>
          </w:tcPr>
          <w:p w14:paraId="005D5685" w14:textId="77777777" w:rsidR="00A82F4D" w:rsidRPr="00B64DD1" w:rsidRDefault="00A82F4D" w:rsidP="00EA17FD"/>
        </w:tc>
      </w:tr>
      <w:tr w:rsidR="00A82F4D" w:rsidRPr="00B64DD1" w14:paraId="59F3EAA6" w14:textId="77777777" w:rsidTr="00EA17FD">
        <w:trPr>
          <w:trHeight w:val="240"/>
          <w:jc w:val="center"/>
        </w:trPr>
        <w:tc>
          <w:tcPr>
            <w:tcW w:w="4876" w:type="dxa"/>
            <w:tcBorders>
              <w:top w:val="nil"/>
              <w:left w:val="nil"/>
              <w:bottom w:val="nil"/>
              <w:right w:val="nil"/>
            </w:tcBorders>
          </w:tcPr>
          <w:p w14:paraId="27877962"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13485BBC" w14:textId="77777777" w:rsidR="00A82F4D" w:rsidRPr="00B64DD1" w:rsidRDefault="00A82F4D" w:rsidP="00EA17FD">
            <w:pPr>
              <w:pStyle w:val="AmColumnHeading"/>
            </w:pPr>
            <w:r w:rsidRPr="00B64DD1">
              <w:t>Poprawka</w:t>
            </w:r>
          </w:p>
        </w:tc>
      </w:tr>
      <w:tr w:rsidR="00A82F4D" w:rsidRPr="00B64DD1" w14:paraId="0A485A78" w14:textId="77777777" w:rsidTr="00EA17FD">
        <w:trPr>
          <w:jc w:val="center"/>
        </w:trPr>
        <w:tc>
          <w:tcPr>
            <w:tcW w:w="4876" w:type="dxa"/>
            <w:tcBorders>
              <w:top w:val="nil"/>
              <w:left w:val="nil"/>
              <w:bottom w:val="nil"/>
              <w:right w:val="nil"/>
            </w:tcBorders>
          </w:tcPr>
          <w:p w14:paraId="7D7DDAB6" w14:textId="77777777" w:rsidR="00A82F4D" w:rsidRPr="00B64DD1" w:rsidRDefault="00A82F4D" w:rsidP="00EA17FD">
            <w:pPr>
              <w:pStyle w:val="Normal6a"/>
            </w:pPr>
          </w:p>
        </w:tc>
        <w:tc>
          <w:tcPr>
            <w:tcW w:w="4876" w:type="dxa"/>
            <w:tcBorders>
              <w:top w:val="nil"/>
              <w:left w:val="nil"/>
              <w:bottom w:val="nil"/>
              <w:right w:val="nil"/>
            </w:tcBorders>
          </w:tcPr>
          <w:p w14:paraId="603C7459" w14:textId="77777777" w:rsidR="00A82F4D" w:rsidRPr="00B64DD1" w:rsidRDefault="00A82F4D" w:rsidP="00EA17FD">
            <w:pPr>
              <w:pStyle w:val="Normal6a"/>
            </w:pPr>
            <w:r w:rsidRPr="00B64DD1">
              <w:rPr>
                <w:b/>
                <w:i/>
              </w:rPr>
              <w:t>15e.</w:t>
            </w:r>
            <w:r w:rsidRPr="00B64DD1">
              <w:tab/>
            </w:r>
            <w:r w:rsidRPr="00B64DD1">
              <w:rPr>
                <w:b/>
                <w:i/>
              </w:rPr>
              <w:t xml:space="preserve">wzywa ESDZ do utrzymania, zwłaszcza biorąc pod uwagę obecną sytuację geopolityczną, zaangażowania na rzecz Gruzji w celu wspierania reform </w:t>
            </w:r>
            <w:r w:rsidRPr="00B64DD1">
              <w:rPr>
                <w:b/>
                <w:i/>
              </w:rPr>
              <w:lastRenderedPageBreak/>
              <w:t>demokratycznych i europejskiej perspektywy tego kraju;</w:t>
            </w:r>
          </w:p>
        </w:tc>
      </w:tr>
    </w:tbl>
    <w:p w14:paraId="14C362CC"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26B1DE3D" w14:textId="77777777" w:rsidR="00A82F4D" w:rsidRPr="00B64DD1" w:rsidRDefault="00A82F4D" w:rsidP="00A82F4D">
      <w:r w:rsidRPr="00B64DD1">
        <w:rPr>
          <w:rStyle w:val="HideTWBExt"/>
        </w:rPr>
        <w:t>&lt;/Amend&gt;</w:t>
      </w:r>
    </w:p>
    <w:p w14:paraId="57FB3738"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34</w:t>
      </w:r>
      <w:r w:rsidRPr="00B64DD1">
        <w:rPr>
          <w:rStyle w:val="HideTWBExt"/>
          <w:b w:val="0"/>
        </w:rPr>
        <w:t>&lt;/NumAm&gt;</w:t>
      </w:r>
    </w:p>
    <w:p w14:paraId="5B824C83" w14:textId="77777777" w:rsidR="00A82F4D" w:rsidRPr="00B64DD1" w:rsidRDefault="00A82F4D" w:rsidP="00A82F4D">
      <w:pPr>
        <w:pStyle w:val="NormalBold"/>
      </w:pPr>
      <w:r w:rsidRPr="00B64DD1">
        <w:rPr>
          <w:rStyle w:val="HideTWBExt"/>
          <w:b w:val="0"/>
        </w:rPr>
        <w:t>&lt;RepeatBlock-By&gt;&lt;Members&gt;</w:t>
      </w:r>
      <w:proofErr w:type="spellStart"/>
      <w:r w:rsidRPr="00B64DD1">
        <w:t>Cristian</w:t>
      </w:r>
      <w:proofErr w:type="spellEnd"/>
      <w:r w:rsidRPr="00B64DD1">
        <w:t xml:space="preserve"> </w:t>
      </w:r>
      <w:proofErr w:type="spellStart"/>
      <w:r w:rsidRPr="00B64DD1">
        <w:t>Terheş</w:t>
      </w:r>
      <w:proofErr w:type="spellEnd"/>
      <w:r w:rsidRPr="00B64DD1">
        <w:rPr>
          <w:rStyle w:val="HideTWBExt"/>
          <w:b w:val="0"/>
        </w:rPr>
        <w:t>&lt;/Members&gt;</w:t>
      </w:r>
    </w:p>
    <w:p w14:paraId="30BE3062" w14:textId="77777777" w:rsidR="00A82F4D" w:rsidRPr="00B64DD1" w:rsidRDefault="00A82F4D" w:rsidP="00A82F4D">
      <w:pPr>
        <w:pStyle w:val="NormalBold"/>
      </w:pPr>
      <w:r w:rsidRPr="00B64DD1">
        <w:rPr>
          <w:rStyle w:val="HideTWBExt"/>
          <w:b w:val="0"/>
        </w:rPr>
        <w:t>&lt;/RepeatBlock-By&gt;</w:t>
      </w:r>
    </w:p>
    <w:p w14:paraId="0B52DD92"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050AE5D6" w14:textId="77777777" w:rsidR="00A82F4D" w:rsidRPr="00B64DD1" w:rsidRDefault="00A82F4D" w:rsidP="00A82F4D">
      <w:pPr>
        <w:pStyle w:val="NormalBold"/>
      </w:pPr>
      <w:r w:rsidRPr="00B64DD1">
        <w:rPr>
          <w:rStyle w:val="HideTWBExt"/>
          <w:b w:val="0"/>
        </w:rPr>
        <w:t>&lt;Article&gt;</w:t>
      </w:r>
      <w:r w:rsidRPr="00B64DD1">
        <w:t>Ustęp 15 d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7AEAD760" w14:textId="77777777" w:rsidTr="00EA17FD">
        <w:trPr>
          <w:trHeight w:hRule="exact" w:val="240"/>
          <w:jc w:val="center"/>
        </w:trPr>
        <w:tc>
          <w:tcPr>
            <w:tcW w:w="9752" w:type="dxa"/>
            <w:gridSpan w:val="2"/>
            <w:tcBorders>
              <w:top w:val="nil"/>
              <w:left w:val="nil"/>
              <w:bottom w:val="nil"/>
              <w:right w:val="nil"/>
            </w:tcBorders>
          </w:tcPr>
          <w:p w14:paraId="0E1FF446" w14:textId="77777777" w:rsidR="00A82F4D" w:rsidRPr="00B64DD1" w:rsidRDefault="00A82F4D" w:rsidP="00EA17FD"/>
        </w:tc>
      </w:tr>
      <w:tr w:rsidR="00A82F4D" w:rsidRPr="00B64DD1" w14:paraId="7B29DAB1" w14:textId="77777777" w:rsidTr="00EA17FD">
        <w:trPr>
          <w:trHeight w:val="240"/>
          <w:jc w:val="center"/>
        </w:trPr>
        <w:tc>
          <w:tcPr>
            <w:tcW w:w="4876" w:type="dxa"/>
            <w:tcBorders>
              <w:top w:val="nil"/>
              <w:left w:val="nil"/>
              <w:bottom w:val="nil"/>
              <w:right w:val="nil"/>
            </w:tcBorders>
          </w:tcPr>
          <w:p w14:paraId="1E5575B0"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4F90A57F" w14:textId="77777777" w:rsidR="00A82F4D" w:rsidRPr="00B64DD1" w:rsidRDefault="00A82F4D" w:rsidP="00EA17FD">
            <w:pPr>
              <w:pStyle w:val="AmColumnHeading"/>
            </w:pPr>
            <w:r w:rsidRPr="00B64DD1">
              <w:t>Poprawka</w:t>
            </w:r>
          </w:p>
        </w:tc>
      </w:tr>
      <w:tr w:rsidR="00A82F4D" w:rsidRPr="00B64DD1" w14:paraId="5A96CF3D" w14:textId="77777777" w:rsidTr="00EA17FD">
        <w:trPr>
          <w:jc w:val="center"/>
        </w:trPr>
        <w:tc>
          <w:tcPr>
            <w:tcW w:w="4876" w:type="dxa"/>
            <w:tcBorders>
              <w:top w:val="nil"/>
              <w:left w:val="nil"/>
              <w:bottom w:val="nil"/>
              <w:right w:val="nil"/>
            </w:tcBorders>
          </w:tcPr>
          <w:p w14:paraId="0FB7A52D" w14:textId="77777777" w:rsidR="00A82F4D" w:rsidRPr="00B64DD1" w:rsidRDefault="00A82F4D" w:rsidP="00EA17FD">
            <w:pPr>
              <w:pStyle w:val="Normal6a"/>
            </w:pPr>
          </w:p>
        </w:tc>
        <w:tc>
          <w:tcPr>
            <w:tcW w:w="4876" w:type="dxa"/>
            <w:tcBorders>
              <w:top w:val="nil"/>
              <w:left w:val="nil"/>
              <w:bottom w:val="nil"/>
              <w:right w:val="nil"/>
            </w:tcBorders>
          </w:tcPr>
          <w:p w14:paraId="13485FFB" w14:textId="77777777" w:rsidR="00A82F4D" w:rsidRPr="00B64DD1" w:rsidRDefault="00A82F4D" w:rsidP="00EA17FD">
            <w:pPr>
              <w:pStyle w:val="Normal6a"/>
            </w:pPr>
            <w:r w:rsidRPr="00B64DD1">
              <w:rPr>
                <w:b/>
                <w:i/>
              </w:rPr>
              <w:t>15d.</w:t>
            </w:r>
            <w:r w:rsidRPr="00B64DD1">
              <w:tab/>
            </w:r>
            <w:r w:rsidRPr="00B64DD1">
              <w:rPr>
                <w:b/>
                <w:i/>
              </w:rPr>
              <w:t xml:space="preserve">podkreśla, że ważnym instrumentem przeciwdziałania FIMI jest utworzenie w ESDZ specjalnej jednostki ds. dyplomacji opartej na wierze, której zadaniem będzie angażowanie wspólnot religijnych i wyznaniowych, promowanie zrozumienia międzykulturowego oraz wzmacnianie odporności na dezinformację opartą na nadużyciu tożsamości; podkreśla, że jednostka taka mogłaby wspierać wczesne wykrywanie FIMI wymierzonych w narracje religijne lub kulturowe, wzmacniać dialog z podmiotami wyznaniowymi oraz uzupełniać istniejące narzędzia ESDZ, takie jak system szybkiego ostrzegania i kampania </w:t>
            </w:r>
            <w:proofErr w:type="spellStart"/>
            <w:r w:rsidRPr="00B64DD1">
              <w:rPr>
                <w:b/>
                <w:i/>
              </w:rPr>
              <w:t>EUvsDisinfo</w:t>
            </w:r>
            <w:proofErr w:type="spellEnd"/>
            <w:r w:rsidRPr="00B64DD1">
              <w:rPr>
                <w:b/>
                <w:i/>
              </w:rPr>
              <w:t xml:space="preserve">, aby przyczynić się w ten sposób do bardziej zdecydowanej, </w:t>
            </w:r>
            <w:proofErr w:type="spellStart"/>
            <w:r w:rsidRPr="00B64DD1">
              <w:rPr>
                <w:b/>
                <w:i/>
              </w:rPr>
              <w:t>ogólnounijnej</w:t>
            </w:r>
            <w:proofErr w:type="spellEnd"/>
            <w:r w:rsidRPr="00B64DD1">
              <w:rPr>
                <w:b/>
                <w:i/>
              </w:rPr>
              <w:t xml:space="preserve"> reakcji na kampanie dezinformacyjne; przypomina, że w opinii AFET dla Komisji Kontroli Budżetowej w sprawie absolutorium z wykonania budżetu ogólnego Unii Europejskiej za rok budżetowy 2023, sekcja X – Europejska Służba Działań Zewnętrznych</w:t>
            </w:r>
            <w:r w:rsidRPr="00B64DD1">
              <w:rPr>
                <w:b/>
                <w:i/>
                <w:vertAlign w:val="superscript"/>
              </w:rPr>
              <w:t>1a</w:t>
            </w:r>
            <w:r w:rsidRPr="00B64DD1">
              <w:rPr>
                <w:b/>
                <w:i/>
              </w:rPr>
              <w:t xml:space="preserve"> podkreślono, że wolność religii i przekonań jest podstawową wartością Unii, i wzywa ESDZ do systematycznego włączania dyplomacji religijnej do swoich działań i uznanie religii za konstruktywny element w podejmowaniu globalnych wyzwań i </w:t>
            </w:r>
            <w:r w:rsidRPr="00B64DD1">
              <w:rPr>
                <w:b/>
                <w:i/>
              </w:rPr>
              <w:lastRenderedPageBreak/>
              <w:t>promowaniu pokoju, odporności i spójności społecznej;</w:t>
            </w:r>
          </w:p>
        </w:tc>
      </w:tr>
      <w:tr w:rsidR="00A82F4D" w:rsidRPr="00B64DD1" w14:paraId="0E2FE9F1" w14:textId="77777777" w:rsidTr="00EA17FD">
        <w:trPr>
          <w:jc w:val="center"/>
        </w:trPr>
        <w:tc>
          <w:tcPr>
            <w:tcW w:w="4876" w:type="dxa"/>
            <w:tcBorders>
              <w:top w:val="nil"/>
              <w:left w:val="nil"/>
              <w:bottom w:val="nil"/>
              <w:right w:val="nil"/>
            </w:tcBorders>
          </w:tcPr>
          <w:p w14:paraId="669933B2" w14:textId="77777777" w:rsidR="00A82F4D" w:rsidRPr="00B64DD1" w:rsidRDefault="00A82F4D" w:rsidP="00EA17FD"/>
        </w:tc>
        <w:tc>
          <w:tcPr>
            <w:tcW w:w="4876" w:type="dxa"/>
            <w:tcBorders>
              <w:top w:val="nil"/>
              <w:left w:val="nil"/>
              <w:bottom w:val="nil"/>
              <w:right w:val="nil"/>
            </w:tcBorders>
          </w:tcPr>
          <w:p w14:paraId="1E611A05" w14:textId="77777777" w:rsidR="00A82F4D" w:rsidRPr="00B64DD1" w:rsidRDefault="00A82F4D" w:rsidP="00EA17FD">
            <w:pPr>
              <w:pStyle w:val="Normal6a"/>
            </w:pPr>
            <w:r w:rsidRPr="00B64DD1">
              <w:rPr>
                <w:b/>
                <w:i/>
              </w:rPr>
              <w:t>_________________</w:t>
            </w:r>
          </w:p>
        </w:tc>
      </w:tr>
      <w:tr w:rsidR="00A82F4D" w:rsidRPr="00B64DD1" w14:paraId="558BBAA3" w14:textId="77777777" w:rsidTr="00EA17FD">
        <w:trPr>
          <w:jc w:val="center"/>
        </w:trPr>
        <w:tc>
          <w:tcPr>
            <w:tcW w:w="4876" w:type="dxa"/>
            <w:tcBorders>
              <w:top w:val="nil"/>
              <w:left w:val="nil"/>
              <w:bottom w:val="nil"/>
              <w:right w:val="nil"/>
            </w:tcBorders>
          </w:tcPr>
          <w:p w14:paraId="5F2E77E6" w14:textId="77777777" w:rsidR="00A82F4D" w:rsidRPr="00B64DD1" w:rsidRDefault="00A82F4D" w:rsidP="00EA17FD"/>
        </w:tc>
        <w:tc>
          <w:tcPr>
            <w:tcW w:w="4876" w:type="dxa"/>
            <w:tcBorders>
              <w:top w:val="nil"/>
              <w:left w:val="nil"/>
              <w:bottom w:val="nil"/>
              <w:right w:val="nil"/>
            </w:tcBorders>
          </w:tcPr>
          <w:p w14:paraId="14BA98FC" w14:textId="77777777" w:rsidR="00A82F4D" w:rsidRPr="00B64DD1" w:rsidRDefault="00A82F4D" w:rsidP="00EA17FD">
            <w:pPr>
              <w:pStyle w:val="Normal6a"/>
            </w:pPr>
            <w:r w:rsidRPr="00B64DD1">
              <w:rPr>
                <w:b/>
                <w:i/>
                <w:vertAlign w:val="superscript"/>
              </w:rPr>
              <w:t>1a</w:t>
            </w:r>
            <w:r w:rsidRPr="00B64DD1">
              <w:t xml:space="preserve"> </w:t>
            </w:r>
            <w:r w:rsidRPr="00B64DD1">
              <w:rPr>
                <w:b/>
                <w:i/>
              </w:rPr>
              <w:t>https://www.europarl.europa.eu/doceo/document/AFET-AD-765237_PL.pdf</w:t>
            </w:r>
          </w:p>
        </w:tc>
      </w:tr>
    </w:tbl>
    <w:p w14:paraId="6C83D6CE"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18D483A4" w14:textId="77777777" w:rsidR="00A82F4D" w:rsidRPr="00B64DD1" w:rsidRDefault="00A82F4D" w:rsidP="00A82F4D">
      <w:r w:rsidRPr="00B64DD1">
        <w:rPr>
          <w:rStyle w:val="HideTWBExt"/>
        </w:rPr>
        <w:t>&lt;/Amend&gt;</w:t>
      </w:r>
    </w:p>
    <w:p w14:paraId="781CAFB7"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35</w:t>
      </w:r>
      <w:r w:rsidRPr="00B64DD1">
        <w:rPr>
          <w:rStyle w:val="HideTWBExt"/>
          <w:b w:val="0"/>
        </w:rPr>
        <w:t>&lt;/NumAm&gt;</w:t>
      </w:r>
    </w:p>
    <w:p w14:paraId="7F8DFD35" w14:textId="77777777" w:rsidR="00A82F4D" w:rsidRPr="00B64DD1" w:rsidRDefault="00A82F4D" w:rsidP="00A82F4D">
      <w:pPr>
        <w:pStyle w:val="NormalBold"/>
      </w:pPr>
      <w:r w:rsidRPr="00B64DD1">
        <w:rPr>
          <w:rStyle w:val="HideTWBExt"/>
          <w:b w:val="0"/>
        </w:rPr>
        <w:t>&lt;RepeatBlock-By&gt;&lt;Members&gt;</w:t>
      </w:r>
      <w:proofErr w:type="spellStart"/>
      <w:r w:rsidRPr="00B64DD1">
        <w:t>Tamás</w:t>
      </w:r>
      <w:proofErr w:type="spellEnd"/>
      <w:r w:rsidRPr="00B64DD1">
        <w:t xml:space="preserve"> </w:t>
      </w:r>
      <w:proofErr w:type="spellStart"/>
      <w:r w:rsidRPr="00B64DD1">
        <w:t>Deutsch</w:t>
      </w:r>
      <w:proofErr w:type="spellEnd"/>
      <w:r w:rsidRPr="00B64DD1">
        <w:rPr>
          <w:rStyle w:val="HideTWBExt"/>
          <w:b w:val="0"/>
        </w:rPr>
        <w:t>&lt;/Members&gt;</w:t>
      </w:r>
    </w:p>
    <w:p w14:paraId="0537D2AB" w14:textId="77777777" w:rsidR="00A82F4D" w:rsidRPr="00B64DD1" w:rsidRDefault="00A82F4D" w:rsidP="00A82F4D">
      <w:pPr>
        <w:pStyle w:val="NormalBold"/>
      </w:pPr>
      <w:r w:rsidRPr="00B64DD1">
        <w:rPr>
          <w:rStyle w:val="HideTWBExt"/>
          <w:b w:val="0"/>
        </w:rPr>
        <w:t>&lt;/RepeatBlock-By&gt;</w:t>
      </w:r>
    </w:p>
    <w:p w14:paraId="499999B3"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24AA4EFB" w14:textId="77777777" w:rsidR="00A82F4D" w:rsidRPr="00B64DD1" w:rsidRDefault="00A82F4D" w:rsidP="00A82F4D">
      <w:pPr>
        <w:pStyle w:val="NormalBold"/>
      </w:pPr>
      <w:r w:rsidRPr="00B64DD1">
        <w:rPr>
          <w:rStyle w:val="HideTWBExt"/>
          <w:b w:val="0"/>
        </w:rPr>
        <w:t>&lt;Article&gt;</w:t>
      </w:r>
      <w:r w:rsidRPr="00B64DD1">
        <w:t>Ustęp 16 a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2EE78D0C" w14:textId="77777777" w:rsidTr="00EA17FD">
        <w:trPr>
          <w:trHeight w:hRule="exact" w:val="240"/>
          <w:jc w:val="center"/>
        </w:trPr>
        <w:tc>
          <w:tcPr>
            <w:tcW w:w="9752" w:type="dxa"/>
            <w:gridSpan w:val="2"/>
            <w:tcBorders>
              <w:top w:val="nil"/>
              <w:left w:val="nil"/>
              <w:bottom w:val="nil"/>
              <w:right w:val="nil"/>
            </w:tcBorders>
          </w:tcPr>
          <w:p w14:paraId="34A4BCB0" w14:textId="77777777" w:rsidR="00A82F4D" w:rsidRPr="00B64DD1" w:rsidRDefault="00A82F4D" w:rsidP="00EA17FD"/>
        </w:tc>
      </w:tr>
      <w:tr w:rsidR="00A82F4D" w:rsidRPr="00B64DD1" w14:paraId="7825B427" w14:textId="77777777" w:rsidTr="00EA17FD">
        <w:trPr>
          <w:trHeight w:val="240"/>
          <w:jc w:val="center"/>
        </w:trPr>
        <w:tc>
          <w:tcPr>
            <w:tcW w:w="4876" w:type="dxa"/>
            <w:tcBorders>
              <w:top w:val="nil"/>
              <w:left w:val="nil"/>
              <w:bottom w:val="nil"/>
              <w:right w:val="nil"/>
            </w:tcBorders>
          </w:tcPr>
          <w:p w14:paraId="041AC86D"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1287A084" w14:textId="77777777" w:rsidR="00A82F4D" w:rsidRPr="00B64DD1" w:rsidRDefault="00A82F4D" w:rsidP="00EA17FD">
            <w:pPr>
              <w:pStyle w:val="AmColumnHeading"/>
            </w:pPr>
            <w:r w:rsidRPr="00B64DD1">
              <w:t>Poprawka</w:t>
            </w:r>
          </w:p>
        </w:tc>
      </w:tr>
      <w:tr w:rsidR="00A82F4D" w:rsidRPr="00B64DD1" w14:paraId="146097AA" w14:textId="77777777" w:rsidTr="00EA17FD">
        <w:trPr>
          <w:jc w:val="center"/>
        </w:trPr>
        <w:tc>
          <w:tcPr>
            <w:tcW w:w="4876" w:type="dxa"/>
            <w:tcBorders>
              <w:top w:val="nil"/>
              <w:left w:val="nil"/>
              <w:bottom w:val="nil"/>
              <w:right w:val="nil"/>
            </w:tcBorders>
          </w:tcPr>
          <w:p w14:paraId="597D31F4" w14:textId="77777777" w:rsidR="00A82F4D" w:rsidRPr="00B64DD1" w:rsidRDefault="00A82F4D" w:rsidP="00EA17FD">
            <w:pPr>
              <w:pStyle w:val="Normal6a"/>
            </w:pPr>
          </w:p>
        </w:tc>
        <w:tc>
          <w:tcPr>
            <w:tcW w:w="4876" w:type="dxa"/>
            <w:tcBorders>
              <w:top w:val="nil"/>
              <w:left w:val="nil"/>
              <w:bottom w:val="nil"/>
              <w:right w:val="nil"/>
            </w:tcBorders>
          </w:tcPr>
          <w:p w14:paraId="32F24C29" w14:textId="77777777" w:rsidR="00A82F4D" w:rsidRPr="00B64DD1" w:rsidRDefault="00A82F4D" w:rsidP="00EA17FD">
            <w:pPr>
              <w:pStyle w:val="Normal6a"/>
            </w:pPr>
            <w:r w:rsidRPr="00B64DD1">
              <w:rPr>
                <w:b/>
                <w:i/>
              </w:rPr>
              <w:t>16a.</w:t>
            </w:r>
            <w:r w:rsidRPr="00B64DD1">
              <w:tab/>
            </w:r>
            <w:r w:rsidRPr="00B64DD1">
              <w:rPr>
                <w:b/>
                <w:i/>
              </w:rPr>
              <w:t>przypomina postanowienia Traktatu o Unii Europejskiej, zgodnie z którymi celem UE i jej instytucji jest wspieranie pokoju, jej wartości i dobrobytu jej narodów, utrzymanie pokoju, zapobieganie konfliktom i umacnianie bezpieczeństwa międzynarodowego;</w:t>
            </w:r>
          </w:p>
        </w:tc>
      </w:tr>
    </w:tbl>
    <w:p w14:paraId="58A71545"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1CE7E0F8" w14:textId="77777777" w:rsidR="00A82F4D" w:rsidRPr="00B64DD1" w:rsidRDefault="00A82F4D" w:rsidP="00A82F4D">
      <w:r w:rsidRPr="00B64DD1">
        <w:rPr>
          <w:rStyle w:val="HideTWBExt"/>
        </w:rPr>
        <w:t>&lt;/Amend&gt;</w:t>
      </w:r>
    </w:p>
    <w:p w14:paraId="32EC5F79"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36</w:t>
      </w:r>
      <w:r w:rsidRPr="00B64DD1">
        <w:rPr>
          <w:rStyle w:val="HideTWBExt"/>
          <w:b w:val="0"/>
        </w:rPr>
        <w:t>&lt;/NumAm&gt;</w:t>
      </w:r>
    </w:p>
    <w:p w14:paraId="311777C1" w14:textId="77777777" w:rsidR="00A82F4D" w:rsidRPr="00B64DD1" w:rsidRDefault="00A82F4D" w:rsidP="00A82F4D">
      <w:pPr>
        <w:pStyle w:val="NormalBold"/>
      </w:pPr>
      <w:r w:rsidRPr="00B64DD1">
        <w:rPr>
          <w:rStyle w:val="HideTWBExt"/>
          <w:b w:val="0"/>
        </w:rPr>
        <w:t>&lt;RepeatBlock-By&gt;&lt;Members&gt;</w:t>
      </w:r>
      <w:proofErr w:type="spellStart"/>
      <w:r w:rsidRPr="00B64DD1">
        <w:t>Tamás</w:t>
      </w:r>
      <w:proofErr w:type="spellEnd"/>
      <w:r w:rsidRPr="00B64DD1">
        <w:t xml:space="preserve"> </w:t>
      </w:r>
      <w:proofErr w:type="spellStart"/>
      <w:r w:rsidRPr="00B64DD1">
        <w:t>Deutsch</w:t>
      </w:r>
      <w:proofErr w:type="spellEnd"/>
      <w:r w:rsidRPr="00B64DD1">
        <w:rPr>
          <w:rStyle w:val="HideTWBExt"/>
          <w:b w:val="0"/>
        </w:rPr>
        <w:t>&lt;/Members&gt;</w:t>
      </w:r>
    </w:p>
    <w:p w14:paraId="6C59F5EF" w14:textId="77777777" w:rsidR="00A82F4D" w:rsidRPr="00B64DD1" w:rsidRDefault="00A82F4D" w:rsidP="00A82F4D">
      <w:pPr>
        <w:pStyle w:val="NormalBold"/>
      </w:pPr>
      <w:r w:rsidRPr="00B64DD1">
        <w:rPr>
          <w:rStyle w:val="HideTWBExt"/>
          <w:b w:val="0"/>
        </w:rPr>
        <w:t>&lt;/RepeatBlock-By&gt;</w:t>
      </w:r>
    </w:p>
    <w:p w14:paraId="523CD553"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02D0A29A" w14:textId="77777777" w:rsidR="00A82F4D" w:rsidRPr="00B64DD1" w:rsidRDefault="00A82F4D" w:rsidP="00A82F4D">
      <w:pPr>
        <w:pStyle w:val="NormalBold"/>
      </w:pPr>
      <w:r w:rsidRPr="00B64DD1">
        <w:rPr>
          <w:rStyle w:val="HideTWBExt"/>
          <w:b w:val="0"/>
        </w:rPr>
        <w:t>&lt;Article&gt;</w:t>
      </w:r>
      <w:r w:rsidRPr="00B64DD1">
        <w:t>Ustęp 16 b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649C008D" w14:textId="77777777" w:rsidTr="00EA17FD">
        <w:trPr>
          <w:trHeight w:hRule="exact" w:val="240"/>
          <w:jc w:val="center"/>
        </w:trPr>
        <w:tc>
          <w:tcPr>
            <w:tcW w:w="9752" w:type="dxa"/>
            <w:gridSpan w:val="2"/>
            <w:tcBorders>
              <w:top w:val="nil"/>
              <w:left w:val="nil"/>
              <w:bottom w:val="nil"/>
              <w:right w:val="nil"/>
            </w:tcBorders>
          </w:tcPr>
          <w:p w14:paraId="18FAB26F" w14:textId="77777777" w:rsidR="00A82F4D" w:rsidRPr="00B64DD1" w:rsidRDefault="00A82F4D" w:rsidP="00EA17FD"/>
        </w:tc>
      </w:tr>
      <w:tr w:rsidR="00A82F4D" w:rsidRPr="00B64DD1" w14:paraId="7E748110" w14:textId="77777777" w:rsidTr="00EA17FD">
        <w:trPr>
          <w:trHeight w:val="240"/>
          <w:jc w:val="center"/>
        </w:trPr>
        <w:tc>
          <w:tcPr>
            <w:tcW w:w="4876" w:type="dxa"/>
            <w:tcBorders>
              <w:top w:val="nil"/>
              <w:left w:val="nil"/>
              <w:bottom w:val="nil"/>
              <w:right w:val="nil"/>
            </w:tcBorders>
          </w:tcPr>
          <w:p w14:paraId="4FCE02DB"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2D505909" w14:textId="77777777" w:rsidR="00A82F4D" w:rsidRPr="00B64DD1" w:rsidRDefault="00A82F4D" w:rsidP="00EA17FD">
            <w:pPr>
              <w:pStyle w:val="AmColumnHeading"/>
            </w:pPr>
            <w:r w:rsidRPr="00B64DD1">
              <w:t>Poprawka</w:t>
            </w:r>
          </w:p>
        </w:tc>
      </w:tr>
      <w:tr w:rsidR="00A82F4D" w:rsidRPr="00B64DD1" w14:paraId="21D85117" w14:textId="77777777" w:rsidTr="00EA17FD">
        <w:trPr>
          <w:jc w:val="center"/>
        </w:trPr>
        <w:tc>
          <w:tcPr>
            <w:tcW w:w="4876" w:type="dxa"/>
            <w:tcBorders>
              <w:top w:val="nil"/>
              <w:left w:val="nil"/>
              <w:bottom w:val="nil"/>
              <w:right w:val="nil"/>
            </w:tcBorders>
          </w:tcPr>
          <w:p w14:paraId="56883800" w14:textId="77777777" w:rsidR="00A82F4D" w:rsidRPr="00B64DD1" w:rsidRDefault="00A82F4D" w:rsidP="00EA17FD">
            <w:pPr>
              <w:pStyle w:val="Normal6a"/>
            </w:pPr>
          </w:p>
        </w:tc>
        <w:tc>
          <w:tcPr>
            <w:tcW w:w="4876" w:type="dxa"/>
            <w:tcBorders>
              <w:top w:val="nil"/>
              <w:left w:val="nil"/>
              <w:bottom w:val="nil"/>
              <w:right w:val="nil"/>
            </w:tcBorders>
          </w:tcPr>
          <w:p w14:paraId="42D93523" w14:textId="77777777" w:rsidR="00A82F4D" w:rsidRPr="00B64DD1" w:rsidRDefault="00A82F4D" w:rsidP="00EA17FD">
            <w:pPr>
              <w:pStyle w:val="Normal6a"/>
            </w:pPr>
            <w:r w:rsidRPr="00B64DD1">
              <w:rPr>
                <w:b/>
                <w:i/>
              </w:rPr>
              <w:t>16b.</w:t>
            </w:r>
            <w:r w:rsidRPr="00B64DD1">
              <w:tab/>
            </w:r>
            <w:r w:rsidRPr="00B64DD1">
              <w:rPr>
                <w:b/>
                <w:i/>
              </w:rPr>
              <w:t>wzywa instytucję do pełnego poświęcenia i zmaksymalizowania wysiłków za pomocą wszystkich dostępnych środków i zasobów na rzecz promowania pokoju i jak najszybszego zakończenia wojny w Ukrainie oraz do utrzymania pokoju i wzmocnienia bezpieczeństwa europejskiego;</w:t>
            </w:r>
          </w:p>
        </w:tc>
      </w:tr>
    </w:tbl>
    <w:p w14:paraId="02AB9CE0"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0CADF5B9" w14:textId="77777777" w:rsidR="00A82F4D" w:rsidRPr="00B64DD1" w:rsidRDefault="00A82F4D" w:rsidP="00A82F4D">
      <w:r w:rsidRPr="00B64DD1">
        <w:rPr>
          <w:rStyle w:val="HideTWBExt"/>
        </w:rPr>
        <w:t>&lt;/Amend&gt;</w:t>
      </w:r>
    </w:p>
    <w:p w14:paraId="2ACF7F24"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37</w:t>
      </w:r>
      <w:r w:rsidRPr="00B64DD1">
        <w:rPr>
          <w:rStyle w:val="HideTWBExt"/>
          <w:b w:val="0"/>
        </w:rPr>
        <w:t>&lt;/NumAm&gt;</w:t>
      </w:r>
    </w:p>
    <w:p w14:paraId="754D618A" w14:textId="77777777" w:rsidR="00A82F4D" w:rsidRPr="00B64DD1" w:rsidRDefault="00A82F4D" w:rsidP="00A82F4D">
      <w:pPr>
        <w:pStyle w:val="NormalBold"/>
      </w:pPr>
      <w:r w:rsidRPr="00B64DD1">
        <w:rPr>
          <w:rStyle w:val="HideTWBExt"/>
          <w:b w:val="0"/>
        </w:rPr>
        <w:t>&lt;RepeatBlock-By&gt;&lt;Members&gt;</w:t>
      </w:r>
      <w:r w:rsidRPr="00B64DD1">
        <w:t xml:space="preserve">Dick </w:t>
      </w:r>
      <w:proofErr w:type="spellStart"/>
      <w:r w:rsidRPr="00B64DD1">
        <w:t>Erixon</w:t>
      </w:r>
      <w:proofErr w:type="spellEnd"/>
      <w:r w:rsidRPr="00B64DD1">
        <w:rPr>
          <w:rStyle w:val="HideTWBExt"/>
          <w:b w:val="0"/>
        </w:rPr>
        <w:t>&lt;/Members&gt;</w:t>
      </w:r>
    </w:p>
    <w:p w14:paraId="34A3E6B1" w14:textId="77777777" w:rsidR="00A82F4D" w:rsidRPr="00B64DD1" w:rsidRDefault="00A82F4D" w:rsidP="00A82F4D">
      <w:pPr>
        <w:pStyle w:val="NormalBold"/>
      </w:pPr>
      <w:r w:rsidRPr="00B64DD1">
        <w:rPr>
          <w:rStyle w:val="HideTWBExt"/>
          <w:b w:val="0"/>
        </w:rPr>
        <w:t>&lt;/RepeatBlock-By&gt;</w:t>
      </w:r>
    </w:p>
    <w:p w14:paraId="0ED5DC03"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3D660C0C" w14:textId="77777777" w:rsidR="00A82F4D" w:rsidRPr="00B64DD1" w:rsidRDefault="00A82F4D" w:rsidP="00A82F4D">
      <w:pPr>
        <w:pStyle w:val="NormalBold"/>
      </w:pPr>
      <w:r w:rsidRPr="00B64DD1">
        <w:rPr>
          <w:rStyle w:val="HideTWBExt"/>
          <w:b w:val="0"/>
        </w:rPr>
        <w:t>&lt;Article&gt;</w:t>
      </w:r>
      <w:r w:rsidRPr="00B64DD1">
        <w:t>Ustęp 17</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1BEF313C" w14:textId="77777777" w:rsidTr="00EA17FD">
        <w:trPr>
          <w:trHeight w:hRule="exact" w:val="240"/>
          <w:jc w:val="center"/>
        </w:trPr>
        <w:tc>
          <w:tcPr>
            <w:tcW w:w="9752" w:type="dxa"/>
            <w:gridSpan w:val="2"/>
            <w:tcBorders>
              <w:top w:val="nil"/>
              <w:left w:val="nil"/>
              <w:bottom w:val="nil"/>
              <w:right w:val="nil"/>
            </w:tcBorders>
          </w:tcPr>
          <w:p w14:paraId="0EE9019A" w14:textId="77777777" w:rsidR="00A82F4D" w:rsidRPr="00B64DD1" w:rsidRDefault="00A82F4D" w:rsidP="00EA17FD"/>
        </w:tc>
      </w:tr>
      <w:tr w:rsidR="00A82F4D" w:rsidRPr="00B64DD1" w14:paraId="7F4AE461" w14:textId="77777777" w:rsidTr="00EA17FD">
        <w:trPr>
          <w:trHeight w:val="240"/>
          <w:jc w:val="center"/>
        </w:trPr>
        <w:tc>
          <w:tcPr>
            <w:tcW w:w="4876" w:type="dxa"/>
            <w:tcBorders>
              <w:top w:val="nil"/>
              <w:left w:val="nil"/>
              <w:bottom w:val="nil"/>
              <w:right w:val="nil"/>
            </w:tcBorders>
          </w:tcPr>
          <w:p w14:paraId="42409ECB"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44189CF9" w14:textId="77777777" w:rsidR="00A82F4D" w:rsidRPr="00B64DD1" w:rsidRDefault="00A82F4D" w:rsidP="00EA17FD">
            <w:pPr>
              <w:pStyle w:val="AmColumnHeading"/>
            </w:pPr>
            <w:r w:rsidRPr="00B64DD1">
              <w:t>Poprawka</w:t>
            </w:r>
          </w:p>
        </w:tc>
      </w:tr>
      <w:tr w:rsidR="00A82F4D" w:rsidRPr="00B64DD1" w14:paraId="66C37105" w14:textId="77777777" w:rsidTr="00EA17FD">
        <w:trPr>
          <w:jc w:val="center"/>
        </w:trPr>
        <w:tc>
          <w:tcPr>
            <w:tcW w:w="4876" w:type="dxa"/>
            <w:tcBorders>
              <w:top w:val="nil"/>
              <w:left w:val="nil"/>
              <w:bottom w:val="nil"/>
              <w:right w:val="nil"/>
            </w:tcBorders>
          </w:tcPr>
          <w:p w14:paraId="77285AF7" w14:textId="77777777" w:rsidR="00A82F4D" w:rsidRPr="00B64DD1" w:rsidRDefault="00A82F4D" w:rsidP="00EA17FD">
            <w:pPr>
              <w:pStyle w:val="Normal6a"/>
            </w:pPr>
            <w:r w:rsidRPr="00B64DD1">
              <w:rPr>
                <w:b/>
                <w:i/>
              </w:rPr>
              <w:t>17.</w:t>
            </w:r>
            <w:r w:rsidRPr="00B64DD1">
              <w:tab/>
            </w:r>
            <w:r w:rsidRPr="00B64DD1">
              <w:rPr>
                <w:b/>
                <w:i/>
              </w:rPr>
              <w:t>przypomina, że kluczowe znaczenie ma dalsze wzmacnianie naszego wsparcia na rzecz praw człowieka, demokracji i rozwoju w państwach trzecich za pośrednictwem ISWMR – „Globalny wymiar Europy”; podkreśla, że utrzymanie odrębnego finansowania na rzecz praw człowieka i demokracji, a także podejścia opartego na prawach człowieka oraz uwzględnianie praw człowieka w głównym nurcie wsparcia i partnerstw z państwami trzecimi, może służyć wzmocnieniu pozycji Unii na świecie i wsparciu wartości Unii; podkreśla, że biorąc pod uwagę obecną sytuację charakteryzującą się szybkim postępem technologicznym i konkurencją geopolityczną, należy jeszcze bardziej zwiększyć zasoby na unijną dyplomację cyfrową; nalega na wzmocnienie „zielonej dyplomacji” i zielonej transformacji, jako jednego z priorytetów Unii, względem państw trzecich za pośrednictwem działań zewnętrznych Unii;</w:t>
            </w:r>
          </w:p>
        </w:tc>
        <w:tc>
          <w:tcPr>
            <w:tcW w:w="4876" w:type="dxa"/>
            <w:tcBorders>
              <w:top w:val="nil"/>
              <w:left w:val="nil"/>
              <w:bottom w:val="nil"/>
              <w:right w:val="nil"/>
            </w:tcBorders>
          </w:tcPr>
          <w:p w14:paraId="6236AE23" w14:textId="77777777" w:rsidR="00A82F4D" w:rsidRPr="00B64DD1" w:rsidRDefault="00A82F4D" w:rsidP="00EA17FD">
            <w:pPr>
              <w:pStyle w:val="Normal6a"/>
            </w:pPr>
            <w:r w:rsidRPr="00B64DD1">
              <w:rPr>
                <w:b/>
                <w:i/>
              </w:rPr>
              <w:t>skreśla się</w:t>
            </w:r>
          </w:p>
        </w:tc>
      </w:tr>
    </w:tbl>
    <w:p w14:paraId="72D3B3C4"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3EA45612" w14:textId="77777777" w:rsidR="00A82F4D" w:rsidRPr="00B64DD1" w:rsidRDefault="00A82F4D" w:rsidP="00A82F4D">
      <w:r w:rsidRPr="00B64DD1">
        <w:rPr>
          <w:rStyle w:val="HideTWBExt"/>
        </w:rPr>
        <w:t>&lt;/Amend&gt;</w:t>
      </w:r>
    </w:p>
    <w:p w14:paraId="2FAA6BC0"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38</w:t>
      </w:r>
      <w:r w:rsidRPr="00B64DD1">
        <w:rPr>
          <w:rStyle w:val="HideTWBExt"/>
          <w:b w:val="0"/>
        </w:rPr>
        <w:t>&lt;/NumAm&gt;</w:t>
      </w:r>
    </w:p>
    <w:p w14:paraId="37F47C91" w14:textId="77777777" w:rsidR="00A82F4D" w:rsidRPr="00B64DD1" w:rsidRDefault="00A82F4D" w:rsidP="00A82F4D">
      <w:pPr>
        <w:pStyle w:val="NormalBold"/>
      </w:pPr>
      <w:r w:rsidRPr="00B64DD1">
        <w:rPr>
          <w:rStyle w:val="HideTWBExt"/>
          <w:b w:val="0"/>
        </w:rPr>
        <w:t>&lt;RepeatBlock-By&gt;&lt;Members&gt;</w:t>
      </w:r>
      <w:proofErr w:type="spellStart"/>
      <w:r w:rsidRPr="00B64DD1">
        <w:t>Andrey</w:t>
      </w:r>
      <w:proofErr w:type="spellEnd"/>
      <w:r w:rsidRPr="00B64DD1">
        <w:t xml:space="preserve"> </w:t>
      </w:r>
      <w:proofErr w:type="spellStart"/>
      <w:r w:rsidRPr="00B64DD1">
        <w:t>Kovatchev</w:t>
      </w:r>
      <w:proofErr w:type="spellEnd"/>
      <w:r w:rsidRPr="00B64DD1">
        <w:rPr>
          <w:rStyle w:val="HideTWBExt"/>
          <w:b w:val="0"/>
        </w:rPr>
        <w:t>&lt;/Members&gt;</w:t>
      </w:r>
    </w:p>
    <w:p w14:paraId="395B9C05" w14:textId="77777777" w:rsidR="00A82F4D" w:rsidRPr="00B64DD1" w:rsidRDefault="00A82F4D" w:rsidP="00A82F4D">
      <w:pPr>
        <w:pStyle w:val="NormalBold"/>
      </w:pPr>
      <w:r w:rsidRPr="00B64DD1">
        <w:rPr>
          <w:rStyle w:val="HideTWBExt"/>
          <w:b w:val="0"/>
        </w:rPr>
        <w:t>&lt;/RepeatBlock-By&gt;</w:t>
      </w:r>
    </w:p>
    <w:p w14:paraId="0A7D4163"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02423714" w14:textId="77777777" w:rsidR="00A82F4D" w:rsidRPr="00B64DD1" w:rsidRDefault="00A82F4D" w:rsidP="00A82F4D">
      <w:pPr>
        <w:pStyle w:val="NormalBold"/>
      </w:pPr>
      <w:r w:rsidRPr="00B64DD1">
        <w:rPr>
          <w:rStyle w:val="HideTWBExt"/>
          <w:b w:val="0"/>
        </w:rPr>
        <w:t>&lt;Article&gt;</w:t>
      </w:r>
      <w:r w:rsidRPr="00B64DD1">
        <w:t>Ustęp 17</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7684FC53" w14:textId="77777777" w:rsidTr="00EA17FD">
        <w:trPr>
          <w:trHeight w:hRule="exact" w:val="240"/>
          <w:jc w:val="center"/>
        </w:trPr>
        <w:tc>
          <w:tcPr>
            <w:tcW w:w="9752" w:type="dxa"/>
            <w:gridSpan w:val="2"/>
            <w:tcBorders>
              <w:top w:val="nil"/>
              <w:left w:val="nil"/>
              <w:bottom w:val="nil"/>
              <w:right w:val="nil"/>
            </w:tcBorders>
          </w:tcPr>
          <w:p w14:paraId="4147B203" w14:textId="77777777" w:rsidR="00A82F4D" w:rsidRPr="00B64DD1" w:rsidRDefault="00A82F4D" w:rsidP="00EA17FD"/>
        </w:tc>
      </w:tr>
      <w:tr w:rsidR="00A82F4D" w:rsidRPr="00B64DD1" w14:paraId="61C46926" w14:textId="77777777" w:rsidTr="00EA17FD">
        <w:trPr>
          <w:trHeight w:val="240"/>
          <w:jc w:val="center"/>
        </w:trPr>
        <w:tc>
          <w:tcPr>
            <w:tcW w:w="4876" w:type="dxa"/>
            <w:tcBorders>
              <w:top w:val="nil"/>
              <w:left w:val="nil"/>
              <w:bottom w:val="nil"/>
              <w:right w:val="nil"/>
            </w:tcBorders>
          </w:tcPr>
          <w:p w14:paraId="66D0E7D2"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775A643D" w14:textId="77777777" w:rsidR="00A82F4D" w:rsidRPr="00B64DD1" w:rsidRDefault="00A82F4D" w:rsidP="00EA17FD">
            <w:pPr>
              <w:pStyle w:val="AmColumnHeading"/>
            </w:pPr>
            <w:r w:rsidRPr="00B64DD1">
              <w:t>Poprawka</w:t>
            </w:r>
          </w:p>
        </w:tc>
      </w:tr>
      <w:tr w:rsidR="00A82F4D" w:rsidRPr="00B64DD1" w14:paraId="302FA442" w14:textId="77777777" w:rsidTr="00EA17FD">
        <w:trPr>
          <w:jc w:val="center"/>
        </w:trPr>
        <w:tc>
          <w:tcPr>
            <w:tcW w:w="4876" w:type="dxa"/>
            <w:tcBorders>
              <w:top w:val="nil"/>
              <w:left w:val="nil"/>
              <w:bottom w:val="nil"/>
              <w:right w:val="nil"/>
            </w:tcBorders>
          </w:tcPr>
          <w:p w14:paraId="4702D3B6" w14:textId="77777777" w:rsidR="00A82F4D" w:rsidRPr="00B64DD1" w:rsidRDefault="00A82F4D" w:rsidP="00EA17FD">
            <w:pPr>
              <w:pStyle w:val="Normal6a"/>
            </w:pPr>
            <w:r w:rsidRPr="00B64DD1">
              <w:lastRenderedPageBreak/>
              <w:t>17.</w:t>
            </w:r>
            <w:r w:rsidRPr="00B64DD1">
              <w:tab/>
              <w:t>przypomina, że kluczowe znaczenie ma dalsze wzmacnianie naszego wsparcia na rzecz praw człowieka, demokracji i rozwoju w państwach trzecich za pośrednictwem ISWMR – „Globalny wymiar Europy”; podkreśla, że utrzymanie odrębnego finansowania na rzecz praw człowieka i demokracji, a także podejścia opartego na prawach człowieka oraz uwzględnianie praw człowieka w głównym nurcie wsparcia i partnerstw z państwami trzecimi, może służyć wzmocnieniu pozycji Unii na świecie i wsparciu wartości Unii; podkreśla, że biorąc pod uwagę obecną sytuację charakteryzującą się szybkim postępem technologicznym i konkurencją geopolityczną, należy jeszcze bardziej zwiększyć zasoby na unijną dyplomację cyfrową; nalega na wzmocnienie „zielonej dyplomacji” i zielonej transformacji, jako jednego z priorytetów Unii, względem państw trzecich za pośrednictwem działań zewnętrznych Unii;</w:t>
            </w:r>
          </w:p>
        </w:tc>
        <w:tc>
          <w:tcPr>
            <w:tcW w:w="4876" w:type="dxa"/>
            <w:tcBorders>
              <w:top w:val="nil"/>
              <w:left w:val="nil"/>
              <w:bottom w:val="nil"/>
              <w:right w:val="nil"/>
            </w:tcBorders>
          </w:tcPr>
          <w:p w14:paraId="5280BF17" w14:textId="77777777" w:rsidR="00A82F4D" w:rsidRPr="00B64DD1" w:rsidRDefault="00A82F4D" w:rsidP="00EA17FD">
            <w:pPr>
              <w:pStyle w:val="Normal6a"/>
            </w:pPr>
            <w:r w:rsidRPr="00B64DD1">
              <w:t>17.</w:t>
            </w:r>
            <w:r w:rsidRPr="00B64DD1">
              <w:tab/>
              <w:t>przypomina, że kluczowe znaczenie ma dalsze wzmacnianie naszego wsparcia na rzecz praw człowieka, demokracji i rozwoju w państwach trzecich za pośrednictwem ISWMR – „Globalny wymiar Europy”; podkreśla, że utrzymanie odrębnego finansowania na rzecz praw człowieka i demokracji, a także podejścia opartego na prawach człowieka oraz uwzględnianie praw człowieka w głównym nurcie wsparcia i partnerstw z państwami trzecimi, może służyć wzmocnieniu pozycji Unii na świecie i wsparciu wartości Unii; podkreśla, że biorąc pod uwagę obecną sytuację charakteryzującą się szybkim postępem technologicznym i konkurencją geopolityczną, należy jeszcze bardziej zwiększyć zasoby na unijną dyplomację cyfrową</w:t>
            </w:r>
            <w:r w:rsidRPr="00B64DD1">
              <w:rPr>
                <w:b/>
                <w:bCs/>
                <w:i/>
                <w:iCs/>
              </w:rPr>
              <w:t>, w szczególności w celu przeciwdziałania cyfrowemu autorytaryzmowi, ingerencji zagranicznej i nadużywaniu nowych technologii</w:t>
            </w:r>
            <w:r w:rsidRPr="00B64DD1">
              <w:t>; nalega na wzmocnienie „zielonej dyplomacji” i zielonej transformacji, jako jednego z priorytetów Unii, względem państw trzecich za pośrednictwem działań zewnętrznych Unii</w:t>
            </w:r>
            <w:r w:rsidRPr="00B64DD1">
              <w:rPr>
                <w:b/>
                <w:bCs/>
                <w:i/>
                <w:iCs/>
              </w:rPr>
              <w:t>, przy jednoczesnym zapewnieniu spójności z konkurencyjnością, bezpieczeństwem energetycznym i odpornością gospodarczą krajów partnerskich oraz uniknięciu nieproporcjonalnych obciążeń, które mogłyby podważyć partnerstwa strategiczne</w:t>
            </w:r>
            <w:r w:rsidRPr="00B64DD1">
              <w:t>;</w:t>
            </w:r>
          </w:p>
        </w:tc>
      </w:tr>
    </w:tbl>
    <w:p w14:paraId="2EBD35B8"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2BC2A119" w14:textId="77777777" w:rsidR="00A82F4D" w:rsidRPr="00B64DD1" w:rsidRDefault="00A82F4D" w:rsidP="00A82F4D">
      <w:r w:rsidRPr="00B64DD1">
        <w:rPr>
          <w:rStyle w:val="HideTWBExt"/>
        </w:rPr>
        <w:t>&lt;/Amend&gt;</w:t>
      </w:r>
    </w:p>
    <w:p w14:paraId="5AA8E8EB"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39</w:t>
      </w:r>
      <w:r w:rsidRPr="00B64DD1">
        <w:rPr>
          <w:rStyle w:val="HideTWBExt"/>
          <w:b w:val="0"/>
        </w:rPr>
        <w:t>&lt;/NumAm&gt;</w:t>
      </w:r>
    </w:p>
    <w:p w14:paraId="1CFC5F0F" w14:textId="77777777" w:rsidR="00A82F4D" w:rsidRPr="00B64DD1" w:rsidRDefault="00A82F4D" w:rsidP="00A82F4D">
      <w:pPr>
        <w:pStyle w:val="NormalBold"/>
      </w:pPr>
      <w:r w:rsidRPr="00B64DD1">
        <w:rPr>
          <w:rStyle w:val="HideTWBExt"/>
          <w:b w:val="0"/>
        </w:rPr>
        <w:t>&lt;RepeatBlock-By&gt;&lt;Members&gt;</w:t>
      </w:r>
      <w:r w:rsidRPr="00B64DD1">
        <w:t xml:space="preserve">Damian </w:t>
      </w:r>
      <w:proofErr w:type="spellStart"/>
      <w:r w:rsidRPr="00B64DD1">
        <w:t>Boeselager</w:t>
      </w:r>
      <w:proofErr w:type="spellEnd"/>
      <w:r w:rsidRPr="00B64DD1">
        <w:rPr>
          <w:rStyle w:val="HideTWBExt"/>
          <w:b w:val="0"/>
        </w:rPr>
        <w:t>&lt;/Members&gt;</w:t>
      </w:r>
    </w:p>
    <w:p w14:paraId="18D77434" w14:textId="77777777" w:rsidR="00A82F4D" w:rsidRPr="00B64DD1" w:rsidRDefault="00A82F4D" w:rsidP="00A82F4D">
      <w:r w:rsidRPr="00B64DD1">
        <w:rPr>
          <w:rStyle w:val="HideTWBExt"/>
        </w:rPr>
        <w:t>&lt;AuNomDe&gt;</w:t>
      </w:r>
      <w:r w:rsidRPr="00B64DD1">
        <w:rPr>
          <w:rStyle w:val="HideTWBInt"/>
        </w:rPr>
        <w:t>{Verts/ALE}</w:t>
      </w:r>
      <w:r w:rsidRPr="00B64DD1">
        <w:t xml:space="preserve">w imieniu grupy </w:t>
      </w:r>
      <w:proofErr w:type="spellStart"/>
      <w:r w:rsidRPr="00B64DD1">
        <w:t>Verts</w:t>
      </w:r>
      <w:proofErr w:type="spellEnd"/>
      <w:r w:rsidRPr="00B64DD1">
        <w:t>/ALE</w:t>
      </w:r>
      <w:r w:rsidRPr="00B64DD1">
        <w:rPr>
          <w:rStyle w:val="HideTWBExt"/>
        </w:rPr>
        <w:t>&lt;/AuNomDe&gt;</w:t>
      </w:r>
    </w:p>
    <w:p w14:paraId="1C91B9BF" w14:textId="77777777" w:rsidR="00A82F4D" w:rsidRPr="00B64DD1" w:rsidRDefault="00A82F4D" w:rsidP="00A82F4D">
      <w:pPr>
        <w:pStyle w:val="NormalBold"/>
      </w:pPr>
      <w:r w:rsidRPr="00B64DD1">
        <w:rPr>
          <w:rStyle w:val="HideTWBExt"/>
          <w:b w:val="0"/>
        </w:rPr>
        <w:t>&lt;/RepeatBlock-By&gt;</w:t>
      </w:r>
    </w:p>
    <w:p w14:paraId="1D8F9979"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28FF7C91" w14:textId="77777777" w:rsidR="00A82F4D" w:rsidRPr="00B64DD1" w:rsidRDefault="00A82F4D" w:rsidP="00A82F4D">
      <w:pPr>
        <w:pStyle w:val="NormalBold"/>
      </w:pPr>
      <w:r w:rsidRPr="00B64DD1">
        <w:rPr>
          <w:rStyle w:val="HideTWBExt"/>
          <w:b w:val="0"/>
        </w:rPr>
        <w:t>&lt;Article&gt;</w:t>
      </w:r>
      <w:r w:rsidRPr="00B64DD1">
        <w:t>Ustęp 17</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6A542A90" w14:textId="77777777" w:rsidTr="00EA17FD">
        <w:trPr>
          <w:trHeight w:hRule="exact" w:val="240"/>
          <w:jc w:val="center"/>
        </w:trPr>
        <w:tc>
          <w:tcPr>
            <w:tcW w:w="9752" w:type="dxa"/>
            <w:gridSpan w:val="2"/>
            <w:tcBorders>
              <w:top w:val="nil"/>
              <w:left w:val="nil"/>
              <w:bottom w:val="nil"/>
              <w:right w:val="nil"/>
            </w:tcBorders>
          </w:tcPr>
          <w:p w14:paraId="6C5A96B2" w14:textId="77777777" w:rsidR="00A82F4D" w:rsidRPr="00B64DD1" w:rsidRDefault="00A82F4D" w:rsidP="00EA17FD"/>
        </w:tc>
      </w:tr>
      <w:tr w:rsidR="00A82F4D" w:rsidRPr="00B64DD1" w14:paraId="495EAB04" w14:textId="77777777" w:rsidTr="00EA17FD">
        <w:trPr>
          <w:trHeight w:val="240"/>
          <w:jc w:val="center"/>
        </w:trPr>
        <w:tc>
          <w:tcPr>
            <w:tcW w:w="4876" w:type="dxa"/>
            <w:tcBorders>
              <w:top w:val="nil"/>
              <w:left w:val="nil"/>
              <w:bottom w:val="nil"/>
              <w:right w:val="nil"/>
            </w:tcBorders>
          </w:tcPr>
          <w:p w14:paraId="39F1D8EA"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0E1B537D" w14:textId="77777777" w:rsidR="00A82F4D" w:rsidRPr="00B64DD1" w:rsidRDefault="00A82F4D" w:rsidP="00EA17FD">
            <w:pPr>
              <w:pStyle w:val="AmColumnHeading"/>
            </w:pPr>
            <w:r w:rsidRPr="00B64DD1">
              <w:t>Poprawka</w:t>
            </w:r>
          </w:p>
        </w:tc>
      </w:tr>
      <w:tr w:rsidR="00A82F4D" w:rsidRPr="00B64DD1" w14:paraId="7A48DA36" w14:textId="77777777" w:rsidTr="00EA17FD">
        <w:trPr>
          <w:jc w:val="center"/>
        </w:trPr>
        <w:tc>
          <w:tcPr>
            <w:tcW w:w="4876" w:type="dxa"/>
            <w:tcBorders>
              <w:top w:val="nil"/>
              <w:left w:val="nil"/>
              <w:bottom w:val="nil"/>
              <w:right w:val="nil"/>
            </w:tcBorders>
          </w:tcPr>
          <w:p w14:paraId="4FD392AB" w14:textId="77777777" w:rsidR="00A82F4D" w:rsidRPr="00B64DD1" w:rsidRDefault="00A82F4D" w:rsidP="00EA17FD">
            <w:pPr>
              <w:pStyle w:val="Normal6a"/>
            </w:pPr>
            <w:r w:rsidRPr="00B64DD1">
              <w:lastRenderedPageBreak/>
              <w:t>17.</w:t>
            </w:r>
            <w:r w:rsidRPr="00B64DD1">
              <w:tab/>
              <w:t>przypomina, że kluczowe znaczenie ma dalsze wzmacnianie naszego wsparcia na rzecz praw człowieka, demokracji i rozwoju w państwach trzecich za pośrednictwem ISWMR – „Globalny wymiar Europy”; podkreśla, że utrzymanie odrębnego finansowania na rzecz praw człowieka i demokracji, a także podejścia opartego na prawach człowieka oraz uwzględnianie praw człowieka w głównym nurcie wsparcia i partnerstw z państwami trzecimi, może służyć wzmocnieniu pozycji Unii na świecie i wsparciu wartości Unii; podkreśla, że biorąc pod uwagę obecną sytuację charakteryzującą się szybkim postępem technologicznym i konkurencją geopolityczną, należy jeszcze bardziej zwiększyć zasoby na unijną dyplomację cyfrową; nalega na wzmocnienie „zielonej dyplomacji” i zielonej transformacji, jako jednego z priorytetów Unii, względem państw trzecich za pośrednictwem działań zewnętrznych Unii;</w:t>
            </w:r>
          </w:p>
        </w:tc>
        <w:tc>
          <w:tcPr>
            <w:tcW w:w="4876" w:type="dxa"/>
            <w:tcBorders>
              <w:top w:val="nil"/>
              <w:left w:val="nil"/>
              <w:bottom w:val="nil"/>
              <w:right w:val="nil"/>
            </w:tcBorders>
          </w:tcPr>
          <w:p w14:paraId="02AE7846" w14:textId="77777777" w:rsidR="00A82F4D" w:rsidRPr="00B64DD1" w:rsidRDefault="00A82F4D" w:rsidP="00EA17FD">
            <w:pPr>
              <w:pStyle w:val="Normal6a"/>
            </w:pPr>
            <w:r w:rsidRPr="00B64DD1">
              <w:t>17.</w:t>
            </w:r>
            <w:r w:rsidRPr="00B64DD1">
              <w:tab/>
              <w:t xml:space="preserve">przypomina, że kluczowe znaczenie ma dalsze wzmacnianie naszego wsparcia na rzecz praw człowieka, demokracji i rozwoju w państwach trzecich za pośrednictwem ISWMR – „Globalny wymiar Europy”; podkreśla, że utrzymanie odrębnego finansowania na rzecz praw człowieka i demokracji, a także podejścia opartego na prawach człowieka oraz uwzględnianie praw człowieka w głównym nurcie wsparcia i partnerstw z państwami trzecimi, może służyć wzmocnieniu pozycji Unii na świecie i wsparciu wartości Unii; podkreśla, że biorąc pod uwagę obecną sytuację charakteryzującą się szybkim postępem technologicznym i konkurencją geopolityczną, należy jeszcze bardziej zwiększyć zasoby na unijną dyplomację cyfrową; nalega na wzmocnienie „zielonej dyplomacji” i zielonej transformacji, jako jednego z priorytetów Unii, względem państw trzecich za pośrednictwem działań zewnętrznych Unii; </w:t>
            </w:r>
            <w:r w:rsidRPr="00B64DD1">
              <w:rPr>
                <w:b/>
                <w:i/>
              </w:rPr>
              <w:t>nalega, aby wspierać zieloną dyplomację i zieloną transformację odpowiednimi zasobami finansowymi i ludzkimi w ESDZ i delegaturach Unii oraz konsekwentnie włączać je do dialogów politycznych, partnerstw i wydatków zewnętrznych, w tym w państwach trzecich;</w:t>
            </w:r>
          </w:p>
        </w:tc>
      </w:tr>
    </w:tbl>
    <w:p w14:paraId="57E84014"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03EF36C8" w14:textId="77777777" w:rsidR="00A82F4D" w:rsidRPr="00B64DD1" w:rsidRDefault="00A82F4D" w:rsidP="00A82F4D">
      <w:r w:rsidRPr="00B64DD1">
        <w:rPr>
          <w:rStyle w:val="HideTWBExt"/>
        </w:rPr>
        <w:t>&lt;/Amend&gt;</w:t>
      </w:r>
    </w:p>
    <w:p w14:paraId="518E11EC"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40</w:t>
      </w:r>
      <w:r w:rsidRPr="00B64DD1">
        <w:rPr>
          <w:rStyle w:val="HideTWBExt"/>
          <w:b w:val="0"/>
        </w:rPr>
        <w:t>&lt;/NumAm&gt;</w:t>
      </w:r>
    </w:p>
    <w:p w14:paraId="525265EC" w14:textId="77777777" w:rsidR="00A82F4D" w:rsidRPr="00B64DD1" w:rsidRDefault="00A82F4D" w:rsidP="00A82F4D">
      <w:pPr>
        <w:pStyle w:val="NormalBold"/>
      </w:pPr>
      <w:r w:rsidRPr="00B64DD1">
        <w:rPr>
          <w:rStyle w:val="HideTWBExt"/>
          <w:b w:val="0"/>
        </w:rPr>
        <w:t>&lt;RepeatBlock-By&gt;&lt;Members&gt;</w:t>
      </w:r>
      <w:proofErr w:type="spellStart"/>
      <w:r w:rsidRPr="00B64DD1">
        <w:t>Vlad</w:t>
      </w:r>
      <w:proofErr w:type="spellEnd"/>
      <w:r w:rsidRPr="00B64DD1">
        <w:t xml:space="preserve"> </w:t>
      </w:r>
      <w:proofErr w:type="spellStart"/>
      <w:r w:rsidRPr="00B64DD1">
        <w:t>Vasile-Voiculescu</w:t>
      </w:r>
      <w:proofErr w:type="spellEnd"/>
      <w:r w:rsidRPr="00B64DD1">
        <w:t xml:space="preserve">, Olivier </w:t>
      </w:r>
      <w:proofErr w:type="spellStart"/>
      <w:r w:rsidRPr="00B64DD1">
        <w:t>Chastel</w:t>
      </w:r>
      <w:proofErr w:type="spellEnd"/>
      <w:r w:rsidRPr="00B64DD1">
        <w:t xml:space="preserve">, </w:t>
      </w:r>
      <w:proofErr w:type="spellStart"/>
      <w:r w:rsidRPr="00B64DD1">
        <w:t>Gerben</w:t>
      </w:r>
      <w:proofErr w:type="spellEnd"/>
      <w:r w:rsidRPr="00B64DD1">
        <w:t xml:space="preserve">-Jan </w:t>
      </w:r>
      <w:proofErr w:type="spellStart"/>
      <w:r w:rsidRPr="00B64DD1">
        <w:t>Gerbrandy</w:t>
      </w:r>
      <w:proofErr w:type="spellEnd"/>
      <w:r w:rsidRPr="00B64DD1">
        <w:t xml:space="preserve">, </w:t>
      </w:r>
      <w:proofErr w:type="spellStart"/>
      <w:r w:rsidRPr="00B64DD1">
        <w:t>Gilles</w:t>
      </w:r>
      <w:proofErr w:type="spellEnd"/>
      <w:r w:rsidRPr="00B64DD1">
        <w:t xml:space="preserve"> </w:t>
      </w:r>
      <w:proofErr w:type="spellStart"/>
      <w:r w:rsidRPr="00B64DD1">
        <w:t>Boyer</w:t>
      </w:r>
      <w:proofErr w:type="spellEnd"/>
      <w:r w:rsidRPr="00B64DD1">
        <w:t xml:space="preserve">, Michal </w:t>
      </w:r>
      <w:proofErr w:type="spellStart"/>
      <w:r w:rsidRPr="00B64DD1">
        <w:t>Wiezik</w:t>
      </w:r>
      <w:proofErr w:type="spellEnd"/>
      <w:r w:rsidRPr="00B64DD1">
        <w:rPr>
          <w:rStyle w:val="HideTWBExt"/>
          <w:b w:val="0"/>
        </w:rPr>
        <w:t>&lt;/Members&gt;</w:t>
      </w:r>
    </w:p>
    <w:p w14:paraId="3E1CEABF" w14:textId="77777777" w:rsidR="00A82F4D" w:rsidRPr="00B64DD1" w:rsidRDefault="00A82F4D" w:rsidP="00A82F4D">
      <w:pPr>
        <w:pStyle w:val="NormalBold"/>
      </w:pPr>
      <w:r w:rsidRPr="00B64DD1">
        <w:rPr>
          <w:rStyle w:val="HideTWBExt"/>
          <w:b w:val="0"/>
        </w:rPr>
        <w:t>&lt;/RepeatBlock-By&gt;</w:t>
      </w:r>
    </w:p>
    <w:p w14:paraId="76667D52"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54E2AE1F" w14:textId="77777777" w:rsidR="00A82F4D" w:rsidRPr="00B64DD1" w:rsidRDefault="00A82F4D" w:rsidP="00A82F4D">
      <w:pPr>
        <w:pStyle w:val="NormalBold"/>
      </w:pPr>
      <w:r w:rsidRPr="00B64DD1">
        <w:rPr>
          <w:rStyle w:val="HideTWBExt"/>
          <w:b w:val="0"/>
        </w:rPr>
        <w:t>&lt;Article&gt;</w:t>
      </w:r>
      <w:r w:rsidRPr="00B64DD1">
        <w:t>Ustęp 17</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5B9F7927" w14:textId="77777777" w:rsidTr="00EA17FD">
        <w:trPr>
          <w:trHeight w:hRule="exact" w:val="240"/>
          <w:jc w:val="center"/>
        </w:trPr>
        <w:tc>
          <w:tcPr>
            <w:tcW w:w="9752" w:type="dxa"/>
            <w:gridSpan w:val="2"/>
            <w:tcBorders>
              <w:top w:val="nil"/>
              <w:left w:val="nil"/>
              <w:bottom w:val="nil"/>
              <w:right w:val="nil"/>
            </w:tcBorders>
          </w:tcPr>
          <w:p w14:paraId="173EB481" w14:textId="77777777" w:rsidR="00A82F4D" w:rsidRPr="00B64DD1" w:rsidRDefault="00A82F4D" w:rsidP="00EA17FD"/>
        </w:tc>
      </w:tr>
      <w:tr w:rsidR="00A82F4D" w:rsidRPr="00B64DD1" w14:paraId="409CE3F9" w14:textId="77777777" w:rsidTr="00EA17FD">
        <w:trPr>
          <w:trHeight w:val="240"/>
          <w:jc w:val="center"/>
        </w:trPr>
        <w:tc>
          <w:tcPr>
            <w:tcW w:w="4876" w:type="dxa"/>
            <w:tcBorders>
              <w:top w:val="nil"/>
              <w:left w:val="nil"/>
              <w:bottom w:val="nil"/>
              <w:right w:val="nil"/>
            </w:tcBorders>
          </w:tcPr>
          <w:p w14:paraId="0FF7A12A"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29EE937D" w14:textId="77777777" w:rsidR="00A82F4D" w:rsidRPr="00B64DD1" w:rsidRDefault="00A82F4D" w:rsidP="00EA17FD">
            <w:pPr>
              <w:pStyle w:val="AmColumnHeading"/>
            </w:pPr>
            <w:r w:rsidRPr="00B64DD1">
              <w:t>Poprawka</w:t>
            </w:r>
          </w:p>
        </w:tc>
      </w:tr>
      <w:tr w:rsidR="00A82F4D" w:rsidRPr="00B64DD1" w14:paraId="7A7AA727" w14:textId="77777777" w:rsidTr="00EA17FD">
        <w:trPr>
          <w:jc w:val="center"/>
        </w:trPr>
        <w:tc>
          <w:tcPr>
            <w:tcW w:w="4876" w:type="dxa"/>
            <w:tcBorders>
              <w:top w:val="nil"/>
              <w:left w:val="nil"/>
              <w:bottom w:val="nil"/>
              <w:right w:val="nil"/>
            </w:tcBorders>
          </w:tcPr>
          <w:p w14:paraId="5DE29ED2" w14:textId="77777777" w:rsidR="00A82F4D" w:rsidRPr="00B64DD1" w:rsidRDefault="00A82F4D" w:rsidP="00EA17FD">
            <w:pPr>
              <w:pStyle w:val="Normal6a"/>
            </w:pPr>
            <w:r w:rsidRPr="00B64DD1">
              <w:t>17.</w:t>
            </w:r>
            <w:r w:rsidRPr="00B64DD1">
              <w:tab/>
              <w:t xml:space="preserve">przypomina, że kluczowe znaczenie ma dalsze wzmacnianie naszego wsparcia na rzecz praw człowieka, demokracji i rozwoju w państwach trzecich za </w:t>
            </w:r>
            <w:r w:rsidRPr="00B64DD1">
              <w:lastRenderedPageBreak/>
              <w:t>pośrednictwem ISWMR – „Globalny wymiar Europy”; podkreśla, że utrzymanie odrębnego finansowania na rzecz praw człowieka i demokracji, a także podejścia opartego na prawach człowieka oraz uwzględnianie praw człowieka w głównym nurcie wsparcia i partnerstw z państwami trzecimi, może służyć wzmocnieniu pozycji Unii na świecie i wsparciu wartości Unii; podkreśla, że biorąc pod uwagę obecną sytuację charakteryzującą się szybkim postępem technologicznym i konkurencją geopolityczną, należy jeszcze bardziej zwiększyć zasoby na unijną dyplomację cyfrową; nalega na wzmocnienie „zielonej dyplomacji” i zielonej transformacji, jako jednego z priorytetów Unii, względem państw trzecich za pośrednictwem działań zewnętrznych Unii;</w:t>
            </w:r>
          </w:p>
        </w:tc>
        <w:tc>
          <w:tcPr>
            <w:tcW w:w="4876" w:type="dxa"/>
            <w:tcBorders>
              <w:top w:val="nil"/>
              <w:left w:val="nil"/>
              <w:bottom w:val="nil"/>
              <w:right w:val="nil"/>
            </w:tcBorders>
          </w:tcPr>
          <w:p w14:paraId="59F3D68C" w14:textId="77777777" w:rsidR="00A82F4D" w:rsidRPr="00B64DD1" w:rsidRDefault="00A82F4D" w:rsidP="00EA17FD">
            <w:pPr>
              <w:pStyle w:val="Normal6a"/>
            </w:pPr>
            <w:r w:rsidRPr="00B64DD1">
              <w:lastRenderedPageBreak/>
              <w:t>17.</w:t>
            </w:r>
            <w:r w:rsidRPr="00B64DD1">
              <w:tab/>
              <w:t xml:space="preserve">przypomina, że kluczowe znaczenie ma dalsze wzmacnianie naszego wsparcia na rzecz praw człowieka, demokracji i rozwoju w państwach trzecich za </w:t>
            </w:r>
            <w:r w:rsidRPr="00B64DD1">
              <w:lastRenderedPageBreak/>
              <w:t xml:space="preserve">pośrednictwem ISWMR – „Globalny wymiar Europy”; podkreśla, że utrzymanie odrębnego finansowania na rzecz praw człowieka i demokracji, a także podejścia opartego na prawach człowieka oraz uwzględnianie praw człowieka w głównym nurcie wsparcia i partnerstw z państwami trzecimi, może służyć wzmocnieniu pozycji Unii na świecie i wsparciu wartości Unii; </w:t>
            </w:r>
            <w:r w:rsidRPr="00B64DD1">
              <w:rPr>
                <w:b/>
                <w:i/>
              </w:rPr>
              <w:t>apeluje do ESDZ o systematyczne przeprowadzanie ocen ryzyka dotyczących ograniczeń przestrzeni obywatelskiej w krajach partnerskich i państwach trzecich i dopilnowanie, aby finansowanie docierało do niezależnych podmiotów społeczeństwa obywatelskiego;</w:t>
            </w:r>
            <w:r w:rsidRPr="00B64DD1">
              <w:t xml:space="preserve"> podkreśla, że biorąc pod uwagę obecną sytuację charakteryzującą się szybkim postępem technologicznym i konkurencją geopolityczną, należy jeszcze bardziej zwiększyć zasoby na unijną dyplomację cyfrową; nalega na wzmocnienie „zielonej dyplomacji” i zielonej transformacji, jako jednego z priorytetów Unii, względem państw trzecich za pośrednictwem działań zewnętrznych Unii;</w:t>
            </w:r>
          </w:p>
        </w:tc>
      </w:tr>
    </w:tbl>
    <w:p w14:paraId="4E6B6B65"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0A03CEA5" w14:textId="77777777" w:rsidR="00A82F4D" w:rsidRPr="00B64DD1" w:rsidRDefault="00A82F4D" w:rsidP="00A82F4D">
      <w:r w:rsidRPr="00B64DD1">
        <w:rPr>
          <w:rStyle w:val="HideTWBExt"/>
        </w:rPr>
        <w:t>&lt;/Amend&gt;</w:t>
      </w:r>
    </w:p>
    <w:p w14:paraId="27F70830"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41</w:t>
      </w:r>
      <w:r w:rsidRPr="00B64DD1">
        <w:rPr>
          <w:rStyle w:val="HideTWBExt"/>
          <w:b w:val="0"/>
        </w:rPr>
        <w:t>&lt;/NumAm&gt;</w:t>
      </w:r>
    </w:p>
    <w:p w14:paraId="4B01D142" w14:textId="77777777" w:rsidR="00A82F4D" w:rsidRPr="00B64DD1" w:rsidRDefault="00A82F4D" w:rsidP="00A82F4D">
      <w:pPr>
        <w:pStyle w:val="NormalBold"/>
      </w:pPr>
      <w:r w:rsidRPr="00B64DD1">
        <w:rPr>
          <w:rStyle w:val="HideTWBExt"/>
          <w:b w:val="0"/>
        </w:rPr>
        <w:t>&lt;RepeatBlock-By&gt;&lt;Members&gt;</w:t>
      </w:r>
      <w:r w:rsidRPr="00B64DD1">
        <w:t xml:space="preserve">Bert-Jan </w:t>
      </w:r>
      <w:proofErr w:type="spellStart"/>
      <w:r w:rsidRPr="00B64DD1">
        <w:t>Ruissen</w:t>
      </w:r>
      <w:proofErr w:type="spellEnd"/>
      <w:r w:rsidRPr="00B64DD1">
        <w:rPr>
          <w:rStyle w:val="HideTWBExt"/>
          <w:b w:val="0"/>
        </w:rPr>
        <w:t>&lt;/Members&gt;</w:t>
      </w:r>
    </w:p>
    <w:p w14:paraId="1FC5B72E" w14:textId="77777777" w:rsidR="00A82F4D" w:rsidRPr="00B64DD1" w:rsidRDefault="00A82F4D" w:rsidP="00A82F4D">
      <w:pPr>
        <w:pStyle w:val="NormalBold"/>
      </w:pPr>
      <w:r w:rsidRPr="00B64DD1">
        <w:rPr>
          <w:rStyle w:val="HideTWBExt"/>
          <w:b w:val="0"/>
        </w:rPr>
        <w:t>&lt;/RepeatBlock-By&gt;</w:t>
      </w:r>
    </w:p>
    <w:p w14:paraId="7F113041"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517537EE" w14:textId="77777777" w:rsidR="00A82F4D" w:rsidRPr="00B64DD1" w:rsidRDefault="00A82F4D" w:rsidP="00A82F4D">
      <w:pPr>
        <w:pStyle w:val="NormalBold"/>
      </w:pPr>
      <w:r w:rsidRPr="00B64DD1">
        <w:rPr>
          <w:rStyle w:val="HideTWBExt"/>
          <w:b w:val="0"/>
        </w:rPr>
        <w:t>&lt;Article&gt;</w:t>
      </w:r>
      <w:r w:rsidRPr="00B64DD1">
        <w:t>Ustęp 18</w:t>
      </w:r>
      <w:r w:rsidRPr="00B64DD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38BF69F4" w14:textId="77777777" w:rsidTr="00EA17FD">
        <w:trPr>
          <w:trHeight w:hRule="exact" w:val="240"/>
          <w:jc w:val="center"/>
        </w:trPr>
        <w:tc>
          <w:tcPr>
            <w:tcW w:w="9752" w:type="dxa"/>
            <w:gridSpan w:val="2"/>
            <w:tcBorders>
              <w:top w:val="nil"/>
              <w:left w:val="nil"/>
              <w:bottom w:val="nil"/>
              <w:right w:val="nil"/>
            </w:tcBorders>
          </w:tcPr>
          <w:p w14:paraId="18EF8B4B" w14:textId="77777777" w:rsidR="00A82F4D" w:rsidRPr="00B64DD1" w:rsidRDefault="00A82F4D" w:rsidP="00EA17FD"/>
        </w:tc>
      </w:tr>
      <w:tr w:rsidR="00A82F4D" w:rsidRPr="00B64DD1" w14:paraId="44B9D29A" w14:textId="77777777" w:rsidTr="00EA17FD">
        <w:trPr>
          <w:trHeight w:val="240"/>
          <w:jc w:val="center"/>
        </w:trPr>
        <w:tc>
          <w:tcPr>
            <w:tcW w:w="4876" w:type="dxa"/>
            <w:tcBorders>
              <w:top w:val="nil"/>
              <w:left w:val="nil"/>
              <w:bottom w:val="nil"/>
              <w:right w:val="nil"/>
            </w:tcBorders>
          </w:tcPr>
          <w:p w14:paraId="225087D7"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0678008D" w14:textId="77777777" w:rsidR="00A82F4D" w:rsidRPr="00B64DD1" w:rsidRDefault="00A82F4D" w:rsidP="00EA17FD">
            <w:pPr>
              <w:pStyle w:val="AmColumnHeading"/>
            </w:pPr>
            <w:r w:rsidRPr="00B64DD1">
              <w:t>Poprawka</w:t>
            </w:r>
          </w:p>
        </w:tc>
      </w:tr>
      <w:tr w:rsidR="00A82F4D" w:rsidRPr="00B64DD1" w14:paraId="332A756B" w14:textId="77777777" w:rsidTr="00EA17FD">
        <w:trPr>
          <w:jc w:val="center"/>
        </w:trPr>
        <w:tc>
          <w:tcPr>
            <w:tcW w:w="4876" w:type="dxa"/>
            <w:tcBorders>
              <w:top w:val="nil"/>
              <w:left w:val="nil"/>
              <w:bottom w:val="nil"/>
              <w:right w:val="nil"/>
            </w:tcBorders>
          </w:tcPr>
          <w:p w14:paraId="27D12C52" w14:textId="77777777" w:rsidR="00A82F4D" w:rsidRPr="00B64DD1" w:rsidRDefault="00A82F4D" w:rsidP="00EA17FD">
            <w:pPr>
              <w:pStyle w:val="Normal6a"/>
            </w:pPr>
            <w:r w:rsidRPr="00B64DD1">
              <w:t>18.</w:t>
            </w:r>
            <w:r w:rsidRPr="00B64DD1">
              <w:tab/>
              <w:t xml:space="preserve">na podstawie sprawozdania uzupełniającego z zadowoleniem zauważa kluczową rolę ESDZ i jej działania na rzecz promowania pokoju i stabilności na Bliskim Wschodzie, w tym przez wezwanie do zapewnienia nieograniczonego dostępu do pomocy humanitarnej i jej stałej dystrybucji na dużą skalę, zgodnie z międzynarodowymi zasadami humanitarnymi; </w:t>
            </w:r>
            <w:r w:rsidRPr="00B64DD1">
              <w:rPr>
                <w:b/>
                <w:i/>
              </w:rPr>
              <w:t xml:space="preserve">z zadowoleniem </w:t>
            </w:r>
            <w:r w:rsidRPr="00B64DD1">
              <w:rPr>
                <w:b/>
                <w:i/>
              </w:rPr>
              <w:lastRenderedPageBreak/>
              <w:t>przyjmuje w tym kontekście stanowisko wiceprzewodniczącej / wysokiej przedstawicielki przedstawione podczas wysłuchania, zgodnie z którym – jako zasada podstawowa – podmiot, który spowodował szkody, powinien również za nie zapłacić;</w:t>
            </w:r>
            <w:r w:rsidRPr="00B64DD1">
              <w:t xml:space="preserve"> </w:t>
            </w:r>
            <w:r w:rsidRPr="00B64DD1">
              <w:rPr>
                <w:b/>
                <w:i/>
              </w:rPr>
              <w:t>zauważa, że oszacowanie szkód nie jest możliwe, dopóki nie będzie można uzyskać dostępu do Strefy Gazy;</w:t>
            </w:r>
          </w:p>
        </w:tc>
        <w:tc>
          <w:tcPr>
            <w:tcW w:w="4876" w:type="dxa"/>
            <w:tcBorders>
              <w:top w:val="nil"/>
              <w:left w:val="nil"/>
              <w:bottom w:val="nil"/>
              <w:right w:val="nil"/>
            </w:tcBorders>
          </w:tcPr>
          <w:p w14:paraId="1E9E1F7B" w14:textId="77777777" w:rsidR="00A82F4D" w:rsidRPr="00B64DD1" w:rsidRDefault="00A82F4D" w:rsidP="00EA17FD">
            <w:pPr>
              <w:pStyle w:val="Normal6a"/>
            </w:pPr>
            <w:r w:rsidRPr="00B64DD1">
              <w:lastRenderedPageBreak/>
              <w:t>18.</w:t>
            </w:r>
            <w:r w:rsidRPr="00B64DD1">
              <w:tab/>
              <w:t xml:space="preserve">na podstawie sprawozdania uzupełniającego z zadowoleniem zauważa kluczową rolę ESDZ i jej działania na rzecz promowania pokoju i stabilności na Bliskim Wschodzie, w tym przez wezwanie do zapewnienia nieograniczonego dostępu do pomocy humanitarnej i jej stałej dystrybucji na </w:t>
            </w:r>
            <w:r w:rsidRPr="00B64DD1">
              <w:lastRenderedPageBreak/>
              <w:t>dużą skalę, zgodnie z międzynarodowymi zasadami humanitarnymi;</w:t>
            </w:r>
          </w:p>
        </w:tc>
      </w:tr>
    </w:tbl>
    <w:p w14:paraId="7EE76B80"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{NL}</w:t>
      </w:r>
      <w:proofErr w:type="spellStart"/>
      <w:r w:rsidRPr="00B64DD1">
        <w:t>nl</w:t>
      </w:r>
      <w:proofErr w:type="spellEnd"/>
      <w:r w:rsidRPr="00B64DD1">
        <w:rPr>
          <w:rStyle w:val="HideTWBExt"/>
        </w:rPr>
        <w:t>&lt;/Original&gt;</w:t>
      </w:r>
    </w:p>
    <w:p w14:paraId="0F140158" w14:textId="77777777" w:rsidR="00A82F4D" w:rsidRPr="00B64DD1" w:rsidRDefault="00A82F4D" w:rsidP="00A82F4D">
      <w:r w:rsidRPr="00B64DD1">
        <w:rPr>
          <w:rStyle w:val="HideTWBExt"/>
        </w:rPr>
        <w:t>&lt;/Amend&gt;</w:t>
      </w:r>
    </w:p>
    <w:p w14:paraId="69FBDF13"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42</w:t>
      </w:r>
      <w:r w:rsidRPr="00B64DD1">
        <w:rPr>
          <w:rStyle w:val="HideTWBExt"/>
          <w:b w:val="0"/>
        </w:rPr>
        <w:t>&lt;/NumAm&gt;</w:t>
      </w:r>
    </w:p>
    <w:p w14:paraId="7EA9D5CF" w14:textId="77777777" w:rsidR="00A82F4D" w:rsidRPr="00B64DD1" w:rsidRDefault="00A82F4D" w:rsidP="00A82F4D">
      <w:pPr>
        <w:pStyle w:val="NormalBold"/>
      </w:pPr>
      <w:r w:rsidRPr="00B64DD1">
        <w:rPr>
          <w:rStyle w:val="HideTWBExt"/>
          <w:b w:val="0"/>
        </w:rPr>
        <w:t>&lt;RepeatBlock-By&gt;&lt;Members&gt;</w:t>
      </w:r>
      <w:proofErr w:type="spellStart"/>
      <w:r w:rsidRPr="00B64DD1">
        <w:t>Pasquale</w:t>
      </w:r>
      <w:proofErr w:type="spellEnd"/>
      <w:r w:rsidRPr="00B64DD1">
        <w:t xml:space="preserve"> </w:t>
      </w:r>
      <w:proofErr w:type="spellStart"/>
      <w:r w:rsidRPr="00B64DD1">
        <w:t>Tridico</w:t>
      </w:r>
      <w:proofErr w:type="spellEnd"/>
      <w:r w:rsidRPr="00B64DD1">
        <w:rPr>
          <w:rStyle w:val="HideTWBExt"/>
          <w:b w:val="0"/>
        </w:rPr>
        <w:t>&lt;/Members&gt;</w:t>
      </w:r>
    </w:p>
    <w:p w14:paraId="547C5458" w14:textId="77777777" w:rsidR="00A82F4D" w:rsidRPr="00B64DD1" w:rsidRDefault="00A82F4D" w:rsidP="00A82F4D">
      <w:pPr>
        <w:pStyle w:val="NormalBold"/>
      </w:pPr>
      <w:r w:rsidRPr="00B64DD1">
        <w:rPr>
          <w:rStyle w:val="HideTWBExt"/>
          <w:b w:val="0"/>
        </w:rPr>
        <w:t>&lt;/RepeatBlock-By&gt;</w:t>
      </w:r>
    </w:p>
    <w:p w14:paraId="40BC8E68"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1CB00ED7" w14:textId="77777777" w:rsidR="00A82F4D" w:rsidRPr="00B64DD1" w:rsidRDefault="00A82F4D" w:rsidP="00A82F4D">
      <w:pPr>
        <w:pStyle w:val="NormalBold"/>
      </w:pPr>
      <w:r w:rsidRPr="00B64DD1">
        <w:rPr>
          <w:rStyle w:val="HideTWBExt"/>
          <w:b w:val="0"/>
        </w:rPr>
        <w:t>&lt;Article&gt;</w:t>
      </w:r>
      <w:r w:rsidRPr="00B64DD1">
        <w:t>Ustęp 18</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18A53A45" w14:textId="77777777" w:rsidTr="00EA17FD">
        <w:trPr>
          <w:trHeight w:hRule="exact" w:val="240"/>
          <w:jc w:val="center"/>
        </w:trPr>
        <w:tc>
          <w:tcPr>
            <w:tcW w:w="9752" w:type="dxa"/>
            <w:gridSpan w:val="2"/>
            <w:tcBorders>
              <w:top w:val="nil"/>
              <w:left w:val="nil"/>
              <w:bottom w:val="nil"/>
              <w:right w:val="nil"/>
            </w:tcBorders>
          </w:tcPr>
          <w:p w14:paraId="29360687" w14:textId="77777777" w:rsidR="00A82F4D" w:rsidRPr="00B64DD1" w:rsidRDefault="00A82F4D" w:rsidP="00EA17FD"/>
        </w:tc>
      </w:tr>
      <w:tr w:rsidR="00A82F4D" w:rsidRPr="00B64DD1" w14:paraId="2AA612B3" w14:textId="77777777" w:rsidTr="00EA17FD">
        <w:trPr>
          <w:trHeight w:val="240"/>
          <w:jc w:val="center"/>
        </w:trPr>
        <w:tc>
          <w:tcPr>
            <w:tcW w:w="4876" w:type="dxa"/>
            <w:tcBorders>
              <w:top w:val="nil"/>
              <w:left w:val="nil"/>
              <w:bottom w:val="nil"/>
              <w:right w:val="nil"/>
            </w:tcBorders>
          </w:tcPr>
          <w:p w14:paraId="15B918A6"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78F358E4" w14:textId="77777777" w:rsidR="00A82F4D" w:rsidRPr="00B64DD1" w:rsidRDefault="00A82F4D" w:rsidP="00EA17FD">
            <w:pPr>
              <w:pStyle w:val="AmColumnHeading"/>
            </w:pPr>
            <w:r w:rsidRPr="00B64DD1">
              <w:t>Poprawka</w:t>
            </w:r>
          </w:p>
        </w:tc>
      </w:tr>
      <w:tr w:rsidR="00A82F4D" w:rsidRPr="00B64DD1" w14:paraId="55AC4871" w14:textId="77777777" w:rsidTr="00EA17FD">
        <w:trPr>
          <w:jc w:val="center"/>
        </w:trPr>
        <w:tc>
          <w:tcPr>
            <w:tcW w:w="4876" w:type="dxa"/>
            <w:tcBorders>
              <w:top w:val="nil"/>
              <w:left w:val="nil"/>
              <w:bottom w:val="nil"/>
              <w:right w:val="nil"/>
            </w:tcBorders>
          </w:tcPr>
          <w:p w14:paraId="402817D9" w14:textId="77777777" w:rsidR="00A82F4D" w:rsidRPr="00B64DD1" w:rsidRDefault="00A82F4D" w:rsidP="00EA17FD">
            <w:pPr>
              <w:pStyle w:val="Normal6a"/>
            </w:pPr>
            <w:r w:rsidRPr="00B64DD1">
              <w:t>18.</w:t>
            </w:r>
            <w:r w:rsidRPr="00B64DD1">
              <w:tab/>
              <w:t>na podstawie sprawozdania uzupełniającego z zadowoleniem zauważa kluczową rolę ESDZ i jej działania na rzecz promowania pokoju i stabilności na Bliskim Wschodzie, w tym przez wezwanie do zapewnienia nieograniczonego dostępu do pomocy humanitarnej i jej stałej dystrybucji na dużą skalę, zgodnie z międzynarodowymi zasadami humanitarnymi; z zadowoleniem przyjmuje w tym kontekście stanowisko wiceprzewodniczącej / wysokiej przedstawicielki przedstawione podczas wysłuchania, zgodnie z którym – jako zasada podstawowa – podmiot, który spowodował szkody, powinien również za nie zapłacić; zauważa, że oszacowanie szkód nie jest możliwe, dopóki nie będzie można uzyskać dostępu do Strefy Gazy;</w:t>
            </w:r>
          </w:p>
        </w:tc>
        <w:tc>
          <w:tcPr>
            <w:tcW w:w="4876" w:type="dxa"/>
            <w:tcBorders>
              <w:top w:val="nil"/>
              <w:left w:val="nil"/>
              <w:bottom w:val="nil"/>
              <w:right w:val="nil"/>
            </w:tcBorders>
          </w:tcPr>
          <w:p w14:paraId="5D27A9DC" w14:textId="77777777" w:rsidR="00A82F4D" w:rsidRPr="00B64DD1" w:rsidRDefault="00A82F4D" w:rsidP="00EA17FD">
            <w:pPr>
              <w:pStyle w:val="Normal6a"/>
            </w:pPr>
            <w:r w:rsidRPr="00B64DD1">
              <w:t>18.</w:t>
            </w:r>
            <w:r w:rsidRPr="00B64DD1">
              <w:tab/>
              <w:t xml:space="preserve">na podstawie sprawozdania uzupełniającego z zadowoleniem zauważa kluczową rolę ESDZ i jej działania na rzecz promowania pokoju i stabilności na Bliskim Wschodzie, w tym przez wezwanie do zapewnienia nieograniczonego dostępu do pomocy humanitarnej i jej stałej dystrybucji na dużą skalę, zgodnie z międzynarodowymi zasadami humanitarnymi; </w:t>
            </w:r>
            <w:r w:rsidRPr="00B64DD1">
              <w:rPr>
                <w:b/>
                <w:i/>
              </w:rPr>
              <w:t xml:space="preserve">zauważa, że od początku kryzysu w Strefie Gazy Unia wykorzystała wszystkie dostępne instrumenty humanitarne, aby złagodzić cierpienia Palestyńczyków w Strefie Gazy i na Zachodnim Brzegu, przekazując od października 2023 r. pomoc humanitarną w wysokości 450 mln EUR, w tym wstępny pakiet pomocowy w wysokości 120 mln EUR na 2025 r., oraz że w konkretnym przypadku wsparcia Unii dla Palestyny istniejące mechanizmy „są solidne i skuteczne” , a „nie ma jak dotąd dowodów, jakoby pieniądze przekazano na cele inne niż zamierzone, co potwierdziła przeprowadzona w listopadzie 2023 r. kontrola finansowa pomocy UE dla Palestyny”; zauważa ponadto, że w </w:t>
            </w:r>
            <w:r w:rsidRPr="00B64DD1">
              <w:rPr>
                <w:b/>
                <w:i/>
              </w:rPr>
              <w:lastRenderedPageBreak/>
              <w:t>kwietniu 2025 r. Komisja przyjęła kompleksowy wieloletni program dla Palestyny o wartości do 1,6 mld EUR na lata 2025–2027, mający na celu wsparcie ożywienia gospodarczego, odporności i sprawowania rządów na Zachodnim Brzegu, we Wschodniej Jerozolimie i w Strefie Gazy, z czego do 620 mln EUR stanowi bezpośrednie wsparcie finansowe dla Autonomii Palestyńskiej; zauważa, że w maju 2024 r. Komisja ogłosiła pakiet pomocy finansowej w wysokości 1 mld EUR, aby pomóc Libanowi sprostać wyzwaniom krajowym i regionalnym;</w:t>
            </w:r>
            <w:r w:rsidRPr="00B64DD1">
              <w:t xml:space="preserve"> z zadowoleniem przyjmuje w tym kontekście stanowisko wiceprzewodniczącej / wysokiej przedstawicielki przedstawione podczas wysłuchania, zgodnie z którym – jako zasada podstawowa – podmiot, który spowodował szkody, powinien również za nie zapłacić; zauważa, że oszacowanie szkód nie jest możliwe, dopóki nie będzie można uzyskać dostępu do Strefy Gazy;</w:t>
            </w:r>
          </w:p>
        </w:tc>
      </w:tr>
    </w:tbl>
    <w:p w14:paraId="4D6409FE"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11E0212E" w14:textId="77777777" w:rsidR="00A82F4D" w:rsidRPr="00B64DD1" w:rsidRDefault="00A82F4D" w:rsidP="00A82F4D">
      <w:r w:rsidRPr="00B64DD1">
        <w:rPr>
          <w:rStyle w:val="HideTWBExt"/>
        </w:rPr>
        <w:t>&lt;/Amend&gt;</w:t>
      </w:r>
    </w:p>
    <w:p w14:paraId="0C4FB520"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43</w:t>
      </w:r>
      <w:r w:rsidRPr="00B64DD1">
        <w:rPr>
          <w:rStyle w:val="HideTWBExt"/>
          <w:b w:val="0"/>
        </w:rPr>
        <w:t>&lt;/NumAm&gt;</w:t>
      </w:r>
    </w:p>
    <w:p w14:paraId="68E4559A" w14:textId="77777777" w:rsidR="00A82F4D" w:rsidRPr="00B64DD1" w:rsidRDefault="00A82F4D" w:rsidP="00A82F4D">
      <w:pPr>
        <w:pStyle w:val="NormalBold"/>
      </w:pPr>
      <w:r w:rsidRPr="00B64DD1">
        <w:rPr>
          <w:rStyle w:val="HideTWBExt"/>
          <w:b w:val="0"/>
        </w:rPr>
        <w:t>&lt;RepeatBlock-By&gt;&lt;Members&gt;</w:t>
      </w:r>
      <w:proofErr w:type="spellStart"/>
      <w:r w:rsidRPr="00B64DD1">
        <w:t>Vlad</w:t>
      </w:r>
      <w:proofErr w:type="spellEnd"/>
      <w:r w:rsidRPr="00B64DD1">
        <w:t xml:space="preserve"> </w:t>
      </w:r>
      <w:proofErr w:type="spellStart"/>
      <w:r w:rsidRPr="00B64DD1">
        <w:t>Vasile-Voiculescu</w:t>
      </w:r>
      <w:proofErr w:type="spellEnd"/>
      <w:r w:rsidRPr="00B64DD1">
        <w:t xml:space="preserve">, Olivier </w:t>
      </w:r>
      <w:proofErr w:type="spellStart"/>
      <w:r w:rsidRPr="00B64DD1">
        <w:t>Chastel</w:t>
      </w:r>
      <w:proofErr w:type="spellEnd"/>
      <w:r w:rsidRPr="00B64DD1">
        <w:t xml:space="preserve">, </w:t>
      </w:r>
      <w:proofErr w:type="spellStart"/>
      <w:r w:rsidRPr="00B64DD1">
        <w:t>Gerben</w:t>
      </w:r>
      <w:proofErr w:type="spellEnd"/>
      <w:r w:rsidRPr="00B64DD1">
        <w:t xml:space="preserve">-Jan </w:t>
      </w:r>
      <w:proofErr w:type="spellStart"/>
      <w:r w:rsidRPr="00B64DD1">
        <w:t>Gerbrandy</w:t>
      </w:r>
      <w:proofErr w:type="spellEnd"/>
      <w:r w:rsidRPr="00B64DD1">
        <w:t xml:space="preserve">, </w:t>
      </w:r>
      <w:proofErr w:type="spellStart"/>
      <w:r w:rsidRPr="00B64DD1">
        <w:t>Gilles</w:t>
      </w:r>
      <w:proofErr w:type="spellEnd"/>
      <w:r w:rsidRPr="00B64DD1">
        <w:t xml:space="preserve"> </w:t>
      </w:r>
      <w:proofErr w:type="spellStart"/>
      <w:r w:rsidRPr="00B64DD1">
        <w:t>Boyer</w:t>
      </w:r>
      <w:proofErr w:type="spellEnd"/>
      <w:r w:rsidRPr="00B64DD1">
        <w:t xml:space="preserve">, Michal </w:t>
      </w:r>
      <w:proofErr w:type="spellStart"/>
      <w:r w:rsidRPr="00B64DD1">
        <w:t>Wiezik</w:t>
      </w:r>
      <w:proofErr w:type="spellEnd"/>
      <w:r w:rsidRPr="00B64DD1">
        <w:rPr>
          <w:rStyle w:val="HideTWBExt"/>
          <w:b w:val="0"/>
        </w:rPr>
        <w:t>&lt;/Members&gt;</w:t>
      </w:r>
    </w:p>
    <w:p w14:paraId="1AB4F201" w14:textId="77777777" w:rsidR="00A82F4D" w:rsidRPr="00B64DD1" w:rsidRDefault="00A82F4D" w:rsidP="00A82F4D">
      <w:pPr>
        <w:pStyle w:val="NormalBold"/>
      </w:pPr>
      <w:r w:rsidRPr="00B64DD1">
        <w:rPr>
          <w:rStyle w:val="HideTWBExt"/>
          <w:b w:val="0"/>
        </w:rPr>
        <w:t>&lt;/RepeatBlock-By&gt;</w:t>
      </w:r>
    </w:p>
    <w:p w14:paraId="2AB4C9E9"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74B2B64D" w14:textId="77777777" w:rsidR="00A82F4D" w:rsidRPr="00B64DD1" w:rsidRDefault="00A82F4D" w:rsidP="00A82F4D">
      <w:pPr>
        <w:pStyle w:val="NormalBold"/>
      </w:pPr>
      <w:r w:rsidRPr="00B64DD1">
        <w:rPr>
          <w:rStyle w:val="HideTWBExt"/>
          <w:b w:val="0"/>
        </w:rPr>
        <w:t>&lt;Article&gt;</w:t>
      </w:r>
      <w:r w:rsidRPr="00B64DD1">
        <w:t>Ustęp 18</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6E0F675F" w14:textId="77777777" w:rsidTr="00EA17FD">
        <w:trPr>
          <w:trHeight w:hRule="exact" w:val="240"/>
          <w:jc w:val="center"/>
        </w:trPr>
        <w:tc>
          <w:tcPr>
            <w:tcW w:w="9752" w:type="dxa"/>
            <w:gridSpan w:val="2"/>
            <w:tcBorders>
              <w:top w:val="nil"/>
              <w:left w:val="nil"/>
              <w:bottom w:val="nil"/>
              <w:right w:val="nil"/>
            </w:tcBorders>
          </w:tcPr>
          <w:p w14:paraId="07088CD4" w14:textId="77777777" w:rsidR="00A82F4D" w:rsidRPr="00B64DD1" w:rsidRDefault="00A82F4D" w:rsidP="00EA17FD"/>
        </w:tc>
      </w:tr>
      <w:tr w:rsidR="00A82F4D" w:rsidRPr="00B64DD1" w14:paraId="417B04E6" w14:textId="77777777" w:rsidTr="00EA17FD">
        <w:trPr>
          <w:trHeight w:val="240"/>
          <w:jc w:val="center"/>
        </w:trPr>
        <w:tc>
          <w:tcPr>
            <w:tcW w:w="4876" w:type="dxa"/>
            <w:tcBorders>
              <w:top w:val="nil"/>
              <w:left w:val="nil"/>
              <w:bottom w:val="nil"/>
              <w:right w:val="nil"/>
            </w:tcBorders>
          </w:tcPr>
          <w:p w14:paraId="5FFD96DB"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1E912667" w14:textId="77777777" w:rsidR="00A82F4D" w:rsidRPr="00B64DD1" w:rsidRDefault="00A82F4D" w:rsidP="00EA17FD">
            <w:pPr>
              <w:pStyle w:val="AmColumnHeading"/>
            </w:pPr>
            <w:r w:rsidRPr="00B64DD1">
              <w:t>Poprawka</w:t>
            </w:r>
          </w:p>
        </w:tc>
      </w:tr>
      <w:tr w:rsidR="00A82F4D" w:rsidRPr="00B64DD1" w14:paraId="631D7E36" w14:textId="77777777" w:rsidTr="00EA17FD">
        <w:trPr>
          <w:jc w:val="center"/>
        </w:trPr>
        <w:tc>
          <w:tcPr>
            <w:tcW w:w="4876" w:type="dxa"/>
            <w:tcBorders>
              <w:top w:val="nil"/>
              <w:left w:val="nil"/>
              <w:bottom w:val="nil"/>
              <w:right w:val="nil"/>
            </w:tcBorders>
          </w:tcPr>
          <w:p w14:paraId="2777D056" w14:textId="77777777" w:rsidR="00A82F4D" w:rsidRPr="00B64DD1" w:rsidRDefault="00A82F4D" w:rsidP="00EA17FD">
            <w:pPr>
              <w:pStyle w:val="Normal6a"/>
            </w:pPr>
            <w:r w:rsidRPr="00B64DD1">
              <w:t>18.</w:t>
            </w:r>
            <w:r w:rsidRPr="00B64DD1">
              <w:tab/>
              <w:t xml:space="preserve">na podstawie sprawozdania uzupełniającego z zadowoleniem zauważa kluczową rolę ESDZ i jej działania na rzecz promowania pokoju i stabilności na Bliskim Wschodzie, w tym przez wezwanie do zapewnienia nieograniczonego dostępu do pomocy humanitarnej i jej stałej dystrybucji na dużą skalę, zgodnie z międzynarodowymi zasadami humanitarnymi; z zadowoleniem przyjmuje w tym kontekście stanowisko wiceprzewodniczącej / wysokiej </w:t>
            </w:r>
            <w:r w:rsidRPr="00B64DD1">
              <w:lastRenderedPageBreak/>
              <w:t>przedstawicielki przedstawione podczas wysłuchania, zgodnie z którym – jako zasada podstawowa – podmiot, który spowodował szkody, powinien również za nie zapłacić; zauważa, że oszacowanie szkód nie jest możliwe, dopóki nie będzie można uzyskać dostępu do Strefy Gazy;</w:t>
            </w:r>
          </w:p>
        </w:tc>
        <w:tc>
          <w:tcPr>
            <w:tcW w:w="4876" w:type="dxa"/>
            <w:tcBorders>
              <w:top w:val="nil"/>
              <w:left w:val="nil"/>
              <w:bottom w:val="nil"/>
              <w:right w:val="nil"/>
            </w:tcBorders>
          </w:tcPr>
          <w:p w14:paraId="3A80327B" w14:textId="77777777" w:rsidR="00A82F4D" w:rsidRPr="00B64DD1" w:rsidRDefault="00A82F4D" w:rsidP="00EA17FD">
            <w:pPr>
              <w:pStyle w:val="Normal6a"/>
            </w:pPr>
            <w:r w:rsidRPr="00B64DD1">
              <w:lastRenderedPageBreak/>
              <w:t>18.</w:t>
            </w:r>
            <w:r w:rsidRPr="00B64DD1">
              <w:tab/>
              <w:t xml:space="preserve">na podstawie sprawozdania uzupełniającego z zadowoleniem zauważa kluczową rolę ESDZ i jej działania na rzecz promowania pokoju i stabilności na Bliskim Wschodzie, w tym przez wezwanie do zapewnienia nieograniczonego dostępu do pomocy humanitarnej i jej stałej dystrybucji na dużą skalę, zgodnie z międzynarodowymi zasadami humanitarnymi; z zadowoleniem przyjmuje w tym kontekście stanowisko wiceprzewodniczącej / wysokiej </w:t>
            </w:r>
            <w:r w:rsidRPr="00B64DD1">
              <w:lastRenderedPageBreak/>
              <w:t xml:space="preserve">przedstawicielki przedstawione podczas wysłuchania, zgodnie z którym – jako zasada podstawowa – podmiot, który spowodował szkody, powinien również za nie zapłacić; zauważa, że oszacowanie szkód nie jest możliwe, dopóki nie będzie można uzyskać dostępu do Strefy Gazy; </w:t>
            </w:r>
            <w:r w:rsidRPr="00B64DD1">
              <w:rPr>
                <w:b/>
                <w:i/>
              </w:rPr>
              <w:t>podkreśla, jak ważne są solidne mechanizmy monitorowania i rozliczalności, w tym niezależna weryfikacja szkód i potrzeb, gdy tylko zostanie umożliwiony dostęp do Strefy Gazy; wzywa ESDZ do dalszego wykorzystywania wszystkich dostępnych instrumentów, w tym środków humanitarnych, dyplomatycznych, finansowych i ograniczających, w stosownych przypadkach, w celu utrzymania opartego na zasadach porządku międzynarodowego oraz promowania trwałego pokoju i bezpieczeństwa w regionie;</w:t>
            </w:r>
          </w:p>
        </w:tc>
      </w:tr>
    </w:tbl>
    <w:p w14:paraId="7D7FBC2C"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2862ED08" w14:textId="77777777" w:rsidR="00A82F4D" w:rsidRPr="00B64DD1" w:rsidRDefault="00A82F4D" w:rsidP="00A82F4D">
      <w:r w:rsidRPr="00B64DD1">
        <w:rPr>
          <w:rStyle w:val="HideTWBExt"/>
        </w:rPr>
        <w:t>&lt;/Amend&gt;</w:t>
      </w:r>
    </w:p>
    <w:p w14:paraId="16F337F1"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44</w:t>
      </w:r>
      <w:r w:rsidRPr="00B64DD1">
        <w:rPr>
          <w:rStyle w:val="HideTWBExt"/>
          <w:b w:val="0"/>
        </w:rPr>
        <w:t>&lt;/NumAm&gt;</w:t>
      </w:r>
    </w:p>
    <w:p w14:paraId="0BB5C849" w14:textId="77777777" w:rsidR="00A82F4D" w:rsidRPr="00B64DD1" w:rsidRDefault="00A82F4D" w:rsidP="00A82F4D">
      <w:pPr>
        <w:pStyle w:val="NormalBold"/>
      </w:pPr>
      <w:r w:rsidRPr="00B64DD1">
        <w:rPr>
          <w:rStyle w:val="HideTWBExt"/>
          <w:b w:val="0"/>
        </w:rPr>
        <w:t>&lt;RepeatBlock-By&gt;&lt;Members&gt;</w:t>
      </w:r>
      <w:proofErr w:type="spellStart"/>
      <w:r w:rsidRPr="00B64DD1">
        <w:t>Andrey</w:t>
      </w:r>
      <w:proofErr w:type="spellEnd"/>
      <w:r w:rsidRPr="00B64DD1">
        <w:t xml:space="preserve"> </w:t>
      </w:r>
      <w:proofErr w:type="spellStart"/>
      <w:r w:rsidRPr="00B64DD1">
        <w:t>Kovatchev</w:t>
      </w:r>
      <w:proofErr w:type="spellEnd"/>
      <w:r w:rsidRPr="00B64DD1">
        <w:rPr>
          <w:rStyle w:val="HideTWBExt"/>
          <w:b w:val="0"/>
        </w:rPr>
        <w:t>&lt;/Members&gt;</w:t>
      </w:r>
    </w:p>
    <w:p w14:paraId="57D140AE" w14:textId="77777777" w:rsidR="00A82F4D" w:rsidRPr="00B64DD1" w:rsidRDefault="00A82F4D" w:rsidP="00A82F4D">
      <w:pPr>
        <w:pStyle w:val="NormalBold"/>
      </w:pPr>
      <w:r w:rsidRPr="00B64DD1">
        <w:rPr>
          <w:rStyle w:val="HideTWBExt"/>
          <w:b w:val="0"/>
        </w:rPr>
        <w:t>&lt;/RepeatBlock-By&gt;</w:t>
      </w:r>
    </w:p>
    <w:p w14:paraId="11AB3AD7"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70FD0599" w14:textId="77777777" w:rsidR="00A82F4D" w:rsidRPr="00B64DD1" w:rsidRDefault="00A82F4D" w:rsidP="00A82F4D">
      <w:pPr>
        <w:pStyle w:val="NormalBold"/>
      </w:pPr>
      <w:r w:rsidRPr="00B64DD1">
        <w:rPr>
          <w:rStyle w:val="HideTWBExt"/>
          <w:b w:val="0"/>
        </w:rPr>
        <w:t>&lt;Article&gt;</w:t>
      </w:r>
      <w:r w:rsidRPr="00B64DD1">
        <w:t>Ustęp 18</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0647EA3E" w14:textId="77777777" w:rsidTr="00EA17FD">
        <w:trPr>
          <w:trHeight w:hRule="exact" w:val="240"/>
          <w:jc w:val="center"/>
        </w:trPr>
        <w:tc>
          <w:tcPr>
            <w:tcW w:w="9752" w:type="dxa"/>
            <w:gridSpan w:val="2"/>
            <w:tcBorders>
              <w:top w:val="nil"/>
              <w:left w:val="nil"/>
              <w:bottom w:val="nil"/>
              <w:right w:val="nil"/>
            </w:tcBorders>
          </w:tcPr>
          <w:p w14:paraId="35CCA0F7" w14:textId="77777777" w:rsidR="00A82F4D" w:rsidRPr="00B64DD1" w:rsidRDefault="00A82F4D" w:rsidP="00EA17FD"/>
        </w:tc>
      </w:tr>
      <w:tr w:rsidR="00A82F4D" w:rsidRPr="00B64DD1" w14:paraId="381C6B24" w14:textId="77777777" w:rsidTr="00EA17FD">
        <w:trPr>
          <w:trHeight w:val="240"/>
          <w:jc w:val="center"/>
        </w:trPr>
        <w:tc>
          <w:tcPr>
            <w:tcW w:w="4876" w:type="dxa"/>
            <w:tcBorders>
              <w:top w:val="nil"/>
              <w:left w:val="nil"/>
              <w:bottom w:val="nil"/>
              <w:right w:val="nil"/>
            </w:tcBorders>
          </w:tcPr>
          <w:p w14:paraId="0FF1FD15"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5186B6B7" w14:textId="77777777" w:rsidR="00A82F4D" w:rsidRPr="00B64DD1" w:rsidRDefault="00A82F4D" w:rsidP="00EA17FD">
            <w:pPr>
              <w:pStyle w:val="AmColumnHeading"/>
            </w:pPr>
            <w:r w:rsidRPr="00B64DD1">
              <w:t>Poprawka</w:t>
            </w:r>
          </w:p>
        </w:tc>
      </w:tr>
      <w:tr w:rsidR="00A82F4D" w:rsidRPr="00B64DD1" w14:paraId="50D1C3A7" w14:textId="77777777" w:rsidTr="00EA17FD">
        <w:trPr>
          <w:jc w:val="center"/>
        </w:trPr>
        <w:tc>
          <w:tcPr>
            <w:tcW w:w="4876" w:type="dxa"/>
            <w:tcBorders>
              <w:top w:val="nil"/>
              <w:left w:val="nil"/>
              <w:bottom w:val="nil"/>
              <w:right w:val="nil"/>
            </w:tcBorders>
          </w:tcPr>
          <w:p w14:paraId="354703B1" w14:textId="77777777" w:rsidR="00A82F4D" w:rsidRPr="00B64DD1" w:rsidRDefault="00A82F4D" w:rsidP="00EA17FD">
            <w:pPr>
              <w:pStyle w:val="Normal6a"/>
            </w:pPr>
            <w:r w:rsidRPr="00B64DD1">
              <w:t>18.</w:t>
            </w:r>
            <w:r w:rsidRPr="00B64DD1">
              <w:tab/>
              <w:t xml:space="preserve">na podstawie sprawozdania uzupełniającego z zadowoleniem zauważa kluczową rolę ESDZ i jej działania na rzecz promowania pokoju i stabilności na Bliskim Wschodzie, w tym przez wezwanie do zapewnienia nieograniczonego dostępu do pomocy humanitarnej i jej stałej dystrybucji na dużą skalę, zgodnie z międzynarodowymi zasadami humanitarnymi; z zadowoleniem przyjmuje w tym kontekście stanowisko wiceprzewodniczącej / wysokiej przedstawicielki przedstawione podczas wysłuchania, zgodnie z którym – jako </w:t>
            </w:r>
            <w:r w:rsidRPr="00B64DD1">
              <w:lastRenderedPageBreak/>
              <w:t xml:space="preserve">zasada podstawowa – </w:t>
            </w:r>
            <w:r w:rsidRPr="00B64DD1">
              <w:rPr>
                <w:b/>
                <w:bCs/>
                <w:i/>
                <w:iCs/>
              </w:rPr>
              <w:t>podmiot, który spowodował</w:t>
            </w:r>
            <w:r w:rsidRPr="00B64DD1">
              <w:t xml:space="preserve"> szkody</w:t>
            </w:r>
            <w:r w:rsidRPr="00B64DD1">
              <w:rPr>
                <w:b/>
                <w:bCs/>
                <w:i/>
                <w:iCs/>
              </w:rPr>
              <w:t>, powinien również za nie zapłacić</w:t>
            </w:r>
            <w:r w:rsidRPr="00B64DD1">
              <w:t xml:space="preserve">; zauważa, że </w:t>
            </w:r>
            <w:r w:rsidRPr="00B64DD1">
              <w:rPr>
                <w:b/>
                <w:bCs/>
                <w:i/>
                <w:iCs/>
              </w:rPr>
              <w:t>oszacowanie</w:t>
            </w:r>
            <w:r w:rsidRPr="00B64DD1">
              <w:t xml:space="preserve"> szkód </w:t>
            </w:r>
            <w:r w:rsidRPr="00B64DD1">
              <w:rPr>
                <w:b/>
                <w:bCs/>
                <w:i/>
                <w:iCs/>
              </w:rPr>
              <w:t>nie jest możliwe</w:t>
            </w:r>
            <w:r w:rsidRPr="00B64DD1">
              <w:t>, dopóki nie będzie można uzyskać dostępu do Strefy Gazy;</w:t>
            </w:r>
          </w:p>
        </w:tc>
        <w:tc>
          <w:tcPr>
            <w:tcW w:w="4876" w:type="dxa"/>
            <w:tcBorders>
              <w:top w:val="nil"/>
              <w:left w:val="nil"/>
              <w:bottom w:val="nil"/>
              <w:right w:val="nil"/>
            </w:tcBorders>
          </w:tcPr>
          <w:p w14:paraId="00657F50" w14:textId="77777777" w:rsidR="00A82F4D" w:rsidRPr="00B64DD1" w:rsidRDefault="00A82F4D" w:rsidP="00EA17FD">
            <w:pPr>
              <w:pStyle w:val="Normal6a"/>
            </w:pPr>
            <w:r w:rsidRPr="00B64DD1">
              <w:lastRenderedPageBreak/>
              <w:t>18.</w:t>
            </w:r>
            <w:r w:rsidRPr="00B64DD1">
              <w:tab/>
              <w:t xml:space="preserve">na podstawie sprawozdania uzupełniającego z zadowoleniem zauważa kluczową rolę ESDZ i jej działania na rzecz promowania pokoju i stabilności na Bliskim Wschodzie, w tym przez wezwanie do zapewnienia nieograniczonego dostępu do pomocy humanitarnej i jej stałej dystrybucji na dużą skalę, zgodnie z międzynarodowymi zasadami humanitarnymi; </w:t>
            </w:r>
            <w:r w:rsidRPr="00B64DD1">
              <w:rPr>
                <w:b/>
                <w:i/>
              </w:rPr>
              <w:t xml:space="preserve">podkreśla, że pomoc humanitarna musi być dostarczana w sposób bezpieczny, skuteczny i pozbawiony podtekstów politycznych oraz nie może być </w:t>
            </w:r>
            <w:r w:rsidRPr="00B64DD1">
              <w:rPr>
                <w:b/>
                <w:i/>
              </w:rPr>
              <w:lastRenderedPageBreak/>
              <w:t>wykorzystywana przez grupy terrorystyczne lub zbrojne;</w:t>
            </w:r>
            <w:r w:rsidRPr="00B64DD1">
              <w:t xml:space="preserve"> z zadowoleniem przyjmuje w tym kontekście stanowisko wiceprzewodniczącej / wysokiej przedstawicielki przedstawione podczas wysłuchania, zgodnie z którym – jako zasada podstawowa – </w:t>
            </w:r>
            <w:r w:rsidRPr="00B64DD1">
              <w:rPr>
                <w:b/>
                <w:bCs/>
                <w:i/>
                <w:iCs/>
              </w:rPr>
              <w:t xml:space="preserve">odpowiedzialność za </w:t>
            </w:r>
            <w:r w:rsidRPr="00B64DD1">
              <w:t xml:space="preserve">szkody </w:t>
            </w:r>
            <w:r w:rsidRPr="00B64DD1">
              <w:rPr>
                <w:b/>
                <w:bCs/>
                <w:i/>
                <w:iCs/>
              </w:rPr>
              <w:t>należy przypisywać zgodnie z prawem międzynarodowym i ustalonymi ramami prawnymi</w:t>
            </w:r>
            <w:r w:rsidRPr="00B64DD1">
              <w:t xml:space="preserve">; zauważa, że </w:t>
            </w:r>
            <w:r w:rsidRPr="00B64DD1">
              <w:rPr>
                <w:b/>
                <w:bCs/>
                <w:i/>
                <w:iCs/>
              </w:rPr>
              <w:t>jakakolwiek kompleksowa ocena</w:t>
            </w:r>
            <w:r w:rsidRPr="00B64DD1">
              <w:t xml:space="preserve"> szkód</w:t>
            </w:r>
            <w:r w:rsidRPr="00B64DD1">
              <w:rPr>
                <w:b/>
                <w:bCs/>
                <w:i/>
                <w:iCs/>
              </w:rPr>
              <w:t xml:space="preserve"> jest przedwczesna</w:t>
            </w:r>
            <w:r w:rsidRPr="00B64DD1">
              <w:t xml:space="preserve">, dopóki nie będzie można uzyskać dostępu do Strefy Gazy; </w:t>
            </w:r>
            <w:r w:rsidRPr="00B64DD1">
              <w:rPr>
                <w:b/>
                <w:i/>
              </w:rPr>
              <w:t>podkreśla znaczenie wiarygodnych, niezależnych i weryfikowalnych informacji jako podstawy wszelkich przyszłych ocen;</w:t>
            </w:r>
          </w:p>
        </w:tc>
      </w:tr>
    </w:tbl>
    <w:p w14:paraId="1A4BC23A"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6766E3CA" w14:textId="77777777" w:rsidR="00A82F4D" w:rsidRPr="00B64DD1" w:rsidRDefault="00A82F4D" w:rsidP="00A82F4D">
      <w:r w:rsidRPr="00B64DD1">
        <w:rPr>
          <w:rStyle w:val="HideTWBExt"/>
        </w:rPr>
        <w:t>&lt;/Amend&gt;</w:t>
      </w:r>
    </w:p>
    <w:p w14:paraId="69FA1475"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45</w:t>
      </w:r>
      <w:r w:rsidRPr="00B64DD1">
        <w:rPr>
          <w:rStyle w:val="HideTWBExt"/>
          <w:b w:val="0"/>
        </w:rPr>
        <w:t>&lt;/NumAm&gt;</w:t>
      </w:r>
    </w:p>
    <w:p w14:paraId="39EFCC2F" w14:textId="77777777" w:rsidR="00A82F4D" w:rsidRPr="00B64DD1" w:rsidRDefault="00A82F4D" w:rsidP="00A82F4D">
      <w:pPr>
        <w:pStyle w:val="NormalBold"/>
      </w:pPr>
      <w:r w:rsidRPr="00B64DD1">
        <w:rPr>
          <w:rStyle w:val="HideTWBExt"/>
          <w:b w:val="0"/>
        </w:rPr>
        <w:t>&lt;RepeatBlock-By&gt;&lt;Members&gt;</w:t>
      </w:r>
      <w:proofErr w:type="spellStart"/>
      <w:r w:rsidRPr="00B64DD1">
        <w:t>Cristian</w:t>
      </w:r>
      <w:proofErr w:type="spellEnd"/>
      <w:r w:rsidRPr="00B64DD1">
        <w:t xml:space="preserve"> </w:t>
      </w:r>
      <w:proofErr w:type="spellStart"/>
      <w:r w:rsidRPr="00B64DD1">
        <w:t>Terheş</w:t>
      </w:r>
      <w:proofErr w:type="spellEnd"/>
      <w:r w:rsidRPr="00B64DD1">
        <w:rPr>
          <w:rStyle w:val="HideTWBExt"/>
          <w:b w:val="0"/>
        </w:rPr>
        <w:t>&lt;/Members&gt;</w:t>
      </w:r>
    </w:p>
    <w:p w14:paraId="3F78EE55" w14:textId="77777777" w:rsidR="00A82F4D" w:rsidRPr="00B64DD1" w:rsidRDefault="00A82F4D" w:rsidP="00A82F4D">
      <w:pPr>
        <w:pStyle w:val="NormalBold"/>
      </w:pPr>
      <w:r w:rsidRPr="00B64DD1">
        <w:rPr>
          <w:rStyle w:val="HideTWBExt"/>
          <w:b w:val="0"/>
        </w:rPr>
        <w:t>&lt;/RepeatBlock-By&gt;</w:t>
      </w:r>
    </w:p>
    <w:p w14:paraId="1D5C02C1"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6DE271B7" w14:textId="77777777" w:rsidR="00A82F4D" w:rsidRPr="00B64DD1" w:rsidRDefault="00A82F4D" w:rsidP="00A82F4D">
      <w:pPr>
        <w:pStyle w:val="NormalBold"/>
      </w:pPr>
      <w:r w:rsidRPr="00B64DD1">
        <w:rPr>
          <w:rStyle w:val="HideTWBExt"/>
          <w:b w:val="0"/>
        </w:rPr>
        <w:t>&lt;Article&gt;</w:t>
      </w:r>
      <w:r w:rsidRPr="00B64DD1">
        <w:t>Ustęp 18</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37EB903A" w14:textId="77777777" w:rsidTr="00EA17FD">
        <w:trPr>
          <w:trHeight w:hRule="exact" w:val="240"/>
          <w:jc w:val="center"/>
        </w:trPr>
        <w:tc>
          <w:tcPr>
            <w:tcW w:w="9752" w:type="dxa"/>
            <w:gridSpan w:val="2"/>
            <w:tcBorders>
              <w:top w:val="nil"/>
              <w:left w:val="nil"/>
              <w:bottom w:val="nil"/>
              <w:right w:val="nil"/>
            </w:tcBorders>
          </w:tcPr>
          <w:p w14:paraId="23315DE3" w14:textId="77777777" w:rsidR="00A82F4D" w:rsidRPr="00B64DD1" w:rsidRDefault="00A82F4D" w:rsidP="00EA17FD"/>
        </w:tc>
      </w:tr>
      <w:tr w:rsidR="00A82F4D" w:rsidRPr="00B64DD1" w14:paraId="1DF5F1AD" w14:textId="77777777" w:rsidTr="00EA17FD">
        <w:trPr>
          <w:trHeight w:val="240"/>
          <w:jc w:val="center"/>
        </w:trPr>
        <w:tc>
          <w:tcPr>
            <w:tcW w:w="4876" w:type="dxa"/>
            <w:tcBorders>
              <w:top w:val="nil"/>
              <w:left w:val="nil"/>
              <w:bottom w:val="nil"/>
              <w:right w:val="nil"/>
            </w:tcBorders>
          </w:tcPr>
          <w:p w14:paraId="6308D4D7"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64DA18CA" w14:textId="77777777" w:rsidR="00A82F4D" w:rsidRPr="00B64DD1" w:rsidRDefault="00A82F4D" w:rsidP="00EA17FD">
            <w:pPr>
              <w:pStyle w:val="AmColumnHeading"/>
            </w:pPr>
            <w:r w:rsidRPr="00B64DD1">
              <w:t>Poprawka</w:t>
            </w:r>
          </w:p>
        </w:tc>
      </w:tr>
      <w:tr w:rsidR="00A82F4D" w:rsidRPr="00B64DD1" w14:paraId="18548F71" w14:textId="77777777" w:rsidTr="00EA17FD">
        <w:trPr>
          <w:jc w:val="center"/>
        </w:trPr>
        <w:tc>
          <w:tcPr>
            <w:tcW w:w="4876" w:type="dxa"/>
            <w:tcBorders>
              <w:top w:val="nil"/>
              <w:left w:val="nil"/>
              <w:bottom w:val="nil"/>
              <w:right w:val="nil"/>
            </w:tcBorders>
          </w:tcPr>
          <w:p w14:paraId="7F4529B9" w14:textId="77777777" w:rsidR="00A82F4D" w:rsidRPr="00B64DD1" w:rsidRDefault="00A82F4D" w:rsidP="00EA17FD">
            <w:pPr>
              <w:pStyle w:val="Normal6a"/>
            </w:pPr>
            <w:r w:rsidRPr="00B64DD1">
              <w:t>18.</w:t>
            </w:r>
            <w:r w:rsidRPr="00B64DD1">
              <w:tab/>
              <w:t xml:space="preserve">na podstawie sprawozdania uzupełniającego z zadowoleniem zauważa kluczową rolę ESDZ i jej działania na rzecz promowania pokoju i stabilności na Bliskim Wschodzie, w tym przez wezwanie do zapewnienia nieograniczonego dostępu do pomocy humanitarnej i jej stałej dystrybucji na dużą skalę, zgodnie z międzynarodowymi zasadami humanitarnymi; z zadowoleniem przyjmuje w tym kontekście stanowisko wiceprzewodniczącej / wysokiej przedstawicielki przedstawione podczas wysłuchania, zgodnie z którym – jako zasada podstawowa – podmiot, który spowodował szkody, powinien również za nie zapłacić; zauważa, że oszacowanie </w:t>
            </w:r>
            <w:r w:rsidRPr="00B64DD1">
              <w:lastRenderedPageBreak/>
              <w:t>szkód nie jest możliwe, dopóki nie będzie można uzyskać dostępu do Strefy Gazy;</w:t>
            </w:r>
          </w:p>
        </w:tc>
        <w:tc>
          <w:tcPr>
            <w:tcW w:w="4876" w:type="dxa"/>
            <w:tcBorders>
              <w:top w:val="nil"/>
              <w:left w:val="nil"/>
              <w:bottom w:val="nil"/>
              <w:right w:val="nil"/>
            </w:tcBorders>
          </w:tcPr>
          <w:p w14:paraId="1B5EA109" w14:textId="77777777" w:rsidR="00A82F4D" w:rsidRPr="00B64DD1" w:rsidRDefault="00A82F4D" w:rsidP="00EA17FD">
            <w:pPr>
              <w:pStyle w:val="Normal6a"/>
            </w:pPr>
            <w:r w:rsidRPr="00B64DD1">
              <w:lastRenderedPageBreak/>
              <w:t>18.</w:t>
            </w:r>
            <w:r w:rsidRPr="00B64DD1">
              <w:tab/>
              <w:t xml:space="preserve">na podstawie sprawozdania uzupełniającego z zadowoleniem zauważa kluczową rolę ESDZ i jej działania na rzecz promowania pokoju i stabilności na Bliskim Wschodzie, w tym przez wezwanie do zapewnienia nieograniczonego dostępu do pomocy humanitarnej i jej stałej dystrybucji na dużą skalę, zgodnie z międzynarodowymi zasadami humanitarnymi; z zadowoleniem przyjmuje w tym kontekście stanowisko wiceprzewodniczącej / wysokiej przedstawicielki przedstawione podczas wysłuchania, zgodnie z którym – jako zasada podstawowa – podmiot, który spowodował szkody, powinien również za nie zapłacić; zauważa, że oszacowanie szkód nie jest możliwe, dopóki nie będzie można uzyskać dostępu do Strefy Gazy; </w:t>
            </w:r>
            <w:r w:rsidRPr="00B64DD1">
              <w:rPr>
                <w:b/>
                <w:i/>
              </w:rPr>
              <w:lastRenderedPageBreak/>
              <w:t>wyraża głębokie zaniepokojenie dalszym wsparciem ESDZ dla UNRWA pomimo zarzutów dotyczących niewłaściwego wykorzystania zasobów i powiązania pracowników UNRWA z Hamasem;</w:t>
            </w:r>
          </w:p>
        </w:tc>
      </w:tr>
    </w:tbl>
    <w:p w14:paraId="7F0FAC3A"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174F2688" w14:textId="77777777" w:rsidR="00A82F4D" w:rsidRPr="00B64DD1" w:rsidRDefault="00A82F4D" w:rsidP="00A82F4D">
      <w:r w:rsidRPr="00B64DD1">
        <w:rPr>
          <w:rStyle w:val="HideTWBExt"/>
        </w:rPr>
        <w:t>&lt;/Amend&gt;</w:t>
      </w:r>
    </w:p>
    <w:p w14:paraId="1A90D0DF"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46</w:t>
      </w:r>
      <w:r w:rsidRPr="00B64DD1">
        <w:rPr>
          <w:rStyle w:val="HideTWBExt"/>
          <w:b w:val="0"/>
        </w:rPr>
        <w:t>&lt;/NumAm&gt;</w:t>
      </w:r>
    </w:p>
    <w:p w14:paraId="40A9C6EA" w14:textId="77777777" w:rsidR="00A82F4D" w:rsidRPr="00B64DD1" w:rsidRDefault="00A82F4D" w:rsidP="00A82F4D">
      <w:pPr>
        <w:pStyle w:val="NormalBold"/>
      </w:pPr>
      <w:r w:rsidRPr="00B64DD1">
        <w:rPr>
          <w:rStyle w:val="HideTWBExt"/>
          <w:b w:val="0"/>
        </w:rPr>
        <w:t>&lt;RepeatBlock-By&gt;&lt;Members&gt;</w:t>
      </w:r>
      <w:proofErr w:type="spellStart"/>
      <w:r w:rsidRPr="00B64DD1">
        <w:t>Pasquale</w:t>
      </w:r>
      <w:proofErr w:type="spellEnd"/>
      <w:r w:rsidRPr="00B64DD1">
        <w:t xml:space="preserve"> </w:t>
      </w:r>
      <w:proofErr w:type="spellStart"/>
      <w:r w:rsidRPr="00B64DD1">
        <w:t>Tridico</w:t>
      </w:r>
      <w:proofErr w:type="spellEnd"/>
      <w:r w:rsidRPr="00B64DD1">
        <w:rPr>
          <w:rStyle w:val="HideTWBExt"/>
          <w:b w:val="0"/>
        </w:rPr>
        <w:t>&lt;/Members&gt;</w:t>
      </w:r>
    </w:p>
    <w:p w14:paraId="4C40D8EC" w14:textId="77777777" w:rsidR="00A82F4D" w:rsidRPr="00B64DD1" w:rsidRDefault="00A82F4D" w:rsidP="00A82F4D">
      <w:pPr>
        <w:pStyle w:val="NormalBold"/>
      </w:pPr>
      <w:r w:rsidRPr="00B64DD1">
        <w:rPr>
          <w:rStyle w:val="HideTWBExt"/>
          <w:b w:val="0"/>
        </w:rPr>
        <w:t>&lt;/RepeatBlock-By&gt;</w:t>
      </w:r>
    </w:p>
    <w:p w14:paraId="6ECEAE5F"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0A046E26" w14:textId="77777777" w:rsidR="00A82F4D" w:rsidRPr="00B64DD1" w:rsidRDefault="00A82F4D" w:rsidP="00A82F4D">
      <w:pPr>
        <w:pStyle w:val="NormalBold"/>
      </w:pPr>
      <w:r w:rsidRPr="00B64DD1">
        <w:rPr>
          <w:rStyle w:val="HideTWBExt"/>
          <w:b w:val="0"/>
        </w:rPr>
        <w:t>&lt;Article&gt;</w:t>
      </w:r>
      <w:r w:rsidRPr="00B64DD1">
        <w:t>Ustęp 18 a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5ECB3DF7" w14:textId="77777777" w:rsidTr="00EA17FD">
        <w:trPr>
          <w:trHeight w:hRule="exact" w:val="240"/>
          <w:jc w:val="center"/>
        </w:trPr>
        <w:tc>
          <w:tcPr>
            <w:tcW w:w="9752" w:type="dxa"/>
            <w:gridSpan w:val="2"/>
            <w:tcBorders>
              <w:top w:val="nil"/>
              <w:left w:val="nil"/>
              <w:bottom w:val="nil"/>
              <w:right w:val="nil"/>
            </w:tcBorders>
          </w:tcPr>
          <w:p w14:paraId="67025030" w14:textId="77777777" w:rsidR="00A82F4D" w:rsidRPr="00B64DD1" w:rsidRDefault="00A82F4D" w:rsidP="00EA17FD"/>
        </w:tc>
      </w:tr>
      <w:tr w:rsidR="00A82F4D" w:rsidRPr="00B64DD1" w14:paraId="23FE49DF" w14:textId="77777777" w:rsidTr="00EA17FD">
        <w:trPr>
          <w:trHeight w:val="240"/>
          <w:jc w:val="center"/>
        </w:trPr>
        <w:tc>
          <w:tcPr>
            <w:tcW w:w="4876" w:type="dxa"/>
            <w:tcBorders>
              <w:top w:val="nil"/>
              <w:left w:val="nil"/>
              <w:bottom w:val="nil"/>
              <w:right w:val="nil"/>
            </w:tcBorders>
          </w:tcPr>
          <w:p w14:paraId="36152896"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64C2E5FF" w14:textId="77777777" w:rsidR="00A82F4D" w:rsidRPr="00B64DD1" w:rsidRDefault="00A82F4D" w:rsidP="00EA17FD">
            <w:pPr>
              <w:pStyle w:val="AmColumnHeading"/>
            </w:pPr>
            <w:r w:rsidRPr="00B64DD1">
              <w:t>Poprawka</w:t>
            </w:r>
          </w:p>
        </w:tc>
      </w:tr>
      <w:tr w:rsidR="00A82F4D" w:rsidRPr="00B64DD1" w14:paraId="4E3CE9C4" w14:textId="77777777" w:rsidTr="00EA17FD">
        <w:trPr>
          <w:jc w:val="center"/>
        </w:trPr>
        <w:tc>
          <w:tcPr>
            <w:tcW w:w="4876" w:type="dxa"/>
            <w:tcBorders>
              <w:top w:val="nil"/>
              <w:left w:val="nil"/>
              <w:bottom w:val="nil"/>
              <w:right w:val="nil"/>
            </w:tcBorders>
          </w:tcPr>
          <w:p w14:paraId="6D64A881" w14:textId="77777777" w:rsidR="00A82F4D" w:rsidRPr="00B64DD1" w:rsidRDefault="00A82F4D" w:rsidP="00EA17FD">
            <w:pPr>
              <w:pStyle w:val="Normal6a"/>
            </w:pPr>
          </w:p>
        </w:tc>
        <w:tc>
          <w:tcPr>
            <w:tcW w:w="4876" w:type="dxa"/>
            <w:tcBorders>
              <w:top w:val="nil"/>
              <w:left w:val="nil"/>
              <w:bottom w:val="nil"/>
              <w:right w:val="nil"/>
            </w:tcBorders>
          </w:tcPr>
          <w:p w14:paraId="49A15B6B" w14:textId="77777777" w:rsidR="00A82F4D" w:rsidRPr="00B64DD1" w:rsidRDefault="00A82F4D" w:rsidP="00EA17FD">
            <w:pPr>
              <w:pStyle w:val="Normal6a"/>
            </w:pPr>
            <w:r w:rsidRPr="00B64DD1">
              <w:rPr>
                <w:b/>
                <w:i/>
              </w:rPr>
              <w:t>18a.</w:t>
            </w:r>
            <w:r w:rsidRPr="00B64DD1">
              <w:tab/>
            </w:r>
            <w:r w:rsidRPr="00B64DD1">
              <w:rPr>
                <w:b/>
                <w:i/>
              </w:rPr>
              <w:t xml:space="preserve">przypomina swoje stanowisko w sprawie budżetu UE na 2026 r. oraz znaczenie wspierania reform politycznych, gospodarczych i społecznych w regionie południowego sąsiedztwa, w tym reagowania na rosnące potrzeby humanitarne; przypomina, że Europejska Służba Działań Zewnętrznych jest odpowiedzialna za zapewnienie wytycznych politycznych i nadzoru strategicznego nad działaniami zewnętrznymi Unii, podczas gdy Komisja zachowuje pełną odpowiedzialność za zarządzanie, zawieranie umów i wypłacanie środków budżetowych UE przekazywanych partnerom realizującym działania i organizacjom międzynarodowym; przyjmuje do wiadomości reakcję Organizacji Narodów Zjednoczonych na zarzuty dotyczące 19 spośród 13 000 pracowników UNRWA w Strefie Gazy w związku z ich możliwym udziałem w atakach terrorystycznych na Izrael w dniu 7 października 2023 r., w tym dochodzenie OIOS przeprowadzone we współpracy z Izraelem, w wyniku którego zwolniono 9 pracowników w interesie służby, oraz zalecenia wydane w ramach przeglądu </w:t>
            </w:r>
            <w:proofErr w:type="spellStart"/>
            <w:r w:rsidRPr="00B64DD1">
              <w:rPr>
                <w:b/>
                <w:i/>
              </w:rPr>
              <w:t>Colonna</w:t>
            </w:r>
            <w:proofErr w:type="spellEnd"/>
            <w:r w:rsidRPr="00B64DD1">
              <w:rPr>
                <w:b/>
                <w:i/>
              </w:rPr>
              <w:t xml:space="preserve">; przyjmuje do wiadomości opinię doradczą Międzynarodowego Trybunału </w:t>
            </w:r>
            <w:r w:rsidRPr="00B64DD1">
              <w:rPr>
                <w:b/>
                <w:i/>
              </w:rPr>
              <w:lastRenderedPageBreak/>
              <w:t xml:space="preserve">Sprawiedliwości z dnia 22 października 2025 r., w której stwierdzono, że dostępne informacje są niewystarczające do ustalenia braku neutralności ze strony UNRWA jako organizacji; z zadowoleniem przyjmuje ocenę Komisji, zgodnie z którą UNRWA pozostaje w pełni zaangażowana w realizację zaleceń </w:t>
            </w:r>
            <w:proofErr w:type="spellStart"/>
            <w:r w:rsidRPr="00B64DD1">
              <w:rPr>
                <w:b/>
                <w:i/>
              </w:rPr>
              <w:t>Colonna</w:t>
            </w:r>
            <w:proofErr w:type="spellEnd"/>
            <w:r w:rsidRPr="00B64DD1">
              <w:rPr>
                <w:b/>
                <w:i/>
              </w:rPr>
              <w:t>, i odnotowuje spełnienie wszystkich warunków uzgodnionych z UE w celu kontynuowania finansowania w 2024 r., w tym zakończenie audytu przeprowadzonego przez ekspertów wyznaczonych przez UE; w tym kontekście zachęca Komisję do dalszego zaangażowania i ścisłego monitorowania sytuacji w celu zapewnienia dalszego finansowania z gwarancjami neutralności, przejrzystości i odpowiedzialności; odnotowuje, że zgodnie z międzynarodową praktyką stosowaną przez agencje ONZ działające w dziedzinie edukacji, UNRWA stosuje w swoich szkołach programy nauczania obowiązujące w kraju przyjmującym oraz lokalnie wydawane podręczniki, które są jednak systematycznie weryfikowane pod kątem ewentualnych problematycznych treści; zauważa, że Unia nie finansuje palestyńskich podręczników; z zadowoleniem przyjmuje zaangażowanie Komisji we współpracę z Autonomią Palestyńską w zakresie reformy programów nauczania; odnotowuje postępy w dostosowywaniu materiałów dydaktycznych do standardów UNESCO; przypomina o konieczności usunięcia przez Autonomię Palestyńską wszystkich materiałów edukacyjnych i treści, które nie są zgodne z normami UNESCO;</w:t>
            </w:r>
          </w:p>
        </w:tc>
      </w:tr>
    </w:tbl>
    <w:p w14:paraId="11E0F280"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7DC3DA5C" w14:textId="77777777" w:rsidR="00A82F4D" w:rsidRPr="00B64DD1" w:rsidRDefault="00A82F4D" w:rsidP="00A82F4D">
      <w:r w:rsidRPr="00B64DD1">
        <w:rPr>
          <w:rStyle w:val="HideTWBExt"/>
        </w:rPr>
        <w:t>&lt;/Amend&gt;</w:t>
      </w:r>
    </w:p>
    <w:p w14:paraId="7BA8DCF5"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47</w:t>
      </w:r>
      <w:r w:rsidRPr="00B64DD1">
        <w:rPr>
          <w:rStyle w:val="HideTWBExt"/>
          <w:b w:val="0"/>
        </w:rPr>
        <w:t>&lt;/NumAm&gt;</w:t>
      </w:r>
    </w:p>
    <w:p w14:paraId="1831A7EE" w14:textId="77777777" w:rsidR="00A82F4D" w:rsidRPr="00B64DD1" w:rsidRDefault="00A82F4D" w:rsidP="00A82F4D">
      <w:pPr>
        <w:pStyle w:val="NormalBold"/>
      </w:pPr>
      <w:r w:rsidRPr="00B64DD1">
        <w:rPr>
          <w:rStyle w:val="HideTWBExt"/>
          <w:b w:val="0"/>
        </w:rPr>
        <w:t>&lt;RepeatBlock-By&gt;&lt;Members&gt;</w:t>
      </w:r>
      <w:r w:rsidRPr="00B64DD1">
        <w:t xml:space="preserve">José </w:t>
      </w:r>
      <w:proofErr w:type="spellStart"/>
      <w:r w:rsidRPr="00B64DD1">
        <w:t>Cepeda</w:t>
      </w:r>
      <w:proofErr w:type="spellEnd"/>
      <w:r w:rsidRPr="00B64DD1">
        <w:t xml:space="preserve">, </w:t>
      </w:r>
      <w:proofErr w:type="spellStart"/>
      <w:r w:rsidRPr="00B64DD1">
        <w:t>Nacho</w:t>
      </w:r>
      <w:proofErr w:type="spellEnd"/>
      <w:r w:rsidRPr="00B64DD1">
        <w:t xml:space="preserve"> </w:t>
      </w:r>
      <w:proofErr w:type="spellStart"/>
      <w:r w:rsidRPr="00B64DD1">
        <w:t>Sánchez</w:t>
      </w:r>
      <w:proofErr w:type="spellEnd"/>
      <w:r w:rsidRPr="00B64DD1">
        <w:t xml:space="preserve"> Amor</w:t>
      </w:r>
      <w:r w:rsidRPr="00B64DD1">
        <w:rPr>
          <w:rStyle w:val="HideTWBExt"/>
          <w:b w:val="0"/>
        </w:rPr>
        <w:t>&lt;/Members&gt;</w:t>
      </w:r>
    </w:p>
    <w:p w14:paraId="440411EE" w14:textId="77777777" w:rsidR="00A82F4D" w:rsidRPr="00B64DD1" w:rsidRDefault="00A82F4D" w:rsidP="00A82F4D">
      <w:pPr>
        <w:pStyle w:val="NormalBold"/>
      </w:pPr>
      <w:r w:rsidRPr="00B64DD1">
        <w:rPr>
          <w:rStyle w:val="HideTWBExt"/>
          <w:b w:val="0"/>
        </w:rPr>
        <w:t>&lt;/RepeatBlock-By&gt;</w:t>
      </w:r>
    </w:p>
    <w:p w14:paraId="6B30A157"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43AA6431" w14:textId="77777777" w:rsidR="00A82F4D" w:rsidRPr="00B64DD1" w:rsidRDefault="00A82F4D" w:rsidP="00A82F4D">
      <w:pPr>
        <w:pStyle w:val="NormalBold"/>
      </w:pPr>
      <w:r w:rsidRPr="00B64DD1">
        <w:rPr>
          <w:rStyle w:val="HideTWBExt"/>
          <w:b w:val="0"/>
        </w:rPr>
        <w:lastRenderedPageBreak/>
        <w:t>&lt;Article&gt;</w:t>
      </w:r>
      <w:r w:rsidRPr="00B64DD1">
        <w:t>Ustęp 18 b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789FFEC8" w14:textId="77777777" w:rsidTr="00EA17FD">
        <w:trPr>
          <w:trHeight w:hRule="exact" w:val="240"/>
          <w:jc w:val="center"/>
        </w:trPr>
        <w:tc>
          <w:tcPr>
            <w:tcW w:w="9752" w:type="dxa"/>
            <w:gridSpan w:val="2"/>
            <w:tcBorders>
              <w:top w:val="nil"/>
              <w:left w:val="nil"/>
              <w:bottom w:val="nil"/>
              <w:right w:val="nil"/>
            </w:tcBorders>
          </w:tcPr>
          <w:p w14:paraId="7AD280B1" w14:textId="77777777" w:rsidR="00A82F4D" w:rsidRPr="00B64DD1" w:rsidRDefault="00A82F4D" w:rsidP="00EA17FD"/>
        </w:tc>
      </w:tr>
      <w:tr w:rsidR="00A82F4D" w:rsidRPr="00B64DD1" w14:paraId="4B03BF1B" w14:textId="77777777" w:rsidTr="00EA17FD">
        <w:trPr>
          <w:trHeight w:val="240"/>
          <w:jc w:val="center"/>
        </w:trPr>
        <w:tc>
          <w:tcPr>
            <w:tcW w:w="4876" w:type="dxa"/>
            <w:tcBorders>
              <w:top w:val="nil"/>
              <w:left w:val="nil"/>
              <w:bottom w:val="nil"/>
              <w:right w:val="nil"/>
            </w:tcBorders>
          </w:tcPr>
          <w:p w14:paraId="2CFE41DB"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31314A7F" w14:textId="77777777" w:rsidR="00A82F4D" w:rsidRPr="00B64DD1" w:rsidRDefault="00A82F4D" w:rsidP="00EA17FD">
            <w:pPr>
              <w:pStyle w:val="AmColumnHeading"/>
            </w:pPr>
            <w:r w:rsidRPr="00B64DD1">
              <w:t>Poprawka</w:t>
            </w:r>
          </w:p>
        </w:tc>
      </w:tr>
      <w:tr w:rsidR="00A82F4D" w:rsidRPr="00B64DD1" w14:paraId="2709024E" w14:textId="77777777" w:rsidTr="00EA17FD">
        <w:trPr>
          <w:jc w:val="center"/>
        </w:trPr>
        <w:tc>
          <w:tcPr>
            <w:tcW w:w="4876" w:type="dxa"/>
            <w:tcBorders>
              <w:top w:val="nil"/>
              <w:left w:val="nil"/>
              <w:bottom w:val="nil"/>
              <w:right w:val="nil"/>
            </w:tcBorders>
          </w:tcPr>
          <w:p w14:paraId="69C747E5" w14:textId="77777777" w:rsidR="00A82F4D" w:rsidRPr="00B64DD1" w:rsidRDefault="00A82F4D" w:rsidP="00EA17FD">
            <w:pPr>
              <w:pStyle w:val="Normal6a"/>
            </w:pPr>
          </w:p>
        </w:tc>
        <w:tc>
          <w:tcPr>
            <w:tcW w:w="4876" w:type="dxa"/>
            <w:tcBorders>
              <w:top w:val="nil"/>
              <w:left w:val="nil"/>
              <w:bottom w:val="nil"/>
              <w:right w:val="nil"/>
            </w:tcBorders>
          </w:tcPr>
          <w:p w14:paraId="1D1E1B46" w14:textId="77777777" w:rsidR="00A82F4D" w:rsidRPr="00B64DD1" w:rsidRDefault="00A82F4D" w:rsidP="00EA17FD">
            <w:pPr>
              <w:pStyle w:val="Normal6a"/>
            </w:pPr>
            <w:r w:rsidRPr="00B64DD1">
              <w:rPr>
                <w:b/>
                <w:i/>
              </w:rPr>
              <w:t>18b.</w:t>
            </w:r>
            <w:r w:rsidRPr="00B64DD1">
              <w:tab/>
            </w:r>
            <w:r w:rsidRPr="00B64DD1">
              <w:rPr>
                <w:b/>
                <w:i/>
              </w:rPr>
              <w:t>przyjmuje do wiadomości, że Unia nie finansuje palestyńskich podręczników i że zgodnie z międzynarodową praktyką stosowaną przez agencje ONZ działające w dziedzinie edukacji, UNRWA stosuje w swoich szkołach programy nauczania kraju przyjmującego i lokalnie wydawane podręczniki; z zadowoleniem przyjmuje jednak zaangażowanie Komisji we współpracę z Autonomią Palestyńską w zakresie reformy programów nauczania opartej na normach UNESCO;</w:t>
            </w:r>
          </w:p>
        </w:tc>
      </w:tr>
    </w:tbl>
    <w:p w14:paraId="1FAA34D1"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5FB8FE88" w14:textId="77777777" w:rsidR="00A82F4D" w:rsidRPr="00B64DD1" w:rsidRDefault="00A82F4D" w:rsidP="00A82F4D">
      <w:r w:rsidRPr="00B64DD1">
        <w:rPr>
          <w:rStyle w:val="HideTWBExt"/>
        </w:rPr>
        <w:t>&lt;/Amend&gt;</w:t>
      </w:r>
    </w:p>
    <w:p w14:paraId="1F62CF89"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48</w:t>
      </w:r>
      <w:r w:rsidRPr="00B64DD1">
        <w:rPr>
          <w:rStyle w:val="HideTWBExt"/>
          <w:b w:val="0"/>
        </w:rPr>
        <w:t>&lt;/NumAm&gt;</w:t>
      </w:r>
    </w:p>
    <w:p w14:paraId="2CC08BC5" w14:textId="77777777" w:rsidR="00A82F4D" w:rsidRPr="00B64DD1" w:rsidRDefault="00A82F4D" w:rsidP="00A82F4D">
      <w:pPr>
        <w:pStyle w:val="NormalBold"/>
      </w:pPr>
      <w:r w:rsidRPr="00B64DD1">
        <w:rPr>
          <w:rStyle w:val="HideTWBExt"/>
          <w:b w:val="0"/>
        </w:rPr>
        <w:t>&lt;RepeatBlock-By&gt;&lt;Members&gt;</w:t>
      </w:r>
      <w:r w:rsidRPr="00B64DD1">
        <w:t xml:space="preserve">Dick </w:t>
      </w:r>
      <w:proofErr w:type="spellStart"/>
      <w:r w:rsidRPr="00B64DD1">
        <w:t>Erixon</w:t>
      </w:r>
      <w:proofErr w:type="spellEnd"/>
      <w:r w:rsidRPr="00B64DD1">
        <w:rPr>
          <w:rStyle w:val="HideTWBExt"/>
          <w:b w:val="0"/>
        </w:rPr>
        <w:t>&lt;/Members&gt;</w:t>
      </w:r>
    </w:p>
    <w:p w14:paraId="71BEC59A" w14:textId="77777777" w:rsidR="00A82F4D" w:rsidRPr="00B64DD1" w:rsidRDefault="00A82F4D" w:rsidP="00A82F4D">
      <w:pPr>
        <w:pStyle w:val="NormalBold"/>
      </w:pPr>
      <w:r w:rsidRPr="00B64DD1">
        <w:rPr>
          <w:rStyle w:val="HideTWBExt"/>
          <w:b w:val="0"/>
        </w:rPr>
        <w:t>&lt;/RepeatBlock-By&gt;</w:t>
      </w:r>
    </w:p>
    <w:p w14:paraId="3EAF9843"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71710ACB" w14:textId="77777777" w:rsidR="00A82F4D" w:rsidRPr="00B64DD1" w:rsidRDefault="00A82F4D" w:rsidP="00A82F4D">
      <w:pPr>
        <w:pStyle w:val="NormalBold"/>
      </w:pPr>
      <w:r w:rsidRPr="00B64DD1">
        <w:rPr>
          <w:rStyle w:val="HideTWBExt"/>
          <w:b w:val="0"/>
        </w:rPr>
        <w:t>&lt;Article&gt;</w:t>
      </w:r>
      <w:r w:rsidRPr="00B64DD1">
        <w:t>Ustęp 18 a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65F3AC81" w14:textId="77777777" w:rsidTr="00EA17FD">
        <w:trPr>
          <w:trHeight w:hRule="exact" w:val="240"/>
          <w:jc w:val="center"/>
        </w:trPr>
        <w:tc>
          <w:tcPr>
            <w:tcW w:w="9752" w:type="dxa"/>
            <w:gridSpan w:val="2"/>
            <w:tcBorders>
              <w:top w:val="nil"/>
              <w:left w:val="nil"/>
              <w:bottom w:val="nil"/>
              <w:right w:val="nil"/>
            </w:tcBorders>
          </w:tcPr>
          <w:p w14:paraId="18B80064" w14:textId="77777777" w:rsidR="00A82F4D" w:rsidRPr="00B64DD1" w:rsidRDefault="00A82F4D" w:rsidP="00EA17FD"/>
        </w:tc>
      </w:tr>
      <w:tr w:rsidR="00A82F4D" w:rsidRPr="00B64DD1" w14:paraId="32F4D1B4" w14:textId="77777777" w:rsidTr="00EA17FD">
        <w:trPr>
          <w:trHeight w:val="240"/>
          <w:jc w:val="center"/>
        </w:trPr>
        <w:tc>
          <w:tcPr>
            <w:tcW w:w="4876" w:type="dxa"/>
            <w:tcBorders>
              <w:top w:val="nil"/>
              <w:left w:val="nil"/>
              <w:bottom w:val="nil"/>
              <w:right w:val="nil"/>
            </w:tcBorders>
          </w:tcPr>
          <w:p w14:paraId="502DC933"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078C786E" w14:textId="77777777" w:rsidR="00A82F4D" w:rsidRPr="00B64DD1" w:rsidRDefault="00A82F4D" w:rsidP="00EA17FD">
            <w:pPr>
              <w:pStyle w:val="AmColumnHeading"/>
            </w:pPr>
            <w:r w:rsidRPr="00B64DD1">
              <w:t>Poprawka</w:t>
            </w:r>
          </w:p>
        </w:tc>
      </w:tr>
      <w:tr w:rsidR="00A82F4D" w:rsidRPr="00B64DD1" w14:paraId="75EB8CB7" w14:textId="77777777" w:rsidTr="00EA17FD">
        <w:trPr>
          <w:jc w:val="center"/>
        </w:trPr>
        <w:tc>
          <w:tcPr>
            <w:tcW w:w="4876" w:type="dxa"/>
            <w:tcBorders>
              <w:top w:val="nil"/>
              <w:left w:val="nil"/>
              <w:bottom w:val="nil"/>
              <w:right w:val="nil"/>
            </w:tcBorders>
          </w:tcPr>
          <w:p w14:paraId="751DB3A4" w14:textId="77777777" w:rsidR="00A82F4D" w:rsidRPr="00B64DD1" w:rsidRDefault="00A82F4D" w:rsidP="00EA17FD">
            <w:pPr>
              <w:pStyle w:val="Normal6a"/>
            </w:pPr>
          </w:p>
        </w:tc>
        <w:tc>
          <w:tcPr>
            <w:tcW w:w="4876" w:type="dxa"/>
            <w:tcBorders>
              <w:top w:val="nil"/>
              <w:left w:val="nil"/>
              <w:bottom w:val="nil"/>
              <w:right w:val="nil"/>
            </w:tcBorders>
          </w:tcPr>
          <w:p w14:paraId="0F817ED6" w14:textId="77777777" w:rsidR="00A82F4D" w:rsidRPr="00B64DD1" w:rsidRDefault="00A82F4D" w:rsidP="00EA17FD">
            <w:pPr>
              <w:pStyle w:val="Normal6a"/>
            </w:pPr>
            <w:r w:rsidRPr="00B64DD1">
              <w:rPr>
                <w:b/>
                <w:i/>
              </w:rPr>
              <w:t>18a.</w:t>
            </w:r>
            <w:r w:rsidRPr="00B64DD1">
              <w:tab/>
            </w:r>
            <w:r w:rsidRPr="00B64DD1">
              <w:rPr>
                <w:b/>
                <w:i/>
              </w:rPr>
              <w:t>wzywa ESDZ do ścisłej współpracy z Komisją w celu dopilnowania, by Palestyńska Władza Narodowa niezwłocznie usunęła wszelkie materiały edukacyjne, które nie są zgodne z normami UNESCO w dziedzinie pokoju i tolerancji; nalega, aby finansowanie UE było uzależnione od usunięcia z programów nauczania treści nawołujących do nienawiści i przemocy;</w:t>
            </w:r>
          </w:p>
        </w:tc>
      </w:tr>
    </w:tbl>
    <w:p w14:paraId="6882326D"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65D579CE" w14:textId="77777777" w:rsidR="00A82F4D" w:rsidRPr="00B64DD1" w:rsidRDefault="00A82F4D" w:rsidP="00A82F4D">
      <w:r w:rsidRPr="00B64DD1">
        <w:rPr>
          <w:rStyle w:val="HideTWBExt"/>
        </w:rPr>
        <w:t>&lt;/Amend&gt;</w:t>
      </w:r>
    </w:p>
    <w:p w14:paraId="6AD4C565"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49</w:t>
      </w:r>
      <w:r w:rsidRPr="00B64DD1">
        <w:rPr>
          <w:rStyle w:val="HideTWBExt"/>
          <w:b w:val="0"/>
        </w:rPr>
        <w:t>&lt;/NumAm&gt;</w:t>
      </w:r>
    </w:p>
    <w:p w14:paraId="7FA59791" w14:textId="77777777" w:rsidR="00A82F4D" w:rsidRPr="00B64DD1" w:rsidRDefault="00A82F4D" w:rsidP="00A82F4D">
      <w:pPr>
        <w:pStyle w:val="NormalBold"/>
      </w:pPr>
      <w:r w:rsidRPr="00B64DD1">
        <w:rPr>
          <w:rStyle w:val="HideTWBExt"/>
          <w:b w:val="0"/>
        </w:rPr>
        <w:t>&lt;RepeatBlock-By&gt;&lt;Members&gt;</w:t>
      </w:r>
      <w:proofErr w:type="spellStart"/>
      <w:r w:rsidRPr="00B64DD1">
        <w:t>Andrey</w:t>
      </w:r>
      <w:proofErr w:type="spellEnd"/>
      <w:r w:rsidRPr="00B64DD1">
        <w:t xml:space="preserve"> </w:t>
      </w:r>
      <w:proofErr w:type="spellStart"/>
      <w:r w:rsidRPr="00B64DD1">
        <w:t>Kovatchev</w:t>
      </w:r>
      <w:proofErr w:type="spellEnd"/>
      <w:r w:rsidRPr="00B64DD1">
        <w:rPr>
          <w:rStyle w:val="HideTWBExt"/>
          <w:b w:val="0"/>
        </w:rPr>
        <w:t>&lt;/Members&gt;</w:t>
      </w:r>
    </w:p>
    <w:p w14:paraId="0EB49AD4" w14:textId="77777777" w:rsidR="00A82F4D" w:rsidRPr="00B64DD1" w:rsidRDefault="00A82F4D" w:rsidP="00A82F4D">
      <w:pPr>
        <w:pStyle w:val="NormalBold"/>
      </w:pPr>
      <w:r w:rsidRPr="00B64DD1">
        <w:rPr>
          <w:rStyle w:val="HideTWBExt"/>
          <w:b w:val="0"/>
        </w:rPr>
        <w:t>&lt;/RepeatBlock-By&gt;</w:t>
      </w:r>
    </w:p>
    <w:p w14:paraId="41A461F3"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5A4E8430" w14:textId="77777777" w:rsidR="00A82F4D" w:rsidRPr="00B64DD1" w:rsidRDefault="00A82F4D" w:rsidP="00A82F4D">
      <w:pPr>
        <w:pStyle w:val="NormalBold"/>
      </w:pPr>
      <w:r w:rsidRPr="00B64DD1">
        <w:rPr>
          <w:rStyle w:val="HideTWBExt"/>
          <w:b w:val="0"/>
        </w:rPr>
        <w:t>&lt;Article&gt;</w:t>
      </w:r>
      <w:r w:rsidRPr="00B64DD1">
        <w:t>Ustęp 18 a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477408F2" w14:textId="77777777" w:rsidTr="00EA17FD">
        <w:trPr>
          <w:trHeight w:hRule="exact" w:val="240"/>
          <w:jc w:val="center"/>
        </w:trPr>
        <w:tc>
          <w:tcPr>
            <w:tcW w:w="9752" w:type="dxa"/>
            <w:gridSpan w:val="2"/>
            <w:tcBorders>
              <w:top w:val="nil"/>
              <w:left w:val="nil"/>
              <w:bottom w:val="nil"/>
              <w:right w:val="nil"/>
            </w:tcBorders>
          </w:tcPr>
          <w:p w14:paraId="11320845" w14:textId="77777777" w:rsidR="00A82F4D" w:rsidRPr="00B64DD1" w:rsidRDefault="00A82F4D" w:rsidP="00EA17FD"/>
        </w:tc>
      </w:tr>
      <w:tr w:rsidR="00A82F4D" w:rsidRPr="00B64DD1" w14:paraId="17A03CF2" w14:textId="77777777" w:rsidTr="00EA17FD">
        <w:trPr>
          <w:trHeight w:val="240"/>
          <w:jc w:val="center"/>
        </w:trPr>
        <w:tc>
          <w:tcPr>
            <w:tcW w:w="4876" w:type="dxa"/>
            <w:tcBorders>
              <w:top w:val="nil"/>
              <w:left w:val="nil"/>
              <w:bottom w:val="nil"/>
              <w:right w:val="nil"/>
            </w:tcBorders>
          </w:tcPr>
          <w:p w14:paraId="49880980"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02E14853" w14:textId="77777777" w:rsidR="00A82F4D" w:rsidRPr="00B64DD1" w:rsidRDefault="00A82F4D" w:rsidP="00EA17FD">
            <w:pPr>
              <w:pStyle w:val="AmColumnHeading"/>
            </w:pPr>
            <w:r w:rsidRPr="00B64DD1">
              <w:t>Poprawka</w:t>
            </w:r>
          </w:p>
        </w:tc>
      </w:tr>
      <w:tr w:rsidR="00A82F4D" w:rsidRPr="00B64DD1" w14:paraId="661C8E4C" w14:textId="77777777" w:rsidTr="00EA17FD">
        <w:trPr>
          <w:jc w:val="center"/>
        </w:trPr>
        <w:tc>
          <w:tcPr>
            <w:tcW w:w="4876" w:type="dxa"/>
            <w:tcBorders>
              <w:top w:val="nil"/>
              <w:left w:val="nil"/>
              <w:bottom w:val="nil"/>
              <w:right w:val="nil"/>
            </w:tcBorders>
          </w:tcPr>
          <w:p w14:paraId="794ECA82" w14:textId="77777777" w:rsidR="00A82F4D" w:rsidRPr="00B64DD1" w:rsidRDefault="00A82F4D" w:rsidP="00EA17FD">
            <w:pPr>
              <w:pStyle w:val="Normal6a"/>
            </w:pPr>
          </w:p>
        </w:tc>
        <w:tc>
          <w:tcPr>
            <w:tcW w:w="4876" w:type="dxa"/>
            <w:tcBorders>
              <w:top w:val="nil"/>
              <w:left w:val="nil"/>
              <w:bottom w:val="nil"/>
              <w:right w:val="nil"/>
            </w:tcBorders>
          </w:tcPr>
          <w:p w14:paraId="5EBBCFB7" w14:textId="77777777" w:rsidR="00A82F4D" w:rsidRPr="00B64DD1" w:rsidRDefault="00A82F4D" w:rsidP="00EA17FD">
            <w:pPr>
              <w:pStyle w:val="Normal6a"/>
            </w:pPr>
            <w:r w:rsidRPr="00B64DD1">
              <w:rPr>
                <w:b/>
                <w:i/>
              </w:rPr>
              <w:t>18a.</w:t>
            </w:r>
            <w:r w:rsidRPr="00B64DD1">
              <w:tab/>
            </w:r>
            <w:r w:rsidRPr="00B64DD1">
              <w:rPr>
                <w:b/>
                <w:i/>
              </w:rPr>
              <w:t>wyraża głębokie zaniepokojenie doniesieniami, że pracownicy UNRWA w Strefie Gazy byli zamieszani w nikczemne ataki terrorystyczne Hamasu przeciwko Izraelowi w dniu 7 października 2023 r.; wzywa Komisję i ESDZ do dopilnowania, aby żadne fundusze unijne nie były przyznawane osobom lub organizacjom powiązanym z jakimikolwiek ruchami terrorystycznymi lub innymi ruchami wyrażającymi poglądy ekstremistyczne, które są bezpośrednio sprzeczne z podstawowymi wartościami Unii Europejskiej; przypomina, jak ważne jest, by Komisja i ESDZ zagwarantowały niezależne kontrole UNRWA realizowane przez ekspertów zewnętrznych, Trybunał i doświadczonych partnerów międzynarodowych; wzywa ESDZ, aby w razie potrzeby współpracowała z innymi wiarygodnymi partnerami w Strefie Gazy i na terytoriach palestyńskich w celu zapewnienia dalszego dostarczania pomocy humanitarnej ludności palestyńskiej; z zadowoleniem przyjmuje ostatnie zobowiązania mające na celu zakończenie wojny w Strefie Gazy i przyjmuje do wiadomości 20-punktowy plan pokojowy zaproponowany przez administrację amerykańską; wzywa ESDZ do współpracy z Radą na rzecz Pokoju w celu osiągnięcia sprawiedliwego, trwałego i zrównoważonego pokoju w Strefie Gazy i na całym Bliskim Wschodzie; z zadowoleniem przyjmuje mianowanie Wysokiego Przedstawiciela ds. Strefy Gazy jako krok w kierunku zacieśnienia dialogu i budowania zaufania wśród wszystkich zainteresowanych stron;</w:t>
            </w:r>
          </w:p>
        </w:tc>
      </w:tr>
    </w:tbl>
    <w:p w14:paraId="708BEC3F"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42F329A4" w14:textId="77777777" w:rsidR="00A82F4D" w:rsidRPr="00B64DD1" w:rsidRDefault="00A82F4D" w:rsidP="00A82F4D">
      <w:r w:rsidRPr="00B64DD1">
        <w:rPr>
          <w:rStyle w:val="HideTWBExt"/>
        </w:rPr>
        <w:t>&lt;/Amend&gt;</w:t>
      </w:r>
    </w:p>
    <w:p w14:paraId="7000DADB"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50</w:t>
      </w:r>
      <w:r w:rsidRPr="00B64DD1">
        <w:rPr>
          <w:rStyle w:val="HideTWBExt"/>
          <w:b w:val="0"/>
        </w:rPr>
        <w:t>&lt;/NumAm&gt;</w:t>
      </w:r>
    </w:p>
    <w:p w14:paraId="6BD8EC88" w14:textId="77777777" w:rsidR="00A82F4D" w:rsidRPr="00B64DD1" w:rsidRDefault="00A82F4D" w:rsidP="00A82F4D">
      <w:pPr>
        <w:pStyle w:val="NormalBold"/>
      </w:pPr>
      <w:r w:rsidRPr="00B64DD1">
        <w:rPr>
          <w:rStyle w:val="HideTWBExt"/>
          <w:b w:val="0"/>
        </w:rPr>
        <w:t>&lt;RepeatBlock-By&gt;&lt;Members&gt;</w:t>
      </w:r>
      <w:r w:rsidRPr="00B64DD1">
        <w:t xml:space="preserve">José </w:t>
      </w:r>
      <w:proofErr w:type="spellStart"/>
      <w:r w:rsidRPr="00B64DD1">
        <w:t>Cepeda</w:t>
      </w:r>
      <w:proofErr w:type="spellEnd"/>
      <w:r w:rsidRPr="00B64DD1">
        <w:t xml:space="preserve">, </w:t>
      </w:r>
      <w:proofErr w:type="spellStart"/>
      <w:r w:rsidRPr="00B64DD1">
        <w:t>Nacho</w:t>
      </w:r>
      <w:proofErr w:type="spellEnd"/>
      <w:r w:rsidRPr="00B64DD1">
        <w:t xml:space="preserve"> </w:t>
      </w:r>
      <w:proofErr w:type="spellStart"/>
      <w:r w:rsidRPr="00B64DD1">
        <w:t>Sánchez</w:t>
      </w:r>
      <w:proofErr w:type="spellEnd"/>
      <w:r w:rsidRPr="00B64DD1">
        <w:t xml:space="preserve"> Amor</w:t>
      </w:r>
      <w:r w:rsidRPr="00B64DD1">
        <w:rPr>
          <w:rStyle w:val="HideTWBExt"/>
          <w:b w:val="0"/>
        </w:rPr>
        <w:t>&lt;/Members&gt;</w:t>
      </w:r>
    </w:p>
    <w:p w14:paraId="7BF709AD" w14:textId="77777777" w:rsidR="00A82F4D" w:rsidRPr="00B64DD1" w:rsidRDefault="00A82F4D" w:rsidP="00A82F4D">
      <w:pPr>
        <w:pStyle w:val="NormalBold"/>
      </w:pPr>
      <w:r w:rsidRPr="00B64DD1">
        <w:rPr>
          <w:rStyle w:val="HideTWBExt"/>
          <w:b w:val="0"/>
        </w:rPr>
        <w:lastRenderedPageBreak/>
        <w:t>&lt;/RepeatBlock-By&gt;</w:t>
      </w:r>
    </w:p>
    <w:p w14:paraId="4F3B1DD2"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29F3D164" w14:textId="77777777" w:rsidR="00A82F4D" w:rsidRPr="00B64DD1" w:rsidRDefault="00A82F4D" w:rsidP="00A82F4D">
      <w:pPr>
        <w:pStyle w:val="NormalBold"/>
      </w:pPr>
      <w:r w:rsidRPr="00B64DD1">
        <w:rPr>
          <w:rStyle w:val="HideTWBExt"/>
          <w:b w:val="0"/>
        </w:rPr>
        <w:t>&lt;Article&gt;</w:t>
      </w:r>
      <w:r w:rsidRPr="00B64DD1">
        <w:t>Ustęp 18 a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71F030FF" w14:textId="77777777" w:rsidTr="00EA17FD">
        <w:trPr>
          <w:trHeight w:hRule="exact" w:val="240"/>
          <w:jc w:val="center"/>
        </w:trPr>
        <w:tc>
          <w:tcPr>
            <w:tcW w:w="9752" w:type="dxa"/>
            <w:gridSpan w:val="2"/>
            <w:tcBorders>
              <w:top w:val="nil"/>
              <w:left w:val="nil"/>
              <w:bottom w:val="nil"/>
              <w:right w:val="nil"/>
            </w:tcBorders>
          </w:tcPr>
          <w:p w14:paraId="09B4A37A" w14:textId="77777777" w:rsidR="00A82F4D" w:rsidRPr="00B64DD1" w:rsidRDefault="00A82F4D" w:rsidP="00EA17FD"/>
        </w:tc>
      </w:tr>
      <w:tr w:rsidR="00A82F4D" w:rsidRPr="00B64DD1" w14:paraId="568FD475" w14:textId="77777777" w:rsidTr="00EA17FD">
        <w:trPr>
          <w:trHeight w:val="240"/>
          <w:jc w:val="center"/>
        </w:trPr>
        <w:tc>
          <w:tcPr>
            <w:tcW w:w="4876" w:type="dxa"/>
            <w:tcBorders>
              <w:top w:val="nil"/>
              <w:left w:val="nil"/>
              <w:bottom w:val="nil"/>
              <w:right w:val="nil"/>
            </w:tcBorders>
          </w:tcPr>
          <w:p w14:paraId="269490E3"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2C871DD2" w14:textId="77777777" w:rsidR="00A82F4D" w:rsidRPr="00B64DD1" w:rsidRDefault="00A82F4D" w:rsidP="00EA17FD">
            <w:pPr>
              <w:pStyle w:val="AmColumnHeading"/>
            </w:pPr>
            <w:r w:rsidRPr="00B64DD1">
              <w:t>Poprawka</w:t>
            </w:r>
          </w:p>
        </w:tc>
      </w:tr>
      <w:tr w:rsidR="00A82F4D" w:rsidRPr="00B64DD1" w14:paraId="6CD96932" w14:textId="77777777" w:rsidTr="00EA17FD">
        <w:trPr>
          <w:jc w:val="center"/>
        </w:trPr>
        <w:tc>
          <w:tcPr>
            <w:tcW w:w="4876" w:type="dxa"/>
            <w:tcBorders>
              <w:top w:val="nil"/>
              <w:left w:val="nil"/>
              <w:bottom w:val="nil"/>
              <w:right w:val="nil"/>
            </w:tcBorders>
          </w:tcPr>
          <w:p w14:paraId="66D67E2B" w14:textId="77777777" w:rsidR="00A82F4D" w:rsidRPr="00B64DD1" w:rsidRDefault="00A82F4D" w:rsidP="00EA17FD">
            <w:pPr>
              <w:pStyle w:val="Normal6a"/>
            </w:pPr>
          </w:p>
        </w:tc>
        <w:tc>
          <w:tcPr>
            <w:tcW w:w="4876" w:type="dxa"/>
            <w:tcBorders>
              <w:top w:val="nil"/>
              <w:left w:val="nil"/>
              <w:bottom w:val="nil"/>
              <w:right w:val="nil"/>
            </w:tcBorders>
          </w:tcPr>
          <w:p w14:paraId="4DB32684" w14:textId="77777777" w:rsidR="00A82F4D" w:rsidRPr="00B64DD1" w:rsidRDefault="00A82F4D" w:rsidP="00EA17FD">
            <w:pPr>
              <w:pStyle w:val="Normal6a"/>
            </w:pPr>
            <w:r w:rsidRPr="00B64DD1">
              <w:rPr>
                <w:b/>
                <w:i/>
              </w:rPr>
              <w:t>18a.</w:t>
            </w:r>
            <w:r w:rsidRPr="00B64DD1">
              <w:tab/>
            </w:r>
            <w:r w:rsidRPr="00B64DD1">
              <w:rPr>
                <w:b/>
                <w:i/>
              </w:rPr>
              <w:t xml:space="preserve">przypomina, że Europejska Służba Działań Zewnętrznych jest odpowiedzialna za zapewnienie wytycznych politycznych i nadzoru strategicznego nad działaniami zewnętrznymi Unii, podczas gdy Komisja zachowuje pełną odpowiedzialność za zarządzanie, zawieranie umów i wypłacanie środków budżetowych UE przekazywanych partnerom realizującym działania i organizacjom międzynarodowym; w tym kontekście z zadowoleniem przyjmuje ocenę Komisji, zgodnie z którą UNRWA spełniła wszystkie warunki uzgodnione z UE dotyczące dalszego finansowania w 2024 r., w tym zakończenie audytu przeprowadzonego przez ekspertów wyznaczonych przez UE; w tym kontekście zachęca Komisję do dalszego zaangażowania i ścisłego monitorowania sytuacji w celu zapewnienia dalszego finansowania z gwarancjami neutralności, przejrzystości i odpowiedzialności; podkreśla kluczową rolę, jaką UNRWA odgrywa w dostarczaniu pomocy humanitarnej palestyńskim uchodźcom, zgodnie z celem Unii, jakim jest wspieranie reform politycznych, gospodarczych i społecznych w regionie południowego sąsiedztwa, i ponawia apel zawarty w swojej rezolucji z dnia 20 stycznia 2026 r. w sprawie pomocy humanitarnej w czasie </w:t>
            </w:r>
            <w:proofErr w:type="spellStart"/>
            <w:r w:rsidRPr="00B64DD1">
              <w:rPr>
                <w:b/>
                <w:i/>
              </w:rPr>
              <w:t>polikryzysu</w:t>
            </w:r>
            <w:proofErr w:type="spellEnd"/>
            <w:r w:rsidRPr="00B64DD1">
              <w:rPr>
                <w:b/>
                <w:i/>
              </w:rPr>
              <w:t>;</w:t>
            </w:r>
          </w:p>
        </w:tc>
      </w:tr>
    </w:tbl>
    <w:p w14:paraId="6BA59BCC"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4B56CC08" w14:textId="77777777" w:rsidR="00A82F4D" w:rsidRPr="00B64DD1" w:rsidRDefault="00A82F4D" w:rsidP="00A82F4D">
      <w:r w:rsidRPr="00B64DD1">
        <w:rPr>
          <w:rStyle w:val="HideTWBExt"/>
        </w:rPr>
        <w:t>&lt;/Amend&gt;</w:t>
      </w:r>
    </w:p>
    <w:p w14:paraId="2B6ADE19"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51</w:t>
      </w:r>
      <w:r w:rsidRPr="00B64DD1">
        <w:rPr>
          <w:rStyle w:val="HideTWBExt"/>
          <w:b w:val="0"/>
        </w:rPr>
        <w:t>&lt;/NumAm&gt;</w:t>
      </w:r>
    </w:p>
    <w:p w14:paraId="3DD72D2A" w14:textId="77777777" w:rsidR="00A82F4D" w:rsidRPr="00B64DD1" w:rsidRDefault="00A82F4D" w:rsidP="00A82F4D">
      <w:pPr>
        <w:pStyle w:val="NormalBold"/>
      </w:pPr>
      <w:r w:rsidRPr="00B64DD1">
        <w:rPr>
          <w:rStyle w:val="HideTWBExt"/>
          <w:b w:val="0"/>
        </w:rPr>
        <w:t>&lt;RepeatBlock-By&gt;&lt;Members&gt;</w:t>
      </w:r>
      <w:proofErr w:type="spellStart"/>
      <w:r w:rsidRPr="00B64DD1">
        <w:t>Andrey</w:t>
      </w:r>
      <w:proofErr w:type="spellEnd"/>
      <w:r w:rsidRPr="00B64DD1">
        <w:t xml:space="preserve"> </w:t>
      </w:r>
      <w:proofErr w:type="spellStart"/>
      <w:r w:rsidRPr="00B64DD1">
        <w:t>Kovatchev</w:t>
      </w:r>
      <w:proofErr w:type="spellEnd"/>
      <w:r w:rsidRPr="00B64DD1">
        <w:rPr>
          <w:rStyle w:val="HideTWBExt"/>
          <w:b w:val="0"/>
        </w:rPr>
        <w:t>&lt;/Members&gt;</w:t>
      </w:r>
    </w:p>
    <w:p w14:paraId="02EC740F" w14:textId="77777777" w:rsidR="00A82F4D" w:rsidRPr="00B64DD1" w:rsidRDefault="00A82F4D" w:rsidP="00A82F4D">
      <w:pPr>
        <w:pStyle w:val="NormalBold"/>
      </w:pPr>
      <w:r w:rsidRPr="00B64DD1">
        <w:rPr>
          <w:rStyle w:val="HideTWBExt"/>
          <w:b w:val="0"/>
        </w:rPr>
        <w:t>&lt;/RepeatBlock-By&gt;</w:t>
      </w:r>
    </w:p>
    <w:p w14:paraId="442D2815" w14:textId="77777777" w:rsidR="00A82F4D" w:rsidRPr="00B64DD1" w:rsidRDefault="00A82F4D" w:rsidP="00A82F4D">
      <w:pPr>
        <w:pStyle w:val="NormalBold"/>
      </w:pPr>
      <w:r w:rsidRPr="00B64DD1">
        <w:rPr>
          <w:rStyle w:val="HideTWBExt"/>
          <w:b w:val="0"/>
        </w:rPr>
        <w:lastRenderedPageBreak/>
        <w:t>&lt;DocAmend&gt;</w:t>
      </w:r>
      <w:r w:rsidRPr="00B64DD1">
        <w:t>Projekt rezolucji</w:t>
      </w:r>
      <w:r w:rsidRPr="00B64DD1">
        <w:rPr>
          <w:rStyle w:val="HideTWBExt"/>
          <w:b w:val="0"/>
        </w:rPr>
        <w:t>&lt;/DocAmend&gt;</w:t>
      </w:r>
    </w:p>
    <w:p w14:paraId="13679629" w14:textId="77777777" w:rsidR="00A82F4D" w:rsidRPr="00B64DD1" w:rsidRDefault="00A82F4D" w:rsidP="00A82F4D">
      <w:pPr>
        <w:pStyle w:val="NormalBold"/>
      </w:pPr>
      <w:r w:rsidRPr="00B64DD1">
        <w:rPr>
          <w:rStyle w:val="HideTWBExt"/>
          <w:b w:val="0"/>
        </w:rPr>
        <w:t>&lt;Article&gt;</w:t>
      </w:r>
      <w:r w:rsidRPr="00B64DD1">
        <w:t>Ustęp 18 b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5D050CF5" w14:textId="77777777" w:rsidTr="00EA17FD">
        <w:trPr>
          <w:trHeight w:hRule="exact" w:val="240"/>
          <w:jc w:val="center"/>
        </w:trPr>
        <w:tc>
          <w:tcPr>
            <w:tcW w:w="9752" w:type="dxa"/>
            <w:gridSpan w:val="2"/>
            <w:tcBorders>
              <w:top w:val="nil"/>
              <w:left w:val="nil"/>
              <w:bottom w:val="nil"/>
              <w:right w:val="nil"/>
            </w:tcBorders>
          </w:tcPr>
          <w:p w14:paraId="07F855ED" w14:textId="77777777" w:rsidR="00A82F4D" w:rsidRPr="00B64DD1" w:rsidRDefault="00A82F4D" w:rsidP="00EA17FD"/>
        </w:tc>
      </w:tr>
      <w:tr w:rsidR="00A82F4D" w:rsidRPr="00B64DD1" w14:paraId="486DFF0B" w14:textId="77777777" w:rsidTr="00EA17FD">
        <w:trPr>
          <w:trHeight w:val="240"/>
          <w:jc w:val="center"/>
        </w:trPr>
        <w:tc>
          <w:tcPr>
            <w:tcW w:w="4876" w:type="dxa"/>
            <w:tcBorders>
              <w:top w:val="nil"/>
              <w:left w:val="nil"/>
              <w:bottom w:val="nil"/>
              <w:right w:val="nil"/>
            </w:tcBorders>
          </w:tcPr>
          <w:p w14:paraId="25CF051F"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1204423E" w14:textId="77777777" w:rsidR="00A82F4D" w:rsidRPr="00B64DD1" w:rsidRDefault="00A82F4D" w:rsidP="00EA17FD">
            <w:pPr>
              <w:pStyle w:val="AmColumnHeading"/>
            </w:pPr>
            <w:r w:rsidRPr="00B64DD1">
              <w:t>Poprawka</w:t>
            </w:r>
          </w:p>
        </w:tc>
      </w:tr>
      <w:tr w:rsidR="00A82F4D" w:rsidRPr="00B64DD1" w14:paraId="481886A9" w14:textId="77777777" w:rsidTr="00EA17FD">
        <w:trPr>
          <w:jc w:val="center"/>
        </w:trPr>
        <w:tc>
          <w:tcPr>
            <w:tcW w:w="4876" w:type="dxa"/>
            <w:tcBorders>
              <w:top w:val="nil"/>
              <w:left w:val="nil"/>
              <w:bottom w:val="nil"/>
              <w:right w:val="nil"/>
            </w:tcBorders>
          </w:tcPr>
          <w:p w14:paraId="3EDE1D84" w14:textId="77777777" w:rsidR="00A82F4D" w:rsidRPr="00B64DD1" w:rsidRDefault="00A82F4D" w:rsidP="00EA17FD">
            <w:pPr>
              <w:pStyle w:val="Normal6a"/>
            </w:pPr>
          </w:p>
        </w:tc>
        <w:tc>
          <w:tcPr>
            <w:tcW w:w="4876" w:type="dxa"/>
            <w:tcBorders>
              <w:top w:val="nil"/>
              <w:left w:val="nil"/>
              <w:bottom w:val="nil"/>
              <w:right w:val="nil"/>
            </w:tcBorders>
          </w:tcPr>
          <w:p w14:paraId="6A1F2698" w14:textId="77777777" w:rsidR="00A82F4D" w:rsidRPr="00B64DD1" w:rsidRDefault="00A82F4D" w:rsidP="00EA17FD">
            <w:pPr>
              <w:pStyle w:val="Normal6a"/>
            </w:pPr>
            <w:r w:rsidRPr="00B64DD1">
              <w:rPr>
                <w:b/>
                <w:i/>
              </w:rPr>
              <w:t>18b.</w:t>
            </w:r>
            <w:r w:rsidRPr="00B64DD1">
              <w:tab/>
            </w:r>
            <w:r w:rsidRPr="00B64DD1">
              <w:rPr>
                <w:b/>
                <w:i/>
              </w:rPr>
              <w:t>przypomina, że Palestyńska Władza Narodowa musi usunąć do następnego roku szkolnego wszelkie materiały i treści edukacyjne,, które nie są zgodne ze standardami UNESCO, w szczególności te, które zawierają elementy antysemickie zdefiniowane w klasyfikacji Międzynarodowego Sojuszu na rzecz Pamięci o Holokauście zatwierdzonej przez Unię, podżeganie do przemocy, nawoływanie do nienawiści i gloryfikowanie terroryzmu; podkreśla, że wsparcie finansowe Unii dla Palestyńskiej Władzy Narodowej w dziedzinie edukacji powinno być udzielane pod warunkiem, że treść podręczników będzie zgodna ze standardami UNESCO oraz że wszystkie odniesienia antysemickie oraz przykłady podżegające do nienawiści i przemocy zostaną usunięte, jak wielokrotnie postulowano w rezolucjach towarzyszących decyzjom o udzieleniu absolutorium; przypomina ustalenia zawarte w sprawozdaniu Instytutu Georga Eckerta sfinansowanym przez Unię, który ujawnił złożony obraz podręczników; wzywa ESDZ do dopilnowania, wraz z Komisją, aby żadne środki unijne nie były przydzielane, bezpośrednio ani pośrednio, na opracowywanie, nauczanie lub udostępnianie palestyńskim dzieciom takich materiałów edukacyjnych, w tym materiałów dostarczanych przez organizacje ONZ;</w:t>
            </w:r>
          </w:p>
        </w:tc>
      </w:tr>
    </w:tbl>
    <w:p w14:paraId="6FF2DB61"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52D71E36" w14:textId="77777777" w:rsidR="00A82F4D" w:rsidRPr="00B64DD1" w:rsidRDefault="00A82F4D" w:rsidP="00A82F4D">
      <w:r w:rsidRPr="00B64DD1">
        <w:rPr>
          <w:rStyle w:val="HideTWBExt"/>
        </w:rPr>
        <w:t>&lt;/Amend&gt;</w:t>
      </w:r>
    </w:p>
    <w:p w14:paraId="09B1DEC1"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52</w:t>
      </w:r>
      <w:r w:rsidRPr="00B64DD1">
        <w:rPr>
          <w:rStyle w:val="HideTWBExt"/>
          <w:b w:val="0"/>
        </w:rPr>
        <w:t>&lt;/NumAm&gt;</w:t>
      </w:r>
    </w:p>
    <w:p w14:paraId="07BB352F" w14:textId="77777777" w:rsidR="00A82F4D" w:rsidRPr="00B64DD1" w:rsidRDefault="00A82F4D" w:rsidP="00A82F4D">
      <w:pPr>
        <w:pStyle w:val="NormalBold"/>
      </w:pPr>
      <w:r w:rsidRPr="00B64DD1">
        <w:rPr>
          <w:rStyle w:val="HideTWBExt"/>
          <w:b w:val="0"/>
        </w:rPr>
        <w:t>&lt;RepeatBlock-By&gt;&lt;Members&gt;</w:t>
      </w:r>
      <w:proofErr w:type="spellStart"/>
      <w:r w:rsidRPr="00B64DD1">
        <w:t>Pasquale</w:t>
      </w:r>
      <w:proofErr w:type="spellEnd"/>
      <w:r w:rsidRPr="00B64DD1">
        <w:t xml:space="preserve"> </w:t>
      </w:r>
      <w:proofErr w:type="spellStart"/>
      <w:r w:rsidRPr="00B64DD1">
        <w:t>Tridico</w:t>
      </w:r>
      <w:proofErr w:type="spellEnd"/>
      <w:r w:rsidRPr="00B64DD1">
        <w:rPr>
          <w:rStyle w:val="HideTWBExt"/>
          <w:b w:val="0"/>
        </w:rPr>
        <w:t>&lt;/Members&gt;</w:t>
      </w:r>
    </w:p>
    <w:p w14:paraId="33F3FFDA" w14:textId="77777777" w:rsidR="00A82F4D" w:rsidRPr="00B64DD1" w:rsidRDefault="00A82F4D" w:rsidP="00A82F4D">
      <w:pPr>
        <w:pStyle w:val="NormalBold"/>
      </w:pPr>
      <w:r w:rsidRPr="00B64DD1">
        <w:rPr>
          <w:rStyle w:val="HideTWBExt"/>
          <w:b w:val="0"/>
        </w:rPr>
        <w:t>&lt;/RepeatBlock-By&gt;</w:t>
      </w:r>
    </w:p>
    <w:p w14:paraId="32AB1561"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685FF324" w14:textId="77777777" w:rsidR="00A82F4D" w:rsidRPr="00B64DD1" w:rsidRDefault="00A82F4D" w:rsidP="00A82F4D">
      <w:pPr>
        <w:pStyle w:val="NormalBold"/>
      </w:pPr>
      <w:r w:rsidRPr="00B64DD1">
        <w:rPr>
          <w:rStyle w:val="HideTWBExt"/>
          <w:b w:val="0"/>
        </w:rPr>
        <w:t>&lt;Article&gt;</w:t>
      </w:r>
      <w:r w:rsidRPr="00B64DD1">
        <w:t>Ustęp 18 b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40FD094A" w14:textId="77777777" w:rsidTr="00EA17FD">
        <w:trPr>
          <w:trHeight w:hRule="exact" w:val="240"/>
          <w:jc w:val="center"/>
        </w:trPr>
        <w:tc>
          <w:tcPr>
            <w:tcW w:w="9752" w:type="dxa"/>
            <w:gridSpan w:val="2"/>
            <w:tcBorders>
              <w:top w:val="nil"/>
              <w:left w:val="nil"/>
              <w:bottom w:val="nil"/>
              <w:right w:val="nil"/>
            </w:tcBorders>
          </w:tcPr>
          <w:p w14:paraId="43FFA22A" w14:textId="77777777" w:rsidR="00A82F4D" w:rsidRPr="00B64DD1" w:rsidRDefault="00A82F4D" w:rsidP="00EA17FD"/>
        </w:tc>
      </w:tr>
      <w:tr w:rsidR="00A82F4D" w:rsidRPr="00B64DD1" w14:paraId="708F5AA9" w14:textId="77777777" w:rsidTr="00EA17FD">
        <w:trPr>
          <w:trHeight w:val="240"/>
          <w:jc w:val="center"/>
        </w:trPr>
        <w:tc>
          <w:tcPr>
            <w:tcW w:w="4876" w:type="dxa"/>
            <w:tcBorders>
              <w:top w:val="nil"/>
              <w:left w:val="nil"/>
              <w:bottom w:val="nil"/>
              <w:right w:val="nil"/>
            </w:tcBorders>
          </w:tcPr>
          <w:p w14:paraId="465A222A"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0ADD8DA3" w14:textId="77777777" w:rsidR="00A82F4D" w:rsidRPr="00B64DD1" w:rsidRDefault="00A82F4D" w:rsidP="00EA17FD">
            <w:pPr>
              <w:pStyle w:val="AmColumnHeading"/>
            </w:pPr>
            <w:r w:rsidRPr="00B64DD1">
              <w:t>Poprawka</w:t>
            </w:r>
          </w:p>
        </w:tc>
      </w:tr>
      <w:tr w:rsidR="00A82F4D" w:rsidRPr="00B64DD1" w14:paraId="6AD23690" w14:textId="77777777" w:rsidTr="00EA17FD">
        <w:trPr>
          <w:jc w:val="center"/>
        </w:trPr>
        <w:tc>
          <w:tcPr>
            <w:tcW w:w="4876" w:type="dxa"/>
            <w:tcBorders>
              <w:top w:val="nil"/>
              <w:left w:val="nil"/>
              <w:bottom w:val="nil"/>
              <w:right w:val="nil"/>
            </w:tcBorders>
          </w:tcPr>
          <w:p w14:paraId="46960B4B" w14:textId="77777777" w:rsidR="00A82F4D" w:rsidRPr="00B64DD1" w:rsidRDefault="00A82F4D" w:rsidP="00EA17FD">
            <w:pPr>
              <w:pStyle w:val="Normal6a"/>
            </w:pPr>
          </w:p>
        </w:tc>
        <w:tc>
          <w:tcPr>
            <w:tcW w:w="4876" w:type="dxa"/>
            <w:tcBorders>
              <w:top w:val="nil"/>
              <w:left w:val="nil"/>
              <w:bottom w:val="nil"/>
              <w:right w:val="nil"/>
            </w:tcBorders>
          </w:tcPr>
          <w:p w14:paraId="053C0681" w14:textId="77777777" w:rsidR="00A82F4D" w:rsidRPr="00B64DD1" w:rsidRDefault="00A82F4D" w:rsidP="00EA17FD">
            <w:pPr>
              <w:pStyle w:val="Normal6a"/>
            </w:pPr>
            <w:r w:rsidRPr="00B64DD1">
              <w:rPr>
                <w:b/>
                <w:i/>
              </w:rPr>
              <w:t>18b.</w:t>
            </w:r>
            <w:r w:rsidRPr="00B64DD1">
              <w:tab/>
            </w:r>
            <w:r w:rsidRPr="00B64DD1">
              <w:rPr>
                <w:b/>
                <w:i/>
              </w:rPr>
              <w:t>wyraża zaniepokojenie raportem dotyczącym podejrzanych wewnętrznych dokumentów Hamasu z lat 2018–2022, pierwotnie znalezionych przez izraelskie siły zbrojne w Strefie Gazy, a następnie odtajnionych i rozpowszechnionych przez organizację pozarządową Monitor, które rzekomo wskazują na próby infiltracji i monitorowania projektów humanitarnych finansowanych przez UE w Strefie Gazy; odnotowuje, że zarówno organizacje wymienione w raporcie, jak i Komisja zdecydowanie odrzuciły te zarzuty i uznały je za pozbawione uzasadnionych dowodów; przypomina, że zgodnie z rozporządzeniem finansowym UE posiada solidny system kontroli, obejmujący systemy należytej staranności, kontroli antyterrorystycznej i weryfikacji personelu, którymi objęci są wszyscy partnerzy realizujący projekty; przypomina, że w dużej mierze w odpowiedzi na żądania Parlamentu Europejskiego od 2023 r. dodatkowo wzmocniono mechanizmy weryfikacji, w tym poprzez wprowadzenie szczegółowych audytów, analiz ryzyka i dodatkowego monitoringu zewnętrznego; podkreśla, że należy dokładnie weryfikować wszelkie zarzuty dotyczące niewłaściwego wykorzystania środków pochodzących od podatników UE, i wzywa Komisję do zbadania wszystkich zarzutów dotyczących wszelkiego rodzaju bezprawnej infiltracji i wywierania wpływu w ramach projektów humanitarnych finansowanych przez UE w obszarach wysokiego ryzyka oraz do zawieszenia lub odzyskania środków UE w przypadku potwierdzenia naruszeń; ostrzega, że w konfliktach zbrojnych dezinformacja i walka informacyjna prowadzona w celach strategicznych są powszechną praktyką;</w:t>
            </w:r>
          </w:p>
        </w:tc>
      </w:tr>
    </w:tbl>
    <w:p w14:paraId="1D8418E4"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6FBBAFED" w14:textId="77777777" w:rsidR="00A82F4D" w:rsidRPr="00B64DD1" w:rsidRDefault="00A82F4D" w:rsidP="00A82F4D">
      <w:r w:rsidRPr="00B64DD1">
        <w:rPr>
          <w:rStyle w:val="HideTWBExt"/>
        </w:rPr>
        <w:lastRenderedPageBreak/>
        <w:t>&lt;/Amend&gt;</w:t>
      </w:r>
    </w:p>
    <w:p w14:paraId="339CA88C"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53</w:t>
      </w:r>
      <w:r w:rsidRPr="00B64DD1">
        <w:rPr>
          <w:rStyle w:val="HideTWBExt"/>
          <w:b w:val="0"/>
        </w:rPr>
        <w:t>&lt;/NumAm&gt;</w:t>
      </w:r>
    </w:p>
    <w:p w14:paraId="1BFAE4B8" w14:textId="77777777" w:rsidR="00A82F4D" w:rsidRPr="00B64DD1" w:rsidRDefault="00A82F4D" w:rsidP="00A82F4D">
      <w:pPr>
        <w:pStyle w:val="NormalBold"/>
      </w:pPr>
      <w:r w:rsidRPr="00B64DD1">
        <w:rPr>
          <w:rStyle w:val="HideTWBExt"/>
          <w:b w:val="0"/>
        </w:rPr>
        <w:t>&lt;RepeatBlock-By&gt;&lt;Members&gt;</w:t>
      </w:r>
      <w:proofErr w:type="spellStart"/>
      <w:r w:rsidRPr="00B64DD1">
        <w:t>Andrey</w:t>
      </w:r>
      <w:proofErr w:type="spellEnd"/>
      <w:r w:rsidRPr="00B64DD1">
        <w:t xml:space="preserve"> </w:t>
      </w:r>
      <w:proofErr w:type="spellStart"/>
      <w:r w:rsidRPr="00B64DD1">
        <w:t>Kovatchev</w:t>
      </w:r>
      <w:proofErr w:type="spellEnd"/>
      <w:r w:rsidRPr="00B64DD1">
        <w:rPr>
          <w:rStyle w:val="HideTWBExt"/>
          <w:b w:val="0"/>
        </w:rPr>
        <w:t>&lt;/Members&gt;</w:t>
      </w:r>
    </w:p>
    <w:p w14:paraId="032522DE" w14:textId="77777777" w:rsidR="00A82F4D" w:rsidRPr="00B64DD1" w:rsidRDefault="00A82F4D" w:rsidP="00A82F4D">
      <w:pPr>
        <w:pStyle w:val="NormalBold"/>
      </w:pPr>
      <w:r w:rsidRPr="00B64DD1">
        <w:rPr>
          <w:rStyle w:val="HideTWBExt"/>
          <w:b w:val="0"/>
        </w:rPr>
        <w:t>&lt;/RepeatBlock-By&gt;</w:t>
      </w:r>
    </w:p>
    <w:p w14:paraId="42B73EB8"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0AEDE8CC" w14:textId="77777777" w:rsidR="00A82F4D" w:rsidRPr="00B64DD1" w:rsidRDefault="00A82F4D" w:rsidP="00A82F4D">
      <w:pPr>
        <w:pStyle w:val="NormalBold"/>
      </w:pPr>
      <w:r w:rsidRPr="00B64DD1">
        <w:rPr>
          <w:rStyle w:val="HideTWBExt"/>
          <w:b w:val="0"/>
        </w:rPr>
        <w:t>&lt;Article&gt;</w:t>
      </w:r>
      <w:r w:rsidRPr="00B64DD1">
        <w:t>Ustęp 18 c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39882A02" w14:textId="77777777" w:rsidTr="00EA17FD">
        <w:trPr>
          <w:trHeight w:hRule="exact" w:val="240"/>
          <w:jc w:val="center"/>
        </w:trPr>
        <w:tc>
          <w:tcPr>
            <w:tcW w:w="9752" w:type="dxa"/>
            <w:gridSpan w:val="2"/>
            <w:tcBorders>
              <w:top w:val="nil"/>
              <w:left w:val="nil"/>
              <w:bottom w:val="nil"/>
              <w:right w:val="nil"/>
            </w:tcBorders>
          </w:tcPr>
          <w:p w14:paraId="64089D51" w14:textId="77777777" w:rsidR="00A82F4D" w:rsidRPr="00B64DD1" w:rsidRDefault="00A82F4D" w:rsidP="00EA17FD"/>
        </w:tc>
      </w:tr>
      <w:tr w:rsidR="00A82F4D" w:rsidRPr="00B64DD1" w14:paraId="39F7EBA6" w14:textId="77777777" w:rsidTr="00EA17FD">
        <w:trPr>
          <w:trHeight w:val="240"/>
          <w:jc w:val="center"/>
        </w:trPr>
        <w:tc>
          <w:tcPr>
            <w:tcW w:w="4876" w:type="dxa"/>
            <w:tcBorders>
              <w:top w:val="nil"/>
              <w:left w:val="nil"/>
              <w:bottom w:val="nil"/>
              <w:right w:val="nil"/>
            </w:tcBorders>
          </w:tcPr>
          <w:p w14:paraId="37C052B0"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6830FA1C" w14:textId="77777777" w:rsidR="00A82F4D" w:rsidRPr="00B64DD1" w:rsidRDefault="00A82F4D" w:rsidP="00EA17FD">
            <w:pPr>
              <w:pStyle w:val="AmColumnHeading"/>
            </w:pPr>
            <w:r w:rsidRPr="00B64DD1">
              <w:t>Poprawka</w:t>
            </w:r>
          </w:p>
        </w:tc>
      </w:tr>
      <w:tr w:rsidR="00A82F4D" w:rsidRPr="00B64DD1" w14:paraId="1630EEA4" w14:textId="77777777" w:rsidTr="00EA17FD">
        <w:trPr>
          <w:jc w:val="center"/>
        </w:trPr>
        <w:tc>
          <w:tcPr>
            <w:tcW w:w="4876" w:type="dxa"/>
            <w:tcBorders>
              <w:top w:val="nil"/>
              <w:left w:val="nil"/>
              <w:bottom w:val="nil"/>
              <w:right w:val="nil"/>
            </w:tcBorders>
          </w:tcPr>
          <w:p w14:paraId="77181339" w14:textId="77777777" w:rsidR="00A82F4D" w:rsidRPr="00B64DD1" w:rsidRDefault="00A82F4D" w:rsidP="00EA17FD">
            <w:pPr>
              <w:pStyle w:val="Normal6a"/>
            </w:pPr>
          </w:p>
        </w:tc>
        <w:tc>
          <w:tcPr>
            <w:tcW w:w="4876" w:type="dxa"/>
            <w:tcBorders>
              <w:top w:val="nil"/>
              <w:left w:val="nil"/>
              <w:bottom w:val="nil"/>
              <w:right w:val="nil"/>
            </w:tcBorders>
          </w:tcPr>
          <w:p w14:paraId="71A65C54" w14:textId="77777777" w:rsidR="00A82F4D" w:rsidRPr="00B64DD1" w:rsidRDefault="00A82F4D" w:rsidP="00EA17FD">
            <w:pPr>
              <w:pStyle w:val="Normal6a"/>
            </w:pPr>
            <w:r w:rsidRPr="00B64DD1">
              <w:rPr>
                <w:b/>
                <w:i/>
              </w:rPr>
              <w:t>18 c.</w:t>
            </w:r>
            <w:r w:rsidRPr="00B64DD1">
              <w:tab/>
            </w:r>
            <w:r w:rsidRPr="00B64DD1">
              <w:rPr>
                <w:b/>
                <w:i/>
              </w:rPr>
              <w:t>wyraża głębokie zaniepokojenie ostatnimi doniesieniami, opartymi na odtajnionych wewnętrznych dokumentach Hamasu, wskazującymi na systematyczną infiltrację i monitorowanie, często za pośrednictwem podmiotów powiązanych z Hamasem tzw. „gwarantów” międzynarodowych organizacji pozarządowych działających w Strefie Gazy, w tym organizacji otrzymujących bezpośrednie finansowanie UE; podkreśla, że doniesienia te stwarzają poważne ryzyko, iż fundusze podatników UE mogły zostać pośrednio przekierowane na rzecz organizacji uznanej za terrorystyczną, co podważa integralność pomocy UE; wzywa Komisję do pilnego i dokładnego zbadania wszystkich zarzutów dotyczących infiltracji Hamasu i wywierania bezprawnego wpływu na projekty humanitarne finansowane przez UE w Strefie Gazy oraz do zawieszenia lub odzyskania funduszy UE w przypadku potwierdzenia naruszeń; wzywa Komisję i ESDZ do wprowadzenia wzmocnionych mechanizmów weryfikacji, należytej staranności i monitorowania organizacji pozarządowych działających na obszarach wysokiego ryzyka, takich jak Strefa Gazy, w celu zapobiegania infiltracji przez grupy terrorystyczne i zagwarantowania, że fundusze UE są wykorzystywane wyłącznie do uzasadnionych celów humanitarnych;</w:t>
            </w:r>
          </w:p>
        </w:tc>
      </w:tr>
    </w:tbl>
    <w:p w14:paraId="6E3FC13F"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1EE58C85" w14:textId="77777777" w:rsidR="00A82F4D" w:rsidRPr="00B64DD1" w:rsidRDefault="00A82F4D" w:rsidP="00A82F4D">
      <w:r w:rsidRPr="00B64DD1">
        <w:rPr>
          <w:rStyle w:val="HideTWBExt"/>
        </w:rPr>
        <w:t>&lt;/Amend&gt;</w:t>
      </w:r>
    </w:p>
    <w:p w14:paraId="2A48C4F1" w14:textId="77777777" w:rsidR="00A82F4D" w:rsidRPr="00B64DD1" w:rsidRDefault="00A82F4D" w:rsidP="00A82F4D">
      <w:pPr>
        <w:pStyle w:val="AmNumberTabs"/>
      </w:pPr>
      <w:r w:rsidRPr="00B64DD1">
        <w:rPr>
          <w:rStyle w:val="HideTWBExt"/>
          <w:b w:val="0"/>
        </w:rPr>
        <w:lastRenderedPageBreak/>
        <w:t>&lt;Amend&gt;</w:t>
      </w:r>
      <w:r w:rsidRPr="00B64DD1">
        <w:t>Poprawka</w:t>
      </w:r>
      <w:r w:rsidRPr="00B64DD1">
        <w:tab/>
      </w:r>
      <w:r w:rsidRPr="00B64DD1">
        <w:tab/>
      </w:r>
      <w:r w:rsidRPr="00B64DD1">
        <w:rPr>
          <w:rStyle w:val="HideTWBExt"/>
          <w:b w:val="0"/>
        </w:rPr>
        <w:t>&lt;NumAm&gt;</w:t>
      </w:r>
      <w:r w:rsidRPr="00B64DD1">
        <w:t>54</w:t>
      </w:r>
      <w:r w:rsidRPr="00B64DD1">
        <w:rPr>
          <w:rStyle w:val="HideTWBExt"/>
          <w:b w:val="0"/>
        </w:rPr>
        <w:t>&lt;/NumAm&gt;</w:t>
      </w:r>
    </w:p>
    <w:p w14:paraId="44B81164" w14:textId="77777777" w:rsidR="00A82F4D" w:rsidRPr="00B64DD1" w:rsidRDefault="00A82F4D" w:rsidP="00A82F4D">
      <w:pPr>
        <w:pStyle w:val="NormalBold"/>
      </w:pPr>
      <w:r w:rsidRPr="00B64DD1">
        <w:rPr>
          <w:rStyle w:val="HideTWBExt"/>
          <w:b w:val="0"/>
        </w:rPr>
        <w:t>&lt;RepeatBlock-By&gt;&lt;Members&gt;</w:t>
      </w:r>
      <w:r w:rsidRPr="00B64DD1">
        <w:t xml:space="preserve">José </w:t>
      </w:r>
      <w:proofErr w:type="spellStart"/>
      <w:r w:rsidRPr="00B64DD1">
        <w:t>Cepeda</w:t>
      </w:r>
      <w:proofErr w:type="spellEnd"/>
      <w:r w:rsidRPr="00B64DD1">
        <w:t xml:space="preserve">, </w:t>
      </w:r>
      <w:proofErr w:type="spellStart"/>
      <w:r w:rsidRPr="00B64DD1">
        <w:t>Nacho</w:t>
      </w:r>
      <w:proofErr w:type="spellEnd"/>
      <w:r w:rsidRPr="00B64DD1">
        <w:t xml:space="preserve"> </w:t>
      </w:r>
      <w:proofErr w:type="spellStart"/>
      <w:r w:rsidRPr="00B64DD1">
        <w:t>Sánchez</w:t>
      </w:r>
      <w:proofErr w:type="spellEnd"/>
      <w:r w:rsidRPr="00B64DD1">
        <w:t xml:space="preserve"> Amor</w:t>
      </w:r>
      <w:r w:rsidRPr="00B64DD1">
        <w:rPr>
          <w:rStyle w:val="HideTWBExt"/>
          <w:b w:val="0"/>
        </w:rPr>
        <w:t>&lt;/Members&gt;</w:t>
      </w:r>
    </w:p>
    <w:p w14:paraId="647FF9E0" w14:textId="77777777" w:rsidR="00A82F4D" w:rsidRPr="00B64DD1" w:rsidRDefault="00A82F4D" w:rsidP="00A82F4D">
      <w:pPr>
        <w:pStyle w:val="NormalBold"/>
      </w:pPr>
      <w:r w:rsidRPr="00B64DD1">
        <w:rPr>
          <w:rStyle w:val="HideTWBExt"/>
          <w:b w:val="0"/>
        </w:rPr>
        <w:t>&lt;/RepeatBlock-By&gt;</w:t>
      </w:r>
    </w:p>
    <w:p w14:paraId="1CA1EA55"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0AA77E32" w14:textId="77777777" w:rsidR="00A82F4D" w:rsidRPr="00B64DD1" w:rsidRDefault="00A82F4D" w:rsidP="00A82F4D">
      <w:pPr>
        <w:pStyle w:val="NormalBold"/>
      </w:pPr>
      <w:r w:rsidRPr="00B64DD1">
        <w:rPr>
          <w:rStyle w:val="HideTWBExt"/>
          <w:b w:val="0"/>
        </w:rPr>
        <w:t>&lt;Article&gt;</w:t>
      </w:r>
      <w:r w:rsidRPr="00B64DD1">
        <w:t>Ustęp 18 c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7B14E00B" w14:textId="77777777" w:rsidTr="00EA17FD">
        <w:trPr>
          <w:trHeight w:hRule="exact" w:val="240"/>
          <w:jc w:val="center"/>
        </w:trPr>
        <w:tc>
          <w:tcPr>
            <w:tcW w:w="9752" w:type="dxa"/>
            <w:gridSpan w:val="2"/>
            <w:tcBorders>
              <w:top w:val="nil"/>
              <w:left w:val="nil"/>
              <w:bottom w:val="nil"/>
              <w:right w:val="nil"/>
            </w:tcBorders>
          </w:tcPr>
          <w:p w14:paraId="56A10A4C" w14:textId="77777777" w:rsidR="00A82F4D" w:rsidRPr="00B64DD1" w:rsidRDefault="00A82F4D" w:rsidP="00EA17FD"/>
        </w:tc>
      </w:tr>
      <w:tr w:rsidR="00A82F4D" w:rsidRPr="00B64DD1" w14:paraId="3658B249" w14:textId="77777777" w:rsidTr="00EA17FD">
        <w:trPr>
          <w:trHeight w:val="240"/>
          <w:jc w:val="center"/>
        </w:trPr>
        <w:tc>
          <w:tcPr>
            <w:tcW w:w="4876" w:type="dxa"/>
            <w:tcBorders>
              <w:top w:val="nil"/>
              <w:left w:val="nil"/>
              <w:bottom w:val="nil"/>
              <w:right w:val="nil"/>
            </w:tcBorders>
          </w:tcPr>
          <w:p w14:paraId="6AE40F6A"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4A303471" w14:textId="77777777" w:rsidR="00A82F4D" w:rsidRPr="00B64DD1" w:rsidRDefault="00A82F4D" w:rsidP="00EA17FD">
            <w:pPr>
              <w:pStyle w:val="AmColumnHeading"/>
            </w:pPr>
            <w:r w:rsidRPr="00B64DD1">
              <w:t>Poprawka</w:t>
            </w:r>
          </w:p>
        </w:tc>
      </w:tr>
      <w:tr w:rsidR="00A82F4D" w:rsidRPr="00B64DD1" w14:paraId="4A5D4AA7" w14:textId="77777777" w:rsidTr="00EA17FD">
        <w:trPr>
          <w:jc w:val="center"/>
        </w:trPr>
        <w:tc>
          <w:tcPr>
            <w:tcW w:w="4876" w:type="dxa"/>
            <w:tcBorders>
              <w:top w:val="nil"/>
              <w:left w:val="nil"/>
              <w:bottom w:val="nil"/>
              <w:right w:val="nil"/>
            </w:tcBorders>
          </w:tcPr>
          <w:p w14:paraId="03BC6F31" w14:textId="77777777" w:rsidR="00A82F4D" w:rsidRPr="00B64DD1" w:rsidRDefault="00A82F4D" w:rsidP="00EA17FD">
            <w:pPr>
              <w:pStyle w:val="Normal6a"/>
            </w:pPr>
          </w:p>
        </w:tc>
        <w:tc>
          <w:tcPr>
            <w:tcW w:w="4876" w:type="dxa"/>
            <w:tcBorders>
              <w:top w:val="nil"/>
              <w:left w:val="nil"/>
              <w:bottom w:val="nil"/>
              <w:right w:val="nil"/>
            </w:tcBorders>
          </w:tcPr>
          <w:p w14:paraId="6F026804" w14:textId="77777777" w:rsidR="00A82F4D" w:rsidRPr="00B64DD1" w:rsidRDefault="00A82F4D" w:rsidP="00EA17FD">
            <w:pPr>
              <w:pStyle w:val="Normal6a"/>
            </w:pPr>
            <w:r w:rsidRPr="00B64DD1">
              <w:rPr>
                <w:b/>
                <w:i/>
              </w:rPr>
              <w:t>18 c.</w:t>
            </w:r>
            <w:r w:rsidRPr="00B64DD1">
              <w:tab/>
            </w:r>
            <w:r w:rsidRPr="00B64DD1">
              <w:rPr>
                <w:b/>
                <w:i/>
              </w:rPr>
              <w:t>z niepokojem zauważa, że izraelskie siły zbrojne rzekomo znalazły w tym regionie dokumenty wewnętrzne Hamasu wskazujące na próby infiltracji projektów humanitarnych finansowanych przez UE w Strefie Gazy i rozpowszechniły je za pośrednictwem organizacji pozarządowej Monitor; odnotowuje, że Komisja i zainteresowane organizacje odrzuciły te zarzuty jako bezpodstawne; przypomina, że UE dysponuje solidnym systemem kontroli, który od 2023 r. został jeszcze bardziej wzmocniony; ostrzega przed ryzykiem walki informacyjnej prowadzonej w celach strategicznych i wzywa Komisję do potwierdzenia dowodów poprzez niezależną weryfikację, a następnie do oceny zarzutów przed podjęciem odpowiednich działań następczych;</w:t>
            </w:r>
          </w:p>
        </w:tc>
      </w:tr>
    </w:tbl>
    <w:p w14:paraId="7805C367"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1026455A" w14:textId="77777777" w:rsidR="00A82F4D" w:rsidRPr="00B64DD1" w:rsidRDefault="00A82F4D" w:rsidP="00A82F4D">
      <w:r w:rsidRPr="00B64DD1">
        <w:rPr>
          <w:rStyle w:val="HideTWBExt"/>
        </w:rPr>
        <w:t>&lt;/Amend&gt;</w:t>
      </w:r>
    </w:p>
    <w:p w14:paraId="5FAB5B9C"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55</w:t>
      </w:r>
      <w:r w:rsidRPr="00B64DD1">
        <w:rPr>
          <w:rStyle w:val="HideTWBExt"/>
          <w:b w:val="0"/>
        </w:rPr>
        <w:t>&lt;/NumAm&gt;</w:t>
      </w:r>
    </w:p>
    <w:p w14:paraId="4BE663CF" w14:textId="77777777" w:rsidR="00A82F4D" w:rsidRPr="00B64DD1" w:rsidRDefault="00A82F4D" w:rsidP="00A82F4D">
      <w:pPr>
        <w:pStyle w:val="NormalBold"/>
      </w:pPr>
      <w:r w:rsidRPr="00B64DD1">
        <w:rPr>
          <w:rStyle w:val="HideTWBExt"/>
          <w:b w:val="0"/>
        </w:rPr>
        <w:t>&lt;RepeatBlock-By&gt;&lt;Members&gt;</w:t>
      </w:r>
      <w:proofErr w:type="spellStart"/>
      <w:r w:rsidRPr="00B64DD1">
        <w:t>Ondřej</w:t>
      </w:r>
      <w:proofErr w:type="spellEnd"/>
      <w:r w:rsidRPr="00B64DD1">
        <w:t xml:space="preserve"> Knotek, Virginie </w:t>
      </w:r>
      <w:proofErr w:type="spellStart"/>
      <w:r w:rsidRPr="00B64DD1">
        <w:t>Joron</w:t>
      </w:r>
      <w:proofErr w:type="spellEnd"/>
      <w:r w:rsidRPr="00B64DD1">
        <w:t xml:space="preserve">, </w:t>
      </w:r>
      <w:proofErr w:type="spellStart"/>
      <w:r w:rsidRPr="00B64DD1">
        <w:t>Tamás</w:t>
      </w:r>
      <w:proofErr w:type="spellEnd"/>
      <w:r w:rsidRPr="00B64DD1">
        <w:t xml:space="preserve"> </w:t>
      </w:r>
      <w:proofErr w:type="spellStart"/>
      <w:r w:rsidRPr="00B64DD1">
        <w:t>Deutsch</w:t>
      </w:r>
      <w:proofErr w:type="spellEnd"/>
      <w:r w:rsidRPr="00B64DD1">
        <w:rPr>
          <w:rStyle w:val="HideTWBExt"/>
          <w:b w:val="0"/>
        </w:rPr>
        <w:t>&lt;/Members&gt;</w:t>
      </w:r>
    </w:p>
    <w:p w14:paraId="608FEADE" w14:textId="77777777" w:rsidR="00A82F4D" w:rsidRPr="00B64DD1" w:rsidRDefault="00A82F4D" w:rsidP="00A82F4D">
      <w:pPr>
        <w:pStyle w:val="NormalBold"/>
      </w:pPr>
      <w:r w:rsidRPr="00B64DD1">
        <w:rPr>
          <w:rStyle w:val="HideTWBExt"/>
          <w:b w:val="0"/>
        </w:rPr>
        <w:t>&lt;/RepeatBlock-By&gt;</w:t>
      </w:r>
    </w:p>
    <w:p w14:paraId="0C322B5B"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7BB5FA54" w14:textId="77777777" w:rsidR="00A82F4D" w:rsidRPr="00B64DD1" w:rsidRDefault="00A82F4D" w:rsidP="00A82F4D">
      <w:pPr>
        <w:pStyle w:val="NormalBold"/>
      </w:pPr>
      <w:r w:rsidRPr="00B64DD1">
        <w:rPr>
          <w:rStyle w:val="HideTWBExt"/>
          <w:b w:val="0"/>
        </w:rPr>
        <w:t>&lt;Article&gt;</w:t>
      </w:r>
      <w:r w:rsidRPr="00B64DD1">
        <w:t>Ustęp 19</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3DC9F398" w14:textId="77777777" w:rsidTr="00EA17FD">
        <w:trPr>
          <w:trHeight w:hRule="exact" w:val="240"/>
          <w:jc w:val="center"/>
        </w:trPr>
        <w:tc>
          <w:tcPr>
            <w:tcW w:w="9752" w:type="dxa"/>
            <w:gridSpan w:val="2"/>
            <w:tcBorders>
              <w:top w:val="nil"/>
              <w:left w:val="nil"/>
              <w:bottom w:val="nil"/>
              <w:right w:val="nil"/>
            </w:tcBorders>
          </w:tcPr>
          <w:p w14:paraId="0F51522B" w14:textId="77777777" w:rsidR="00A82F4D" w:rsidRPr="00B64DD1" w:rsidRDefault="00A82F4D" w:rsidP="00EA17FD"/>
        </w:tc>
      </w:tr>
      <w:tr w:rsidR="00A82F4D" w:rsidRPr="00B64DD1" w14:paraId="51683B41" w14:textId="77777777" w:rsidTr="00EA17FD">
        <w:trPr>
          <w:trHeight w:val="240"/>
          <w:jc w:val="center"/>
        </w:trPr>
        <w:tc>
          <w:tcPr>
            <w:tcW w:w="4876" w:type="dxa"/>
            <w:tcBorders>
              <w:top w:val="nil"/>
              <w:left w:val="nil"/>
              <w:bottom w:val="nil"/>
              <w:right w:val="nil"/>
            </w:tcBorders>
          </w:tcPr>
          <w:p w14:paraId="0792DC00"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280E8DF2" w14:textId="77777777" w:rsidR="00A82F4D" w:rsidRPr="00B64DD1" w:rsidRDefault="00A82F4D" w:rsidP="00EA17FD">
            <w:pPr>
              <w:pStyle w:val="AmColumnHeading"/>
            </w:pPr>
            <w:r w:rsidRPr="00B64DD1">
              <w:t>Poprawka</w:t>
            </w:r>
          </w:p>
        </w:tc>
      </w:tr>
      <w:tr w:rsidR="00A82F4D" w:rsidRPr="00B64DD1" w14:paraId="43A9BAF4" w14:textId="77777777" w:rsidTr="00EA17FD">
        <w:trPr>
          <w:jc w:val="center"/>
        </w:trPr>
        <w:tc>
          <w:tcPr>
            <w:tcW w:w="4876" w:type="dxa"/>
            <w:tcBorders>
              <w:top w:val="nil"/>
              <w:left w:val="nil"/>
              <w:bottom w:val="nil"/>
              <w:right w:val="nil"/>
            </w:tcBorders>
          </w:tcPr>
          <w:p w14:paraId="26B60B40" w14:textId="77777777" w:rsidR="00A82F4D" w:rsidRPr="00B64DD1" w:rsidRDefault="00A82F4D" w:rsidP="00EA17FD">
            <w:pPr>
              <w:pStyle w:val="Normal6a"/>
            </w:pPr>
            <w:r w:rsidRPr="00B64DD1">
              <w:t>19.</w:t>
            </w:r>
            <w:r w:rsidRPr="00B64DD1">
              <w:tab/>
              <w:t xml:space="preserve">na podstawie sprawozdania uzupełniającego zauważa trwające działania ESDZ na rzecz wspierania dialogu w sprawie sytuacji politycznej, gospodarczej i społecznej, praworządności oraz walki z korupcją, a także na rzecz wzmacniania demokracji i praw człowieka w różnych państwach; z zadowoleniem </w:t>
            </w:r>
            <w:r w:rsidRPr="00B64DD1">
              <w:lastRenderedPageBreak/>
              <w:t>przyjmuje fakt, że ESDZ oraz delegatury Unii nadal angażują się we współpracę z przedstawicielami administracji i instytucji krajowych, organizacjami społeczeństwa obywatelskiego, zainteresowanymi stronami wyspecjalizowanymi w zakresie zarządzania demokratycznego, praw człowieka i mediów, partnerami społecznymi oraz organizacjami międzynarodowymi i regionalnymi; zwraca uwagę, że wsparcie na rzecz obrońców praw człowieka i obrończyń praw człowieka, w tym obrońców i obrończyń praw ludności rdzennej, należy do kluczowych priorytetów ESDZ zgodnie z Planem działania UE dotyczącym praw człowieka i demokracji na lata 2020–2027 oraz jest realizowane przez szereg działań, takich jak dialogi polityczne, sprawozdawczość polityczna, dyplomacja publiczna, fora wielostronne oraz coroczne sprawozdania na temat przestrzegania praw człowieka;</w:t>
            </w:r>
          </w:p>
        </w:tc>
        <w:tc>
          <w:tcPr>
            <w:tcW w:w="4876" w:type="dxa"/>
            <w:tcBorders>
              <w:top w:val="nil"/>
              <w:left w:val="nil"/>
              <w:bottom w:val="nil"/>
              <w:right w:val="nil"/>
            </w:tcBorders>
          </w:tcPr>
          <w:p w14:paraId="30DA5989" w14:textId="77777777" w:rsidR="00A82F4D" w:rsidRPr="00B64DD1" w:rsidRDefault="00A82F4D" w:rsidP="00EA17FD">
            <w:pPr>
              <w:pStyle w:val="Normal6a"/>
            </w:pPr>
            <w:r w:rsidRPr="00B64DD1">
              <w:lastRenderedPageBreak/>
              <w:t>19.</w:t>
            </w:r>
            <w:r w:rsidRPr="00B64DD1">
              <w:tab/>
              <w:t xml:space="preserve">na podstawie sprawozdania uzupełniającego zauważa trwające działania ESDZ na rzecz wspierania dialogu w sprawie sytuacji politycznej, gospodarczej i społecznej, praworządności oraz walki z korupcją, a także na rzecz wzmacniania demokracji i praw człowieka w różnych państwach; z zadowoleniem </w:t>
            </w:r>
            <w:r w:rsidRPr="00B64DD1">
              <w:lastRenderedPageBreak/>
              <w:t xml:space="preserve">przyjmuje fakt, że ESDZ oraz delegatury Unii nadal angażują się we współpracę z przedstawicielami administracji i instytucji krajowych, organizacjami społeczeństwa obywatelskiego, zainteresowanymi stronami wyspecjalizowanymi w zakresie zarządzania demokratycznego, praw człowieka i mediów, partnerami społecznymi oraz organizacjami międzynarodowymi i regionalnymi; </w:t>
            </w:r>
            <w:r w:rsidRPr="00B64DD1">
              <w:rPr>
                <w:b/>
                <w:i/>
              </w:rPr>
              <w:t>podkreśla jednak, że współpraca państw trzecich w zakresie migracji, w tym zapobiegania nielegalnej migracji, skutecznego zarządzania granicami i readmisji obywateli tych państw, musi być jednym z głównych celów działań zewnętrznych Unii; podkreśla, że współpraca ta powinna stanowić ważny element rozwoju i wdrażania partnerstw, dialogu politycznego oraz przydzielania funduszy i zachęt UE;</w:t>
            </w:r>
            <w:r w:rsidRPr="00B64DD1">
              <w:t xml:space="preserve"> zwraca uwagę, że wsparcie na rzecz obrońców praw człowieka i obrończyń praw człowieka, w tym obrońców i obrończyń praw ludności rdzennej, należy do kluczowych priorytetów ESDZ zgodnie z Planem działania UE dotyczącym praw człowieka i demokracji na lata 2020–2027 oraz jest realizowane przez szereg działań, takich jak dialogi polityczne, sprawozdawczość polityczna, dyplomacja publiczna, fora wielostronne oraz coroczne sprawozdania na temat przestrzegania praw człowieka;</w:t>
            </w:r>
          </w:p>
        </w:tc>
      </w:tr>
    </w:tbl>
    <w:p w14:paraId="617608D7"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083E1705" w14:textId="77777777" w:rsidR="00A82F4D" w:rsidRPr="00B64DD1" w:rsidRDefault="00A82F4D" w:rsidP="00A82F4D">
      <w:r w:rsidRPr="00B64DD1">
        <w:rPr>
          <w:rStyle w:val="HideTWBExt"/>
        </w:rPr>
        <w:t>&lt;/Amend&gt;</w:t>
      </w:r>
    </w:p>
    <w:p w14:paraId="43C15BA8"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56</w:t>
      </w:r>
      <w:r w:rsidRPr="00B64DD1">
        <w:rPr>
          <w:rStyle w:val="HideTWBExt"/>
          <w:b w:val="0"/>
        </w:rPr>
        <w:t>&lt;/NumAm&gt;</w:t>
      </w:r>
    </w:p>
    <w:p w14:paraId="6BE6053C" w14:textId="77777777" w:rsidR="00A82F4D" w:rsidRPr="00B64DD1" w:rsidRDefault="00A82F4D" w:rsidP="00A82F4D">
      <w:pPr>
        <w:pStyle w:val="NormalBold"/>
      </w:pPr>
      <w:r w:rsidRPr="00B64DD1">
        <w:rPr>
          <w:rStyle w:val="HideTWBExt"/>
          <w:b w:val="0"/>
        </w:rPr>
        <w:t>&lt;RepeatBlock-By&gt;&lt;Members&gt;</w:t>
      </w:r>
      <w:r w:rsidRPr="00B64DD1">
        <w:t xml:space="preserve">José </w:t>
      </w:r>
      <w:proofErr w:type="spellStart"/>
      <w:r w:rsidRPr="00B64DD1">
        <w:t>Cepeda</w:t>
      </w:r>
      <w:proofErr w:type="spellEnd"/>
      <w:r w:rsidRPr="00B64DD1">
        <w:t xml:space="preserve">, </w:t>
      </w:r>
      <w:proofErr w:type="spellStart"/>
      <w:r w:rsidRPr="00B64DD1">
        <w:t>Nacho</w:t>
      </w:r>
      <w:proofErr w:type="spellEnd"/>
      <w:r w:rsidRPr="00B64DD1">
        <w:t xml:space="preserve"> </w:t>
      </w:r>
      <w:proofErr w:type="spellStart"/>
      <w:r w:rsidRPr="00B64DD1">
        <w:t>Sánchez</w:t>
      </w:r>
      <w:proofErr w:type="spellEnd"/>
      <w:r w:rsidRPr="00B64DD1">
        <w:t xml:space="preserve"> Amor</w:t>
      </w:r>
      <w:r w:rsidRPr="00B64DD1">
        <w:rPr>
          <w:rStyle w:val="HideTWBExt"/>
          <w:b w:val="0"/>
        </w:rPr>
        <w:t>&lt;/Members&gt;</w:t>
      </w:r>
    </w:p>
    <w:p w14:paraId="7263BA64" w14:textId="77777777" w:rsidR="00A82F4D" w:rsidRPr="00B64DD1" w:rsidRDefault="00A82F4D" w:rsidP="00A82F4D">
      <w:pPr>
        <w:pStyle w:val="NormalBold"/>
      </w:pPr>
      <w:r w:rsidRPr="00B64DD1">
        <w:rPr>
          <w:rStyle w:val="HideTWBExt"/>
          <w:b w:val="0"/>
        </w:rPr>
        <w:t>&lt;/RepeatBlock-By&gt;</w:t>
      </w:r>
    </w:p>
    <w:p w14:paraId="76F2883C"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51615404" w14:textId="77777777" w:rsidR="00A82F4D" w:rsidRPr="00B64DD1" w:rsidRDefault="00A82F4D" w:rsidP="00A82F4D">
      <w:pPr>
        <w:pStyle w:val="NormalBold"/>
      </w:pPr>
      <w:r w:rsidRPr="00B64DD1">
        <w:rPr>
          <w:rStyle w:val="HideTWBExt"/>
          <w:b w:val="0"/>
        </w:rPr>
        <w:t>&lt;Article&gt;</w:t>
      </w:r>
      <w:r w:rsidRPr="00B64DD1">
        <w:t>Ustęp 19</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5B9B3CFC" w14:textId="77777777" w:rsidTr="00EA17FD">
        <w:trPr>
          <w:trHeight w:hRule="exact" w:val="240"/>
          <w:jc w:val="center"/>
        </w:trPr>
        <w:tc>
          <w:tcPr>
            <w:tcW w:w="9752" w:type="dxa"/>
            <w:gridSpan w:val="2"/>
            <w:tcBorders>
              <w:top w:val="nil"/>
              <w:left w:val="nil"/>
              <w:bottom w:val="nil"/>
              <w:right w:val="nil"/>
            </w:tcBorders>
          </w:tcPr>
          <w:p w14:paraId="1DE0FECA" w14:textId="77777777" w:rsidR="00A82F4D" w:rsidRPr="00B64DD1" w:rsidRDefault="00A82F4D" w:rsidP="00EA17FD"/>
        </w:tc>
      </w:tr>
      <w:tr w:rsidR="00A82F4D" w:rsidRPr="00B64DD1" w14:paraId="363180D4" w14:textId="77777777" w:rsidTr="00EA17FD">
        <w:trPr>
          <w:trHeight w:val="240"/>
          <w:jc w:val="center"/>
        </w:trPr>
        <w:tc>
          <w:tcPr>
            <w:tcW w:w="4876" w:type="dxa"/>
            <w:tcBorders>
              <w:top w:val="nil"/>
              <w:left w:val="nil"/>
              <w:bottom w:val="nil"/>
              <w:right w:val="nil"/>
            </w:tcBorders>
          </w:tcPr>
          <w:p w14:paraId="6D7F72D3"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4D64FC57" w14:textId="77777777" w:rsidR="00A82F4D" w:rsidRPr="00B64DD1" w:rsidRDefault="00A82F4D" w:rsidP="00EA17FD">
            <w:pPr>
              <w:pStyle w:val="AmColumnHeading"/>
            </w:pPr>
            <w:r w:rsidRPr="00B64DD1">
              <w:t>Poprawka</w:t>
            </w:r>
          </w:p>
        </w:tc>
      </w:tr>
      <w:tr w:rsidR="00A82F4D" w:rsidRPr="00B64DD1" w14:paraId="345427DF" w14:textId="77777777" w:rsidTr="00EA17FD">
        <w:trPr>
          <w:jc w:val="center"/>
        </w:trPr>
        <w:tc>
          <w:tcPr>
            <w:tcW w:w="4876" w:type="dxa"/>
            <w:tcBorders>
              <w:top w:val="nil"/>
              <w:left w:val="nil"/>
              <w:bottom w:val="nil"/>
              <w:right w:val="nil"/>
            </w:tcBorders>
          </w:tcPr>
          <w:p w14:paraId="24281C16" w14:textId="77777777" w:rsidR="00A82F4D" w:rsidRPr="00B64DD1" w:rsidRDefault="00A82F4D" w:rsidP="00EA17FD">
            <w:pPr>
              <w:pStyle w:val="Normal6a"/>
            </w:pPr>
            <w:r w:rsidRPr="00B64DD1">
              <w:t>19.</w:t>
            </w:r>
            <w:r w:rsidRPr="00B64DD1">
              <w:tab/>
              <w:t xml:space="preserve">na podstawie sprawozdania uzupełniającego zauważa trwające działania ESDZ na rzecz wspierania </w:t>
            </w:r>
            <w:r w:rsidRPr="00B64DD1">
              <w:lastRenderedPageBreak/>
              <w:t>dialogu w sprawie sytuacji politycznej, gospodarczej i społecznej, praworządności oraz walki z korupcją, a także na rzecz wzmacniania demokracji i praw człowieka w różnych państwach; z zadowoleniem przyjmuje fakt, że ESDZ oraz delegatury Unii nadal angażują się we współpracę z przedstawicielami administracji i instytucji krajowych, organizacjami społeczeństwa obywatelskiego, zainteresowanymi stronami wyspecjalizowanymi w zakresie zarządzania demokratycznego, praw człowieka i mediów, partnerami społecznymi oraz organizacjami międzynarodowymi i regionalnymi; zwraca uwagę, że wsparcie na rzecz obrońców praw człowieka i obrończyń praw człowieka, w tym obrońców i obrończyń praw ludności rdzennej, należy do kluczowych priorytetów ESDZ zgodnie z Planem działania UE dotyczącym praw człowieka i demokracji na lata 2020–2027 oraz jest realizowane przez szereg działań, takich jak dialogi polityczne, sprawozdawczość polityczna, dyplomacja publiczna, fora wielostronne oraz coroczne sprawozdania na temat przestrzegania praw człowieka;</w:t>
            </w:r>
          </w:p>
        </w:tc>
        <w:tc>
          <w:tcPr>
            <w:tcW w:w="4876" w:type="dxa"/>
            <w:tcBorders>
              <w:top w:val="nil"/>
              <w:left w:val="nil"/>
              <w:bottom w:val="nil"/>
              <w:right w:val="nil"/>
            </w:tcBorders>
          </w:tcPr>
          <w:p w14:paraId="31CA2E04" w14:textId="77777777" w:rsidR="00A82F4D" w:rsidRPr="00B64DD1" w:rsidRDefault="00A82F4D" w:rsidP="00EA17FD">
            <w:pPr>
              <w:pStyle w:val="Normal6a"/>
            </w:pPr>
            <w:r w:rsidRPr="00B64DD1">
              <w:lastRenderedPageBreak/>
              <w:t>19.</w:t>
            </w:r>
            <w:r w:rsidRPr="00B64DD1">
              <w:tab/>
              <w:t xml:space="preserve">na podstawie sprawozdania uzupełniającego zauważa trwające działania ESDZ na rzecz wspierania </w:t>
            </w:r>
            <w:r w:rsidRPr="00B64DD1">
              <w:lastRenderedPageBreak/>
              <w:t xml:space="preserve">dialogu w sprawie sytuacji politycznej, gospodarczej i społecznej, praworządności oraz walki z korupcją, a także na rzecz wzmacniania demokracji i praw człowieka w różnych państwach; z zadowoleniem przyjmuje fakt, że ESDZ oraz delegatury Unii nadal angażują się we współpracę z przedstawicielami administracji i instytucji krajowych, organizacjami społeczeństwa obywatelskiego, zainteresowanymi stronami wyspecjalizowanymi w zakresie zarządzania demokratycznego, praw człowieka i mediów, partnerami społecznymi oraz organizacjami międzynarodowymi i regionalnymi; zwraca uwagę, że wsparcie na rzecz obrońców praw człowieka i obrończyń praw człowieka, w tym obrońców i obrończyń praw ludności rdzennej, należy do kluczowych priorytetów ESDZ zgodnie z Planem działania UE dotyczącym praw człowieka i demokracji na lata 2020–2027 oraz jest realizowane przez szereg działań, takich jak dialogi polityczne, sprawozdawczość polityczna, dyplomacja publiczna, fora wielostronne oraz coroczne sprawozdania na temat przestrzegania praw człowieka; </w:t>
            </w:r>
            <w:r w:rsidRPr="00B64DD1">
              <w:rPr>
                <w:b/>
                <w:i/>
              </w:rPr>
              <w:t>wzywa przedstawicielstwa UE i delegacje Unii do wzmocnienia ich doskonałej pracy w zakresie udzielania pomocy oraz wsparcia logistycznego i technologicznego obrońcom praw człowieka, a także współpracy z nimi, zgodnie z Wytycznymi UE w sprawie obrońców praw człowieka, ze szczególnym uwzględnieniem kobiet;</w:t>
            </w:r>
          </w:p>
        </w:tc>
      </w:tr>
    </w:tbl>
    <w:p w14:paraId="1B8A5661"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25207BD7" w14:textId="77777777" w:rsidR="00A82F4D" w:rsidRPr="00B64DD1" w:rsidRDefault="00A82F4D" w:rsidP="00A82F4D">
      <w:r w:rsidRPr="00B64DD1">
        <w:rPr>
          <w:rStyle w:val="HideTWBExt"/>
        </w:rPr>
        <w:t>&lt;/Amend&gt;</w:t>
      </w:r>
    </w:p>
    <w:p w14:paraId="418DC914"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57</w:t>
      </w:r>
      <w:r w:rsidRPr="00B64DD1">
        <w:rPr>
          <w:rStyle w:val="HideTWBExt"/>
          <w:b w:val="0"/>
        </w:rPr>
        <w:t>&lt;/NumAm&gt;</w:t>
      </w:r>
    </w:p>
    <w:p w14:paraId="7767EB84" w14:textId="77777777" w:rsidR="00A82F4D" w:rsidRPr="00B64DD1" w:rsidRDefault="00A82F4D" w:rsidP="00A82F4D">
      <w:pPr>
        <w:pStyle w:val="NormalBold"/>
      </w:pPr>
      <w:r w:rsidRPr="00B64DD1">
        <w:rPr>
          <w:rStyle w:val="HideTWBExt"/>
          <w:b w:val="0"/>
        </w:rPr>
        <w:t>&lt;RepeatBlock-By&gt;&lt;Members&gt;</w:t>
      </w:r>
      <w:proofErr w:type="spellStart"/>
      <w:r w:rsidRPr="00B64DD1">
        <w:t>Şerban</w:t>
      </w:r>
      <w:proofErr w:type="spellEnd"/>
      <w:r w:rsidRPr="00B64DD1">
        <w:t xml:space="preserve"> </w:t>
      </w:r>
      <w:proofErr w:type="spellStart"/>
      <w:r w:rsidRPr="00B64DD1">
        <w:t>Dimitrie</w:t>
      </w:r>
      <w:proofErr w:type="spellEnd"/>
      <w:r w:rsidRPr="00B64DD1">
        <w:t xml:space="preserve"> </w:t>
      </w:r>
      <w:proofErr w:type="spellStart"/>
      <w:r w:rsidRPr="00B64DD1">
        <w:t>Sturdza</w:t>
      </w:r>
      <w:proofErr w:type="spellEnd"/>
      <w:r w:rsidRPr="00B64DD1">
        <w:rPr>
          <w:rStyle w:val="HideTWBExt"/>
          <w:b w:val="0"/>
        </w:rPr>
        <w:t>&lt;/Members&gt;</w:t>
      </w:r>
    </w:p>
    <w:p w14:paraId="68C30C54" w14:textId="77777777" w:rsidR="00A82F4D" w:rsidRPr="00B64DD1" w:rsidRDefault="00A82F4D" w:rsidP="00A82F4D">
      <w:pPr>
        <w:pStyle w:val="NormalBold"/>
      </w:pPr>
      <w:r w:rsidRPr="00B64DD1">
        <w:rPr>
          <w:rStyle w:val="HideTWBExt"/>
          <w:b w:val="0"/>
        </w:rPr>
        <w:t>&lt;/RepeatBlock-By&gt;</w:t>
      </w:r>
    </w:p>
    <w:p w14:paraId="1DBCE994"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73599E4A" w14:textId="77777777" w:rsidR="00A82F4D" w:rsidRPr="00B64DD1" w:rsidRDefault="00A82F4D" w:rsidP="00A82F4D">
      <w:pPr>
        <w:pStyle w:val="NormalBold"/>
      </w:pPr>
      <w:r w:rsidRPr="00B64DD1">
        <w:rPr>
          <w:rStyle w:val="HideTWBExt"/>
          <w:b w:val="0"/>
        </w:rPr>
        <w:t>&lt;Article&gt;</w:t>
      </w:r>
      <w:r w:rsidRPr="00B64DD1">
        <w:t>Ustęp 19 a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23C78089" w14:textId="77777777" w:rsidTr="00EA17FD">
        <w:trPr>
          <w:trHeight w:hRule="exact" w:val="240"/>
          <w:jc w:val="center"/>
        </w:trPr>
        <w:tc>
          <w:tcPr>
            <w:tcW w:w="9752" w:type="dxa"/>
            <w:gridSpan w:val="2"/>
            <w:tcBorders>
              <w:top w:val="nil"/>
              <w:left w:val="nil"/>
              <w:bottom w:val="nil"/>
              <w:right w:val="nil"/>
            </w:tcBorders>
          </w:tcPr>
          <w:p w14:paraId="501A80AE" w14:textId="77777777" w:rsidR="00A82F4D" w:rsidRPr="00B64DD1" w:rsidRDefault="00A82F4D" w:rsidP="00EA17FD"/>
        </w:tc>
      </w:tr>
      <w:tr w:rsidR="00A82F4D" w:rsidRPr="00B64DD1" w14:paraId="2D7CF993" w14:textId="77777777" w:rsidTr="00EA17FD">
        <w:trPr>
          <w:trHeight w:val="240"/>
          <w:jc w:val="center"/>
        </w:trPr>
        <w:tc>
          <w:tcPr>
            <w:tcW w:w="4876" w:type="dxa"/>
            <w:tcBorders>
              <w:top w:val="nil"/>
              <w:left w:val="nil"/>
              <w:bottom w:val="nil"/>
              <w:right w:val="nil"/>
            </w:tcBorders>
          </w:tcPr>
          <w:p w14:paraId="379ABBC5"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462250A7" w14:textId="77777777" w:rsidR="00A82F4D" w:rsidRPr="00B64DD1" w:rsidRDefault="00A82F4D" w:rsidP="00EA17FD">
            <w:pPr>
              <w:pStyle w:val="AmColumnHeading"/>
            </w:pPr>
            <w:r w:rsidRPr="00B64DD1">
              <w:t>Poprawka</w:t>
            </w:r>
          </w:p>
        </w:tc>
      </w:tr>
      <w:tr w:rsidR="00A82F4D" w:rsidRPr="00B64DD1" w14:paraId="37BB66AD" w14:textId="77777777" w:rsidTr="00EA17FD">
        <w:trPr>
          <w:jc w:val="center"/>
        </w:trPr>
        <w:tc>
          <w:tcPr>
            <w:tcW w:w="4876" w:type="dxa"/>
            <w:tcBorders>
              <w:top w:val="nil"/>
              <w:left w:val="nil"/>
              <w:bottom w:val="nil"/>
              <w:right w:val="nil"/>
            </w:tcBorders>
          </w:tcPr>
          <w:p w14:paraId="2E7F4D40" w14:textId="77777777" w:rsidR="00A82F4D" w:rsidRPr="00B64DD1" w:rsidRDefault="00A82F4D" w:rsidP="00EA17FD">
            <w:pPr>
              <w:pStyle w:val="Normal6a"/>
            </w:pPr>
          </w:p>
        </w:tc>
        <w:tc>
          <w:tcPr>
            <w:tcW w:w="4876" w:type="dxa"/>
            <w:tcBorders>
              <w:top w:val="nil"/>
              <w:left w:val="nil"/>
              <w:bottom w:val="nil"/>
              <w:right w:val="nil"/>
            </w:tcBorders>
          </w:tcPr>
          <w:p w14:paraId="64C369B6" w14:textId="77777777" w:rsidR="00A82F4D" w:rsidRPr="00B64DD1" w:rsidRDefault="00A82F4D" w:rsidP="00EA17FD">
            <w:pPr>
              <w:pStyle w:val="Normal6a"/>
            </w:pPr>
            <w:r w:rsidRPr="00B64DD1">
              <w:rPr>
                <w:b/>
                <w:i/>
              </w:rPr>
              <w:t>19a.</w:t>
            </w:r>
            <w:r w:rsidRPr="00B64DD1">
              <w:tab/>
            </w:r>
            <w:r w:rsidRPr="00B64DD1">
              <w:rPr>
                <w:b/>
                <w:i/>
              </w:rPr>
              <w:t xml:space="preserve">ubolewa nad ciągłym brakiem europejskiego koordynatora ds. zwalczania </w:t>
            </w:r>
            <w:proofErr w:type="spellStart"/>
            <w:r w:rsidRPr="00B64DD1">
              <w:rPr>
                <w:b/>
                <w:i/>
              </w:rPr>
              <w:t>chrystofobii</w:t>
            </w:r>
            <w:proofErr w:type="spellEnd"/>
            <w:r w:rsidRPr="00B64DD1">
              <w:rPr>
                <w:b/>
                <w:i/>
              </w:rPr>
              <w:t>, mimo istnienia specjalnych koordynatorów ds. zwalczania antysemityzmu i nienawiści wobec muzułmanów; zauważa, że ten brak równowagi instytucjonalnej podważa spójność i wiarygodność podejścia UE do ochrony wolności religii lub przekonań; przypomina, że ponad 380 mln chrześcijan na całym świecie doświadcza dyskryminacji, prześladowań lub brutalnych ataków z powodu swojej wiary; wzywa Komisję i ESDZ, aby w ramach ich odpowiednich kompetencji zapewniły równe traktowanie, koordynację i odpowiedzialność w zwalczaniu wszelkich form nienawiści religijnej, w tym nienawiści wobec chrześcijan, oraz przedstawiły Parlamentowi sprawozdanie na temat podjętych działań i przeznaczonych na ten cel środków;</w:t>
            </w:r>
          </w:p>
        </w:tc>
      </w:tr>
    </w:tbl>
    <w:p w14:paraId="2B5EC27B"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6D57B508" w14:textId="77777777" w:rsidR="00A82F4D" w:rsidRPr="00B64DD1" w:rsidRDefault="00A82F4D" w:rsidP="00A82F4D">
      <w:r w:rsidRPr="00B64DD1">
        <w:rPr>
          <w:rStyle w:val="HideTWBExt"/>
        </w:rPr>
        <w:t>&lt;/Amend&gt;</w:t>
      </w:r>
    </w:p>
    <w:p w14:paraId="3C230061"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58</w:t>
      </w:r>
      <w:r w:rsidRPr="00B64DD1">
        <w:rPr>
          <w:rStyle w:val="HideTWBExt"/>
          <w:b w:val="0"/>
        </w:rPr>
        <w:t>&lt;/NumAm&gt;</w:t>
      </w:r>
    </w:p>
    <w:p w14:paraId="25D268B3" w14:textId="77777777" w:rsidR="00A82F4D" w:rsidRPr="00B64DD1" w:rsidRDefault="00A82F4D" w:rsidP="00A82F4D">
      <w:pPr>
        <w:pStyle w:val="NormalBold"/>
      </w:pPr>
      <w:r w:rsidRPr="00B64DD1">
        <w:rPr>
          <w:rStyle w:val="HideTWBExt"/>
          <w:b w:val="0"/>
        </w:rPr>
        <w:t>&lt;RepeatBlock-By&gt;&lt;Members&gt;</w:t>
      </w:r>
      <w:proofErr w:type="spellStart"/>
      <w:r w:rsidRPr="00B64DD1">
        <w:t>Ondřej</w:t>
      </w:r>
      <w:proofErr w:type="spellEnd"/>
      <w:r w:rsidRPr="00B64DD1">
        <w:t xml:space="preserve"> Knotek, </w:t>
      </w:r>
      <w:proofErr w:type="spellStart"/>
      <w:r w:rsidRPr="00B64DD1">
        <w:t>Julien</w:t>
      </w:r>
      <w:proofErr w:type="spellEnd"/>
      <w:r w:rsidRPr="00B64DD1">
        <w:t xml:space="preserve"> Sanchez, Virginie </w:t>
      </w:r>
      <w:proofErr w:type="spellStart"/>
      <w:r w:rsidRPr="00B64DD1">
        <w:t>Joron</w:t>
      </w:r>
      <w:proofErr w:type="spellEnd"/>
      <w:r w:rsidRPr="00B64DD1">
        <w:t xml:space="preserve">, </w:t>
      </w:r>
      <w:proofErr w:type="spellStart"/>
      <w:r w:rsidRPr="00B64DD1">
        <w:t>Tamás</w:t>
      </w:r>
      <w:proofErr w:type="spellEnd"/>
      <w:r w:rsidRPr="00B64DD1">
        <w:t xml:space="preserve"> </w:t>
      </w:r>
      <w:proofErr w:type="spellStart"/>
      <w:r w:rsidRPr="00B64DD1">
        <w:t>Deutsch</w:t>
      </w:r>
      <w:proofErr w:type="spellEnd"/>
      <w:r w:rsidRPr="00B64DD1">
        <w:rPr>
          <w:rStyle w:val="HideTWBExt"/>
          <w:b w:val="0"/>
        </w:rPr>
        <w:t>&lt;/Members&gt;</w:t>
      </w:r>
    </w:p>
    <w:p w14:paraId="14075E3E" w14:textId="77777777" w:rsidR="00A82F4D" w:rsidRPr="00B64DD1" w:rsidRDefault="00A82F4D" w:rsidP="00A82F4D">
      <w:pPr>
        <w:pStyle w:val="NormalBold"/>
      </w:pPr>
      <w:r w:rsidRPr="00B64DD1">
        <w:rPr>
          <w:rStyle w:val="HideTWBExt"/>
          <w:b w:val="0"/>
        </w:rPr>
        <w:t>&lt;/RepeatBlock-By&gt;</w:t>
      </w:r>
    </w:p>
    <w:p w14:paraId="79B72160"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01884A34" w14:textId="77777777" w:rsidR="00A82F4D" w:rsidRPr="00B64DD1" w:rsidRDefault="00A82F4D" w:rsidP="00A82F4D">
      <w:pPr>
        <w:pStyle w:val="NormalBold"/>
      </w:pPr>
      <w:r w:rsidRPr="00B64DD1">
        <w:rPr>
          <w:rStyle w:val="HideTWBExt"/>
          <w:b w:val="0"/>
        </w:rPr>
        <w:t>&lt;Article&gt;</w:t>
      </w:r>
      <w:r w:rsidRPr="00B64DD1">
        <w:t>Ustęp 19 a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0374D861" w14:textId="77777777" w:rsidTr="00EA17FD">
        <w:trPr>
          <w:trHeight w:hRule="exact" w:val="240"/>
          <w:jc w:val="center"/>
        </w:trPr>
        <w:tc>
          <w:tcPr>
            <w:tcW w:w="9752" w:type="dxa"/>
            <w:gridSpan w:val="2"/>
            <w:tcBorders>
              <w:top w:val="nil"/>
              <w:left w:val="nil"/>
              <w:bottom w:val="nil"/>
              <w:right w:val="nil"/>
            </w:tcBorders>
          </w:tcPr>
          <w:p w14:paraId="649356C6" w14:textId="77777777" w:rsidR="00A82F4D" w:rsidRPr="00B64DD1" w:rsidRDefault="00A82F4D" w:rsidP="00EA17FD"/>
        </w:tc>
      </w:tr>
      <w:tr w:rsidR="00A82F4D" w:rsidRPr="00B64DD1" w14:paraId="2AD5677B" w14:textId="77777777" w:rsidTr="00EA17FD">
        <w:trPr>
          <w:trHeight w:val="240"/>
          <w:jc w:val="center"/>
        </w:trPr>
        <w:tc>
          <w:tcPr>
            <w:tcW w:w="4876" w:type="dxa"/>
            <w:tcBorders>
              <w:top w:val="nil"/>
              <w:left w:val="nil"/>
              <w:bottom w:val="nil"/>
              <w:right w:val="nil"/>
            </w:tcBorders>
          </w:tcPr>
          <w:p w14:paraId="349DB624"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21613FB3" w14:textId="77777777" w:rsidR="00A82F4D" w:rsidRPr="00B64DD1" w:rsidRDefault="00A82F4D" w:rsidP="00EA17FD">
            <w:pPr>
              <w:pStyle w:val="AmColumnHeading"/>
            </w:pPr>
            <w:r w:rsidRPr="00B64DD1">
              <w:t>Poprawka</w:t>
            </w:r>
          </w:p>
        </w:tc>
      </w:tr>
      <w:tr w:rsidR="00A82F4D" w:rsidRPr="00B64DD1" w14:paraId="0F0B9DA6" w14:textId="77777777" w:rsidTr="00EA17FD">
        <w:trPr>
          <w:jc w:val="center"/>
        </w:trPr>
        <w:tc>
          <w:tcPr>
            <w:tcW w:w="4876" w:type="dxa"/>
            <w:tcBorders>
              <w:top w:val="nil"/>
              <w:left w:val="nil"/>
              <w:bottom w:val="nil"/>
              <w:right w:val="nil"/>
            </w:tcBorders>
          </w:tcPr>
          <w:p w14:paraId="57EFAF07" w14:textId="77777777" w:rsidR="00A82F4D" w:rsidRPr="00B64DD1" w:rsidRDefault="00A82F4D" w:rsidP="00EA17FD">
            <w:pPr>
              <w:pStyle w:val="Normal6a"/>
            </w:pPr>
          </w:p>
        </w:tc>
        <w:tc>
          <w:tcPr>
            <w:tcW w:w="4876" w:type="dxa"/>
            <w:tcBorders>
              <w:top w:val="nil"/>
              <w:left w:val="nil"/>
              <w:bottom w:val="nil"/>
              <w:right w:val="nil"/>
            </w:tcBorders>
          </w:tcPr>
          <w:p w14:paraId="211A751D" w14:textId="77777777" w:rsidR="00A82F4D" w:rsidRPr="00B64DD1" w:rsidRDefault="00A82F4D" w:rsidP="00EA17FD">
            <w:pPr>
              <w:pStyle w:val="Normal6a"/>
            </w:pPr>
            <w:r w:rsidRPr="00B64DD1">
              <w:rPr>
                <w:b/>
                <w:i/>
              </w:rPr>
              <w:t>19a.</w:t>
            </w:r>
            <w:r w:rsidRPr="00B64DD1">
              <w:tab/>
            </w:r>
            <w:r w:rsidRPr="00B64DD1">
              <w:rPr>
                <w:b/>
                <w:i/>
              </w:rPr>
              <w:t>wyraża ubolewanie, że chociaż Unia wyznaczyła koordynatorów ds. zwalczania antysemityzmu i islamofobii, obecnie nie ma odpowiedniego koordynatora ds. zwalczania dyskryminacji i nienawiści wobec chrześcijan; uważa ten brak za dyskryminujący i apeluje o poświęcenie takiej samej uwagi wszystkim formom nietolerancji religijnej;</w:t>
            </w:r>
          </w:p>
        </w:tc>
      </w:tr>
    </w:tbl>
    <w:p w14:paraId="4BABA10D"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124E4EF6" w14:textId="77777777" w:rsidR="00A82F4D" w:rsidRPr="00B64DD1" w:rsidRDefault="00A82F4D" w:rsidP="00A82F4D">
      <w:r w:rsidRPr="00B64DD1">
        <w:rPr>
          <w:rStyle w:val="HideTWBExt"/>
        </w:rPr>
        <w:t>&lt;/Amend&gt;</w:t>
      </w:r>
    </w:p>
    <w:p w14:paraId="7CEE5539" w14:textId="77777777" w:rsidR="00A82F4D" w:rsidRPr="00B64DD1" w:rsidRDefault="00A82F4D" w:rsidP="00A82F4D">
      <w:pPr>
        <w:pStyle w:val="AmNumberTabs"/>
      </w:pPr>
      <w:r w:rsidRPr="00B64DD1">
        <w:rPr>
          <w:rStyle w:val="HideTWBExt"/>
          <w:b w:val="0"/>
        </w:rPr>
        <w:lastRenderedPageBreak/>
        <w:t>&lt;Amend&gt;</w:t>
      </w:r>
      <w:r w:rsidRPr="00B64DD1">
        <w:t>Poprawka</w:t>
      </w:r>
      <w:r w:rsidRPr="00B64DD1">
        <w:tab/>
      </w:r>
      <w:r w:rsidRPr="00B64DD1">
        <w:tab/>
      </w:r>
      <w:r w:rsidRPr="00B64DD1">
        <w:rPr>
          <w:rStyle w:val="HideTWBExt"/>
          <w:b w:val="0"/>
        </w:rPr>
        <w:t>&lt;NumAm&gt;</w:t>
      </w:r>
      <w:r w:rsidRPr="00B64DD1">
        <w:t>59</w:t>
      </w:r>
      <w:r w:rsidRPr="00B64DD1">
        <w:rPr>
          <w:rStyle w:val="HideTWBExt"/>
          <w:b w:val="0"/>
        </w:rPr>
        <w:t>&lt;/NumAm&gt;</w:t>
      </w:r>
    </w:p>
    <w:p w14:paraId="5E485F3F" w14:textId="77777777" w:rsidR="00A82F4D" w:rsidRPr="00B64DD1" w:rsidRDefault="00A82F4D" w:rsidP="00A82F4D">
      <w:pPr>
        <w:pStyle w:val="NormalBold"/>
      </w:pPr>
      <w:r w:rsidRPr="00B64DD1">
        <w:rPr>
          <w:rStyle w:val="HideTWBExt"/>
          <w:b w:val="0"/>
        </w:rPr>
        <w:t>&lt;RepeatBlock-By&gt;&lt;Members&gt;</w:t>
      </w:r>
      <w:proofErr w:type="spellStart"/>
      <w:r w:rsidRPr="00B64DD1">
        <w:t>Vlad</w:t>
      </w:r>
      <w:proofErr w:type="spellEnd"/>
      <w:r w:rsidRPr="00B64DD1">
        <w:t xml:space="preserve"> </w:t>
      </w:r>
      <w:proofErr w:type="spellStart"/>
      <w:r w:rsidRPr="00B64DD1">
        <w:t>Vasile-Voiculescu</w:t>
      </w:r>
      <w:proofErr w:type="spellEnd"/>
      <w:r w:rsidRPr="00B64DD1">
        <w:t xml:space="preserve">, Olivier </w:t>
      </w:r>
      <w:proofErr w:type="spellStart"/>
      <w:r w:rsidRPr="00B64DD1">
        <w:t>Chastel</w:t>
      </w:r>
      <w:proofErr w:type="spellEnd"/>
      <w:r w:rsidRPr="00B64DD1">
        <w:t xml:space="preserve">, </w:t>
      </w:r>
      <w:proofErr w:type="spellStart"/>
      <w:r w:rsidRPr="00B64DD1">
        <w:t>Gerben</w:t>
      </w:r>
      <w:proofErr w:type="spellEnd"/>
      <w:r w:rsidRPr="00B64DD1">
        <w:t xml:space="preserve">-Jan </w:t>
      </w:r>
      <w:proofErr w:type="spellStart"/>
      <w:r w:rsidRPr="00B64DD1">
        <w:t>Gerbrandy</w:t>
      </w:r>
      <w:proofErr w:type="spellEnd"/>
      <w:r w:rsidRPr="00B64DD1">
        <w:t xml:space="preserve">, </w:t>
      </w:r>
      <w:proofErr w:type="spellStart"/>
      <w:r w:rsidRPr="00B64DD1">
        <w:t>Gilles</w:t>
      </w:r>
      <w:proofErr w:type="spellEnd"/>
      <w:r w:rsidRPr="00B64DD1">
        <w:t xml:space="preserve"> </w:t>
      </w:r>
      <w:proofErr w:type="spellStart"/>
      <w:r w:rsidRPr="00B64DD1">
        <w:t>Boyer</w:t>
      </w:r>
      <w:proofErr w:type="spellEnd"/>
      <w:r w:rsidRPr="00B64DD1">
        <w:t xml:space="preserve">, Michal </w:t>
      </w:r>
      <w:proofErr w:type="spellStart"/>
      <w:r w:rsidRPr="00B64DD1">
        <w:t>Wiezik</w:t>
      </w:r>
      <w:proofErr w:type="spellEnd"/>
      <w:r w:rsidRPr="00B64DD1">
        <w:rPr>
          <w:rStyle w:val="HideTWBExt"/>
          <w:b w:val="0"/>
        </w:rPr>
        <w:t>&lt;/Members&gt;</w:t>
      </w:r>
    </w:p>
    <w:p w14:paraId="197AD153" w14:textId="77777777" w:rsidR="00A82F4D" w:rsidRPr="00B64DD1" w:rsidRDefault="00A82F4D" w:rsidP="00A82F4D">
      <w:pPr>
        <w:pStyle w:val="NormalBold"/>
      </w:pPr>
      <w:r w:rsidRPr="00B64DD1">
        <w:rPr>
          <w:rStyle w:val="HideTWBExt"/>
          <w:b w:val="0"/>
        </w:rPr>
        <w:t>&lt;/RepeatBlock-By&gt;</w:t>
      </w:r>
    </w:p>
    <w:p w14:paraId="17BD240A"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4E1C40AA" w14:textId="77777777" w:rsidR="00A82F4D" w:rsidRPr="00B64DD1" w:rsidRDefault="00A82F4D" w:rsidP="00A82F4D">
      <w:pPr>
        <w:pStyle w:val="NormalBold"/>
      </w:pPr>
      <w:r w:rsidRPr="00B64DD1">
        <w:rPr>
          <w:rStyle w:val="HideTWBExt"/>
          <w:b w:val="0"/>
        </w:rPr>
        <w:t>&lt;Article&gt;</w:t>
      </w:r>
      <w:r w:rsidRPr="00B64DD1">
        <w:t>Ustęp 20</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18C47B44" w14:textId="77777777" w:rsidTr="00EA17FD">
        <w:trPr>
          <w:trHeight w:hRule="exact" w:val="240"/>
          <w:jc w:val="center"/>
        </w:trPr>
        <w:tc>
          <w:tcPr>
            <w:tcW w:w="9752" w:type="dxa"/>
            <w:gridSpan w:val="2"/>
            <w:tcBorders>
              <w:top w:val="nil"/>
              <w:left w:val="nil"/>
              <w:bottom w:val="nil"/>
              <w:right w:val="nil"/>
            </w:tcBorders>
          </w:tcPr>
          <w:p w14:paraId="2CE999F8" w14:textId="77777777" w:rsidR="00A82F4D" w:rsidRPr="00B64DD1" w:rsidRDefault="00A82F4D" w:rsidP="00EA17FD"/>
        </w:tc>
      </w:tr>
      <w:tr w:rsidR="00A82F4D" w:rsidRPr="00B64DD1" w14:paraId="106FDFFA" w14:textId="77777777" w:rsidTr="00EA17FD">
        <w:trPr>
          <w:trHeight w:val="240"/>
          <w:jc w:val="center"/>
        </w:trPr>
        <w:tc>
          <w:tcPr>
            <w:tcW w:w="4876" w:type="dxa"/>
            <w:tcBorders>
              <w:top w:val="nil"/>
              <w:left w:val="nil"/>
              <w:bottom w:val="nil"/>
              <w:right w:val="nil"/>
            </w:tcBorders>
          </w:tcPr>
          <w:p w14:paraId="44B98DB6"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1D7E46D3" w14:textId="77777777" w:rsidR="00A82F4D" w:rsidRPr="00B64DD1" w:rsidRDefault="00A82F4D" w:rsidP="00EA17FD">
            <w:pPr>
              <w:pStyle w:val="AmColumnHeading"/>
            </w:pPr>
            <w:r w:rsidRPr="00B64DD1">
              <w:t>Poprawka</w:t>
            </w:r>
          </w:p>
        </w:tc>
      </w:tr>
      <w:tr w:rsidR="00A82F4D" w:rsidRPr="00B64DD1" w14:paraId="5759EA6B" w14:textId="77777777" w:rsidTr="00EA17FD">
        <w:trPr>
          <w:jc w:val="center"/>
        </w:trPr>
        <w:tc>
          <w:tcPr>
            <w:tcW w:w="4876" w:type="dxa"/>
            <w:tcBorders>
              <w:top w:val="nil"/>
              <w:left w:val="nil"/>
              <w:bottom w:val="nil"/>
              <w:right w:val="nil"/>
            </w:tcBorders>
          </w:tcPr>
          <w:p w14:paraId="2EF02CB3" w14:textId="77777777" w:rsidR="00A82F4D" w:rsidRPr="00B64DD1" w:rsidRDefault="00A82F4D" w:rsidP="00EA17FD">
            <w:pPr>
              <w:pStyle w:val="Normal6a"/>
            </w:pPr>
            <w:r w:rsidRPr="00B64DD1">
              <w:t>20.</w:t>
            </w:r>
            <w:r w:rsidRPr="00B64DD1">
              <w:tab/>
              <w:t>na podstawie kwestionariusza zauważa, że służba ds. zarządzania korporacyjnego, utworzona w 2023 r., odgrywa istotną rolę w usprawnianiu zarządzania w ESDZ przez wspieranie przygotowywania rocznych planów zarządzania ESDZ oraz rocznych sprawozdań z działalności, wzmacnianie procesów zarządzania ryzykiem, zajmowanie się systemowymi kwestiami dotyczącymi zarządzania korporacyjnego w delegaturach Unii oraz wdrażanie koncepcji „jednej delegatury”, której celem jest ograniczenie rozdrobnienia zarządzania i sprawozdawczości oraz dokumentowanie powtarzających się problemów i dobrych praktyk zarówno w centrali, jak i w delegaturach Unii;</w:t>
            </w:r>
          </w:p>
        </w:tc>
        <w:tc>
          <w:tcPr>
            <w:tcW w:w="4876" w:type="dxa"/>
            <w:tcBorders>
              <w:top w:val="nil"/>
              <w:left w:val="nil"/>
              <w:bottom w:val="nil"/>
              <w:right w:val="nil"/>
            </w:tcBorders>
          </w:tcPr>
          <w:p w14:paraId="4EEF8F51" w14:textId="77777777" w:rsidR="00A82F4D" w:rsidRPr="00B64DD1" w:rsidRDefault="00A82F4D" w:rsidP="00EA17FD">
            <w:pPr>
              <w:pStyle w:val="Normal6a"/>
            </w:pPr>
            <w:r w:rsidRPr="00B64DD1">
              <w:t>20.</w:t>
            </w:r>
            <w:r w:rsidRPr="00B64DD1">
              <w:tab/>
              <w:t xml:space="preserve">na podstawie kwestionariusza zauważa, że służba ds. zarządzania korporacyjnego, utworzona w 2023 r., odgrywa istotną rolę w usprawnianiu zarządzania w ESDZ przez wspieranie przygotowywania rocznych planów zarządzania ESDZ oraz rocznych sprawozdań z działalności, wzmacnianie procesów zarządzania ryzykiem, zajmowanie się systemowymi kwestiami dotyczącymi zarządzania korporacyjnego w delegaturach Unii oraz wdrażanie koncepcji „jednej delegatury”, której celem jest ograniczenie rozdrobnienia zarządzania i sprawozdawczości oraz dokumentowanie powtarzających się problemów i dobrych praktyk zarówno w centrali, jak i w delegaturach Unii; </w:t>
            </w:r>
            <w:r w:rsidRPr="00B64DD1">
              <w:rPr>
                <w:b/>
                <w:i/>
              </w:rPr>
              <w:t>wzywa ESDZ do szybkiego wyeliminowania słabości w zakresie kontroli wewnętrznej i zarządzania dokumentami wskazanych przez Europejski Trybunał Obrachunkowy w celu poprawy integralności zarządzania informacjami i zapewnienia spójnej sprawozdawczości we wszystkich delegaturach UE;</w:t>
            </w:r>
          </w:p>
        </w:tc>
      </w:tr>
    </w:tbl>
    <w:p w14:paraId="2F82FC77"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4F1C22CB" w14:textId="77777777" w:rsidR="00A82F4D" w:rsidRPr="00B64DD1" w:rsidRDefault="00A82F4D" w:rsidP="00A82F4D">
      <w:r w:rsidRPr="00B64DD1">
        <w:rPr>
          <w:rStyle w:val="HideTWBExt"/>
        </w:rPr>
        <w:t>&lt;/Amend&gt;</w:t>
      </w:r>
    </w:p>
    <w:p w14:paraId="4DF80AD5"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60</w:t>
      </w:r>
      <w:r w:rsidRPr="00B64DD1">
        <w:rPr>
          <w:rStyle w:val="HideTWBExt"/>
          <w:b w:val="0"/>
        </w:rPr>
        <w:t>&lt;/NumAm&gt;</w:t>
      </w:r>
    </w:p>
    <w:p w14:paraId="3FC46858" w14:textId="77777777" w:rsidR="00A82F4D" w:rsidRPr="00B64DD1" w:rsidRDefault="00A82F4D" w:rsidP="00A82F4D">
      <w:pPr>
        <w:pStyle w:val="NormalBold"/>
      </w:pPr>
      <w:r w:rsidRPr="00B64DD1">
        <w:rPr>
          <w:rStyle w:val="HideTWBExt"/>
          <w:b w:val="0"/>
        </w:rPr>
        <w:t>&lt;RepeatBlock-By&gt;&lt;Members&gt;</w:t>
      </w:r>
      <w:r w:rsidRPr="00B64DD1">
        <w:t xml:space="preserve">Dick </w:t>
      </w:r>
      <w:proofErr w:type="spellStart"/>
      <w:r w:rsidRPr="00B64DD1">
        <w:t>Erixon</w:t>
      </w:r>
      <w:proofErr w:type="spellEnd"/>
      <w:r w:rsidRPr="00B64DD1">
        <w:t>, Joachim Stanisław Brudziński</w:t>
      </w:r>
      <w:r w:rsidRPr="00B64DD1">
        <w:rPr>
          <w:rStyle w:val="HideTWBExt"/>
          <w:b w:val="0"/>
        </w:rPr>
        <w:t>&lt;/Members&gt;</w:t>
      </w:r>
    </w:p>
    <w:p w14:paraId="6CE3BF13" w14:textId="77777777" w:rsidR="00A82F4D" w:rsidRPr="00B64DD1" w:rsidRDefault="00A82F4D" w:rsidP="00A82F4D">
      <w:pPr>
        <w:pStyle w:val="NormalBold"/>
      </w:pPr>
      <w:r w:rsidRPr="00B64DD1">
        <w:rPr>
          <w:rStyle w:val="HideTWBExt"/>
          <w:b w:val="0"/>
        </w:rPr>
        <w:t>&lt;/RepeatBlock-By&gt;</w:t>
      </w:r>
    </w:p>
    <w:p w14:paraId="78262433"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6A47B2BC" w14:textId="77777777" w:rsidR="00A82F4D" w:rsidRPr="00B64DD1" w:rsidRDefault="00A82F4D" w:rsidP="00A82F4D">
      <w:pPr>
        <w:pStyle w:val="NormalBold"/>
      </w:pPr>
      <w:r w:rsidRPr="00B64DD1">
        <w:rPr>
          <w:rStyle w:val="HideTWBExt"/>
          <w:b w:val="0"/>
        </w:rPr>
        <w:t>&lt;Article&gt;</w:t>
      </w:r>
      <w:r w:rsidRPr="00B64DD1">
        <w:t>Ustęp 21</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400D6F51" w14:textId="77777777" w:rsidTr="00EA17FD">
        <w:trPr>
          <w:trHeight w:hRule="exact" w:val="240"/>
          <w:jc w:val="center"/>
        </w:trPr>
        <w:tc>
          <w:tcPr>
            <w:tcW w:w="9752" w:type="dxa"/>
            <w:gridSpan w:val="2"/>
            <w:tcBorders>
              <w:top w:val="nil"/>
              <w:left w:val="nil"/>
              <w:bottom w:val="nil"/>
              <w:right w:val="nil"/>
            </w:tcBorders>
          </w:tcPr>
          <w:p w14:paraId="5BA0BA06" w14:textId="77777777" w:rsidR="00A82F4D" w:rsidRPr="00B64DD1" w:rsidRDefault="00A82F4D" w:rsidP="00EA17FD"/>
        </w:tc>
      </w:tr>
      <w:tr w:rsidR="00A82F4D" w:rsidRPr="00B64DD1" w14:paraId="5E313CFA" w14:textId="77777777" w:rsidTr="00EA17FD">
        <w:trPr>
          <w:trHeight w:val="240"/>
          <w:jc w:val="center"/>
        </w:trPr>
        <w:tc>
          <w:tcPr>
            <w:tcW w:w="4876" w:type="dxa"/>
            <w:tcBorders>
              <w:top w:val="nil"/>
              <w:left w:val="nil"/>
              <w:bottom w:val="nil"/>
              <w:right w:val="nil"/>
            </w:tcBorders>
          </w:tcPr>
          <w:p w14:paraId="5E7448EC"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2E1E5F0D" w14:textId="77777777" w:rsidR="00A82F4D" w:rsidRPr="00B64DD1" w:rsidRDefault="00A82F4D" w:rsidP="00EA17FD">
            <w:pPr>
              <w:pStyle w:val="AmColumnHeading"/>
            </w:pPr>
            <w:r w:rsidRPr="00B64DD1">
              <w:t>Poprawka</w:t>
            </w:r>
          </w:p>
        </w:tc>
      </w:tr>
      <w:tr w:rsidR="00A82F4D" w:rsidRPr="00B64DD1" w14:paraId="550E9720" w14:textId="77777777" w:rsidTr="00EA17FD">
        <w:trPr>
          <w:jc w:val="center"/>
        </w:trPr>
        <w:tc>
          <w:tcPr>
            <w:tcW w:w="4876" w:type="dxa"/>
            <w:tcBorders>
              <w:top w:val="nil"/>
              <w:left w:val="nil"/>
              <w:bottom w:val="nil"/>
              <w:right w:val="nil"/>
            </w:tcBorders>
          </w:tcPr>
          <w:p w14:paraId="21FD390F" w14:textId="77777777" w:rsidR="00A82F4D" w:rsidRPr="00B64DD1" w:rsidRDefault="00A82F4D" w:rsidP="00EA17FD">
            <w:pPr>
              <w:pStyle w:val="Normal6a"/>
            </w:pPr>
            <w:r w:rsidRPr="00B64DD1">
              <w:rPr>
                <w:b/>
                <w:i/>
              </w:rPr>
              <w:lastRenderedPageBreak/>
              <w:t>21.</w:t>
            </w:r>
            <w:r w:rsidRPr="00B64DD1">
              <w:tab/>
            </w:r>
            <w:r w:rsidRPr="00B64DD1">
              <w:rPr>
                <w:b/>
                <w:i/>
              </w:rPr>
              <w:t>na podstawie sprawozdania uzupełniającego oraz kwestionariusza z zadowoleniem zauważa działania podejmowane przez ESDZ na rzecz dyplomacji feministycznej, mimo że główna rola w wyznaczaniu wytycznych dla działań zewnętrznych Unii należy do państw członkowskich; w szczególności z zadowoleniem przyjmuje działania mające przyspieszyć wdrażanie zobowiązań Unii w ramach trzeciego unijnego planu działania w sprawie równości płci; zauważa, że ambasadorka Unii ds. równości płci i różnorodności podejmowała działania na rzecz uwzględniania perspektywy płci w dialogach dotyczących praw człowieka oraz w kluczowych oświadczeniach i rezolucjach wielostronnych; zauważa ponadto, że przywództwo ukierunkowane na aspekt płci pozostawało jednym z kluczowych elementów instytucjonalizacji uwzględniania aspektu płci w głównym nurcie polityk; z zadowoleniem przyjmuje w tym kontekście wyznaczenie punktów kontaktowych ds. równości płci w listopadzie 2024 r.; zauważa, że trzeci unijny plan działania w sprawie równości płci wygaśnie w 2027 r., i w związku z tym wzywa ESDZ do opracowania bardziej ambitnego czwartego planu, który zapewni silniejsze powiązanie między prawami kobiet i wzmocnieniem ich pozycji a unijną polityką zagraniczną i bezpieczeństwa i który będzie gotowy do wdrażania od 2028 r.;</w:t>
            </w:r>
          </w:p>
        </w:tc>
        <w:tc>
          <w:tcPr>
            <w:tcW w:w="4876" w:type="dxa"/>
            <w:tcBorders>
              <w:top w:val="nil"/>
              <w:left w:val="nil"/>
              <w:bottom w:val="nil"/>
              <w:right w:val="nil"/>
            </w:tcBorders>
          </w:tcPr>
          <w:p w14:paraId="0A82C00E" w14:textId="77777777" w:rsidR="00A82F4D" w:rsidRPr="00B64DD1" w:rsidRDefault="00A82F4D" w:rsidP="00EA17FD">
            <w:pPr>
              <w:pStyle w:val="Normal6a"/>
            </w:pPr>
            <w:r w:rsidRPr="00B64DD1">
              <w:rPr>
                <w:b/>
                <w:i/>
              </w:rPr>
              <w:t>skreśla się</w:t>
            </w:r>
          </w:p>
        </w:tc>
      </w:tr>
    </w:tbl>
    <w:p w14:paraId="2BC88FC0"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483F8C85" w14:textId="77777777" w:rsidR="00A82F4D" w:rsidRPr="00B64DD1" w:rsidRDefault="00A82F4D" w:rsidP="00A82F4D">
      <w:r w:rsidRPr="00B64DD1">
        <w:rPr>
          <w:rStyle w:val="HideTWBExt"/>
        </w:rPr>
        <w:t>&lt;/Amend&gt;</w:t>
      </w:r>
    </w:p>
    <w:p w14:paraId="5B73D62B"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61</w:t>
      </w:r>
      <w:r w:rsidRPr="00B64DD1">
        <w:rPr>
          <w:rStyle w:val="HideTWBExt"/>
          <w:b w:val="0"/>
        </w:rPr>
        <w:t>&lt;/NumAm&gt;</w:t>
      </w:r>
    </w:p>
    <w:p w14:paraId="05EC160D" w14:textId="77777777" w:rsidR="00A82F4D" w:rsidRPr="00B64DD1" w:rsidRDefault="00A82F4D" w:rsidP="00A82F4D">
      <w:pPr>
        <w:pStyle w:val="NormalBold"/>
      </w:pPr>
      <w:r w:rsidRPr="00B64DD1">
        <w:rPr>
          <w:rStyle w:val="HideTWBExt"/>
          <w:b w:val="0"/>
        </w:rPr>
        <w:t>&lt;RepeatBlock-By&gt;&lt;Members&gt;</w:t>
      </w:r>
      <w:proofErr w:type="spellStart"/>
      <w:r w:rsidRPr="00B64DD1">
        <w:t>Tamás</w:t>
      </w:r>
      <w:proofErr w:type="spellEnd"/>
      <w:r w:rsidRPr="00B64DD1">
        <w:t xml:space="preserve"> </w:t>
      </w:r>
      <w:proofErr w:type="spellStart"/>
      <w:r w:rsidRPr="00B64DD1">
        <w:t>Deutsch</w:t>
      </w:r>
      <w:proofErr w:type="spellEnd"/>
      <w:r w:rsidRPr="00B64DD1">
        <w:rPr>
          <w:rStyle w:val="HideTWBExt"/>
          <w:b w:val="0"/>
        </w:rPr>
        <w:t>&lt;/Members&gt;</w:t>
      </w:r>
    </w:p>
    <w:p w14:paraId="4D16AFD0" w14:textId="77777777" w:rsidR="00A82F4D" w:rsidRPr="00B64DD1" w:rsidRDefault="00A82F4D" w:rsidP="00A82F4D">
      <w:pPr>
        <w:pStyle w:val="NormalBold"/>
      </w:pPr>
      <w:r w:rsidRPr="00B64DD1">
        <w:rPr>
          <w:rStyle w:val="HideTWBExt"/>
          <w:b w:val="0"/>
        </w:rPr>
        <w:t>&lt;/RepeatBlock-By&gt;</w:t>
      </w:r>
    </w:p>
    <w:p w14:paraId="7A639627"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59843CF8" w14:textId="77777777" w:rsidR="00A82F4D" w:rsidRPr="00B64DD1" w:rsidRDefault="00A82F4D" w:rsidP="00A82F4D">
      <w:pPr>
        <w:pStyle w:val="NormalBold"/>
      </w:pPr>
      <w:r w:rsidRPr="00B64DD1">
        <w:rPr>
          <w:rStyle w:val="HideTWBExt"/>
          <w:b w:val="0"/>
        </w:rPr>
        <w:t>&lt;Article&gt;</w:t>
      </w:r>
      <w:r w:rsidRPr="00B64DD1">
        <w:t>Ustęp 21 a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17234788" w14:textId="77777777" w:rsidTr="00EA17FD">
        <w:trPr>
          <w:trHeight w:hRule="exact" w:val="240"/>
          <w:jc w:val="center"/>
        </w:trPr>
        <w:tc>
          <w:tcPr>
            <w:tcW w:w="9752" w:type="dxa"/>
            <w:gridSpan w:val="2"/>
            <w:tcBorders>
              <w:top w:val="nil"/>
              <w:left w:val="nil"/>
              <w:bottom w:val="nil"/>
              <w:right w:val="nil"/>
            </w:tcBorders>
          </w:tcPr>
          <w:p w14:paraId="4123D806" w14:textId="77777777" w:rsidR="00A82F4D" w:rsidRPr="00B64DD1" w:rsidRDefault="00A82F4D" w:rsidP="00EA17FD"/>
        </w:tc>
      </w:tr>
      <w:tr w:rsidR="00A82F4D" w:rsidRPr="00B64DD1" w14:paraId="607515AB" w14:textId="77777777" w:rsidTr="00EA17FD">
        <w:trPr>
          <w:trHeight w:val="240"/>
          <w:jc w:val="center"/>
        </w:trPr>
        <w:tc>
          <w:tcPr>
            <w:tcW w:w="4876" w:type="dxa"/>
            <w:tcBorders>
              <w:top w:val="nil"/>
              <w:left w:val="nil"/>
              <w:bottom w:val="nil"/>
              <w:right w:val="nil"/>
            </w:tcBorders>
          </w:tcPr>
          <w:p w14:paraId="3F7BEEB8"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1081D92C" w14:textId="77777777" w:rsidR="00A82F4D" w:rsidRPr="00B64DD1" w:rsidRDefault="00A82F4D" w:rsidP="00EA17FD">
            <w:pPr>
              <w:pStyle w:val="AmColumnHeading"/>
            </w:pPr>
            <w:r w:rsidRPr="00B64DD1">
              <w:t>Poprawka</w:t>
            </w:r>
          </w:p>
        </w:tc>
      </w:tr>
      <w:tr w:rsidR="00A82F4D" w:rsidRPr="00B64DD1" w14:paraId="2827F0B5" w14:textId="77777777" w:rsidTr="00EA17FD">
        <w:trPr>
          <w:jc w:val="center"/>
        </w:trPr>
        <w:tc>
          <w:tcPr>
            <w:tcW w:w="4876" w:type="dxa"/>
            <w:tcBorders>
              <w:top w:val="nil"/>
              <w:left w:val="nil"/>
              <w:bottom w:val="nil"/>
              <w:right w:val="nil"/>
            </w:tcBorders>
          </w:tcPr>
          <w:p w14:paraId="06CD332A" w14:textId="77777777" w:rsidR="00A82F4D" w:rsidRPr="00B64DD1" w:rsidRDefault="00A82F4D" w:rsidP="00EA17FD">
            <w:pPr>
              <w:pStyle w:val="Normal6a"/>
            </w:pPr>
          </w:p>
        </w:tc>
        <w:tc>
          <w:tcPr>
            <w:tcW w:w="4876" w:type="dxa"/>
            <w:tcBorders>
              <w:top w:val="nil"/>
              <w:left w:val="nil"/>
              <w:bottom w:val="nil"/>
              <w:right w:val="nil"/>
            </w:tcBorders>
          </w:tcPr>
          <w:p w14:paraId="09309745" w14:textId="77777777" w:rsidR="00A82F4D" w:rsidRPr="00B64DD1" w:rsidRDefault="00A82F4D" w:rsidP="00EA17FD">
            <w:pPr>
              <w:pStyle w:val="Normal6a"/>
            </w:pPr>
            <w:r w:rsidRPr="00B64DD1">
              <w:rPr>
                <w:b/>
                <w:i/>
              </w:rPr>
              <w:t>21a.</w:t>
            </w:r>
            <w:r w:rsidRPr="00B64DD1">
              <w:tab/>
            </w:r>
            <w:r w:rsidRPr="00B64DD1">
              <w:rPr>
                <w:b/>
                <w:i/>
              </w:rPr>
              <w:t xml:space="preserve">przypomina treść Traktatu o Unii Europejskiej, który stanowi, że UE i jej instytucje wspierają solidarność i równość kobiet i mężczyzn; wzywa instytucję, aby powstrzymała się od propagowania, rozpowszechniania i wspierania „ideologii </w:t>
            </w:r>
            <w:proofErr w:type="spellStart"/>
            <w:r w:rsidRPr="00B64DD1">
              <w:rPr>
                <w:b/>
                <w:i/>
              </w:rPr>
              <w:t>gender</w:t>
            </w:r>
            <w:proofErr w:type="spellEnd"/>
            <w:r w:rsidRPr="00B64DD1">
              <w:rPr>
                <w:b/>
                <w:i/>
              </w:rPr>
              <w:t xml:space="preserve">” i „ideologii </w:t>
            </w:r>
            <w:proofErr w:type="spellStart"/>
            <w:r w:rsidRPr="00B64DD1">
              <w:rPr>
                <w:b/>
                <w:i/>
              </w:rPr>
              <w:t>woke</w:t>
            </w:r>
            <w:proofErr w:type="spellEnd"/>
            <w:r w:rsidRPr="00B64DD1">
              <w:rPr>
                <w:b/>
                <w:i/>
              </w:rPr>
              <w:t>” oraz przestrzegała Traktatu i jego postanowień, a także szanowała tożsamość narodową państw członkowskich, nieodłącznie związaną z ich podstawowymi strukturami, historią, religią i tradycjami;</w:t>
            </w:r>
          </w:p>
        </w:tc>
      </w:tr>
    </w:tbl>
    <w:p w14:paraId="1F4A23E7"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7A5007B7" w14:textId="77777777" w:rsidR="00A82F4D" w:rsidRPr="00B64DD1" w:rsidRDefault="00A82F4D" w:rsidP="00A82F4D">
      <w:r w:rsidRPr="00B64DD1">
        <w:rPr>
          <w:rStyle w:val="HideTWBExt"/>
        </w:rPr>
        <w:t>&lt;/Amend&gt;</w:t>
      </w:r>
    </w:p>
    <w:p w14:paraId="5956B80A"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62</w:t>
      </w:r>
      <w:r w:rsidRPr="00B64DD1">
        <w:rPr>
          <w:rStyle w:val="HideTWBExt"/>
          <w:b w:val="0"/>
        </w:rPr>
        <w:t>&lt;/NumAm&gt;</w:t>
      </w:r>
    </w:p>
    <w:p w14:paraId="6EDF36B7" w14:textId="77777777" w:rsidR="00A82F4D" w:rsidRPr="00B64DD1" w:rsidRDefault="00A82F4D" w:rsidP="00A82F4D">
      <w:pPr>
        <w:pStyle w:val="NormalBold"/>
      </w:pPr>
      <w:r w:rsidRPr="00B64DD1">
        <w:rPr>
          <w:rStyle w:val="HideTWBExt"/>
          <w:b w:val="0"/>
        </w:rPr>
        <w:t>&lt;RepeatBlock-By&gt;&lt;Members&gt;</w:t>
      </w:r>
      <w:r w:rsidRPr="00B64DD1">
        <w:t xml:space="preserve">Dick </w:t>
      </w:r>
      <w:proofErr w:type="spellStart"/>
      <w:r w:rsidRPr="00B64DD1">
        <w:t>Erixon</w:t>
      </w:r>
      <w:proofErr w:type="spellEnd"/>
      <w:r w:rsidRPr="00B64DD1">
        <w:t>, Joachim Stanisław Brudziński</w:t>
      </w:r>
      <w:r w:rsidRPr="00B64DD1">
        <w:rPr>
          <w:rStyle w:val="HideTWBExt"/>
          <w:b w:val="0"/>
        </w:rPr>
        <w:t>&lt;/Members&gt;</w:t>
      </w:r>
    </w:p>
    <w:p w14:paraId="0442F794" w14:textId="77777777" w:rsidR="00A82F4D" w:rsidRPr="00B64DD1" w:rsidRDefault="00A82F4D" w:rsidP="00A82F4D">
      <w:pPr>
        <w:pStyle w:val="NormalBold"/>
      </w:pPr>
      <w:r w:rsidRPr="00B64DD1">
        <w:rPr>
          <w:rStyle w:val="HideTWBExt"/>
          <w:b w:val="0"/>
        </w:rPr>
        <w:t>&lt;/RepeatBlock-By&gt;</w:t>
      </w:r>
    </w:p>
    <w:p w14:paraId="1820AE3A"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38C8A928" w14:textId="77777777" w:rsidR="00A82F4D" w:rsidRPr="00B64DD1" w:rsidRDefault="00A82F4D" w:rsidP="00A82F4D">
      <w:pPr>
        <w:pStyle w:val="NormalBold"/>
      </w:pPr>
      <w:r w:rsidRPr="00B64DD1">
        <w:rPr>
          <w:rStyle w:val="HideTWBExt"/>
          <w:b w:val="0"/>
        </w:rPr>
        <w:t>&lt;Article&gt;</w:t>
      </w:r>
      <w:r w:rsidRPr="00B64DD1">
        <w:t>Ustęp 22</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0F85E97A" w14:textId="77777777" w:rsidTr="00EA17FD">
        <w:trPr>
          <w:trHeight w:hRule="exact" w:val="240"/>
          <w:jc w:val="center"/>
        </w:trPr>
        <w:tc>
          <w:tcPr>
            <w:tcW w:w="9752" w:type="dxa"/>
            <w:gridSpan w:val="2"/>
            <w:tcBorders>
              <w:top w:val="nil"/>
              <w:left w:val="nil"/>
              <w:bottom w:val="nil"/>
              <w:right w:val="nil"/>
            </w:tcBorders>
          </w:tcPr>
          <w:p w14:paraId="050E4551" w14:textId="77777777" w:rsidR="00A82F4D" w:rsidRPr="00B64DD1" w:rsidRDefault="00A82F4D" w:rsidP="00EA17FD"/>
        </w:tc>
      </w:tr>
      <w:tr w:rsidR="00A82F4D" w:rsidRPr="00B64DD1" w14:paraId="7D9ECF5E" w14:textId="77777777" w:rsidTr="00EA17FD">
        <w:trPr>
          <w:trHeight w:val="240"/>
          <w:jc w:val="center"/>
        </w:trPr>
        <w:tc>
          <w:tcPr>
            <w:tcW w:w="4876" w:type="dxa"/>
            <w:tcBorders>
              <w:top w:val="nil"/>
              <w:left w:val="nil"/>
              <w:bottom w:val="nil"/>
              <w:right w:val="nil"/>
            </w:tcBorders>
          </w:tcPr>
          <w:p w14:paraId="1F5AB7E0"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764CDBF2" w14:textId="77777777" w:rsidR="00A82F4D" w:rsidRPr="00B64DD1" w:rsidRDefault="00A82F4D" w:rsidP="00EA17FD">
            <w:pPr>
              <w:pStyle w:val="AmColumnHeading"/>
            </w:pPr>
            <w:r w:rsidRPr="00B64DD1">
              <w:t>Poprawka</w:t>
            </w:r>
          </w:p>
        </w:tc>
      </w:tr>
      <w:tr w:rsidR="00A82F4D" w:rsidRPr="00B64DD1" w14:paraId="12526AD0" w14:textId="77777777" w:rsidTr="00EA17FD">
        <w:trPr>
          <w:jc w:val="center"/>
        </w:trPr>
        <w:tc>
          <w:tcPr>
            <w:tcW w:w="4876" w:type="dxa"/>
            <w:tcBorders>
              <w:top w:val="nil"/>
              <w:left w:val="nil"/>
              <w:bottom w:val="nil"/>
              <w:right w:val="nil"/>
            </w:tcBorders>
          </w:tcPr>
          <w:p w14:paraId="50863E1C" w14:textId="77777777" w:rsidR="00A82F4D" w:rsidRPr="00B64DD1" w:rsidRDefault="00A82F4D" w:rsidP="00EA17FD">
            <w:pPr>
              <w:pStyle w:val="Normal6a"/>
            </w:pPr>
            <w:r w:rsidRPr="00B64DD1">
              <w:rPr>
                <w:b/>
                <w:i/>
              </w:rPr>
              <w:t>22.</w:t>
            </w:r>
            <w:r w:rsidRPr="00B64DD1">
              <w:tab/>
            </w:r>
            <w:r w:rsidRPr="00B64DD1">
              <w:rPr>
                <w:b/>
                <w:i/>
              </w:rPr>
              <w:t>podkreśla, że Unia musi zwiększyć finansowanie, aby wzmocnić specjalną linię budżetową dla działań związanych z polityką zagraniczną Unii, zwłaszcza na rzecz równouprawnienia płci oraz Agendy ONZ dotyczącej kobiet, pokoju i bezpieczeństwa, a także aby zapewnić spójne finansowanie inicjatyw promujących przywództwo ukierunkowane na aspekt płci, chroniących prawa kobiet oraz przeciwdziałających przemocy seksualnej i przemocy ze względu na płeć w sytuacjach konfliktu i po jego zakończeniu; podkreśla, że takie finansowanie ma zasadnicze znaczenie dla wsparcia lokalnych organizacji społeczeństwa obywatelskiego, zapewniania wsparcia ukierunkowanego na osoby, które doświadczyły przemocy uwarunkowanej płcią, oraz włączania perspektywy płci do wysiłków Unii w dziedzinie dyplomacji i bezpieczeństwa;</w:t>
            </w:r>
          </w:p>
        </w:tc>
        <w:tc>
          <w:tcPr>
            <w:tcW w:w="4876" w:type="dxa"/>
            <w:tcBorders>
              <w:top w:val="nil"/>
              <w:left w:val="nil"/>
              <w:bottom w:val="nil"/>
              <w:right w:val="nil"/>
            </w:tcBorders>
          </w:tcPr>
          <w:p w14:paraId="4909A6D7" w14:textId="77777777" w:rsidR="00A82F4D" w:rsidRPr="00B64DD1" w:rsidRDefault="00A82F4D" w:rsidP="00EA17FD">
            <w:pPr>
              <w:pStyle w:val="Normal6a"/>
            </w:pPr>
            <w:r w:rsidRPr="00B64DD1">
              <w:rPr>
                <w:b/>
                <w:i/>
              </w:rPr>
              <w:t>skreśla się</w:t>
            </w:r>
          </w:p>
        </w:tc>
      </w:tr>
    </w:tbl>
    <w:p w14:paraId="7ED865D5"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4EC78607" w14:textId="77777777" w:rsidR="00A82F4D" w:rsidRPr="00B64DD1" w:rsidRDefault="00A82F4D" w:rsidP="00A82F4D">
      <w:r w:rsidRPr="00B64DD1">
        <w:rPr>
          <w:rStyle w:val="HideTWBExt"/>
        </w:rPr>
        <w:t>&lt;/Amend&gt;</w:t>
      </w:r>
    </w:p>
    <w:p w14:paraId="5A623E9A"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63</w:t>
      </w:r>
      <w:r w:rsidRPr="00B64DD1">
        <w:rPr>
          <w:rStyle w:val="HideTWBExt"/>
          <w:b w:val="0"/>
        </w:rPr>
        <w:t>&lt;/NumAm&gt;</w:t>
      </w:r>
    </w:p>
    <w:p w14:paraId="06089090" w14:textId="77777777" w:rsidR="00A82F4D" w:rsidRPr="00B64DD1" w:rsidRDefault="00A82F4D" w:rsidP="00A82F4D">
      <w:pPr>
        <w:pStyle w:val="NormalBold"/>
      </w:pPr>
      <w:r w:rsidRPr="00B64DD1">
        <w:rPr>
          <w:rStyle w:val="HideTWBExt"/>
          <w:b w:val="0"/>
        </w:rPr>
        <w:t>&lt;RepeatBlock-By&gt;&lt;Members&gt;</w:t>
      </w:r>
      <w:proofErr w:type="spellStart"/>
      <w:r w:rsidRPr="00B64DD1">
        <w:t>Vlad</w:t>
      </w:r>
      <w:proofErr w:type="spellEnd"/>
      <w:r w:rsidRPr="00B64DD1">
        <w:t xml:space="preserve"> </w:t>
      </w:r>
      <w:proofErr w:type="spellStart"/>
      <w:r w:rsidRPr="00B64DD1">
        <w:t>Vasile-Voiculescu</w:t>
      </w:r>
      <w:proofErr w:type="spellEnd"/>
      <w:r w:rsidRPr="00B64DD1">
        <w:t xml:space="preserve">, Olivier </w:t>
      </w:r>
      <w:proofErr w:type="spellStart"/>
      <w:r w:rsidRPr="00B64DD1">
        <w:t>Chastel</w:t>
      </w:r>
      <w:proofErr w:type="spellEnd"/>
      <w:r w:rsidRPr="00B64DD1">
        <w:t xml:space="preserve">, </w:t>
      </w:r>
      <w:proofErr w:type="spellStart"/>
      <w:r w:rsidRPr="00B64DD1">
        <w:t>Gerben</w:t>
      </w:r>
      <w:proofErr w:type="spellEnd"/>
      <w:r w:rsidRPr="00B64DD1">
        <w:t xml:space="preserve">-Jan </w:t>
      </w:r>
      <w:proofErr w:type="spellStart"/>
      <w:r w:rsidRPr="00B64DD1">
        <w:t>Gerbrandy</w:t>
      </w:r>
      <w:proofErr w:type="spellEnd"/>
      <w:r w:rsidRPr="00B64DD1">
        <w:t xml:space="preserve">, </w:t>
      </w:r>
      <w:proofErr w:type="spellStart"/>
      <w:r w:rsidRPr="00B64DD1">
        <w:t>Gilles</w:t>
      </w:r>
      <w:proofErr w:type="spellEnd"/>
      <w:r w:rsidRPr="00B64DD1">
        <w:t xml:space="preserve"> </w:t>
      </w:r>
      <w:proofErr w:type="spellStart"/>
      <w:r w:rsidRPr="00B64DD1">
        <w:t>Boyer</w:t>
      </w:r>
      <w:proofErr w:type="spellEnd"/>
      <w:r w:rsidRPr="00B64DD1">
        <w:t xml:space="preserve">, Michal </w:t>
      </w:r>
      <w:proofErr w:type="spellStart"/>
      <w:r w:rsidRPr="00B64DD1">
        <w:t>Wiezik</w:t>
      </w:r>
      <w:proofErr w:type="spellEnd"/>
      <w:r w:rsidRPr="00B64DD1">
        <w:rPr>
          <w:rStyle w:val="HideTWBExt"/>
          <w:b w:val="0"/>
        </w:rPr>
        <w:t>&lt;/Members&gt;</w:t>
      </w:r>
    </w:p>
    <w:p w14:paraId="119E8609" w14:textId="77777777" w:rsidR="00A82F4D" w:rsidRPr="00B64DD1" w:rsidRDefault="00A82F4D" w:rsidP="00A82F4D">
      <w:pPr>
        <w:pStyle w:val="NormalBold"/>
      </w:pPr>
      <w:r w:rsidRPr="00B64DD1">
        <w:rPr>
          <w:rStyle w:val="HideTWBExt"/>
          <w:b w:val="0"/>
        </w:rPr>
        <w:t>&lt;/RepeatBlock-By&gt;</w:t>
      </w:r>
    </w:p>
    <w:p w14:paraId="0988B0B5"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5BEFD463" w14:textId="77777777" w:rsidR="00A82F4D" w:rsidRPr="00B64DD1" w:rsidRDefault="00A82F4D" w:rsidP="00A82F4D">
      <w:pPr>
        <w:pStyle w:val="NormalBold"/>
      </w:pPr>
      <w:r w:rsidRPr="00B64DD1">
        <w:rPr>
          <w:rStyle w:val="HideTWBExt"/>
          <w:b w:val="0"/>
        </w:rPr>
        <w:t>&lt;Article&gt;</w:t>
      </w:r>
      <w:r w:rsidRPr="00B64DD1">
        <w:t>Ustęp 23</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7D391E28" w14:textId="77777777" w:rsidTr="00EA17FD">
        <w:trPr>
          <w:trHeight w:hRule="exact" w:val="240"/>
          <w:jc w:val="center"/>
        </w:trPr>
        <w:tc>
          <w:tcPr>
            <w:tcW w:w="9752" w:type="dxa"/>
            <w:gridSpan w:val="2"/>
            <w:tcBorders>
              <w:top w:val="nil"/>
              <w:left w:val="nil"/>
              <w:bottom w:val="nil"/>
              <w:right w:val="nil"/>
            </w:tcBorders>
          </w:tcPr>
          <w:p w14:paraId="1AB3C27E" w14:textId="77777777" w:rsidR="00A82F4D" w:rsidRPr="00B64DD1" w:rsidRDefault="00A82F4D" w:rsidP="00EA17FD"/>
        </w:tc>
      </w:tr>
      <w:tr w:rsidR="00A82F4D" w:rsidRPr="00B64DD1" w14:paraId="7E49C011" w14:textId="77777777" w:rsidTr="00EA17FD">
        <w:trPr>
          <w:trHeight w:val="240"/>
          <w:jc w:val="center"/>
        </w:trPr>
        <w:tc>
          <w:tcPr>
            <w:tcW w:w="4876" w:type="dxa"/>
            <w:tcBorders>
              <w:top w:val="nil"/>
              <w:left w:val="nil"/>
              <w:bottom w:val="nil"/>
              <w:right w:val="nil"/>
            </w:tcBorders>
          </w:tcPr>
          <w:p w14:paraId="1346E230"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21601671" w14:textId="77777777" w:rsidR="00A82F4D" w:rsidRPr="00B64DD1" w:rsidRDefault="00A82F4D" w:rsidP="00EA17FD">
            <w:pPr>
              <w:pStyle w:val="AmColumnHeading"/>
            </w:pPr>
            <w:r w:rsidRPr="00B64DD1">
              <w:t>Poprawka</w:t>
            </w:r>
          </w:p>
        </w:tc>
      </w:tr>
      <w:tr w:rsidR="00A82F4D" w:rsidRPr="00B64DD1" w14:paraId="62CE9B8C" w14:textId="77777777" w:rsidTr="00EA17FD">
        <w:trPr>
          <w:jc w:val="center"/>
        </w:trPr>
        <w:tc>
          <w:tcPr>
            <w:tcW w:w="4876" w:type="dxa"/>
            <w:tcBorders>
              <w:top w:val="nil"/>
              <w:left w:val="nil"/>
              <w:bottom w:val="nil"/>
              <w:right w:val="nil"/>
            </w:tcBorders>
          </w:tcPr>
          <w:p w14:paraId="6E5A5644" w14:textId="77777777" w:rsidR="00A82F4D" w:rsidRPr="00B64DD1" w:rsidRDefault="00A82F4D" w:rsidP="00EA17FD">
            <w:pPr>
              <w:pStyle w:val="Normal6a"/>
            </w:pPr>
            <w:r w:rsidRPr="00B64DD1">
              <w:t>23.</w:t>
            </w:r>
            <w:r w:rsidRPr="00B64DD1">
              <w:tab/>
              <w:t>uważa misję obserwacji wyborów za praktyczne i skuteczne narzędzie polityki zagranicznej, które pozostaje kluczowe dla polityki i strategii Unii w obszarze wsparcia demokracji; na podstawie sprawozdania uzupełniającego zauważa, że ESDZ nie przewiduje rozszerzenia prac obserwacyjnych na kraje kandydujące i kraje sąsiadujące, ponieważ państwa te są w wystarczającym stopniu objęte misjami obserwacyjnymi kierowanymi przez Biuro Instytucji Demokratycznych i Praw Człowieka OBWE, które stosuje metodykę podobną do unijnej i często korzysta z ekspertów pochodzących z tej samej puli specjalistów; ponownie jednak wzywa Unię do zapewnienia odpowiednich zasobów dla unijnych misji obserwacji wyborów;</w:t>
            </w:r>
          </w:p>
        </w:tc>
        <w:tc>
          <w:tcPr>
            <w:tcW w:w="4876" w:type="dxa"/>
            <w:tcBorders>
              <w:top w:val="nil"/>
              <w:left w:val="nil"/>
              <w:bottom w:val="nil"/>
              <w:right w:val="nil"/>
            </w:tcBorders>
          </w:tcPr>
          <w:p w14:paraId="1AAC65EB" w14:textId="77777777" w:rsidR="00A82F4D" w:rsidRPr="00B64DD1" w:rsidRDefault="00A82F4D" w:rsidP="00EA17FD">
            <w:pPr>
              <w:pStyle w:val="Normal6a"/>
            </w:pPr>
            <w:r w:rsidRPr="00B64DD1">
              <w:t>23.</w:t>
            </w:r>
            <w:r w:rsidRPr="00B64DD1">
              <w:tab/>
              <w:t>uważa misję obserwacji wyborów za praktyczne i skuteczne narzędzie polityki zagranicznej, które pozostaje kluczowe dla polityki i strategii Unii w obszarze wsparcia demokracji; na podstawie sprawozdania uzupełniającego zauważa, że ESDZ nie przewiduje rozszerzenia prac obserwacyjnych na kraje kandydujące i kraje sąsiadujące, ponieważ państwa te są w wystarczającym stopniu objęte misjami obserwacyjnymi kierowanymi przez Biuro Instytucji Demokratycznych i Praw Człowieka OBWE, które stosuje metodykę podobną do unijnej i często korzysta z ekspertów pochodzących z tej samej puli specjalistów; ponownie jednak wzywa Unię do zapewnienia odpowiednich zasobów</w:t>
            </w:r>
            <w:r w:rsidRPr="00B64DD1">
              <w:rPr>
                <w:b/>
                <w:bCs/>
                <w:i/>
                <w:iCs/>
              </w:rPr>
              <w:t xml:space="preserve">, w tym wiedzy specjalistycznej na temat integralności danych w </w:t>
            </w:r>
            <w:proofErr w:type="spellStart"/>
            <w:r w:rsidRPr="00B64DD1">
              <w:rPr>
                <w:b/>
                <w:bCs/>
                <w:i/>
                <w:iCs/>
              </w:rPr>
              <w:t>internecie</w:t>
            </w:r>
            <w:proofErr w:type="spellEnd"/>
            <w:r w:rsidRPr="00B64DD1">
              <w:rPr>
                <w:b/>
                <w:bCs/>
                <w:i/>
                <w:iCs/>
              </w:rPr>
              <w:t xml:space="preserve"> i ryzyka ingerencji w metodyki obserwacji wyborów,</w:t>
            </w:r>
            <w:r w:rsidRPr="00B64DD1">
              <w:rPr>
                <w:b/>
                <w:bCs/>
              </w:rPr>
              <w:t xml:space="preserve"> </w:t>
            </w:r>
            <w:r w:rsidRPr="00B64DD1">
              <w:t>dla unijnych misji obserwacji wyborów;</w:t>
            </w:r>
          </w:p>
        </w:tc>
      </w:tr>
    </w:tbl>
    <w:p w14:paraId="2B322606"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3DE977B1" w14:textId="77777777" w:rsidR="00A82F4D" w:rsidRPr="00B64DD1" w:rsidRDefault="00A82F4D" w:rsidP="00A82F4D">
      <w:r w:rsidRPr="00B64DD1">
        <w:rPr>
          <w:rStyle w:val="HideTWBExt"/>
        </w:rPr>
        <w:t>&lt;/Amend&gt;</w:t>
      </w:r>
    </w:p>
    <w:p w14:paraId="530A6C4A"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64</w:t>
      </w:r>
      <w:r w:rsidRPr="00B64DD1">
        <w:rPr>
          <w:rStyle w:val="HideTWBExt"/>
          <w:b w:val="0"/>
        </w:rPr>
        <w:t>&lt;/NumAm&gt;</w:t>
      </w:r>
    </w:p>
    <w:p w14:paraId="51E93304" w14:textId="77777777" w:rsidR="00A82F4D" w:rsidRPr="00B64DD1" w:rsidRDefault="00A82F4D" w:rsidP="00A82F4D">
      <w:pPr>
        <w:pStyle w:val="NormalBold"/>
      </w:pPr>
      <w:r w:rsidRPr="00B64DD1">
        <w:rPr>
          <w:rStyle w:val="HideTWBExt"/>
          <w:b w:val="0"/>
        </w:rPr>
        <w:t>&lt;RepeatBlock-By&gt;&lt;Members&gt;</w:t>
      </w:r>
      <w:proofErr w:type="spellStart"/>
      <w:r w:rsidRPr="00B64DD1">
        <w:t>Vlad</w:t>
      </w:r>
      <w:proofErr w:type="spellEnd"/>
      <w:r w:rsidRPr="00B64DD1">
        <w:t xml:space="preserve"> </w:t>
      </w:r>
      <w:proofErr w:type="spellStart"/>
      <w:r w:rsidRPr="00B64DD1">
        <w:t>Vasile-Voiculescu</w:t>
      </w:r>
      <w:proofErr w:type="spellEnd"/>
      <w:r w:rsidRPr="00B64DD1">
        <w:t xml:space="preserve">, Olivier </w:t>
      </w:r>
      <w:proofErr w:type="spellStart"/>
      <w:r w:rsidRPr="00B64DD1">
        <w:t>Chastel</w:t>
      </w:r>
      <w:proofErr w:type="spellEnd"/>
      <w:r w:rsidRPr="00B64DD1">
        <w:t xml:space="preserve">, </w:t>
      </w:r>
      <w:proofErr w:type="spellStart"/>
      <w:r w:rsidRPr="00B64DD1">
        <w:t>Gerben</w:t>
      </w:r>
      <w:proofErr w:type="spellEnd"/>
      <w:r w:rsidRPr="00B64DD1">
        <w:t xml:space="preserve">-Jan </w:t>
      </w:r>
      <w:proofErr w:type="spellStart"/>
      <w:r w:rsidRPr="00B64DD1">
        <w:t>Gerbrandy</w:t>
      </w:r>
      <w:proofErr w:type="spellEnd"/>
      <w:r w:rsidRPr="00B64DD1">
        <w:t xml:space="preserve">, </w:t>
      </w:r>
      <w:proofErr w:type="spellStart"/>
      <w:r w:rsidRPr="00B64DD1">
        <w:t>Gilles</w:t>
      </w:r>
      <w:proofErr w:type="spellEnd"/>
      <w:r w:rsidRPr="00B64DD1">
        <w:t xml:space="preserve"> </w:t>
      </w:r>
      <w:proofErr w:type="spellStart"/>
      <w:r w:rsidRPr="00B64DD1">
        <w:t>Boyer</w:t>
      </w:r>
      <w:proofErr w:type="spellEnd"/>
      <w:r w:rsidRPr="00B64DD1">
        <w:t xml:space="preserve">, Michal </w:t>
      </w:r>
      <w:proofErr w:type="spellStart"/>
      <w:r w:rsidRPr="00B64DD1">
        <w:t>Wiezik</w:t>
      </w:r>
      <w:proofErr w:type="spellEnd"/>
      <w:r w:rsidRPr="00B64DD1">
        <w:rPr>
          <w:rStyle w:val="HideTWBExt"/>
          <w:b w:val="0"/>
        </w:rPr>
        <w:t>&lt;/Members&gt;</w:t>
      </w:r>
    </w:p>
    <w:p w14:paraId="7A56FC03" w14:textId="77777777" w:rsidR="00A82F4D" w:rsidRPr="00B64DD1" w:rsidRDefault="00A82F4D" w:rsidP="00A82F4D">
      <w:pPr>
        <w:pStyle w:val="NormalBold"/>
      </w:pPr>
      <w:r w:rsidRPr="00B64DD1">
        <w:rPr>
          <w:rStyle w:val="HideTWBExt"/>
          <w:b w:val="0"/>
        </w:rPr>
        <w:t>&lt;/RepeatBlock-By&gt;</w:t>
      </w:r>
    </w:p>
    <w:p w14:paraId="760EFDF1"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3830F452" w14:textId="77777777" w:rsidR="00A82F4D" w:rsidRPr="00B64DD1" w:rsidRDefault="00A82F4D" w:rsidP="00A82F4D">
      <w:pPr>
        <w:pStyle w:val="NormalBold"/>
      </w:pPr>
      <w:r w:rsidRPr="00B64DD1">
        <w:rPr>
          <w:rStyle w:val="HideTWBExt"/>
          <w:b w:val="0"/>
        </w:rPr>
        <w:t>&lt;Article&gt;</w:t>
      </w:r>
      <w:r w:rsidRPr="00B64DD1">
        <w:t>Ustęp 25</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7DA7762C" w14:textId="77777777" w:rsidTr="00EA17FD">
        <w:trPr>
          <w:trHeight w:hRule="exact" w:val="240"/>
          <w:jc w:val="center"/>
        </w:trPr>
        <w:tc>
          <w:tcPr>
            <w:tcW w:w="9752" w:type="dxa"/>
            <w:gridSpan w:val="2"/>
            <w:tcBorders>
              <w:top w:val="nil"/>
              <w:left w:val="nil"/>
              <w:bottom w:val="nil"/>
              <w:right w:val="nil"/>
            </w:tcBorders>
          </w:tcPr>
          <w:p w14:paraId="4919CBAD" w14:textId="77777777" w:rsidR="00A82F4D" w:rsidRPr="00B64DD1" w:rsidRDefault="00A82F4D" w:rsidP="00EA17FD"/>
        </w:tc>
      </w:tr>
      <w:tr w:rsidR="00A82F4D" w:rsidRPr="00B64DD1" w14:paraId="70425DEF" w14:textId="77777777" w:rsidTr="00EA17FD">
        <w:trPr>
          <w:trHeight w:val="240"/>
          <w:jc w:val="center"/>
        </w:trPr>
        <w:tc>
          <w:tcPr>
            <w:tcW w:w="4876" w:type="dxa"/>
            <w:tcBorders>
              <w:top w:val="nil"/>
              <w:left w:val="nil"/>
              <w:bottom w:val="nil"/>
              <w:right w:val="nil"/>
            </w:tcBorders>
          </w:tcPr>
          <w:p w14:paraId="1C6D7D62" w14:textId="77777777" w:rsidR="00A82F4D" w:rsidRPr="00B64DD1" w:rsidRDefault="00A82F4D" w:rsidP="00EA17FD">
            <w:pPr>
              <w:pStyle w:val="AmColumnHeading"/>
            </w:pPr>
            <w:r w:rsidRPr="00B64DD1">
              <w:lastRenderedPageBreak/>
              <w:t>Projekt rezolucji</w:t>
            </w:r>
          </w:p>
        </w:tc>
        <w:tc>
          <w:tcPr>
            <w:tcW w:w="4876" w:type="dxa"/>
            <w:tcBorders>
              <w:top w:val="nil"/>
              <w:left w:val="nil"/>
              <w:bottom w:val="nil"/>
              <w:right w:val="nil"/>
            </w:tcBorders>
          </w:tcPr>
          <w:p w14:paraId="2F6FD4C5" w14:textId="77777777" w:rsidR="00A82F4D" w:rsidRPr="00B64DD1" w:rsidRDefault="00A82F4D" w:rsidP="00EA17FD">
            <w:pPr>
              <w:pStyle w:val="AmColumnHeading"/>
            </w:pPr>
            <w:r w:rsidRPr="00B64DD1">
              <w:t>Poprawka</w:t>
            </w:r>
          </w:p>
        </w:tc>
      </w:tr>
      <w:tr w:rsidR="00A82F4D" w:rsidRPr="00B64DD1" w14:paraId="431A6DB3" w14:textId="77777777" w:rsidTr="00EA17FD">
        <w:trPr>
          <w:jc w:val="center"/>
        </w:trPr>
        <w:tc>
          <w:tcPr>
            <w:tcW w:w="4876" w:type="dxa"/>
            <w:tcBorders>
              <w:top w:val="nil"/>
              <w:left w:val="nil"/>
              <w:bottom w:val="nil"/>
              <w:right w:val="nil"/>
            </w:tcBorders>
          </w:tcPr>
          <w:p w14:paraId="3D1A87E5" w14:textId="77777777" w:rsidR="00A82F4D" w:rsidRPr="00B64DD1" w:rsidRDefault="00A82F4D" w:rsidP="00EA17FD">
            <w:pPr>
              <w:pStyle w:val="Normal6a"/>
            </w:pPr>
            <w:r w:rsidRPr="00B64DD1">
              <w:t>25.</w:t>
            </w:r>
            <w:r w:rsidRPr="00B64DD1">
              <w:tab/>
              <w:t xml:space="preserve">przypomina, że w 2021 r. Parlament </w:t>
            </w:r>
            <w:r w:rsidRPr="00B64DD1">
              <w:rPr>
                <w:b/>
                <w:bCs/>
                <w:i/>
                <w:iCs/>
              </w:rPr>
              <w:t>zaproponował</w:t>
            </w:r>
            <w:r w:rsidRPr="00B64DD1">
              <w:t xml:space="preserve"> projekt pilotażowy „W kierunku utworzenia Europejskiej Akademii Dyplomatycznej” (EUDA), którego celem było </w:t>
            </w:r>
            <w:r w:rsidRPr="00B64DD1">
              <w:rPr>
                <w:b/>
                <w:bCs/>
                <w:i/>
                <w:iCs/>
              </w:rPr>
              <w:t>stworzenie masy krytycznej dyplomatów europejskich przeszkolonych w zakresie stosunków zewnętrznych i bezpieczeństwa Unii oraz rozwój</w:t>
            </w:r>
            <w:r w:rsidRPr="00B64DD1">
              <w:t xml:space="preserve"> europejskiej kultury dyplomatycznej</w:t>
            </w:r>
            <w:r w:rsidRPr="00B64DD1">
              <w:rPr>
                <w:b/>
                <w:bCs/>
                <w:i/>
                <w:iCs/>
              </w:rPr>
              <w:t>, mającej na celu wzmocnienie roli</w:t>
            </w:r>
            <w:r w:rsidRPr="00B64DD1">
              <w:t xml:space="preserve"> Unii</w:t>
            </w:r>
            <w:r w:rsidRPr="00B64DD1">
              <w:rPr>
                <w:b/>
                <w:bCs/>
                <w:i/>
                <w:iCs/>
              </w:rPr>
              <w:t xml:space="preserve"> jako skutecznego podmiotu polityki zagranicznej</w:t>
            </w:r>
            <w:r w:rsidRPr="00B64DD1">
              <w:t>; zauważa</w:t>
            </w:r>
            <w:r w:rsidRPr="00B64DD1">
              <w:rPr>
                <w:b/>
                <w:bCs/>
                <w:i/>
                <w:iCs/>
              </w:rPr>
              <w:t>, że w pierwszej fazie tego projektu pilotażowego, obejmującej rok akademicki 2022/2023, uczestniczyło 42 młodych dyplomatów, natomiast w drugiej fazie, obejmującej rok akademicki 2023/2024, udział wzięło 50 uczestników;</w:t>
            </w:r>
            <w:r w:rsidRPr="00B64DD1">
              <w:rPr>
                <w:b/>
                <w:i/>
              </w:rPr>
              <w:t xml:space="preserve"> zwraca uwagę, że druga faza obejmowała dwie identyczne czteromiesięczne edycje kursu, po których następowało jednomiesięczne szkolenie w centrali ESDZ w Brukseli; zauważa, że kursy i program szkoleniowy realizowało konsorcjum akademickie tworzone przez Kolegium Europejskie w Belgii (Brugia) i w Polsce (Natolin); na podstawie kwestionariusza zauważa, że zgodnie z umową o świadczenie usług EEAS/2022/OP/0168-2023 Kolegium Europejskie przygotowało sprawozdanie końcowe zawierające ocenę drugiej fazy projektu pilotażowego; </w:t>
            </w:r>
            <w:r w:rsidRPr="00B64DD1">
              <w:t xml:space="preserve">wzywa ESDZ do przekazania organowi udzielającemu absolutorium </w:t>
            </w:r>
            <w:r w:rsidRPr="00B64DD1">
              <w:rPr>
                <w:b/>
                <w:bCs/>
                <w:i/>
                <w:iCs/>
              </w:rPr>
              <w:t>tego</w:t>
            </w:r>
            <w:r w:rsidRPr="00B64DD1">
              <w:t xml:space="preserve"> sprawozdania;</w:t>
            </w:r>
            <w:r w:rsidRPr="00B64DD1">
              <w:rPr>
                <w:b/>
                <w:i/>
              </w:rPr>
              <w:t xml:space="preserve"> </w:t>
            </w:r>
            <w:r w:rsidRPr="00B64DD1">
              <w:rPr>
                <w:b/>
                <w:bCs/>
                <w:i/>
                <w:iCs/>
              </w:rPr>
              <w:t>na podstawie sprawozdania ESDZ dotyczącego sprawozdań finansowych za lata 2022, 2023 i 2024 zauważa, że w odniesieniu do wykonania budżetu na fazy pilotażowe EUDA ESDZ wypłaciła 831 000 EUR w 2022 r., 120 000 EUR w 2023 r. oraz 862 000 EUR w 2024 r.;</w:t>
            </w:r>
            <w:r w:rsidRPr="00B64DD1">
              <w:rPr>
                <w:b/>
                <w:i/>
              </w:rPr>
              <w:t xml:space="preserve"> </w:t>
            </w:r>
            <w:r w:rsidRPr="00B64DD1">
              <w:rPr>
                <w:b/>
                <w:bCs/>
                <w:i/>
                <w:iCs/>
              </w:rPr>
              <w:t>zwraca się do ESDZ o przekazanie Parlamentowi, w ramach procedury udzielania absolutorium, kopii</w:t>
            </w:r>
            <w:r w:rsidRPr="00B64DD1">
              <w:t xml:space="preserve"> wszelkiej dokumentacji dotyczącej </w:t>
            </w:r>
            <w:r w:rsidRPr="00B64DD1">
              <w:rPr>
                <w:b/>
                <w:bCs/>
                <w:i/>
                <w:iCs/>
              </w:rPr>
              <w:t>przeprowadzonych procedur udzielania</w:t>
            </w:r>
            <w:r w:rsidRPr="00B64DD1">
              <w:t xml:space="preserve"> zamówień</w:t>
            </w:r>
            <w:r w:rsidRPr="00B64DD1">
              <w:rPr>
                <w:b/>
                <w:bCs/>
                <w:i/>
                <w:iCs/>
              </w:rPr>
              <w:t>, zawartych</w:t>
            </w:r>
            <w:r w:rsidRPr="00B64DD1">
              <w:t xml:space="preserve"> umów </w:t>
            </w:r>
            <w:r w:rsidRPr="00B64DD1">
              <w:rPr>
                <w:b/>
                <w:bCs/>
                <w:i/>
                <w:iCs/>
              </w:rPr>
              <w:t xml:space="preserve">oraz </w:t>
            </w:r>
            <w:r w:rsidRPr="00B64DD1">
              <w:rPr>
                <w:b/>
                <w:bCs/>
                <w:i/>
                <w:iCs/>
              </w:rPr>
              <w:lastRenderedPageBreak/>
              <w:t>dokonanych płatności związanych z fazą pierwszą i fazą drugą projektu pilotażowego EUDA</w:t>
            </w:r>
            <w:r w:rsidRPr="00B64DD1">
              <w:t>;</w:t>
            </w:r>
          </w:p>
        </w:tc>
        <w:tc>
          <w:tcPr>
            <w:tcW w:w="4876" w:type="dxa"/>
            <w:tcBorders>
              <w:top w:val="nil"/>
              <w:left w:val="nil"/>
              <w:bottom w:val="nil"/>
              <w:right w:val="nil"/>
            </w:tcBorders>
          </w:tcPr>
          <w:p w14:paraId="3DDC2F96" w14:textId="77777777" w:rsidR="00A82F4D" w:rsidRPr="00B64DD1" w:rsidRDefault="00A82F4D" w:rsidP="00EA17FD">
            <w:pPr>
              <w:pStyle w:val="Normal6a"/>
            </w:pPr>
            <w:r w:rsidRPr="00B64DD1">
              <w:lastRenderedPageBreak/>
              <w:t>25.</w:t>
            </w:r>
            <w:r w:rsidRPr="00B64DD1">
              <w:tab/>
              <w:t xml:space="preserve">przypomina, że w 2021 r. Parlament </w:t>
            </w:r>
            <w:r w:rsidRPr="00B64DD1">
              <w:rPr>
                <w:b/>
                <w:bCs/>
                <w:i/>
                <w:iCs/>
              </w:rPr>
              <w:t>rozpoczął</w:t>
            </w:r>
            <w:r w:rsidRPr="00B64DD1">
              <w:t xml:space="preserve"> projekt pilotażowy „W kierunku utworzenia Europejskiej Akademii Dyplomatycznej” (EUDA), którego celem było </w:t>
            </w:r>
            <w:r w:rsidRPr="00B64DD1">
              <w:rPr>
                <w:b/>
                <w:bCs/>
                <w:i/>
                <w:iCs/>
              </w:rPr>
              <w:t>wspieranie prawdziwie</w:t>
            </w:r>
            <w:r w:rsidRPr="00B64DD1">
              <w:t xml:space="preserve"> europejskiej kultury dyplomatycznej </w:t>
            </w:r>
            <w:r w:rsidRPr="00B64DD1">
              <w:rPr>
                <w:b/>
                <w:bCs/>
                <w:i/>
                <w:iCs/>
              </w:rPr>
              <w:t>i wzmocnienie strategicznej obecności</w:t>
            </w:r>
            <w:r w:rsidRPr="00B64DD1">
              <w:t xml:space="preserve"> Unii </w:t>
            </w:r>
            <w:r w:rsidRPr="00B64DD1">
              <w:rPr>
                <w:b/>
                <w:bCs/>
                <w:i/>
                <w:iCs/>
              </w:rPr>
              <w:t>na całym świecie</w:t>
            </w:r>
            <w:r w:rsidRPr="00B64DD1">
              <w:t xml:space="preserve">; zauważa </w:t>
            </w:r>
            <w:r w:rsidRPr="00B64DD1">
              <w:rPr>
                <w:b/>
                <w:bCs/>
                <w:i/>
                <w:iCs/>
              </w:rPr>
              <w:t>pomyślny udział w obu fazach pilotażowych i</w:t>
            </w:r>
            <w:r w:rsidRPr="00B64DD1">
              <w:t xml:space="preserve"> wzywa ESDZ do przekazania organowi udzielającemu absolutorium </w:t>
            </w:r>
            <w:r w:rsidRPr="00B64DD1">
              <w:rPr>
                <w:b/>
                <w:bCs/>
                <w:i/>
                <w:iCs/>
              </w:rPr>
              <w:t>pełnego</w:t>
            </w:r>
            <w:r w:rsidRPr="00B64DD1">
              <w:t xml:space="preserve"> sprawozdania z</w:t>
            </w:r>
            <w:r w:rsidRPr="00B64DD1">
              <w:rPr>
                <w:b/>
                <w:bCs/>
                <w:i/>
                <w:iCs/>
              </w:rPr>
              <w:t xml:space="preserve"> oceny oraz </w:t>
            </w:r>
            <w:r w:rsidRPr="00B64DD1">
              <w:t xml:space="preserve">wszelkiej dokumentacji dotyczącej zamówień </w:t>
            </w:r>
            <w:r w:rsidRPr="00B64DD1">
              <w:rPr>
                <w:b/>
                <w:bCs/>
                <w:i/>
                <w:iCs/>
              </w:rPr>
              <w:t>i</w:t>
            </w:r>
            <w:r w:rsidRPr="00B64DD1">
              <w:t xml:space="preserve"> umów</w:t>
            </w:r>
            <w:r w:rsidRPr="00B64DD1">
              <w:rPr>
                <w:b/>
                <w:bCs/>
                <w:i/>
                <w:iCs/>
              </w:rPr>
              <w:t>, aby zapewnić pełną przejrzystość w odniesieniu do kwoty 1,8 mln EUR wydanej w latach 2022–2024</w:t>
            </w:r>
            <w:r w:rsidRPr="00B64DD1">
              <w:t>;</w:t>
            </w:r>
          </w:p>
        </w:tc>
      </w:tr>
    </w:tbl>
    <w:p w14:paraId="67EF4E8E"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62A59851" w14:textId="77777777" w:rsidR="00A82F4D" w:rsidRPr="00B64DD1" w:rsidRDefault="00A82F4D" w:rsidP="00A82F4D">
      <w:r w:rsidRPr="00B64DD1">
        <w:rPr>
          <w:rStyle w:val="HideTWBExt"/>
        </w:rPr>
        <w:t>&lt;/Amend&gt;</w:t>
      </w:r>
    </w:p>
    <w:p w14:paraId="4C59A4EE"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65</w:t>
      </w:r>
      <w:r w:rsidRPr="00B64DD1">
        <w:rPr>
          <w:rStyle w:val="HideTWBExt"/>
          <w:b w:val="0"/>
        </w:rPr>
        <w:t>&lt;/NumAm&gt;</w:t>
      </w:r>
    </w:p>
    <w:p w14:paraId="26191F7F" w14:textId="77777777" w:rsidR="00A82F4D" w:rsidRPr="00B64DD1" w:rsidRDefault="00A82F4D" w:rsidP="00A82F4D">
      <w:pPr>
        <w:pStyle w:val="NormalBold"/>
      </w:pPr>
      <w:r w:rsidRPr="00B64DD1">
        <w:rPr>
          <w:rStyle w:val="HideTWBExt"/>
          <w:b w:val="0"/>
        </w:rPr>
        <w:t>&lt;RepeatBlock-By&gt;&lt;Members&gt;</w:t>
      </w:r>
      <w:proofErr w:type="spellStart"/>
      <w:r w:rsidRPr="00B64DD1">
        <w:t>Vlad</w:t>
      </w:r>
      <w:proofErr w:type="spellEnd"/>
      <w:r w:rsidRPr="00B64DD1">
        <w:t xml:space="preserve"> </w:t>
      </w:r>
      <w:proofErr w:type="spellStart"/>
      <w:r w:rsidRPr="00B64DD1">
        <w:t>Vasile-Voiculescu</w:t>
      </w:r>
      <w:proofErr w:type="spellEnd"/>
      <w:r w:rsidRPr="00B64DD1">
        <w:t xml:space="preserve">, Olivier </w:t>
      </w:r>
      <w:proofErr w:type="spellStart"/>
      <w:r w:rsidRPr="00B64DD1">
        <w:t>Chastel</w:t>
      </w:r>
      <w:proofErr w:type="spellEnd"/>
      <w:r w:rsidRPr="00B64DD1">
        <w:t xml:space="preserve">, </w:t>
      </w:r>
      <w:proofErr w:type="spellStart"/>
      <w:r w:rsidRPr="00B64DD1">
        <w:t>Gerben</w:t>
      </w:r>
      <w:proofErr w:type="spellEnd"/>
      <w:r w:rsidRPr="00B64DD1">
        <w:t xml:space="preserve">-Jan </w:t>
      </w:r>
      <w:proofErr w:type="spellStart"/>
      <w:r w:rsidRPr="00B64DD1">
        <w:t>Gerbrandy</w:t>
      </w:r>
      <w:proofErr w:type="spellEnd"/>
      <w:r w:rsidRPr="00B64DD1">
        <w:t xml:space="preserve">, </w:t>
      </w:r>
      <w:proofErr w:type="spellStart"/>
      <w:r w:rsidRPr="00B64DD1">
        <w:t>Gilles</w:t>
      </w:r>
      <w:proofErr w:type="spellEnd"/>
      <w:r w:rsidRPr="00B64DD1">
        <w:t xml:space="preserve"> </w:t>
      </w:r>
      <w:proofErr w:type="spellStart"/>
      <w:r w:rsidRPr="00B64DD1">
        <w:t>Boyer</w:t>
      </w:r>
      <w:proofErr w:type="spellEnd"/>
      <w:r w:rsidRPr="00B64DD1">
        <w:t xml:space="preserve">, Michal </w:t>
      </w:r>
      <w:proofErr w:type="spellStart"/>
      <w:r w:rsidRPr="00B64DD1">
        <w:t>Wiezik</w:t>
      </w:r>
      <w:proofErr w:type="spellEnd"/>
      <w:r w:rsidRPr="00B64DD1">
        <w:rPr>
          <w:rStyle w:val="HideTWBExt"/>
          <w:b w:val="0"/>
        </w:rPr>
        <w:t>&lt;/Members&gt;</w:t>
      </w:r>
    </w:p>
    <w:p w14:paraId="2CDA073B" w14:textId="77777777" w:rsidR="00A82F4D" w:rsidRPr="00B64DD1" w:rsidRDefault="00A82F4D" w:rsidP="00A82F4D">
      <w:pPr>
        <w:pStyle w:val="NormalBold"/>
      </w:pPr>
      <w:r w:rsidRPr="00B64DD1">
        <w:rPr>
          <w:rStyle w:val="HideTWBExt"/>
          <w:b w:val="0"/>
        </w:rPr>
        <w:t>&lt;/RepeatBlock-By&gt;</w:t>
      </w:r>
    </w:p>
    <w:p w14:paraId="43542FD6"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0FBBF093" w14:textId="77777777" w:rsidR="00A82F4D" w:rsidRPr="00B64DD1" w:rsidRDefault="00A82F4D" w:rsidP="00A82F4D">
      <w:pPr>
        <w:pStyle w:val="NormalBold"/>
      </w:pPr>
      <w:r w:rsidRPr="00B64DD1">
        <w:rPr>
          <w:rStyle w:val="HideTWBExt"/>
          <w:b w:val="0"/>
        </w:rPr>
        <w:t>&lt;Article&gt;</w:t>
      </w:r>
      <w:r w:rsidRPr="00B64DD1">
        <w:t>Ustęp 26</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481F174F" w14:textId="77777777" w:rsidTr="00EA17FD">
        <w:trPr>
          <w:trHeight w:hRule="exact" w:val="240"/>
          <w:jc w:val="center"/>
        </w:trPr>
        <w:tc>
          <w:tcPr>
            <w:tcW w:w="9752" w:type="dxa"/>
            <w:gridSpan w:val="2"/>
            <w:tcBorders>
              <w:top w:val="nil"/>
              <w:left w:val="nil"/>
              <w:bottom w:val="nil"/>
              <w:right w:val="nil"/>
            </w:tcBorders>
          </w:tcPr>
          <w:p w14:paraId="3808E3FC" w14:textId="77777777" w:rsidR="00A82F4D" w:rsidRPr="00B64DD1" w:rsidRDefault="00A82F4D" w:rsidP="00EA17FD"/>
        </w:tc>
      </w:tr>
      <w:tr w:rsidR="00A82F4D" w:rsidRPr="00B64DD1" w14:paraId="78EF3170" w14:textId="77777777" w:rsidTr="00EA17FD">
        <w:trPr>
          <w:trHeight w:val="240"/>
          <w:jc w:val="center"/>
        </w:trPr>
        <w:tc>
          <w:tcPr>
            <w:tcW w:w="4876" w:type="dxa"/>
            <w:tcBorders>
              <w:top w:val="nil"/>
              <w:left w:val="nil"/>
              <w:bottom w:val="nil"/>
              <w:right w:val="nil"/>
            </w:tcBorders>
          </w:tcPr>
          <w:p w14:paraId="6BCE0697"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59DFC757" w14:textId="77777777" w:rsidR="00A82F4D" w:rsidRPr="00B64DD1" w:rsidRDefault="00A82F4D" w:rsidP="00EA17FD">
            <w:pPr>
              <w:pStyle w:val="AmColumnHeading"/>
            </w:pPr>
            <w:r w:rsidRPr="00B64DD1">
              <w:t>Poprawka</w:t>
            </w:r>
          </w:p>
        </w:tc>
      </w:tr>
      <w:tr w:rsidR="00A82F4D" w:rsidRPr="00B64DD1" w14:paraId="330A7BAE" w14:textId="77777777" w:rsidTr="00EA17FD">
        <w:trPr>
          <w:jc w:val="center"/>
        </w:trPr>
        <w:tc>
          <w:tcPr>
            <w:tcW w:w="4876" w:type="dxa"/>
            <w:tcBorders>
              <w:top w:val="nil"/>
              <w:left w:val="nil"/>
              <w:bottom w:val="nil"/>
              <w:right w:val="nil"/>
            </w:tcBorders>
          </w:tcPr>
          <w:p w14:paraId="0B4897EB" w14:textId="77777777" w:rsidR="00A82F4D" w:rsidRPr="00B64DD1" w:rsidRDefault="00A82F4D" w:rsidP="00EA17FD">
            <w:pPr>
              <w:pStyle w:val="Normal6a"/>
            </w:pPr>
            <w:r w:rsidRPr="00B64DD1">
              <w:t>26.</w:t>
            </w:r>
            <w:r w:rsidRPr="00B64DD1">
              <w:tab/>
              <w:t xml:space="preserve">zauważa ponadto, że 21 maja 2024 r., opierając się na doświadczeniach i strukturze wypracowanych w fazach pilotażowych, Rada przyjęła decyzję o ustanowieniu w pełni funkcjonującej EUDA na cztery lata akademickie, począwszy od roku 2024/2025, </w:t>
            </w:r>
            <w:r w:rsidRPr="00B64DD1">
              <w:rPr>
                <w:b/>
                <w:bCs/>
                <w:i/>
                <w:iCs/>
              </w:rPr>
              <w:t>przy czym działania w zakresie kursów i szkoleń</w:t>
            </w:r>
            <w:r w:rsidRPr="00B64DD1">
              <w:t xml:space="preserve"> powierzono Kolegium Europejskiemu, natomiast </w:t>
            </w:r>
            <w:r w:rsidRPr="00B64DD1">
              <w:rPr>
                <w:b/>
                <w:bCs/>
                <w:i/>
                <w:iCs/>
              </w:rPr>
              <w:t>EUDA będzie działała pod nadzorem wiceprzewodniczącej / wysokiej przedstawicielki, która będzie otrzymywać wytyczne od komitetu sterującego złożonego z przedstawiciela wyznaczonego przez każde państwo członkowskie, a także przedstawiciela</w:t>
            </w:r>
            <w:r w:rsidRPr="00B64DD1">
              <w:t xml:space="preserve"> Parlamentu, Rady i Komisji; </w:t>
            </w:r>
            <w:r w:rsidRPr="00B64DD1">
              <w:rPr>
                <w:b/>
                <w:bCs/>
                <w:i/>
                <w:iCs/>
              </w:rPr>
              <w:t>na podstawie tej decyzji zauważa, że zamierzona kwota 1,72 mln EUR ma obejmować okres od</w:t>
            </w:r>
            <w:r w:rsidRPr="00B64DD1">
              <w:t xml:space="preserve"> 1 lipca 2024 r. do 30 czerwca 2025 r.</w:t>
            </w:r>
            <w:r w:rsidRPr="00B64DD1">
              <w:rPr>
                <w:b/>
                <w:bCs/>
                <w:i/>
                <w:iCs/>
              </w:rPr>
              <w:t>, natomiast zarządzanie wydatkami związanymi z EUDA jest nadzorowane przez Komisję za pośrednictwem Służby</w:t>
            </w:r>
            <w:r w:rsidRPr="00B64DD1">
              <w:t xml:space="preserve"> ds. Instrumentów Polityki Zagranicznej;</w:t>
            </w:r>
          </w:p>
        </w:tc>
        <w:tc>
          <w:tcPr>
            <w:tcW w:w="4876" w:type="dxa"/>
            <w:tcBorders>
              <w:top w:val="nil"/>
              <w:left w:val="nil"/>
              <w:bottom w:val="nil"/>
              <w:right w:val="nil"/>
            </w:tcBorders>
          </w:tcPr>
          <w:p w14:paraId="7AF8BA28" w14:textId="77777777" w:rsidR="00A82F4D" w:rsidRPr="00B64DD1" w:rsidRDefault="00A82F4D" w:rsidP="00EA17FD">
            <w:pPr>
              <w:pStyle w:val="Normal6a"/>
            </w:pPr>
            <w:r w:rsidRPr="00B64DD1">
              <w:t>26.</w:t>
            </w:r>
            <w:r w:rsidRPr="00B64DD1">
              <w:tab/>
              <w:t>zauważa ponadto, że 21 maja 2024 r., opierając się na doświadczeniach i strukturze wypracowanych w fazach pilotażowych, Rada przyjęła decyzję o ustanowieniu w pełni funkcjonującej EUDA na cztery lata akademickie, począwszy od roku 2024/2025</w:t>
            </w:r>
            <w:r w:rsidRPr="00B64DD1">
              <w:rPr>
                <w:b/>
                <w:bCs/>
                <w:i/>
                <w:iCs/>
              </w:rPr>
              <w:t>;</w:t>
            </w:r>
            <w:r w:rsidRPr="00B64DD1">
              <w:rPr>
                <w:b/>
                <w:i/>
              </w:rPr>
              <w:t xml:space="preserve"> podkreśla, że utworzenie ADUE stanowi strategiczny krok w kierunku wzmocnienia potencjału dyplomatycznego Unii i rozwoju prawdziwie europejskiej kultury dyplomatycznej; </w:t>
            </w:r>
            <w:r w:rsidRPr="00B64DD1">
              <w:rPr>
                <w:b/>
                <w:bCs/>
                <w:i/>
                <w:iCs/>
              </w:rPr>
              <w:t>zauważa, że realizację programu szkoleniowego</w:t>
            </w:r>
            <w:r w:rsidRPr="00B64DD1">
              <w:t xml:space="preserve"> powierzono Kolegium Europejskiemu, natomiast </w:t>
            </w:r>
            <w:r w:rsidRPr="00B64DD1">
              <w:rPr>
                <w:b/>
                <w:bCs/>
                <w:i/>
                <w:iCs/>
              </w:rPr>
              <w:t>ogólne zarządzanie zapewni komitet sterujący złożony z przedstawicieli wszystkich państw członkowskich,</w:t>
            </w:r>
            <w:r w:rsidRPr="00B64DD1">
              <w:t xml:space="preserve"> Parlamentu, Rady i Komisji; </w:t>
            </w:r>
            <w:r w:rsidRPr="00B64DD1">
              <w:rPr>
                <w:b/>
                <w:bCs/>
                <w:i/>
                <w:iCs/>
              </w:rPr>
              <w:t>zauważa, że na pierwszy rok akademicki (</w:t>
            </w:r>
            <w:r w:rsidRPr="00B64DD1">
              <w:t>od 1 lipca 2024 r. do 30 czerwca 2025 r.</w:t>
            </w:r>
            <w:r w:rsidRPr="00B64DD1">
              <w:rPr>
                <w:b/>
                <w:bCs/>
                <w:i/>
                <w:iCs/>
              </w:rPr>
              <w:t>) przeznaczono kwotę 1,72 mln EUR, przy czym wydatkami zarządza Służba</w:t>
            </w:r>
            <w:r w:rsidRPr="00B64DD1">
              <w:t xml:space="preserve"> ds. Instrumentów Polityki Zagranicznej Komisji;</w:t>
            </w:r>
          </w:p>
        </w:tc>
      </w:tr>
    </w:tbl>
    <w:p w14:paraId="34379276"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52FA80F3" w14:textId="77777777" w:rsidR="00A82F4D" w:rsidRPr="00B64DD1" w:rsidRDefault="00A82F4D" w:rsidP="00A82F4D">
      <w:r w:rsidRPr="00B64DD1">
        <w:rPr>
          <w:rStyle w:val="HideTWBExt"/>
        </w:rPr>
        <w:t>&lt;/Amend&gt;</w:t>
      </w:r>
    </w:p>
    <w:p w14:paraId="0BE001AC"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66</w:t>
      </w:r>
      <w:r w:rsidRPr="00B64DD1">
        <w:rPr>
          <w:rStyle w:val="HideTWBExt"/>
          <w:b w:val="0"/>
        </w:rPr>
        <w:t>&lt;/NumAm&gt;</w:t>
      </w:r>
    </w:p>
    <w:p w14:paraId="2BACDEFB" w14:textId="77777777" w:rsidR="00A82F4D" w:rsidRPr="00B64DD1" w:rsidRDefault="00A82F4D" w:rsidP="00A82F4D">
      <w:pPr>
        <w:pStyle w:val="NormalBold"/>
      </w:pPr>
      <w:r w:rsidRPr="00B64DD1">
        <w:rPr>
          <w:rStyle w:val="HideTWBExt"/>
          <w:b w:val="0"/>
        </w:rPr>
        <w:t>&lt;RepeatBlock-By&gt;&lt;Members&gt;</w:t>
      </w:r>
      <w:proofErr w:type="spellStart"/>
      <w:r w:rsidRPr="00B64DD1">
        <w:t>Pasquale</w:t>
      </w:r>
      <w:proofErr w:type="spellEnd"/>
      <w:r w:rsidRPr="00B64DD1">
        <w:t xml:space="preserve"> </w:t>
      </w:r>
      <w:proofErr w:type="spellStart"/>
      <w:r w:rsidRPr="00B64DD1">
        <w:t>Tridico</w:t>
      </w:r>
      <w:proofErr w:type="spellEnd"/>
      <w:r w:rsidRPr="00B64DD1">
        <w:rPr>
          <w:rStyle w:val="HideTWBExt"/>
          <w:b w:val="0"/>
        </w:rPr>
        <w:t>&lt;/Members&gt;</w:t>
      </w:r>
    </w:p>
    <w:p w14:paraId="21F2FF34" w14:textId="77777777" w:rsidR="00A82F4D" w:rsidRPr="00B64DD1" w:rsidRDefault="00A82F4D" w:rsidP="00A82F4D">
      <w:pPr>
        <w:pStyle w:val="NormalBold"/>
      </w:pPr>
      <w:r w:rsidRPr="00B64DD1">
        <w:rPr>
          <w:rStyle w:val="HideTWBExt"/>
          <w:b w:val="0"/>
        </w:rPr>
        <w:t>&lt;/RepeatBlock-By&gt;</w:t>
      </w:r>
    </w:p>
    <w:p w14:paraId="02353454" w14:textId="77777777" w:rsidR="00A82F4D" w:rsidRPr="00B64DD1" w:rsidRDefault="00A82F4D" w:rsidP="00A82F4D">
      <w:pPr>
        <w:pStyle w:val="NormalBold"/>
      </w:pPr>
      <w:r w:rsidRPr="00B64DD1">
        <w:rPr>
          <w:rStyle w:val="HideTWBExt"/>
          <w:b w:val="0"/>
        </w:rPr>
        <w:lastRenderedPageBreak/>
        <w:t>&lt;DocAmend&gt;</w:t>
      </w:r>
      <w:r w:rsidRPr="00B64DD1">
        <w:t>Projekt rezolucji</w:t>
      </w:r>
      <w:r w:rsidRPr="00B64DD1">
        <w:rPr>
          <w:rStyle w:val="HideTWBExt"/>
          <w:b w:val="0"/>
        </w:rPr>
        <w:t>&lt;/DocAmend&gt;</w:t>
      </w:r>
    </w:p>
    <w:p w14:paraId="4E25241A" w14:textId="77777777" w:rsidR="00A82F4D" w:rsidRPr="00B64DD1" w:rsidRDefault="00A82F4D" w:rsidP="00A82F4D">
      <w:pPr>
        <w:pStyle w:val="NormalBold"/>
      </w:pPr>
      <w:r w:rsidRPr="00B64DD1">
        <w:rPr>
          <w:rStyle w:val="HideTWBExt"/>
          <w:b w:val="0"/>
        </w:rPr>
        <w:t>&lt;Article&gt;</w:t>
      </w:r>
      <w:r w:rsidRPr="00B64DD1">
        <w:t>Ustęp 27</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0E2DACBE" w14:textId="77777777" w:rsidTr="00EA17FD">
        <w:trPr>
          <w:trHeight w:hRule="exact" w:val="240"/>
          <w:jc w:val="center"/>
        </w:trPr>
        <w:tc>
          <w:tcPr>
            <w:tcW w:w="9752" w:type="dxa"/>
            <w:gridSpan w:val="2"/>
            <w:tcBorders>
              <w:top w:val="nil"/>
              <w:left w:val="nil"/>
              <w:bottom w:val="nil"/>
              <w:right w:val="nil"/>
            </w:tcBorders>
          </w:tcPr>
          <w:p w14:paraId="01E6CC06" w14:textId="77777777" w:rsidR="00A82F4D" w:rsidRPr="00B64DD1" w:rsidRDefault="00A82F4D" w:rsidP="00EA17FD"/>
        </w:tc>
      </w:tr>
      <w:tr w:rsidR="00A82F4D" w:rsidRPr="00B64DD1" w14:paraId="676E380C" w14:textId="77777777" w:rsidTr="00EA17FD">
        <w:trPr>
          <w:trHeight w:val="240"/>
          <w:jc w:val="center"/>
        </w:trPr>
        <w:tc>
          <w:tcPr>
            <w:tcW w:w="4876" w:type="dxa"/>
            <w:tcBorders>
              <w:top w:val="nil"/>
              <w:left w:val="nil"/>
              <w:bottom w:val="nil"/>
              <w:right w:val="nil"/>
            </w:tcBorders>
          </w:tcPr>
          <w:p w14:paraId="0948AF19"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447213CB" w14:textId="77777777" w:rsidR="00A82F4D" w:rsidRPr="00B64DD1" w:rsidRDefault="00A82F4D" w:rsidP="00EA17FD">
            <w:pPr>
              <w:pStyle w:val="AmColumnHeading"/>
            </w:pPr>
            <w:r w:rsidRPr="00B64DD1">
              <w:t>Poprawka</w:t>
            </w:r>
          </w:p>
        </w:tc>
      </w:tr>
      <w:tr w:rsidR="00A82F4D" w:rsidRPr="00B64DD1" w14:paraId="2E67398E" w14:textId="77777777" w:rsidTr="00EA17FD">
        <w:trPr>
          <w:jc w:val="center"/>
        </w:trPr>
        <w:tc>
          <w:tcPr>
            <w:tcW w:w="4876" w:type="dxa"/>
            <w:tcBorders>
              <w:top w:val="nil"/>
              <w:left w:val="nil"/>
              <w:bottom w:val="nil"/>
              <w:right w:val="nil"/>
            </w:tcBorders>
          </w:tcPr>
          <w:p w14:paraId="0A691461" w14:textId="77777777" w:rsidR="00A82F4D" w:rsidRPr="00B64DD1" w:rsidRDefault="00A82F4D" w:rsidP="00EA17FD">
            <w:pPr>
              <w:pStyle w:val="Normal6a"/>
            </w:pPr>
            <w:r w:rsidRPr="00B64DD1">
              <w:t>27.</w:t>
            </w:r>
            <w:r w:rsidRPr="00B64DD1">
              <w:tab/>
              <w:t xml:space="preserve">odnotowuje, że po utworzeniu w 2023 r. służby ds. zarządzania korporacyjnego ESDZ zaktualizowała w 2024 r. swoje ramy kontroli wewnętrznej, aby odzwierciedlić rolę dyrektora ds. zarządzania korporacyjnego oraz wprowadzić mechanizm monitorowania kontroli wewnętrznych; na podstawie kwestionariusza zauważa, że ramy kontroli wewnętrznej ESDZ są dostosowane do ram stosowanych przez Komisję; zwraca uwagę, że oprócz standardowej corocznej oceny systemu kontroli wewnętrznej ESDZ przeprowadziła w 2024 r. ankietę wśród 167 respondentów/pracowników, z których wszyscy pełnili obowiązki </w:t>
            </w:r>
            <w:proofErr w:type="spellStart"/>
            <w:r w:rsidRPr="00B64DD1">
              <w:t>subdelegowanych</w:t>
            </w:r>
            <w:proofErr w:type="spellEnd"/>
            <w:r w:rsidRPr="00B64DD1">
              <w:t xml:space="preserve"> urzędników zatwierdzających, a wyniki tej ankiety są omawiane na szczeblu wyższego kierownictwa w Komitecie Kontroli Wewnętrznej ESDZ; zauważa, że w ankiecie wskazano </w:t>
            </w:r>
            <w:r w:rsidRPr="00B64DD1">
              <w:rPr>
                <w:b/>
                <w:bCs/>
                <w:i/>
                <w:iCs/>
              </w:rPr>
              <w:t>185</w:t>
            </w:r>
            <w:r w:rsidRPr="00B64DD1">
              <w:t xml:space="preserve"> </w:t>
            </w:r>
            <w:r w:rsidRPr="00B64DD1">
              <w:rPr>
                <w:b/>
                <w:bCs/>
                <w:i/>
                <w:iCs/>
              </w:rPr>
              <w:t>obszarów wymagających</w:t>
            </w:r>
            <w:r w:rsidRPr="00B64DD1">
              <w:t xml:space="preserve"> uwagi, w szczególności w odniesieniu do wyzwań, z jakimi borykają się delegatury Unii, takich jak świadomość w zakresie kontroli wewnętrznych i zarządzania ryzykiem, rekrutacja i utrzymanie wykwalifikowanego personelu oraz usługi informatyczne; z zadowoleniem przyjmuje fakt, że ESDZ opracowała plan działania mający na celu usunięcie istniejących nieprawidłowości oraz proaktywne reagowanie na potencjalne ryzyko; zachęca ESDZ do informowania organu udzielającego absolutorium na bieżąco o tych kwestiach;</w:t>
            </w:r>
          </w:p>
        </w:tc>
        <w:tc>
          <w:tcPr>
            <w:tcW w:w="4876" w:type="dxa"/>
            <w:tcBorders>
              <w:top w:val="nil"/>
              <w:left w:val="nil"/>
              <w:bottom w:val="nil"/>
              <w:right w:val="nil"/>
            </w:tcBorders>
          </w:tcPr>
          <w:p w14:paraId="7C3F95EA" w14:textId="77777777" w:rsidR="00A82F4D" w:rsidRPr="00B64DD1" w:rsidRDefault="00A82F4D" w:rsidP="00EA17FD">
            <w:pPr>
              <w:pStyle w:val="Normal6a"/>
            </w:pPr>
            <w:r w:rsidRPr="00B64DD1">
              <w:t>27.</w:t>
            </w:r>
            <w:r w:rsidRPr="00B64DD1">
              <w:tab/>
              <w:t xml:space="preserve">odnotowuje, że po utworzeniu w 2023 r. służby ds. zarządzania korporacyjnego ESDZ zaktualizowała w 2024 r. swoje ramy kontroli wewnętrznej, aby odzwierciedlić rolę dyrektora ds. zarządzania korporacyjnego oraz wprowadzić mechanizm monitorowania kontroli wewnętrznych; na podstawie kwestionariusza zauważa, że ramy kontroli wewnętrznej ESDZ są dostosowane do ram stosowanych przez Komisję; zwraca uwagę, że oprócz standardowej corocznej oceny systemu kontroli wewnętrznej ESDZ przeprowadziła w 2024 r. ankietę wśród 167 respondentów/pracowników, z których wszyscy pełnili obowiązki </w:t>
            </w:r>
            <w:proofErr w:type="spellStart"/>
            <w:r w:rsidRPr="00B64DD1">
              <w:t>subdelegowanych</w:t>
            </w:r>
            <w:proofErr w:type="spellEnd"/>
            <w:r w:rsidRPr="00B64DD1">
              <w:t xml:space="preserve"> urzędników zatwierdzających, a wyniki tej ankiety są omawiane na szczeblu wyższego kierownictwa w Komitecie Kontroli Wewnętrznej ESDZ; zauważa, że w ankiecie wskazano </w:t>
            </w:r>
            <w:r w:rsidRPr="00B64DD1">
              <w:rPr>
                <w:b/>
                <w:bCs/>
                <w:i/>
                <w:iCs/>
              </w:rPr>
              <w:t>183</w:t>
            </w:r>
            <w:r w:rsidRPr="00B64DD1">
              <w:t xml:space="preserve"> </w:t>
            </w:r>
            <w:r w:rsidRPr="00B64DD1">
              <w:rPr>
                <w:b/>
                <w:bCs/>
                <w:i/>
                <w:iCs/>
              </w:rPr>
              <w:t>obszary wymagając</w:t>
            </w:r>
            <w:r w:rsidRPr="00B64DD1">
              <w:t>e uwagi, w szczególności w odniesieniu do wyzwań, z jakimi borykają się delegatury Unii, takich jak świadomość w zakresie kontroli wewnętrznych i zarządzania ryzykiem, rekrutacja i utrzymanie wykwalifikowanego personelu oraz usługi informatyczne; z zadowoleniem przyjmuje fakt, że ESDZ opracowała plan działania mający na celu usunięcie istniejących nieprawidłowości oraz proaktywne reagowanie na potencjalne ryzyko; zachęca ESDZ do informowania organu udzielającego absolutorium na bieżąco o tych kwestiach;</w:t>
            </w:r>
          </w:p>
        </w:tc>
      </w:tr>
    </w:tbl>
    <w:p w14:paraId="4917C6B1"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302E406E" w14:textId="77777777" w:rsidR="00A82F4D" w:rsidRPr="00B64DD1" w:rsidRDefault="00A82F4D" w:rsidP="00A82F4D">
      <w:r w:rsidRPr="00B64DD1">
        <w:rPr>
          <w:rStyle w:val="HideTWBExt"/>
        </w:rPr>
        <w:t>&lt;/Amend&gt;</w:t>
      </w:r>
    </w:p>
    <w:p w14:paraId="4DECEEDF"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67</w:t>
      </w:r>
      <w:r w:rsidRPr="00B64DD1">
        <w:rPr>
          <w:rStyle w:val="HideTWBExt"/>
          <w:b w:val="0"/>
        </w:rPr>
        <w:t>&lt;/NumAm&gt;</w:t>
      </w:r>
    </w:p>
    <w:p w14:paraId="1594BDED" w14:textId="77777777" w:rsidR="00A82F4D" w:rsidRPr="00B64DD1" w:rsidRDefault="00A82F4D" w:rsidP="00A82F4D">
      <w:pPr>
        <w:pStyle w:val="NormalBold"/>
      </w:pPr>
      <w:r w:rsidRPr="00B64DD1">
        <w:rPr>
          <w:rStyle w:val="HideTWBExt"/>
          <w:b w:val="0"/>
        </w:rPr>
        <w:t>&lt;RepeatBlock-By&gt;&lt;Members&gt;</w:t>
      </w:r>
      <w:proofErr w:type="spellStart"/>
      <w:r w:rsidRPr="00B64DD1">
        <w:t>Pasquale</w:t>
      </w:r>
      <w:proofErr w:type="spellEnd"/>
      <w:r w:rsidRPr="00B64DD1">
        <w:t xml:space="preserve"> </w:t>
      </w:r>
      <w:proofErr w:type="spellStart"/>
      <w:r w:rsidRPr="00B64DD1">
        <w:t>Tridico</w:t>
      </w:r>
      <w:proofErr w:type="spellEnd"/>
      <w:r w:rsidRPr="00B64DD1">
        <w:rPr>
          <w:rStyle w:val="HideTWBExt"/>
          <w:b w:val="0"/>
        </w:rPr>
        <w:t>&lt;/Members&gt;</w:t>
      </w:r>
    </w:p>
    <w:p w14:paraId="0646E992" w14:textId="77777777" w:rsidR="00A82F4D" w:rsidRPr="00B64DD1" w:rsidRDefault="00A82F4D" w:rsidP="00A82F4D">
      <w:pPr>
        <w:pStyle w:val="NormalBold"/>
      </w:pPr>
      <w:r w:rsidRPr="00B64DD1">
        <w:rPr>
          <w:rStyle w:val="HideTWBExt"/>
          <w:b w:val="0"/>
        </w:rPr>
        <w:t>&lt;/RepeatBlock-By&gt;</w:t>
      </w:r>
    </w:p>
    <w:p w14:paraId="697B298E" w14:textId="77777777" w:rsidR="00A82F4D" w:rsidRPr="00B64DD1" w:rsidRDefault="00A82F4D" w:rsidP="00A82F4D">
      <w:pPr>
        <w:pStyle w:val="NormalBold"/>
      </w:pPr>
      <w:r w:rsidRPr="00B64DD1">
        <w:rPr>
          <w:rStyle w:val="HideTWBExt"/>
          <w:b w:val="0"/>
        </w:rPr>
        <w:lastRenderedPageBreak/>
        <w:t>&lt;DocAmend&gt;</w:t>
      </w:r>
      <w:r w:rsidRPr="00B64DD1">
        <w:t>Projekt rezolucji</w:t>
      </w:r>
      <w:r w:rsidRPr="00B64DD1">
        <w:rPr>
          <w:rStyle w:val="HideTWBExt"/>
          <w:b w:val="0"/>
        </w:rPr>
        <w:t>&lt;/DocAmend&gt;</w:t>
      </w:r>
    </w:p>
    <w:p w14:paraId="34F60A2C" w14:textId="77777777" w:rsidR="00A82F4D" w:rsidRPr="00B64DD1" w:rsidRDefault="00A82F4D" w:rsidP="00A82F4D">
      <w:pPr>
        <w:pStyle w:val="NormalBold"/>
      </w:pPr>
      <w:r w:rsidRPr="00B64DD1">
        <w:rPr>
          <w:rStyle w:val="HideTWBExt"/>
          <w:b w:val="0"/>
        </w:rPr>
        <w:t>&lt;Article&gt;</w:t>
      </w:r>
      <w:r w:rsidRPr="00B64DD1">
        <w:t>Ustęp 35</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03D1BFFE" w14:textId="77777777" w:rsidTr="00EA17FD">
        <w:trPr>
          <w:trHeight w:hRule="exact" w:val="240"/>
          <w:jc w:val="center"/>
        </w:trPr>
        <w:tc>
          <w:tcPr>
            <w:tcW w:w="9752" w:type="dxa"/>
            <w:gridSpan w:val="2"/>
            <w:tcBorders>
              <w:top w:val="nil"/>
              <w:left w:val="nil"/>
              <w:bottom w:val="nil"/>
              <w:right w:val="nil"/>
            </w:tcBorders>
          </w:tcPr>
          <w:p w14:paraId="5DF10ECD" w14:textId="77777777" w:rsidR="00A82F4D" w:rsidRPr="00B64DD1" w:rsidRDefault="00A82F4D" w:rsidP="00EA17FD"/>
        </w:tc>
      </w:tr>
      <w:tr w:rsidR="00A82F4D" w:rsidRPr="00B64DD1" w14:paraId="40E7053D" w14:textId="77777777" w:rsidTr="00EA17FD">
        <w:trPr>
          <w:trHeight w:val="240"/>
          <w:jc w:val="center"/>
        </w:trPr>
        <w:tc>
          <w:tcPr>
            <w:tcW w:w="4876" w:type="dxa"/>
            <w:tcBorders>
              <w:top w:val="nil"/>
              <w:left w:val="nil"/>
              <w:bottom w:val="nil"/>
              <w:right w:val="nil"/>
            </w:tcBorders>
          </w:tcPr>
          <w:p w14:paraId="20BF2DDF"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614F7922" w14:textId="77777777" w:rsidR="00A82F4D" w:rsidRPr="00B64DD1" w:rsidRDefault="00A82F4D" w:rsidP="00EA17FD">
            <w:pPr>
              <w:pStyle w:val="AmColumnHeading"/>
            </w:pPr>
            <w:r w:rsidRPr="00B64DD1">
              <w:t>Poprawka</w:t>
            </w:r>
          </w:p>
        </w:tc>
      </w:tr>
      <w:tr w:rsidR="00A82F4D" w:rsidRPr="00B64DD1" w14:paraId="033AA905" w14:textId="77777777" w:rsidTr="00EA17FD">
        <w:trPr>
          <w:jc w:val="center"/>
        </w:trPr>
        <w:tc>
          <w:tcPr>
            <w:tcW w:w="4876" w:type="dxa"/>
            <w:tcBorders>
              <w:top w:val="nil"/>
              <w:left w:val="nil"/>
              <w:bottom w:val="nil"/>
              <w:right w:val="nil"/>
            </w:tcBorders>
          </w:tcPr>
          <w:p w14:paraId="79C0C09C" w14:textId="77777777" w:rsidR="00A82F4D" w:rsidRPr="00B64DD1" w:rsidRDefault="00A82F4D" w:rsidP="00EA17FD">
            <w:pPr>
              <w:pStyle w:val="Normal6a"/>
            </w:pPr>
            <w:r w:rsidRPr="00B64DD1">
              <w:t>35.</w:t>
            </w:r>
            <w:r w:rsidRPr="00B64DD1">
              <w:tab/>
              <w:t>zauważa, że ESDZ zatrudniała łącznie 2 902 pracowników, w tym 1 268 urzędników, 442 pracowników zatrudnionych na czas określony, 619 pracowników kontraktowych oraz 573 oddelegowanych ekspertów krajowych, w porównaniu z 2 812 pracownikami w 2023 r., w tym 1 245 urzędnikami, 450 pracownikami zatrudnionymi na czas określony, 603 pracownikami kontraktowymi oraz 514 oddelegowanymi ekspertami krajowymi; przypomina o znaczeniu zapewnienia umów o pracę na czas nieokreślony w celu utrzymania umiejętności, ciągłości i produktywnego środowiska pracy;</w:t>
            </w:r>
          </w:p>
        </w:tc>
        <w:tc>
          <w:tcPr>
            <w:tcW w:w="4876" w:type="dxa"/>
            <w:tcBorders>
              <w:top w:val="nil"/>
              <w:left w:val="nil"/>
              <w:bottom w:val="nil"/>
              <w:right w:val="nil"/>
            </w:tcBorders>
          </w:tcPr>
          <w:p w14:paraId="72AA1D80" w14:textId="77777777" w:rsidR="00A82F4D" w:rsidRPr="00B64DD1" w:rsidRDefault="00A82F4D" w:rsidP="00EA17FD">
            <w:pPr>
              <w:pStyle w:val="Normal6a"/>
            </w:pPr>
            <w:r w:rsidRPr="00B64DD1">
              <w:t>35.</w:t>
            </w:r>
            <w:r w:rsidRPr="00B64DD1">
              <w:tab/>
              <w:t>zauważa, że ESDZ zatrudniała łącznie 2 902 pracowników</w:t>
            </w:r>
            <w:r w:rsidRPr="00B64DD1">
              <w:rPr>
                <w:b/>
                <w:bCs/>
                <w:i/>
                <w:iCs/>
              </w:rPr>
              <w:t>, z wyłączeniem personelu miejscowego</w:t>
            </w:r>
            <w:r w:rsidRPr="00B64DD1">
              <w:t>, w tym 1 268 urzędników, 442 pracowników zatrudnionych na czas określony, 619 pracowników kontraktowych oraz 573 oddelegowanych ekspertów krajowych, w porównaniu z 2 812 pracownikami w 2023 r., w tym 1 245 urzędnikami, 450 pracownikami zatrudnionymi na czas określony, 603 pracownikami kontraktowymi oraz 514 oddelegowanymi ekspertami krajowymi; przypomina o znaczeniu zapewnienia umów o pracę na czas nieokreślony w celu utrzymania umiejętności, ciągłości i produktywnego środowiska pracy;</w:t>
            </w:r>
          </w:p>
        </w:tc>
      </w:tr>
    </w:tbl>
    <w:p w14:paraId="7C72DF7B"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5DF47A81" w14:textId="77777777" w:rsidR="00A82F4D" w:rsidRPr="00B64DD1" w:rsidRDefault="00A82F4D" w:rsidP="00A82F4D">
      <w:r w:rsidRPr="00B64DD1">
        <w:rPr>
          <w:rStyle w:val="HideTWBExt"/>
        </w:rPr>
        <w:t>&lt;/Amend&gt;</w:t>
      </w:r>
    </w:p>
    <w:p w14:paraId="21383C5D"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68</w:t>
      </w:r>
      <w:r w:rsidRPr="00B64DD1">
        <w:rPr>
          <w:rStyle w:val="HideTWBExt"/>
          <w:b w:val="0"/>
        </w:rPr>
        <w:t>&lt;/NumAm&gt;</w:t>
      </w:r>
    </w:p>
    <w:p w14:paraId="05708AB0" w14:textId="77777777" w:rsidR="00A82F4D" w:rsidRPr="00B64DD1" w:rsidRDefault="00A82F4D" w:rsidP="00A82F4D">
      <w:pPr>
        <w:pStyle w:val="NormalBold"/>
      </w:pPr>
      <w:r w:rsidRPr="00B64DD1">
        <w:rPr>
          <w:rStyle w:val="HideTWBExt"/>
          <w:b w:val="0"/>
        </w:rPr>
        <w:t>&lt;RepeatBlock-By&gt;&lt;Members&gt;</w:t>
      </w:r>
      <w:proofErr w:type="spellStart"/>
      <w:r w:rsidRPr="00B64DD1">
        <w:t>Pasquale</w:t>
      </w:r>
      <w:proofErr w:type="spellEnd"/>
      <w:r w:rsidRPr="00B64DD1">
        <w:t xml:space="preserve"> </w:t>
      </w:r>
      <w:proofErr w:type="spellStart"/>
      <w:r w:rsidRPr="00B64DD1">
        <w:t>Tridico</w:t>
      </w:r>
      <w:proofErr w:type="spellEnd"/>
      <w:r w:rsidRPr="00B64DD1">
        <w:rPr>
          <w:rStyle w:val="HideTWBExt"/>
          <w:b w:val="0"/>
        </w:rPr>
        <w:t>&lt;/Members&gt;</w:t>
      </w:r>
    </w:p>
    <w:p w14:paraId="49853FAE" w14:textId="77777777" w:rsidR="00A82F4D" w:rsidRPr="00B64DD1" w:rsidRDefault="00A82F4D" w:rsidP="00A82F4D">
      <w:pPr>
        <w:pStyle w:val="NormalBold"/>
      </w:pPr>
      <w:r w:rsidRPr="00B64DD1">
        <w:rPr>
          <w:rStyle w:val="HideTWBExt"/>
          <w:b w:val="0"/>
        </w:rPr>
        <w:t>&lt;/RepeatBlock-By&gt;</w:t>
      </w:r>
    </w:p>
    <w:p w14:paraId="17E8C377"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579F6A1F" w14:textId="77777777" w:rsidR="00A82F4D" w:rsidRPr="00B64DD1" w:rsidRDefault="00A82F4D" w:rsidP="00A82F4D">
      <w:pPr>
        <w:pStyle w:val="NormalBold"/>
      </w:pPr>
      <w:r w:rsidRPr="00B64DD1">
        <w:rPr>
          <w:rStyle w:val="HideTWBExt"/>
          <w:b w:val="0"/>
        </w:rPr>
        <w:t>&lt;Article&gt;</w:t>
      </w:r>
      <w:r w:rsidRPr="00B64DD1">
        <w:t>Ustęp 36</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1CE5D1CB" w14:textId="77777777" w:rsidTr="00EA17FD">
        <w:trPr>
          <w:trHeight w:hRule="exact" w:val="240"/>
          <w:jc w:val="center"/>
        </w:trPr>
        <w:tc>
          <w:tcPr>
            <w:tcW w:w="9752" w:type="dxa"/>
            <w:gridSpan w:val="2"/>
            <w:tcBorders>
              <w:top w:val="nil"/>
              <w:left w:val="nil"/>
              <w:bottom w:val="nil"/>
              <w:right w:val="nil"/>
            </w:tcBorders>
          </w:tcPr>
          <w:p w14:paraId="19B70274" w14:textId="77777777" w:rsidR="00A82F4D" w:rsidRPr="00B64DD1" w:rsidRDefault="00A82F4D" w:rsidP="00EA17FD"/>
        </w:tc>
      </w:tr>
      <w:tr w:rsidR="00A82F4D" w:rsidRPr="00B64DD1" w14:paraId="57BCCF91" w14:textId="77777777" w:rsidTr="00EA17FD">
        <w:trPr>
          <w:trHeight w:val="240"/>
          <w:jc w:val="center"/>
        </w:trPr>
        <w:tc>
          <w:tcPr>
            <w:tcW w:w="4876" w:type="dxa"/>
            <w:tcBorders>
              <w:top w:val="nil"/>
              <w:left w:val="nil"/>
              <w:bottom w:val="nil"/>
              <w:right w:val="nil"/>
            </w:tcBorders>
          </w:tcPr>
          <w:p w14:paraId="37AE0E52"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2B6834C2" w14:textId="77777777" w:rsidR="00A82F4D" w:rsidRPr="00B64DD1" w:rsidRDefault="00A82F4D" w:rsidP="00EA17FD">
            <w:pPr>
              <w:pStyle w:val="AmColumnHeading"/>
            </w:pPr>
            <w:r w:rsidRPr="00B64DD1">
              <w:t>Poprawka</w:t>
            </w:r>
          </w:p>
        </w:tc>
      </w:tr>
      <w:tr w:rsidR="00A82F4D" w:rsidRPr="00B64DD1" w14:paraId="6D647327" w14:textId="77777777" w:rsidTr="00EA17FD">
        <w:trPr>
          <w:jc w:val="center"/>
        </w:trPr>
        <w:tc>
          <w:tcPr>
            <w:tcW w:w="4876" w:type="dxa"/>
            <w:tcBorders>
              <w:top w:val="nil"/>
              <w:left w:val="nil"/>
              <w:bottom w:val="nil"/>
              <w:right w:val="nil"/>
            </w:tcBorders>
          </w:tcPr>
          <w:p w14:paraId="0173C665" w14:textId="77777777" w:rsidR="00A82F4D" w:rsidRPr="00B64DD1" w:rsidRDefault="00A82F4D" w:rsidP="00EA17FD">
            <w:pPr>
              <w:pStyle w:val="Normal6a"/>
            </w:pPr>
            <w:r w:rsidRPr="00B64DD1">
              <w:t>36.</w:t>
            </w:r>
            <w:r w:rsidRPr="00B64DD1">
              <w:tab/>
              <w:t xml:space="preserve">na podstawie sprawozdania ESDZ za 2024 r. zauważa, że spośród łącznie 5 355 osób pracujących w ESDZ na koniec 2024 r. 47 % pracowało w centrali ESDZ, a 53 % w delegaturach Unii, przy czym 1622 osoby były zatrudnione jako pracownicy lokalni w delegaturach Unii; zwraca uwagę, że podczas wysłuchania posłowie wyrazili zaniepokojenie rzekomym zwalnianiem pracowników lokalnych w niektórych delegaturach Unii bez należytego poszanowania lokalnego prawa pracy; zauważa, że po tym wysłuchaniu posłowie komisji CONT </w:t>
            </w:r>
            <w:r w:rsidRPr="00B64DD1">
              <w:lastRenderedPageBreak/>
              <w:t xml:space="preserve">przedłożyli dodatkowe pytania na piśmie; zauważa, że z odpowiedzi ESDZ na te pytania („drugi kwestionariusz”) wynika, że 14 maja 2025 r. grupa projektowa komisarzy ds. działań zewnętrznych zatwierdziła projekt modernizacji sieci delegatur Unii; odnotowuje, że wdrażanie tego projektu obejmuje między innymi centralizację funkcji finansowych, umów i audytu sześciu delegatur Unii na Bałkanach Zachodnich w siedzibie DG ENEST, a także ograniczenie liczby pracowników zajmujących się finansami i umowami w tych delegaturach Unii, na podstawie ocen przeprowadzonych w porozumieniu z doradcami prawnymi; zauważa, że w odniesieniu do pakietu odpraw ESDZ twierdzi, iż wszystkie prawa wynikające z lokalnego prawa oraz wewnętrznych przepisów Unii zostały poszanowane, a pakiety finansowe z tytułu zwolnień ekonomicznych były korzystniejsze spośród tych przewidzianych przez prawo lokalne oraz przepisy Unii, mimo obaw wyrażonych przez pracowników lokalnych w odpowiednich delegaturach Unii; zauważa ponadto, że ESDZ, we współpracy z Komisją, ściśle współpracuje z lokalną kancelarią prawną, która udziela wskazówek w zakresie wszelkich lokalnych wymogów prawnych, dzięki czemu proces zwolnień przebiega w pełnej zgodności z obowiązującym lokalnym prawem pracy; wzywa ESDZ do pełnego konsultowania się z lokalnym przedstawicielem pracowników podczas opracowywania planu zwolnień pracowników lokalnych; zauważa z zaniepokojeniem, że z odpowiedzi z kwestionariusza wynika, że jeżeli delegatura Unii zostaje przeniesiona do innego kraju, na przykład w przypadku ewakuacji (np. przeniesienie biura w Sudanie do Egiptu), pracownicy lokalni zatrudnieni w kraju pochodzenia są zwalniani i pozostają na miejscu bez zapewnienia bezpieczeństwa; wzywa ESDZ do znalezienia wykonalnych </w:t>
            </w:r>
            <w:r w:rsidRPr="00B64DD1">
              <w:lastRenderedPageBreak/>
              <w:t>rozwiązań w celu zapewnienia bezpieczeństwa i ochrony pracowników lokalnych, którzy lojalnie pracowali w delegaturach Unii;</w:t>
            </w:r>
          </w:p>
        </w:tc>
        <w:tc>
          <w:tcPr>
            <w:tcW w:w="4876" w:type="dxa"/>
            <w:tcBorders>
              <w:top w:val="nil"/>
              <w:left w:val="nil"/>
              <w:bottom w:val="nil"/>
              <w:right w:val="nil"/>
            </w:tcBorders>
          </w:tcPr>
          <w:p w14:paraId="518EC690" w14:textId="77777777" w:rsidR="00A82F4D" w:rsidRPr="00B64DD1" w:rsidRDefault="00A82F4D" w:rsidP="00EA17FD">
            <w:pPr>
              <w:pStyle w:val="Normal6a"/>
            </w:pPr>
            <w:r w:rsidRPr="00B64DD1">
              <w:rPr>
                <w:i/>
                <w:iCs/>
              </w:rPr>
              <w:lastRenderedPageBreak/>
              <w:t>(Nie dotyczy polskiej wersji językowej.)</w:t>
            </w:r>
            <w:r w:rsidRPr="00B64DD1">
              <w:tab/>
              <w:t xml:space="preserve">                   </w:t>
            </w:r>
          </w:p>
        </w:tc>
      </w:tr>
    </w:tbl>
    <w:p w14:paraId="41A2999A"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15EB7B4B" w14:textId="77777777" w:rsidR="00A82F4D" w:rsidRPr="00B64DD1" w:rsidRDefault="00A82F4D" w:rsidP="00A82F4D">
      <w:r w:rsidRPr="00B64DD1">
        <w:rPr>
          <w:rStyle w:val="HideTWBExt"/>
        </w:rPr>
        <w:t>&lt;/Amend&gt;</w:t>
      </w:r>
    </w:p>
    <w:p w14:paraId="1E9D21CD"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69</w:t>
      </w:r>
      <w:r w:rsidRPr="00B64DD1">
        <w:rPr>
          <w:rStyle w:val="HideTWBExt"/>
          <w:b w:val="0"/>
        </w:rPr>
        <w:t>&lt;/NumAm&gt;</w:t>
      </w:r>
    </w:p>
    <w:p w14:paraId="0D267145" w14:textId="77777777" w:rsidR="00A82F4D" w:rsidRPr="00B64DD1" w:rsidRDefault="00A82F4D" w:rsidP="00A82F4D">
      <w:pPr>
        <w:pStyle w:val="NormalBold"/>
      </w:pPr>
      <w:r w:rsidRPr="00B64DD1">
        <w:rPr>
          <w:rStyle w:val="HideTWBExt"/>
          <w:b w:val="0"/>
        </w:rPr>
        <w:t>&lt;RepeatBlock-By&gt;&lt;Members&gt;</w:t>
      </w:r>
      <w:r w:rsidRPr="00B64DD1">
        <w:t xml:space="preserve">Damian </w:t>
      </w:r>
      <w:proofErr w:type="spellStart"/>
      <w:r w:rsidRPr="00B64DD1">
        <w:t>Boeselager</w:t>
      </w:r>
      <w:proofErr w:type="spellEnd"/>
      <w:r w:rsidRPr="00B64DD1">
        <w:rPr>
          <w:rStyle w:val="HideTWBExt"/>
          <w:b w:val="0"/>
        </w:rPr>
        <w:t>&lt;/Members&gt;</w:t>
      </w:r>
    </w:p>
    <w:p w14:paraId="16D41599" w14:textId="77777777" w:rsidR="00A82F4D" w:rsidRPr="00B64DD1" w:rsidRDefault="00A82F4D" w:rsidP="00A82F4D">
      <w:r w:rsidRPr="00B64DD1">
        <w:rPr>
          <w:rStyle w:val="HideTWBExt"/>
        </w:rPr>
        <w:t>&lt;AuNomDe&gt;</w:t>
      </w:r>
      <w:r w:rsidRPr="00B64DD1">
        <w:rPr>
          <w:rStyle w:val="HideTWBInt"/>
        </w:rPr>
        <w:t>{Verts/ALE}</w:t>
      </w:r>
      <w:r w:rsidRPr="00B64DD1">
        <w:t xml:space="preserve">w imieniu grupy </w:t>
      </w:r>
      <w:proofErr w:type="spellStart"/>
      <w:r w:rsidRPr="00B64DD1">
        <w:t>Verts</w:t>
      </w:r>
      <w:proofErr w:type="spellEnd"/>
      <w:r w:rsidRPr="00B64DD1">
        <w:t>/ALE</w:t>
      </w:r>
      <w:r w:rsidRPr="00B64DD1">
        <w:rPr>
          <w:rStyle w:val="HideTWBExt"/>
        </w:rPr>
        <w:t>&lt;/AuNomDe&gt;</w:t>
      </w:r>
    </w:p>
    <w:p w14:paraId="614D4487" w14:textId="77777777" w:rsidR="00A82F4D" w:rsidRPr="00B64DD1" w:rsidRDefault="00A82F4D" w:rsidP="00A82F4D">
      <w:pPr>
        <w:pStyle w:val="NormalBold"/>
      </w:pPr>
      <w:r w:rsidRPr="00B64DD1">
        <w:rPr>
          <w:rStyle w:val="HideTWBExt"/>
          <w:b w:val="0"/>
        </w:rPr>
        <w:t>&lt;/RepeatBlock-By&gt;</w:t>
      </w:r>
    </w:p>
    <w:p w14:paraId="6C4AE6DA"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1087240C" w14:textId="77777777" w:rsidR="00A82F4D" w:rsidRPr="00B64DD1" w:rsidRDefault="00A82F4D" w:rsidP="00A82F4D">
      <w:pPr>
        <w:pStyle w:val="NormalBold"/>
      </w:pPr>
      <w:r w:rsidRPr="00B64DD1">
        <w:rPr>
          <w:rStyle w:val="HideTWBExt"/>
          <w:b w:val="0"/>
        </w:rPr>
        <w:t>&lt;Article&gt;</w:t>
      </w:r>
      <w:r w:rsidRPr="00B64DD1">
        <w:t>Ustęp 36 a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321CC8DD" w14:textId="77777777" w:rsidTr="00EA17FD">
        <w:trPr>
          <w:trHeight w:hRule="exact" w:val="240"/>
          <w:jc w:val="center"/>
        </w:trPr>
        <w:tc>
          <w:tcPr>
            <w:tcW w:w="9752" w:type="dxa"/>
            <w:gridSpan w:val="2"/>
            <w:tcBorders>
              <w:top w:val="nil"/>
              <w:left w:val="nil"/>
              <w:bottom w:val="nil"/>
              <w:right w:val="nil"/>
            </w:tcBorders>
          </w:tcPr>
          <w:p w14:paraId="2B7E94BC" w14:textId="77777777" w:rsidR="00A82F4D" w:rsidRPr="00B64DD1" w:rsidRDefault="00A82F4D" w:rsidP="00EA17FD"/>
        </w:tc>
      </w:tr>
      <w:tr w:rsidR="00A82F4D" w:rsidRPr="00B64DD1" w14:paraId="557032D6" w14:textId="77777777" w:rsidTr="00EA17FD">
        <w:trPr>
          <w:trHeight w:val="240"/>
          <w:jc w:val="center"/>
        </w:trPr>
        <w:tc>
          <w:tcPr>
            <w:tcW w:w="4876" w:type="dxa"/>
            <w:tcBorders>
              <w:top w:val="nil"/>
              <w:left w:val="nil"/>
              <w:bottom w:val="nil"/>
              <w:right w:val="nil"/>
            </w:tcBorders>
          </w:tcPr>
          <w:p w14:paraId="15529497"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1C1B1137" w14:textId="77777777" w:rsidR="00A82F4D" w:rsidRPr="00B64DD1" w:rsidRDefault="00A82F4D" w:rsidP="00EA17FD">
            <w:pPr>
              <w:pStyle w:val="AmColumnHeading"/>
            </w:pPr>
            <w:r w:rsidRPr="00B64DD1">
              <w:t>Poprawka</w:t>
            </w:r>
          </w:p>
        </w:tc>
      </w:tr>
      <w:tr w:rsidR="00A82F4D" w:rsidRPr="00B64DD1" w14:paraId="30AD730A" w14:textId="77777777" w:rsidTr="00EA17FD">
        <w:trPr>
          <w:jc w:val="center"/>
        </w:trPr>
        <w:tc>
          <w:tcPr>
            <w:tcW w:w="4876" w:type="dxa"/>
            <w:tcBorders>
              <w:top w:val="nil"/>
              <w:left w:val="nil"/>
              <w:bottom w:val="nil"/>
              <w:right w:val="nil"/>
            </w:tcBorders>
          </w:tcPr>
          <w:p w14:paraId="4C5B1D00" w14:textId="77777777" w:rsidR="00A82F4D" w:rsidRPr="00B64DD1" w:rsidRDefault="00A82F4D" w:rsidP="00EA17FD">
            <w:pPr>
              <w:pStyle w:val="Normal6a"/>
            </w:pPr>
          </w:p>
        </w:tc>
        <w:tc>
          <w:tcPr>
            <w:tcW w:w="4876" w:type="dxa"/>
            <w:tcBorders>
              <w:top w:val="nil"/>
              <w:left w:val="nil"/>
              <w:bottom w:val="nil"/>
              <w:right w:val="nil"/>
            </w:tcBorders>
          </w:tcPr>
          <w:p w14:paraId="5E7459FF" w14:textId="77777777" w:rsidR="00A82F4D" w:rsidRPr="00B64DD1" w:rsidRDefault="00A82F4D" w:rsidP="00EA17FD">
            <w:pPr>
              <w:pStyle w:val="Normal6a"/>
            </w:pPr>
            <w:r w:rsidRPr="00B64DD1">
              <w:rPr>
                <w:b/>
                <w:i/>
              </w:rPr>
              <w:t>36a.</w:t>
            </w:r>
            <w:r w:rsidRPr="00B64DD1">
              <w:tab/>
            </w:r>
            <w:r w:rsidRPr="00B64DD1">
              <w:rPr>
                <w:b/>
                <w:i/>
              </w:rPr>
              <w:t>wyraża poważne zaniepokojenie doniesieniami o niewystarczającym dialogu społecznym i włączeniu chronionych przedstawicieli pracowników do grona pracowników miejscowych dotkniętych zwolnieniami w niektórych delegaturach Unii; przypomina, że poszanowanie lokalnego prawa pracy, obowiązków w zakresie dialogu społecznego i ochrony przedstawicieli pracowników są istotnymi elementami dobrego zarządzania i wiarygodności Unii jako pracodawcy;</w:t>
            </w:r>
          </w:p>
        </w:tc>
      </w:tr>
    </w:tbl>
    <w:p w14:paraId="09231396"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21B329E0" w14:textId="77777777" w:rsidR="00A82F4D" w:rsidRPr="00B64DD1" w:rsidRDefault="00A82F4D" w:rsidP="00A82F4D">
      <w:r w:rsidRPr="00B64DD1">
        <w:rPr>
          <w:rStyle w:val="HideTWBExt"/>
        </w:rPr>
        <w:t>&lt;/Amend&gt;</w:t>
      </w:r>
    </w:p>
    <w:p w14:paraId="06C90125"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70</w:t>
      </w:r>
      <w:r w:rsidRPr="00B64DD1">
        <w:rPr>
          <w:rStyle w:val="HideTWBExt"/>
          <w:b w:val="0"/>
        </w:rPr>
        <w:t>&lt;/NumAm&gt;</w:t>
      </w:r>
    </w:p>
    <w:p w14:paraId="683DA13C" w14:textId="77777777" w:rsidR="00A82F4D" w:rsidRPr="00B64DD1" w:rsidRDefault="00A82F4D" w:rsidP="00A82F4D">
      <w:pPr>
        <w:pStyle w:val="NormalBold"/>
      </w:pPr>
      <w:r w:rsidRPr="00B64DD1">
        <w:rPr>
          <w:rStyle w:val="HideTWBExt"/>
          <w:b w:val="0"/>
        </w:rPr>
        <w:t>&lt;RepeatBlock-By&gt;&lt;Members&gt;</w:t>
      </w:r>
      <w:r w:rsidRPr="00B64DD1">
        <w:t xml:space="preserve">Damian </w:t>
      </w:r>
      <w:proofErr w:type="spellStart"/>
      <w:r w:rsidRPr="00B64DD1">
        <w:t>Boeselager</w:t>
      </w:r>
      <w:proofErr w:type="spellEnd"/>
      <w:r w:rsidRPr="00B64DD1">
        <w:rPr>
          <w:rStyle w:val="HideTWBExt"/>
          <w:b w:val="0"/>
        </w:rPr>
        <w:t>&lt;/Members&gt;</w:t>
      </w:r>
    </w:p>
    <w:p w14:paraId="1F5F6EDD" w14:textId="77777777" w:rsidR="00A82F4D" w:rsidRPr="00B64DD1" w:rsidRDefault="00A82F4D" w:rsidP="00A82F4D">
      <w:r w:rsidRPr="00B64DD1">
        <w:rPr>
          <w:rStyle w:val="HideTWBExt"/>
        </w:rPr>
        <w:t>&lt;AuNomDe&gt;</w:t>
      </w:r>
      <w:r w:rsidRPr="00B64DD1">
        <w:rPr>
          <w:rStyle w:val="HideTWBInt"/>
        </w:rPr>
        <w:t>{Verts/ALE}</w:t>
      </w:r>
      <w:r w:rsidRPr="00B64DD1">
        <w:t xml:space="preserve">w imieniu grupy </w:t>
      </w:r>
      <w:proofErr w:type="spellStart"/>
      <w:r w:rsidRPr="00B64DD1">
        <w:t>Verts</w:t>
      </w:r>
      <w:proofErr w:type="spellEnd"/>
      <w:r w:rsidRPr="00B64DD1">
        <w:t>/ALE</w:t>
      </w:r>
      <w:r w:rsidRPr="00B64DD1">
        <w:rPr>
          <w:rStyle w:val="HideTWBExt"/>
        </w:rPr>
        <w:t>&lt;/AuNomDe&gt;</w:t>
      </w:r>
    </w:p>
    <w:p w14:paraId="2B2CD5A0" w14:textId="77777777" w:rsidR="00A82F4D" w:rsidRPr="00B64DD1" w:rsidRDefault="00A82F4D" w:rsidP="00A82F4D">
      <w:pPr>
        <w:pStyle w:val="NormalBold"/>
      </w:pPr>
      <w:r w:rsidRPr="00B64DD1">
        <w:rPr>
          <w:rStyle w:val="HideTWBExt"/>
          <w:b w:val="0"/>
        </w:rPr>
        <w:t>&lt;/RepeatBlock-By&gt;</w:t>
      </w:r>
    </w:p>
    <w:p w14:paraId="720C1D95"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55D7E1C0" w14:textId="77777777" w:rsidR="00A82F4D" w:rsidRPr="00B64DD1" w:rsidRDefault="00A82F4D" w:rsidP="00A82F4D">
      <w:pPr>
        <w:pStyle w:val="NormalBold"/>
      </w:pPr>
      <w:r w:rsidRPr="00B64DD1">
        <w:rPr>
          <w:rStyle w:val="HideTWBExt"/>
          <w:b w:val="0"/>
        </w:rPr>
        <w:t>&lt;Article&gt;</w:t>
      </w:r>
      <w:r w:rsidRPr="00B64DD1">
        <w:t>Ustęp 36 b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50643CE7" w14:textId="77777777" w:rsidTr="00EA17FD">
        <w:trPr>
          <w:trHeight w:hRule="exact" w:val="240"/>
          <w:jc w:val="center"/>
        </w:trPr>
        <w:tc>
          <w:tcPr>
            <w:tcW w:w="9752" w:type="dxa"/>
            <w:gridSpan w:val="2"/>
            <w:tcBorders>
              <w:top w:val="nil"/>
              <w:left w:val="nil"/>
              <w:bottom w:val="nil"/>
              <w:right w:val="nil"/>
            </w:tcBorders>
          </w:tcPr>
          <w:p w14:paraId="55FC7012" w14:textId="77777777" w:rsidR="00A82F4D" w:rsidRPr="00B64DD1" w:rsidRDefault="00A82F4D" w:rsidP="00EA17FD"/>
        </w:tc>
      </w:tr>
      <w:tr w:rsidR="00A82F4D" w:rsidRPr="00B64DD1" w14:paraId="1E5762EB" w14:textId="77777777" w:rsidTr="00EA17FD">
        <w:trPr>
          <w:trHeight w:val="240"/>
          <w:jc w:val="center"/>
        </w:trPr>
        <w:tc>
          <w:tcPr>
            <w:tcW w:w="4876" w:type="dxa"/>
            <w:tcBorders>
              <w:top w:val="nil"/>
              <w:left w:val="nil"/>
              <w:bottom w:val="nil"/>
              <w:right w:val="nil"/>
            </w:tcBorders>
          </w:tcPr>
          <w:p w14:paraId="30814602"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6A677744" w14:textId="77777777" w:rsidR="00A82F4D" w:rsidRPr="00B64DD1" w:rsidRDefault="00A82F4D" w:rsidP="00EA17FD">
            <w:pPr>
              <w:pStyle w:val="AmColumnHeading"/>
            </w:pPr>
            <w:r w:rsidRPr="00B64DD1">
              <w:t>Poprawka</w:t>
            </w:r>
          </w:p>
        </w:tc>
      </w:tr>
      <w:tr w:rsidR="00A82F4D" w:rsidRPr="00B64DD1" w14:paraId="7EA1FECC" w14:textId="77777777" w:rsidTr="00EA17FD">
        <w:trPr>
          <w:jc w:val="center"/>
        </w:trPr>
        <w:tc>
          <w:tcPr>
            <w:tcW w:w="4876" w:type="dxa"/>
            <w:tcBorders>
              <w:top w:val="nil"/>
              <w:left w:val="nil"/>
              <w:bottom w:val="nil"/>
              <w:right w:val="nil"/>
            </w:tcBorders>
          </w:tcPr>
          <w:p w14:paraId="197A847A" w14:textId="77777777" w:rsidR="00A82F4D" w:rsidRPr="00B64DD1" w:rsidRDefault="00A82F4D" w:rsidP="00EA17FD">
            <w:pPr>
              <w:pStyle w:val="Normal6a"/>
            </w:pPr>
          </w:p>
        </w:tc>
        <w:tc>
          <w:tcPr>
            <w:tcW w:w="4876" w:type="dxa"/>
            <w:tcBorders>
              <w:top w:val="nil"/>
              <w:left w:val="nil"/>
              <w:bottom w:val="nil"/>
              <w:right w:val="nil"/>
            </w:tcBorders>
          </w:tcPr>
          <w:p w14:paraId="0C38EB27" w14:textId="77777777" w:rsidR="00A82F4D" w:rsidRPr="00B64DD1" w:rsidRDefault="00A82F4D" w:rsidP="00EA17FD">
            <w:pPr>
              <w:pStyle w:val="Normal6a"/>
            </w:pPr>
            <w:r w:rsidRPr="00B64DD1">
              <w:rPr>
                <w:b/>
                <w:i/>
              </w:rPr>
              <w:t>36b.</w:t>
            </w:r>
            <w:r w:rsidRPr="00B64DD1">
              <w:tab/>
            </w:r>
            <w:r w:rsidRPr="00B64DD1">
              <w:rPr>
                <w:b/>
                <w:i/>
              </w:rPr>
              <w:t xml:space="preserve">podkreśla, że wszelkie restrukturyzacje, przeniesienia lub zwolnienia mające wpływ na personel miejscowy muszą być poprzedzone </w:t>
            </w:r>
            <w:r w:rsidRPr="00B64DD1">
              <w:rPr>
                <w:b/>
                <w:i/>
              </w:rPr>
              <w:lastRenderedPageBreak/>
              <w:t>merytorycznymi konsultacjami z przedstawicielami pracowników i towarzyszyć im muszą konkretne środki mające na celu ochronę praw, bezpieczeństwa i godności personelu miejscowego, w szczególności w sytuacjach kryzysowych lub w przypadku ewakuacji; wzywa ESDZ do oceny i przedstawienia organowi udzielającemu absolutorium sprawozdania na temat opłacalności redukcji personelu w porównaniu z alternatywnymi rozwiązaniami organizacyjnymi, w tym długoterminowych skutków finansowych, operacyjnych i wizerunkowych zwolnień mających wpływ na personel miejscowy;</w:t>
            </w:r>
          </w:p>
        </w:tc>
      </w:tr>
    </w:tbl>
    <w:p w14:paraId="27B8CAD4"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7749DE16" w14:textId="77777777" w:rsidR="00A82F4D" w:rsidRPr="00B64DD1" w:rsidRDefault="00A82F4D" w:rsidP="00A82F4D">
      <w:r w:rsidRPr="00B64DD1">
        <w:rPr>
          <w:rStyle w:val="HideTWBExt"/>
        </w:rPr>
        <w:t>&lt;/Amend&gt;</w:t>
      </w:r>
    </w:p>
    <w:p w14:paraId="181A8D75"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71</w:t>
      </w:r>
      <w:r w:rsidRPr="00B64DD1">
        <w:rPr>
          <w:rStyle w:val="HideTWBExt"/>
          <w:b w:val="0"/>
        </w:rPr>
        <w:t>&lt;/NumAm&gt;</w:t>
      </w:r>
    </w:p>
    <w:p w14:paraId="4DB190C7" w14:textId="77777777" w:rsidR="00A82F4D" w:rsidRPr="00B64DD1" w:rsidRDefault="00A82F4D" w:rsidP="00A82F4D">
      <w:pPr>
        <w:pStyle w:val="NormalBold"/>
      </w:pPr>
      <w:r w:rsidRPr="00B64DD1">
        <w:rPr>
          <w:rStyle w:val="HideTWBExt"/>
          <w:b w:val="0"/>
        </w:rPr>
        <w:t>&lt;RepeatBlock-By&gt;&lt;Members&gt;</w:t>
      </w:r>
      <w:proofErr w:type="spellStart"/>
      <w:r w:rsidRPr="00B64DD1">
        <w:t>Şerban</w:t>
      </w:r>
      <w:proofErr w:type="spellEnd"/>
      <w:r w:rsidRPr="00B64DD1">
        <w:t xml:space="preserve"> </w:t>
      </w:r>
      <w:proofErr w:type="spellStart"/>
      <w:r w:rsidRPr="00B64DD1">
        <w:t>Dimitrie</w:t>
      </w:r>
      <w:proofErr w:type="spellEnd"/>
      <w:r w:rsidRPr="00B64DD1">
        <w:t xml:space="preserve"> </w:t>
      </w:r>
      <w:proofErr w:type="spellStart"/>
      <w:r w:rsidRPr="00B64DD1">
        <w:t>Sturdza</w:t>
      </w:r>
      <w:proofErr w:type="spellEnd"/>
      <w:r w:rsidRPr="00B64DD1">
        <w:rPr>
          <w:rStyle w:val="HideTWBExt"/>
          <w:b w:val="0"/>
        </w:rPr>
        <w:t>&lt;/Members&gt;</w:t>
      </w:r>
    </w:p>
    <w:p w14:paraId="300C02E0" w14:textId="77777777" w:rsidR="00A82F4D" w:rsidRPr="00B64DD1" w:rsidRDefault="00A82F4D" w:rsidP="00A82F4D">
      <w:pPr>
        <w:pStyle w:val="NormalBold"/>
      </w:pPr>
      <w:r w:rsidRPr="00B64DD1">
        <w:rPr>
          <w:rStyle w:val="HideTWBExt"/>
          <w:b w:val="0"/>
        </w:rPr>
        <w:t>&lt;/RepeatBlock-By&gt;</w:t>
      </w:r>
    </w:p>
    <w:p w14:paraId="57D72A62"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7481D7BA" w14:textId="77777777" w:rsidR="00A82F4D" w:rsidRPr="00B64DD1" w:rsidRDefault="00A82F4D" w:rsidP="00A82F4D">
      <w:pPr>
        <w:pStyle w:val="NormalBold"/>
      </w:pPr>
      <w:r w:rsidRPr="00B64DD1">
        <w:rPr>
          <w:rStyle w:val="HideTWBExt"/>
          <w:b w:val="0"/>
        </w:rPr>
        <w:t>&lt;Article&gt;</w:t>
      </w:r>
      <w:r w:rsidRPr="00B64DD1">
        <w:t>Ustęp 37</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465A8BD1" w14:textId="77777777" w:rsidTr="00EA17FD">
        <w:trPr>
          <w:trHeight w:hRule="exact" w:val="240"/>
          <w:jc w:val="center"/>
        </w:trPr>
        <w:tc>
          <w:tcPr>
            <w:tcW w:w="9752" w:type="dxa"/>
            <w:gridSpan w:val="2"/>
            <w:tcBorders>
              <w:top w:val="nil"/>
              <w:left w:val="nil"/>
              <w:bottom w:val="nil"/>
              <w:right w:val="nil"/>
            </w:tcBorders>
          </w:tcPr>
          <w:p w14:paraId="343DEA84" w14:textId="77777777" w:rsidR="00A82F4D" w:rsidRPr="00B64DD1" w:rsidRDefault="00A82F4D" w:rsidP="00EA17FD"/>
        </w:tc>
      </w:tr>
      <w:tr w:rsidR="00A82F4D" w:rsidRPr="00B64DD1" w14:paraId="6AD5C5AD" w14:textId="77777777" w:rsidTr="00EA17FD">
        <w:trPr>
          <w:trHeight w:val="240"/>
          <w:jc w:val="center"/>
        </w:trPr>
        <w:tc>
          <w:tcPr>
            <w:tcW w:w="4876" w:type="dxa"/>
            <w:tcBorders>
              <w:top w:val="nil"/>
              <w:left w:val="nil"/>
              <w:bottom w:val="nil"/>
              <w:right w:val="nil"/>
            </w:tcBorders>
          </w:tcPr>
          <w:p w14:paraId="1AB29DCE"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515CA93F" w14:textId="77777777" w:rsidR="00A82F4D" w:rsidRPr="00B64DD1" w:rsidRDefault="00A82F4D" w:rsidP="00EA17FD">
            <w:pPr>
              <w:pStyle w:val="AmColumnHeading"/>
            </w:pPr>
            <w:r w:rsidRPr="00B64DD1">
              <w:t>Poprawka</w:t>
            </w:r>
          </w:p>
        </w:tc>
      </w:tr>
      <w:tr w:rsidR="00A82F4D" w:rsidRPr="00B64DD1" w14:paraId="324BA584" w14:textId="77777777" w:rsidTr="00EA17FD">
        <w:trPr>
          <w:jc w:val="center"/>
        </w:trPr>
        <w:tc>
          <w:tcPr>
            <w:tcW w:w="4876" w:type="dxa"/>
            <w:tcBorders>
              <w:top w:val="nil"/>
              <w:left w:val="nil"/>
              <w:bottom w:val="nil"/>
              <w:right w:val="nil"/>
            </w:tcBorders>
          </w:tcPr>
          <w:p w14:paraId="260D7E5A" w14:textId="77777777" w:rsidR="00A82F4D" w:rsidRPr="00B64DD1" w:rsidRDefault="00A82F4D" w:rsidP="00EA17FD">
            <w:pPr>
              <w:pStyle w:val="Normal6a"/>
            </w:pPr>
            <w:r w:rsidRPr="00B64DD1">
              <w:t>37.</w:t>
            </w:r>
            <w:r w:rsidRPr="00B64DD1">
              <w:tab/>
              <w:t xml:space="preserve">zwraca uwagę, że w 2024 r. kobiety stanowiły 46,60 % wszystkich pracowników ESDZ (w porównaniu z 46,80 % w 2023 r.); zauważa, że w odniesieniu do reprezentacji kobiet oraz stanowisk zajmowanych przez nie w ESDZ w 2024 r. 40 % stanowiły administratorki, 63,78 % – asystentki, 73,25 % – asystentki-sekretarki, 56,70 % – pracownice kontraktowe, a 26,87 % – oddelegowane ekspertki krajowe; z zadowoleniem zauważa przedstawione w sprawozdaniu ESDZ za 2024 r. działania instytucji na rzecz zwiększenia reprezentacji kobiet na stanowiskach kierowniczych; w tym kontekście odnotowuje tendencję wzrostową w odniesieniu do stanowisk kierowniczych wyższego szczebla – w 2024 r. kobiety stanowiły 37,30 % (w porównaniu z 31 % </w:t>
            </w:r>
            <w:r w:rsidRPr="00B64DD1">
              <w:lastRenderedPageBreak/>
              <w:t>w 2023 r.) – oraz nieznaczny spadek w odniesieniu do stanowisk kierowniczych średniego szczebla, gdzie w 2024 r. kobiety stanowiły 38,70 % (w porównaniu z 40,40 % w 2023 r.); z zadowoleniem przyjmuje wzrost reprezentacji kobiet na stanowiskach szefów delegatur z 35,50 % w 2023 r. do 36,10 % w 2024 r.;</w:t>
            </w:r>
          </w:p>
        </w:tc>
        <w:tc>
          <w:tcPr>
            <w:tcW w:w="4876" w:type="dxa"/>
            <w:tcBorders>
              <w:top w:val="nil"/>
              <w:left w:val="nil"/>
              <w:bottom w:val="nil"/>
              <w:right w:val="nil"/>
            </w:tcBorders>
          </w:tcPr>
          <w:p w14:paraId="6EB509F3" w14:textId="77777777" w:rsidR="00A82F4D" w:rsidRPr="00B64DD1" w:rsidRDefault="00A82F4D" w:rsidP="00EA17FD">
            <w:pPr>
              <w:pStyle w:val="Normal6a"/>
            </w:pPr>
            <w:r w:rsidRPr="00B64DD1">
              <w:lastRenderedPageBreak/>
              <w:t>37.</w:t>
            </w:r>
            <w:r w:rsidRPr="00B64DD1">
              <w:tab/>
              <w:t xml:space="preserve">zwraca uwagę, że w 2024 r. kobiety stanowiły 46,60 % wszystkich pracowników ESDZ (w porównaniu z 46,80 % w 2023 r.); zauważa, że w odniesieniu do reprezentacji kobiet oraz stanowisk zajmowanych przez nie w ESDZ w 2024 r. 40 % stanowiły administratorki, 63,78 % – asystentki, 73,25 % – asystentki-sekretarki, 56,70 % – pracownice kontraktowe, a 26,87 % – oddelegowane ekspertki krajowe; z zadowoleniem zauważa przedstawione w sprawozdaniu ESDZ za 2024 r. działania instytucji na rzecz zwiększenia reprezentacji kobiet na stanowiskach kierowniczych; w tym kontekście odnotowuje tendencję wzrostową w odniesieniu do stanowisk kierowniczych wyższego szczebla – w 2024 r. kobiety stanowiły 37,30 % (w porównaniu z 31 % </w:t>
            </w:r>
            <w:r w:rsidRPr="00B64DD1">
              <w:lastRenderedPageBreak/>
              <w:t xml:space="preserve">w 2023 r.) – oraz nieznaczny spadek w odniesieniu do stanowisk kierowniczych średniego szczebla, gdzie w 2024 r. kobiety stanowiły 38,70 % (w porównaniu z 40,40 % w 2023 r.); z zadowoleniem przyjmuje wzrost reprezentacji kobiet na stanowiskach szefów delegatur z 35,50 % w 2023 r. do 36,10 % w 2024 r.; </w:t>
            </w:r>
            <w:r w:rsidRPr="00B64DD1">
              <w:rPr>
                <w:b/>
                <w:i/>
              </w:rPr>
              <w:t>z zadowoleniem przyjmuje stopniowy wzrost liczby kobiet na stanowiskach kierowniczych w ESDZ, zauważając jednocześnie, że kobiety nadal są niedostatecznie reprezentowane na szczeblu AD i nadmiernie reprezentowane na szczeblu AST, przy czym nie osiągnięto jeszcze równowagi płci na stanowiskach kierowniczych średniego i wyższego szczebla, zarówno w centrali, jak i w delegaturach Unii; podkreśla, że choć należy zapewnić równe szanse pracownikom w ramach organów instytucji, konieczne jest zachowanie doskonałości i profesjonalizmu w ESDZ; </w:t>
            </w:r>
          </w:p>
        </w:tc>
      </w:tr>
    </w:tbl>
    <w:p w14:paraId="1B1984B5"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3D04DFBB" w14:textId="77777777" w:rsidR="00A82F4D" w:rsidRPr="00B64DD1" w:rsidRDefault="00A82F4D" w:rsidP="00A82F4D">
      <w:r w:rsidRPr="00B64DD1">
        <w:rPr>
          <w:rStyle w:val="HideTWBExt"/>
        </w:rPr>
        <w:t>&lt;/Amend&gt;</w:t>
      </w:r>
    </w:p>
    <w:p w14:paraId="4E590591"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72</w:t>
      </w:r>
      <w:r w:rsidRPr="00B64DD1">
        <w:rPr>
          <w:rStyle w:val="HideTWBExt"/>
          <w:b w:val="0"/>
        </w:rPr>
        <w:t>&lt;/NumAm&gt;</w:t>
      </w:r>
    </w:p>
    <w:p w14:paraId="48376F08" w14:textId="77777777" w:rsidR="00A82F4D" w:rsidRPr="00B64DD1" w:rsidRDefault="00A82F4D" w:rsidP="00A82F4D">
      <w:pPr>
        <w:pStyle w:val="NormalBold"/>
      </w:pPr>
      <w:r w:rsidRPr="00B64DD1">
        <w:rPr>
          <w:rStyle w:val="HideTWBExt"/>
          <w:b w:val="0"/>
        </w:rPr>
        <w:t>&lt;RepeatBlock-By&gt;&lt;Members&gt;</w:t>
      </w:r>
      <w:proofErr w:type="spellStart"/>
      <w:r w:rsidRPr="00B64DD1">
        <w:t>Pasquale</w:t>
      </w:r>
      <w:proofErr w:type="spellEnd"/>
      <w:r w:rsidRPr="00B64DD1">
        <w:t xml:space="preserve"> </w:t>
      </w:r>
      <w:proofErr w:type="spellStart"/>
      <w:r w:rsidRPr="00B64DD1">
        <w:t>Tridico</w:t>
      </w:r>
      <w:proofErr w:type="spellEnd"/>
      <w:r w:rsidRPr="00B64DD1">
        <w:rPr>
          <w:rStyle w:val="HideTWBExt"/>
          <w:b w:val="0"/>
        </w:rPr>
        <w:t>&lt;/Members&gt;</w:t>
      </w:r>
    </w:p>
    <w:p w14:paraId="11AB65AB" w14:textId="77777777" w:rsidR="00A82F4D" w:rsidRPr="00B64DD1" w:rsidRDefault="00A82F4D" w:rsidP="00A82F4D">
      <w:pPr>
        <w:pStyle w:val="NormalBold"/>
      </w:pPr>
      <w:r w:rsidRPr="00B64DD1">
        <w:rPr>
          <w:rStyle w:val="HideTWBExt"/>
          <w:b w:val="0"/>
        </w:rPr>
        <w:t>&lt;/RepeatBlock-By&gt;</w:t>
      </w:r>
    </w:p>
    <w:p w14:paraId="776809D7"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6D4E6A33" w14:textId="77777777" w:rsidR="00A82F4D" w:rsidRPr="00B64DD1" w:rsidRDefault="00A82F4D" w:rsidP="00A82F4D">
      <w:pPr>
        <w:pStyle w:val="NormalBold"/>
      </w:pPr>
      <w:r w:rsidRPr="00B64DD1">
        <w:rPr>
          <w:rStyle w:val="HideTWBExt"/>
          <w:b w:val="0"/>
        </w:rPr>
        <w:t>&lt;Article&gt;</w:t>
      </w:r>
      <w:r w:rsidRPr="00B64DD1">
        <w:t>Ustęp 38</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4BC5C8DB" w14:textId="77777777" w:rsidTr="00EA17FD">
        <w:trPr>
          <w:trHeight w:hRule="exact" w:val="240"/>
          <w:jc w:val="center"/>
        </w:trPr>
        <w:tc>
          <w:tcPr>
            <w:tcW w:w="9752" w:type="dxa"/>
            <w:gridSpan w:val="2"/>
            <w:tcBorders>
              <w:top w:val="nil"/>
              <w:left w:val="nil"/>
              <w:bottom w:val="nil"/>
              <w:right w:val="nil"/>
            </w:tcBorders>
          </w:tcPr>
          <w:p w14:paraId="744D1259" w14:textId="77777777" w:rsidR="00A82F4D" w:rsidRPr="00B64DD1" w:rsidRDefault="00A82F4D" w:rsidP="00EA17FD"/>
        </w:tc>
      </w:tr>
      <w:tr w:rsidR="00A82F4D" w:rsidRPr="00B64DD1" w14:paraId="4174103E" w14:textId="77777777" w:rsidTr="00EA17FD">
        <w:trPr>
          <w:trHeight w:val="240"/>
          <w:jc w:val="center"/>
        </w:trPr>
        <w:tc>
          <w:tcPr>
            <w:tcW w:w="4876" w:type="dxa"/>
            <w:tcBorders>
              <w:top w:val="nil"/>
              <w:left w:val="nil"/>
              <w:bottom w:val="nil"/>
              <w:right w:val="nil"/>
            </w:tcBorders>
          </w:tcPr>
          <w:p w14:paraId="7DB76261"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7F4627DC" w14:textId="77777777" w:rsidR="00A82F4D" w:rsidRPr="00B64DD1" w:rsidRDefault="00A82F4D" w:rsidP="00EA17FD">
            <w:pPr>
              <w:pStyle w:val="AmColumnHeading"/>
            </w:pPr>
            <w:r w:rsidRPr="00B64DD1">
              <w:t>Poprawka</w:t>
            </w:r>
          </w:p>
        </w:tc>
      </w:tr>
      <w:tr w:rsidR="00A82F4D" w:rsidRPr="00B64DD1" w14:paraId="7B6A6204" w14:textId="77777777" w:rsidTr="00EA17FD">
        <w:trPr>
          <w:jc w:val="center"/>
        </w:trPr>
        <w:tc>
          <w:tcPr>
            <w:tcW w:w="4876" w:type="dxa"/>
            <w:tcBorders>
              <w:top w:val="nil"/>
              <w:left w:val="nil"/>
              <w:bottom w:val="nil"/>
              <w:right w:val="nil"/>
            </w:tcBorders>
          </w:tcPr>
          <w:p w14:paraId="1C9FF4F7" w14:textId="77777777" w:rsidR="00A82F4D" w:rsidRPr="00B64DD1" w:rsidRDefault="00A82F4D" w:rsidP="00EA17FD">
            <w:pPr>
              <w:pStyle w:val="Normal6a"/>
            </w:pPr>
            <w:r w:rsidRPr="00B64DD1">
              <w:t>38.</w:t>
            </w:r>
            <w:r w:rsidRPr="00B64DD1">
              <w:tab/>
              <w:t xml:space="preserve">odnotowuje przedstawione w sprawozdania uzupełniającym działania ESDZ na rzecz zachęcenia większej liczby osób płci niedostatecznie reprezentowanej do składania kandydatur; z zadowoleniem przyjmuje w tym kontekście zorganizowanie czterech szkoleń dla kadry kierowniczej w zakresie przywództwa ukierunkowanego na aspekt płci, w których wzięło udział 80 % kadry wyższego kierownictwa ESDZ, a także czteromiesięcznego programu w zakresie przywództwa ukierunkowanego na aspekt </w:t>
            </w:r>
            <w:r w:rsidRPr="00B64DD1">
              <w:lastRenderedPageBreak/>
              <w:t xml:space="preserve">płci dla </w:t>
            </w:r>
            <w:r w:rsidRPr="00B64DD1">
              <w:rPr>
                <w:b/>
                <w:bCs/>
                <w:i/>
                <w:iCs/>
              </w:rPr>
              <w:t>18</w:t>
            </w:r>
            <w:r w:rsidRPr="00B64DD1">
              <w:t xml:space="preserve"> kierowników z delegatur Unii w 2024 r.; zauważa ponadto, że ESDZ ustanowiła nową sieć punktów kontaktowych ds. równości płci oraz powołała grupę zadaniową ds. konwencji stambulskiej, która przedstawiła w 2024 r. sprawozdanie śródokresowe wraz z planem działania; zauważa działania ambasadorki Unii ds. równości płci i różnorodności na rzecz uwzględniania perspektywy płci w dialogach dotyczących praw człowieka oraz w kluczowych oświadczeniach i rezolucjach wielostronnych; wzywa ESDZ do dalszego przekazywania aktualnych informacji na temat najnowszych zmian w programie działania na lata 2021–2025 oraz działań podjętych w celu dalszego promowania udziału kobiet we wszystkich dialogach dyplomatycznych i politycznych;</w:t>
            </w:r>
          </w:p>
        </w:tc>
        <w:tc>
          <w:tcPr>
            <w:tcW w:w="4876" w:type="dxa"/>
            <w:tcBorders>
              <w:top w:val="nil"/>
              <w:left w:val="nil"/>
              <w:bottom w:val="nil"/>
              <w:right w:val="nil"/>
            </w:tcBorders>
          </w:tcPr>
          <w:p w14:paraId="3F85646C" w14:textId="77777777" w:rsidR="00A82F4D" w:rsidRPr="00B64DD1" w:rsidRDefault="00A82F4D" w:rsidP="00EA17FD">
            <w:pPr>
              <w:pStyle w:val="Normal6a"/>
            </w:pPr>
            <w:r w:rsidRPr="00B64DD1">
              <w:lastRenderedPageBreak/>
              <w:t>38.</w:t>
            </w:r>
            <w:r w:rsidRPr="00B64DD1">
              <w:tab/>
              <w:t xml:space="preserve">odnotowuje przedstawione w sprawozdania uzupełniającym działania ESDZ na rzecz zachęcenia większej liczby osób płci niedostatecznie reprezentowanej do składania kandydatur; z zadowoleniem przyjmuje w tym kontekście zorganizowanie czterech szkoleń dla kadry kierowniczej w zakresie przywództwa ukierunkowanego na aspekt płci, w których wzięło udział 80 % kadry wyższego kierownictwa ESDZ, a także czteromiesięcznego programu w zakresie przywództwa ukierunkowanego na aspekt </w:t>
            </w:r>
            <w:r w:rsidRPr="00B64DD1">
              <w:lastRenderedPageBreak/>
              <w:t xml:space="preserve">płci dla </w:t>
            </w:r>
            <w:r w:rsidRPr="00B64DD1">
              <w:rPr>
                <w:b/>
                <w:bCs/>
                <w:i/>
                <w:iCs/>
              </w:rPr>
              <w:t>13</w:t>
            </w:r>
            <w:r w:rsidRPr="00B64DD1">
              <w:t xml:space="preserve"> kierowników</w:t>
            </w:r>
            <w:r w:rsidRPr="00B64DD1">
              <w:rPr>
                <w:b/>
                <w:bCs/>
                <w:i/>
                <w:iCs/>
              </w:rPr>
              <w:t>, w tym 4 kierowników</w:t>
            </w:r>
            <w:r w:rsidRPr="00B64DD1">
              <w:t xml:space="preserve"> z delegatur Unii w 2024 r.; zauważa ponadto, że ESDZ ustanowiła nową sieć punktów kontaktowych ds. równości płci oraz powołała grupę zadaniową ds. konwencji stambulskiej, która przedstawiła w 2024 r. sprawozdanie śródokresowe wraz z planem działania; zauważa działania ambasadorki Unii ds. równości płci i różnorodności na rzecz uwzględniania perspektywy płci w dialogach dotyczących praw człowieka oraz w kluczowych oświadczeniach i rezolucjach wielostronnych; wzywa ESDZ do dalszego przekazywania aktualnych informacji na temat najnowszych zmian w programie działania na lata 2021–2025 oraz działań podjętych w celu dalszego promowania udziału kobiet we wszystkich dialogach dyplomatycznych i politycznych;</w:t>
            </w:r>
          </w:p>
        </w:tc>
      </w:tr>
    </w:tbl>
    <w:p w14:paraId="3B3F2B0A"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0162F494" w14:textId="77777777" w:rsidR="00A82F4D" w:rsidRPr="00B64DD1" w:rsidRDefault="00A82F4D" w:rsidP="00A82F4D">
      <w:r w:rsidRPr="00B64DD1">
        <w:rPr>
          <w:rStyle w:val="HideTWBExt"/>
        </w:rPr>
        <w:t>&lt;/Amend&gt;</w:t>
      </w:r>
    </w:p>
    <w:p w14:paraId="46A3DBD7"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73</w:t>
      </w:r>
      <w:r w:rsidRPr="00B64DD1">
        <w:rPr>
          <w:rStyle w:val="HideTWBExt"/>
          <w:b w:val="0"/>
        </w:rPr>
        <w:t>&lt;/NumAm&gt;</w:t>
      </w:r>
    </w:p>
    <w:p w14:paraId="17359569" w14:textId="77777777" w:rsidR="00A82F4D" w:rsidRPr="00B64DD1" w:rsidRDefault="00A82F4D" w:rsidP="00A82F4D">
      <w:pPr>
        <w:pStyle w:val="NormalBold"/>
      </w:pPr>
      <w:r w:rsidRPr="00B64DD1">
        <w:rPr>
          <w:rStyle w:val="HideTWBExt"/>
          <w:b w:val="0"/>
        </w:rPr>
        <w:t>&lt;RepeatBlock-By&gt;&lt;Members&gt;</w:t>
      </w:r>
      <w:proofErr w:type="spellStart"/>
      <w:r w:rsidRPr="00B64DD1">
        <w:t>Vlad</w:t>
      </w:r>
      <w:proofErr w:type="spellEnd"/>
      <w:r w:rsidRPr="00B64DD1">
        <w:t xml:space="preserve"> </w:t>
      </w:r>
      <w:proofErr w:type="spellStart"/>
      <w:r w:rsidRPr="00B64DD1">
        <w:t>Vasile-Voiculescu</w:t>
      </w:r>
      <w:proofErr w:type="spellEnd"/>
      <w:r w:rsidRPr="00B64DD1">
        <w:t xml:space="preserve">, Olivier </w:t>
      </w:r>
      <w:proofErr w:type="spellStart"/>
      <w:r w:rsidRPr="00B64DD1">
        <w:t>Chastel</w:t>
      </w:r>
      <w:proofErr w:type="spellEnd"/>
      <w:r w:rsidRPr="00B64DD1">
        <w:t xml:space="preserve">, </w:t>
      </w:r>
      <w:proofErr w:type="spellStart"/>
      <w:r w:rsidRPr="00B64DD1">
        <w:t>Gerben</w:t>
      </w:r>
      <w:proofErr w:type="spellEnd"/>
      <w:r w:rsidRPr="00B64DD1">
        <w:t xml:space="preserve">-Jan </w:t>
      </w:r>
      <w:proofErr w:type="spellStart"/>
      <w:r w:rsidRPr="00B64DD1">
        <w:t>Gerbrandy</w:t>
      </w:r>
      <w:proofErr w:type="spellEnd"/>
      <w:r w:rsidRPr="00B64DD1">
        <w:t xml:space="preserve">, </w:t>
      </w:r>
      <w:proofErr w:type="spellStart"/>
      <w:r w:rsidRPr="00B64DD1">
        <w:t>Gilles</w:t>
      </w:r>
      <w:proofErr w:type="spellEnd"/>
      <w:r w:rsidRPr="00B64DD1">
        <w:t xml:space="preserve"> </w:t>
      </w:r>
      <w:proofErr w:type="spellStart"/>
      <w:r w:rsidRPr="00B64DD1">
        <w:t>Boyer</w:t>
      </w:r>
      <w:proofErr w:type="spellEnd"/>
      <w:r w:rsidRPr="00B64DD1">
        <w:t xml:space="preserve">, Michal </w:t>
      </w:r>
      <w:proofErr w:type="spellStart"/>
      <w:r w:rsidRPr="00B64DD1">
        <w:t>Wiezik</w:t>
      </w:r>
      <w:proofErr w:type="spellEnd"/>
      <w:r w:rsidRPr="00B64DD1">
        <w:rPr>
          <w:rStyle w:val="HideTWBExt"/>
          <w:b w:val="0"/>
        </w:rPr>
        <w:t>&lt;/Members&gt;</w:t>
      </w:r>
    </w:p>
    <w:p w14:paraId="7DB18980" w14:textId="77777777" w:rsidR="00A82F4D" w:rsidRPr="00B64DD1" w:rsidRDefault="00A82F4D" w:rsidP="00A82F4D">
      <w:pPr>
        <w:pStyle w:val="NormalBold"/>
      </w:pPr>
      <w:r w:rsidRPr="00B64DD1">
        <w:rPr>
          <w:rStyle w:val="HideTWBExt"/>
          <w:b w:val="0"/>
        </w:rPr>
        <w:t>&lt;/RepeatBlock-By&gt;</w:t>
      </w:r>
    </w:p>
    <w:p w14:paraId="1EF4E1B9"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3384312D" w14:textId="77777777" w:rsidR="00A82F4D" w:rsidRPr="00B64DD1" w:rsidRDefault="00A82F4D" w:rsidP="00A82F4D">
      <w:pPr>
        <w:pStyle w:val="NormalBold"/>
      </w:pPr>
      <w:r w:rsidRPr="00B64DD1">
        <w:rPr>
          <w:rStyle w:val="HideTWBExt"/>
          <w:b w:val="0"/>
        </w:rPr>
        <w:t>&lt;Article&gt;</w:t>
      </w:r>
      <w:r w:rsidRPr="00B64DD1">
        <w:t>Ustęp 39</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7371D757" w14:textId="77777777" w:rsidTr="00EA17FD">
        <w:trPr>
          <w:trHeight w:hRule="exact" w:val="240"/>
          <w:jc w:val="center"/>
        </w:trPr>
        <w:tc>
          <w:tcPr>
            <w:tcW w:w="9752" w:type="dxa"/>
            <w:gridSpan w:val="2"/>
            <w:tcBorders>
              <w:top w:val="nil"/>
              <w:left w:val="nil"/>
              <w:bottom w:val="nil"/>
              <w:right w:val="nil"/>
            </w:tcBorders>
          </w:tcPr>
          <w:p w14:paraId="715F6350" w14:textId="77777777" w:rsidR="00A82F4D" w:rsidRPr="00B64DD1" w:rsidRDefault="00A82F4D" w:rsidP="00EA17FD"/>
        </w:tc>
      </w:tr>
      <w:tr w:rsidR="00A82F4D" w:rsidRPr="00B64DD1" w14:paraId="17807C80" w14:textId="77777777" w:rsidTr="00EA17FD">
        <w:trPr>
          <w:trHeight w:val="240"/>
          <w:jc w:val="center"/>
        </w:trPr>
        <w:tc>
          <w:tcPr>
            <w:tcW w:w="4876" w:type="dxa"/>
            <w:tcBorders>
              <w:top w:val="nil"/>
              <w:left w:val="nil"/>
              <w:bottom w:val="nil"/>
              <w:right w:val="nil"/>
            </w:tcBorders>
          </w:tcPr>
          <w:p w14:paraId="715F185E"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6836C069" w14:textId="77777777" w:rsidR="00A82F4D" w:rsidRPr="00B64DD1" w:rsidRDefault="00A82F4D" w:rsidP="00EA17FD">
            <w:pPr>
              <w:pStyle w:val="AmColumnHeading"/>
            </w:pPr>
            <w:r w:rsidRPr="00B64DD1">
              <w:t>Poprawka</w:t>
            </w:r>
          </w:p>
        </w:tc>
      </w:tr>
      <w:tr w:rsidR="00A82F4D" w:rsidRPr="00B64DD1" w14:paraId="5CC8D1BE" w14:textId="77777777" w:rsidTr="00EA17FD">
        <w:trPr>
          <w:jc w:val="center"/>
        </w:trPr>
        <w:tc>
          <w:tcPr>
            <w:tcW w:w="4876" w:type="dxa"/>
            <w:tcBorders>
              <w:top w:val="nil"/>
              <w:left w:val="nil"/>
              <w:bottom w:val="nil"/>
              <w:right w:val="nil"/>
            </w:tcBorders>
          </w:tcPr>
          <w:p w14:paraId="3734F3BF" w14:textId="77777777" w:rsidR="00A82F4D" w:rsidRPr="00B64DD1" w:rsidRDefault="00A82F4D" w:rsidP="00EA17FD">
            <w:pPr>
              <w:pStyle w:val="Normal6a"/>
            </w:pPr>
            <w:r w:rsidRPr="00B64DD1">
              <w:t>39.</w:t>
            </w:r>
            <w:r w:rsidRPr="00B64DD1">
              <w:tab/>
              <w:t xml:space="preserve">odnotowuje </w:t>
            </w:r>
            <w:r w:rsidRPr="00B64DD1">
              <w:rPr>
                <w:b/>
                <w:bCs/>
                <w:i/>
                <w:iCs/>
              </w:rPr>
              <w:t>wysiłki podejmowane przez</w:t>
            </w:r>
            <w:r w:rsidRPr="00B64DD1">
              <w:t xml:space="preserve"> ESDZ </w:t>
            </w:r>
            <w:r w:rsidRPr="00B64DD1">
              <w:rPr>
                <w:b/>
                <w:bCs/>
                <w:i/>
                <w:iCs/>
              </w:rPr>
              <w:t>w celu stworzenia zróżnicowanej i reprezentatywnej kadry pracowniczej;</w:t>
            </w:r>
            <w:r w:rsidRPr="00B64DD1">
              <w:rPr>
                <w:b/>
                <w:i/>
              </w:rPr>
              <w:t xml:space="preserve"> z zadowoleniem przyjmuje fakt, że wśród pracowników ESDZ reprezentowane są wszystkie państwa członkowskie; ubolewa jednak, że nadal utrzymują się pewne dysproporcje, przy czym niektóre państwa członkowskie są </w:t>
            </w:r>
            <w:proofErr w:type="spellStart"/>
            <w:r w:rsidRPr="00B64DD1">
              <w:rPr>
                <w:b/>
                <w:i/>
              </w:rPr>
              <w:t>nadreprezentowane</w:t>
            </w:r>
            <w:proofErr w:type="spellEnd"/>
            <w:r w:rsidRPr="00B64DD1">
              <w:rPr>
                <w:b/>
                <w:i/>
              </w:rPr>
              <w:t xml:space="preserve">; </w:t>
            </w:r>
            <w:r w:rsidRPr="00B64DD1">
              <w:rPr>
                <w:b/>
                <w:bCs/>
                <w:i/>
                <w:iCs/>
              </w:rPr>
              <w:t xml:space="preserve">zauważa, że na koniec 2024 r. trzy państwa członkowskie (jedno państwo członkowskie w 2025 r.) nadal nie miały żadnego ambasadora Unii, natomiast ambasadorowie z pięciu państw członkowskich zajmowali 56 % </w:t>
            </w:r>
            <w:r w:rsidRPr="00B64DD1">
              <w:rPr>
                <w:b/>
                <w:bCs/>
                <w:i/>
                <w:iCs/>
              </w:rPr>
              <w:lastRenderedPageBreak/>
              <w:t>wszystkich stanowisk ambasadorów</w:t>
            </w:r>
            <w:r w:rsidRPr="00B64DD1">
              <w:t xml:space="preserve"> Unii </w:t>
            </w:r>
            <w:r w:rsidRPr="00B64DD1">
              <w:rPr>
                <w:b/>
                <w:bCs/>
                <w:i/>
                <w:iCs/>
              </w:rPr>
              <w:t>(144), w porównaniu z 54 % w 2023 r.;</w:t>
            </w:r>
            <w:r w:rsidRPr="00B64DD1">
              <w:rPr>
                <w:b/>
                <w:i/>
              </w:rPr>
              <w:t xml:space="preserve"> </w:t>
            </w:r>
            <w:r w:rsidRPr="00B64DD1">
              <w:rPr>
                <w:b/>
                <w:bCs/>
                <w:i/>
                <w:iCs/>
              </w:rPr>
              <w:t>ponownie</w:t>
            </w:r>
            <w:r w:rsidRPr="00B64DD1">
              <w:t xml:space="preserve"> wzywa ESDZ do </w:t>
            </w:r>
            <w:r w:rsidRPr="00B64DD1">
              <w:rPr>
                <w:b/>
                <w:bCs/>
                <w:i/>
                <w:iCs/>
              </w:rPr>
              <w:t>dalszego zapewniania właściwej</w:t>
            </w:r>
            <w:r w:rsidRPr="00B64DD1">
              <w:t xml:space="preserve"> równowagi geograficznej </w:t>
            </w:r>
            <w:r w:rsidRPr="00B64DD1">
              <w:rPr>
                <w:b/>
                <w:bCs/>
                <w:i/>
                <w:iCs/>
              </w:rPr>
              <w:t>w całej organizacji i na wszystkich szczeblach;</w:t>
            </w:r>
            <w:r w:rsidRPr="00B64DD1">
              <w:rPr>
                <w:b/>
                <w:i/>
              </w:rPr>
              <w:t xml:space="preserve"> </w:t>
            </w:r>
            <w:r w:rsidRPr="00B64DD1">
              <w:rPr>
                <w:b/>
                <w:bCs/>
                <w:i/>
                <w:iCs/>
              </w:rPr>
              <w:t>zachęca do poszukiwania pracowników oraz promowania procesów rekrutacyjnych w</w:t>
            </w:r>
            <w:r w:rsidRPr="00B64DD1">
              <w:t xml:space="preserve"> państwach niedostatecznie reprezentowanych;</w:t>
            </w:r>
          </w:p>
        </w:tc>
        <w:tc>
          <w:tcPr>
            <w:tcW w:w="4876" w:type="dxa"/>
            <w:tcBorders>
              <w:top w:val="nil"/>
              <w:left w:val="nil"/>
              <w:bottom w:val="nil"/>
              <w:right w:val="nil"/>
            </w:tcBorders>
          </w:tcPr>
          <w:p w14:paraId="0577B78A" w14:textId="77777777" w:rsidR="00A82F4D" w:rsidRPr="00B64DD1" w:rsidRDefault="00A82F4D" w:rsidP="00EA17FD">
            <w:pPr>
              <w:pStyle w:val="Normal6a"/>
            </w:pPr>
            <w:r w:rsidRPr="00B64DD1">
              <w:lastRenderedPageBreak/>
              <w:t>39.</w:t>
            </w:r>
            <w:r w:rsidRPr="00B64DD1">
              <w:tab/>
            </w:r>
            <w:r w:rsidRPr="00B64DD1">
              <w:rPr>
                <w:b/>
                <w:bCs/>
                <w:i/>
                <w:iCs/>
              </w:rPr>
              <w:t>z niepokojem</w:t>
            </w:r>
            <w:r w:rsidRPr="00B64DD1">
              <w:t xml:space="preserve"> odnotowuje </w:t>
            </w:r>
            <w:r w:rsidRPr="00B64DD1">
              <w:rPr>
                <w:b/>
                <w:bCs/>
                <w:i/>
                <w:iCs/>
              </w:rPr>
              <w:t>utrzymujący się brak równowagi geograficznej i różnorodności regionalnej w</w:t>
            </w:r>
            <w:r w:rsidRPr="00B64DD1">
              <w:t xml:space="preserve"> ESDZ</w:t>
            </w:r>
            <w:r w:rsidRPr="00B64DD1">
              <w:rPr>
                <w:b/>
                <w:bCs/>
                <w:i/>
                <w:iCs/>
              </w:rPr>
              <w:t>, w tym na stanowiskach kierowniczych i w kluczowych funkcjach w centrali;</w:t>
            </w:r>
            <w:r w:rsidRPr="00B64DD1">
              <w:rPr>
                <w:b/>
                <w:i/>
              </w:rPr>
              <w:t xml:space="preserve"> </w:t>
            </w:r>
            <w:r w:rsidRPr="00B64DD1">
              <w:rPr>
                <w:b/>
                <w:bCs/>
                <w:i/>
                <w:iCs/>
              </w:rPr>
              <w:t>podkreśla, że służba dyplomatyczna UE musi odzwierciedlać różnorodność</w:t>
            </w:r>
            <w:r w:rsidRPr="00B64DD1">
              <w:t xml:space="preserve"> Unii</w:t>
            </w:r>
            <w:r w:rsidRPr="00B64DD1">
              <w:rPr>
                <w:b/>
                <w:bCs/>
                <w:i/>
                <w:iCs/>
              </w:rPr>
              <w:t>, aby wzmocnić jej legitymizację, wiedzę na temat lokalnych uwarunkowań i skuteczność;</w:t>
            </w:r>
            <w:r w:rsidRPr="00B64DD1">
              <w:rPr>
                <w:b/>
                <w:i/>
              </w:rPr>
              <w:t xml:space="preserve"> </w:t>
            </w:r>
            <w:r w:rsidRPr="00B64DD1">
              <w:t xml:space="preserve">wzywa ESDZ do </w:t>
            </w:r>
            <w:r w:rsidRPr="00B64DD1">
              <w:rPr>
                <w:b/>
                <w:bCs/>
                <w:i/>
                <w:iCs/>
              </w:rPr>
              <w:t>przyjęcia ograniczonego czasowo planu działania na rzecz</w:t>
            </w:r>
            <w:r w:rsidRPr="00B64DD1">
              <w:t xml:space="preserve"> równowagi geograficznej </w:t>
            </w:r>
            <w:r w:rsidRPr="00B64DD1">
              <w:rPr>
                <w:b/>
                <w:bCs/>
                <w:i/>
                <w:iCs/>
              </w:rPr>
              <w:t>i różnorodności</w:t>
            </w:r>
            <w:r w:rsidRPr="00B64DD1">
              <w:t>;</w:t>
            </w:r>
            <w:r w:rsidRPr="00B64DD1">
              <w:rPr>
                <w:b/>
                <w:i/>
              </w:rPr>
              <w:t xml:space="preserve"> </w:t>
            </w:r>
            <w:r w:rsidRPr="00B64DD1">
              <w:rPr>
                <w:b/>
                <w:bCs/>
                <w:i/>
                <w:iCs/>
              </w:rPr>
              <w:t xml:space="preserve">wzywa ESDZ, we współpracy z EPSO i służbami Komisji odpowiedzialnymi za </w:t>
            </w:r>
            <w:r w:rsidRPr="00B64DD1">
              <w:rPr>
                <w:b/>
                <w:bCs/>
                <w:i/>
                <w:iCs/>
              </w:rPr>
              <w:lastRenderedPageBreak/>
              <w:t>politykę selekcji, do zintensyfikowania ukierunkowanych działań informacyjnych w</w:t>
            </w:r>
            <w:r w:rsidRPr="00B64DD1">
              <w:t xml:space="preserve"> państwach </w:t>
            </w:r>
            <w:r w:rsidRPr="00B64DD1">
              <w:rPr>
                <w:b/>
                <w:bCs/>
                <w:i/>
                <w:iCs/>
              </w:rPr>
              <w:t>członkowskich</w:t>
            </w:r>
            <w:r w:rsidRPr="00B64DD1">
              <w:t xml:space="preserve"> niedostatecznie reprezentowanych </w:t>
            </w:r>
            <w:r w:rsidRPr="00B64DD1">
              <w:rPr>
                <w:b/>
                <w:bCs/>
                <w:i/>
                <w:iCs/>
              </w:rPr>
              <w:t>(w tym wydarzeń informacyjnych i rekrutacyjnych dotyczących „krajów priorytetowych”), do poszerzenia puli kandydatów poprzez staże, programy dla młodych profesjonalistów i ustrukturyzowane oddelegowania oraz do poprawy sprawiedliwości w procesie selekcji wewnętrznej poprzez zróżnicowane komisje selekcyjne, przejrzyste kryteria i mentoring/sponsoring dla grup niedostatecznie reprezentowanych</w:t>
            </w:r>
            <w:r w:rsidRPr="00B64DD1">
              <w:t xml:space="preserve">; </w:t>
            </w:r>
            <w:r w:rsidRPr="00B64DD1">
              <w:rPr>
                <w:b/>
                <w:i/>
              </w:rPr>
              <w:t>przypomina, że rekrutacja musi pozostać oparta na osiągnięciach i zgodna z prawem UE;</w:t>
            </w:r>
          </w:p>
        </w:tc>
      </w:tr>
    </w:tbl>
    <w:p w14:paraId="1F235119"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28EAF537" w14:textId="77777777" w:rsidR="00A82F4D" w:rsidRPr="00B64DD1" w:rsidRDefault="00A82F4D" w:rsidP="00A82F4D">
      <w:r w:rsidRPr="00B64DD1">
        <w:rPr>
          <w:rStyle w:val="HideTWBExt"/>
        </w:rPr>
        <w:t>&lt;/Amend&gt;</w:t>
      </w:r>
    </w:p>
    <w:p w14:paraId="444865C6"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74</w:t>
      </w:r>
      <w:r w:rsidRPr="00B64DD1">
        <w:rPr>
          <w:rStyle w:val="HideTWBExt"/>
          <w:b w:val="0"/>
        </w:rPr>
        <w:t>&lt;/NumAm&gt;</w:t>
      </w:r>
    </w:p>
    <w:p w14:paraId="28752F47" w14:textId="77777777" w:rsidR="00A82F4D" w:rsidRPr="00B64DD1" w:rsidRDefault="00A82F4D" w:rsidP="00A82F4D">
      <w:pPr>
        <w:pStyle w:val="NormalBold"/>
      </w:pPr>
      <w:r w:rsidRPr="00B64DD1">
        <w:rPr>
          <w:rStyle w:val="HideTWBExt"/>
          <w:b w:val="0"/>
        </w:rPr>
        <w:t>&lt;RepeatBlock-By&gt;&lt;Members&gt;</w:t>
      </w:r>
      <w:proofErr w:type="spellStart"/>
      <w:r w:rsidRPr="00B64DD1">
        <w:t>Cristian</w:t>
      </w:r>
      <w:proofErr w:type="spellEnd"/>
      <w:r w:rsidRPr="00B64DD1">
        <w:t xml:space="preserve"> </w:t>
      </w:r>
      <w:proofErr w:type="spellStart"/>
      <w:r w:rsidRPr="00B64DD1">
        <w:t>Terheş</w:t>
      </w:r>
      <w:proofErr w:type="spellEnd"/>
      <w:r w:rsidRPr="00B64DD1">
        <w:rPr>
          <w:rStyle w:val="HideTWBExt"/>
          <w:b w:val="0"/>
        </w:rPr>
        <w:t>&lt;/Members&gt;</w:t>
      </w:r>
    </w:p>
    <w:p w14:paraId="32A3822C" w14:textId="77777777" w:rsidR="00A82F4D" w:rsidRPr="00B64DD1" w:rsidRDefault="00A82F4D" w:rsidP="00A82F4D">
      <w:pPr>
        <w:pStyle w:val="NormalBold"/>
      </w:pPr>
      <w:r w:rsidRPr="00B64DD1">
        <w:rPr>
          <w:rStyle w:val="HideTWBExt"/>
          <w:b w:val="0"/>
        </w:rPr>
        <w:t>&lt;/RepeatBlock-By&gt;</w:t>
      </w:r>
    </w:p>
    <w:p w14:paraId="45C5A17C"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49D0E12C" w14:textId="77777777" w:rsidR="00A82F4D" w:rsidRPr="00B64DD1" w:rsidRDefault="00A82F4D" w:rsidP="00A82F4D">
      <w:pPr>
        <w:pStyle w:val="NormalBold"/>
      </w:pPr>
      <w:r w:rsidRPr="00B64DD1">
        <w:rPr>
          <w:rStyle w:val="HideTWBExt"/>
          <w:b w:val="0"/>
        </w:rPr>
        <w:t>&lt;Article&gt;</w:t>
      </w:r>
      <w:r w:rsidRPr="00B64DD1">
        <w:t>Ustęp 39</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5D0C32BD" w14:textId="77777777" w:rsidTr="00EA17FD">
        <w:trPr>
          <w:trHeight w:hRule="exact" w:val="240"/>
          <w:jc w:val="center"/>
        </w:trPr>
        <w:tc>
          <w:tcPr>
            <w:tcW w:w="9752" w:type="dxa"/>
            <w:gridSpan w:val="2"/>
            <w:tcBorders>
              <w:top w:val="nil"/>
              <w:left w:val="nil"/>
              <w:bottom w:val="nil"/>
              <w:right w:val="nil"/>
            </w:tcBorders>
          </w:tcPr>
          <w:p w14:paraId="6D5B27A1" w14:textId="77777777" w:rsidR="00A82F4D" w:rsidRPr="00B64DD1" w:rsidRDefault="00A82F4D" w:rsidP="00EA17FD"/>
        </w:tc>
      </w:tr>
      <w:tr w:rsidR="00A82F4D" w:rsidRPr="00B64DD1" w14:paraId="03B87E52" w14:textId="77777777" w:rsidTr="00EA17FD">
        <w:trPr>
          <w:trHeight w:val="240"/>
          <w:jc w:val="center"/>
        </w:trPr>
        <w:tc>
          <w:tcPr>
            <w:tcW w:w="4876" w:type="dxa"/>
            <w:tcBorders>
              <w:top w:val="nil"/>
              <w:left w:val="nil"/>
              <w:bottom w:val="nil"/>
              <w:right w:val="nil"/>
            </w:tcBorders>
          </w:tcPr>
          <w:p w14:paraId="38036230"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74DAA9FE" w14:textId="77777777" w:rsidR="00A82F4D" w:rsidRPr="00B64DD1" w:rsidRDefault="00A82F4D" w:rsidP="00EA17FD">
            <w:pPr>
              <w:pStyle w:val="AmColumnHeading"/>
            </w:pPr>
            <w:r w:rsidRPr="00B64DD1">
              <w:t>Poprawka</w:t>
            </w:r>
          </w:p>
        </w:tc>
      </w:tr>
      <w:tr w:rsidR="00A82F4D" w:rsidRPr="00B64DD1" w14:paraId="039038CE" w14:textId="77777777" w:rsidTr="00EA17FD">
        <w:trPr>
          <w:jc w:val="center"/>
        </w:trPr>
        <w:tc>
          <w:tcPr>
            <w:tcW w:w="4876" w:type="dxa"/>
            <w:tcBorders>
              <w:top w:val="nil"/>
              <w:left w:val="nil"/>
              <w:bottom w:val="nil"/>
              <w:right w:val="nil"/>
            </w:tcBorders>
          </w:tcPr>
          <w:p w14:paraId="57D2CBCE" w14:textId="77777777" w:rsidR="00A82F4D" w:rsidRPr="00B64DD1" w:rsidRDefault="00A82F4D" w:rsidP="00EA17FD">
            <w:pPr>
              <w:pStyle w:val="Normal6a"/>
            </w:pPr>
            <w:r w:rsidRPr="00B64DD1">
              <w:t>39.</w:t>
            </w:r>
            <w:r w:rsidRPr="00B64DD1">
              <w:tab/>
              <w:t xml:space="preserve">odnotowuje wysiłki podejmowane przez ESDZ w celu stworzenia zróżnicowanej i reprezentatywnej kadry pracowniczej; z zadowoleniem przyjmuje fakt, że wśród pracowników ESDZ reprezentowane są wszystkie państwa członkowskie; ubolewa jednak, że nadal utrzymują się pewne dysproporcje, przy czym niektóre państwa członkowskie są </w:t>
            </w:r>
            <w:proofErr w:type="spellStart"/>
            <w:r w:rsidRPr="00B64DD1">
              <w:t>nadreprezentowane</w:t>
            </w:r>
            <w:proofErr w:type="spellEnd"/>
            <w:r w:rsidRPr="00B64DD1">
              <w:t xml:space="preserve">; zauważa, że na koniec 2024 r. trzy państwa członkowskie (jedno państwo członkowskie w 2025 r.) nadal nie miały żadnego ambasadora Unii, natomiast ambasadorowie z pięciu państw członkowskich zajmowali 56 % wszystkich stanowisk ambasadorów Unii (144), w porównaniu z 54 % w 2023 r.; ponownie </w:t>
            </w:r>
            <w:r w:rsidRPr="00B64DD1">
              <w:lastRenderedPageBreak/>
              <w:t>wzywa ESDZ do dalszego zapewniania właściwej równowagi geograficznej w całej organizacji i na wszystkich szczeblach; zachęca do poszukiwania pracowników oraz promowania procesów rekrutacyjnych w państwach niedostatecznie reprezentowanych;</w:t>
            </w:r>
          </w:p>
        </w:tc>
        <w:tc>
          <w:tcPr>
            <w:tcW w:w="4876" w:type="dxa"/>
            <w:tcBorders>
              <w:top w:val="nil"/>
              <w:left w:val="nil"/>
              <w:bottom w:val="nil"/>
              <w:right w:val="nil"/>
            </w:tcBorders>
          </w:tcPr>
          <w:p w14:paraId="4CE18AA2" w14:textId="77777777" w:rsidR="00A82F4D" w:rsidRPr="00B64DD1" w:rsidRDefault="00A82F4D" w:rsidP="00EA17FD">
            <w:pPr>
              <w:pStyle w:val="Normal6a"/>
            </w:pPr>
            <w:r w:rsidRPr="00B64DD1">
              <w:lastRenderedPageBreak/>
              <w:t>39.</w:t>
            </w:r>
            <w:r w:rsidRPr="00B64DD1">
              <w:tab/>
              <w:t xml:space="preserve">odnotowuje wysiłki podejmowane przez ESDZ w celu stworzenia zróżnicowanej i reprezentatywnej kadry pracowniczej; z zadowoleniem przyjmuje fakt, że wśród pracowników ESDZ reprezentowane są wszystkie państwa członkowskie; ubolewa jednak, że nadal utrzymują się pewne dysproporcje, przy czym niektóre państwa członkowskie są </w:t>
            </w:r>
            <w:proofErr w:type="spellStart"/>
            <w:r w:rsidRPr="00B64DD1">
              <w:t>nadreprezentowane</w:t>
            </w:r>
            <w:proofErr w:type="spellEnd"/>
            <w:r w:rsidRPr="00B64DD1">
              <w:t>;</w:t>
            </w:r>
          </w:p>
        </w:tc>
      </w:tr>
      <w:tr w:rsidR="00A82F4D" w:rsidRPr="00B64DD1" w14:paraId="2CA2764B" w14:textId="77777777" w:rsidTr="00EA17FD">
        <w:trPr>
          <w:jc w:val="center"/>
        </w:trPr>
        <w:tc>
          <w:tcPr>
            <w:tcW w:w="4876" w:type="dxa"/>
            <w:tcBorders>
              <w:top w:val="nil"/>
              <w:left w:val="nil"/>
              <w:bottom w:val="nil"/>
              <w:right w:val="nil"/>
            </w:tcBorders>
          </w:tcPr>
          <w:p w14:paraId="4EDFE30B" w14:textId="77777777" w:rsidR="00A82F4D" w:rsidRPr="00B64DD1" w:rsidRDefault="00A82F4D" w:rsidP="00EA17FD">
            <w:pPr>
              <w:pStyle w:val="Normal6a"/>
            </w:pPr>
          </w:p>
        </w:tc>
        <w:tc>
          <w:tcPr>
            <w:tcW w:w="4876" w:type="dxa"/>
            <w:tcBorders>
              <w:top w:val="nil"/>
              <w:left w:val="nil"/>
              <w:bottom w:val="nil"/>
              <w:right w:val="nil"/>
            </w:tcBorders>
          </w:tcPr>
          <w:p w14:paraId="7E15FD47" w14:textId="77777777" w:rsidR="00A82F4D" w:rsidRPr="00B64DD1" w:rsidRDefault="00A82F4D" w:rsidP="00EA17FD">
            <w:pPr>
              <w:pStyle w:val="Normal6a"/>
            </w:pPr>
            <w:r w:rsidRPr="00B64DD1">
              <w:rPr>
                <w:b/>
                <w:i/>
              </w:rPr>
              <w:t>z ubolewaniem zauważa, że analizy składu narodowościowego ESDZ wskazują na utrzymującą się niedostateczną reprezentację kilku państw członkowskich, zwłaszcza z Europy Środkowej i Wschodniej, na stanowiskach kierowniczych AD i stanowiskach szefów delegatur, pomimo ich znacznego udziału w populacji UE;</w:t>
            </w:r>
          </w:p>
        </w:tc>
      </w:tr>
      <w:tr w:rsidR="00A82F4D" w:rsidRPr="00B64DD1" w14:paraId="765B474A" w14:textId="77777777" w:rsidTr="00EA17FD">
        <w:trPr>
          <w:jc w:val="center"/>
        </w:trPr>
        <w:tc>
          <w:tcPr>
            <w:tcW w:w="4876" w:type="dxa"/>
            <w:tcBorders>
              <w:top w:val="nil"/>
              <w:left w:val="nil"/>
              <w:bottom w:val="nil"/>
              <w:right w:val="nil"/>
            </w:tcBorders>
          </w:tcPr>
          <w:p w14:paraId="6FA0EB7E" w14:textId="77777777" w:rsidR="00A82F4D" w:rsidRPr="00B64DD1" w:rsidRDefault="00A82F4D" w:rsidP="00EA17FD">
            <w:pPr>
              <w:pStyle w:val="Normal6a"/>
            </w:pPr>
          </w:p>
        </w:tc>
        <w:tc>
          <w:tcPr>
            <w:tcW w:w="4876" w:type="dxa"/>
            <w:tcBorders>
              <w:top w:val="nil"/>
              <w:left w:val="nil"/>
              <w:bottom w:val="nil"/>
              <w:right w:val="nil"/>
            </w:tcBorders>
          </w:tcPr>
          <w:p w14:paraId="0B772F39" w14:textId="77777777" w:rsidR="00A82F4D" w:rsidRPr="00B64DD1" w:rsidRDefault="00A82F4D" w:rsidP="00EA17FD">
            <w:pPr>
              <w:pStyle w:val="Normal6a"/>
            </w:pPr>
            <w:r w:rsidRPr="00B64DD1">
              <w:t>zauważa, że na koniec 2024 r. trzy państwa członkowskie (jedno państwo członkowskie w 2025 r.) nadal nie miały żadnego ambasadora Unii, natomiast ambasadorowie z pięciu państw członkowskich zajmowali 56 % wszystkich stanowisk ambasadorów Unii (144), w porównaniu z 54 % w 2023 r.; ponownie wzywa ESDZ do dalszego zapewniania właściwej równowagi geograficznej w całej organizacji i na wszystkich szczeblach; zachęca do poszukiwania pracowników oraz promowania procesów rekrutacyjnych w państwach niedostatecznie reprezentowanych;</w:t>
            </w:r>
          </w:p>
        </w:tc>
      </w:tr>
    </w:tbl>
    <w:p w14:paraId="26CADAD2"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4F39645C" w14:textId="77777777" w:rsidR="00A82F4D" w:rsidRPr="00B64DD1" w:rsidRDefault="00A82F4D" w:rsidP="00A82F4D">
      <w:r w:rsidRPr="00B64DD1">
        <w:rPr>
          <w:rStyle w:val="HideTWBExt"/>
        </w:rPr>
        <w:t>&lt;/Amend&gt;</w:t>
      </w:r>
    </w:p>
    <w:p w14:paraId="6091E6C8"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75</w:t>
      </w:r>
      <w:r w:rsidRPr="00B64DD1">
        <w:rPr>
          <w:rStyle w:val="HideTWBExt"/>
          <w:b w:val="0"/>
        </w:rPr>
        <w:t>&lt;/NumAm&gt;</w:t>
      </w:r>
    </w:p>
    <w:p w14:paraId="584F5E3F" w14:textId="77777777" w:rsidR="00A82F4D" w:rsidRPr="00B64DD1" w:rsidRDefault="00A82F4D" w:rsidP="00A82F4D">
      <w:pPr>
        <w:pStyle w:val="NormalBold"/>
      </w:pPr>
      <w:r w:rsidRPr="00B64DD1">
        <w:rPr>
          <w:rStyle w:val="HideTWBExt"/>
          <w:b w:val="0"/>
        </w:rPr>
        <w:t>&lt;RepeatBlock-By&gt;&lt;Members&gt;</w:t>
      </w:r>
      <w:proofErr w:type="spellStart"/>
      <w:r w:rsidRPr="00B64DD1">
        <w:t>Vlad</w:t>
      </w:r>
      <w:proofErr w:type="spellEnd"/>
      <w:r w:rsidRPr="00B64DD1">
        <w:t xml:space="preserve"> </w:t>
      </w:r>
      <w:proofErr w:type="spellStart"/>
      <w:r w:rsidRPr="00B64DD1">
        <w:t>Vasile-Voiculescu</w:t>
      </w:r>
      <w:proofErr w:type="spellEnd"/>
      <w:r w:rsidRPr="00B64DD1">
        <w:t xml:space="preserve">, Olivier </w:t>
      </w:r>
      <w:proofErr w:type="spellStart"/>
      <w:r w:rsidRPr="00B64DD1">
        <w:t>Chastel</w:t>
      </w:r>
      <w:proofErr w:type="spellEnd"/>
      <w:r w:rsidRPr="00B64DD1">
        <w:t xml:space="preserve">, </w:t>
      </w:r>
      <w:proofErr w:type="spellStart"/>
      <w:r w:rsidRPr="00B64DD1">
        <w:t>Gerben</w:t>
      </w:r>
      <w:proofErr w:type="spellEnd"/>
      <w:r w:rsidRPr="00B64DD1">
        <w:t xml:space="preserve">-Jan </w:t>
      </w:r>
      <w:proofErr w:type="spellStart"/>
      <w:r w:rsidRPr="00B64DD1">
        <w:t>Gerbrandy</w:t>
      </w:r>
      <w:proofErr w:type="spellEnd"/>
      <w:r w:rsidRPr="00B64DD1">
        <w:t xml:space="preserve">, </w:t>
      </w:r>
      <w:proofErr w:type="spellStart"/>
      <w:r w:rsidRPr="00B64DD1">
        <w:t>Gilles</w:t>
      </w:r>
      <w:proofErr w:type="spellEnd"/>
      <w:r w:rsidRPr="00B64DD1">
        <w:t xml:space="preserve"> </w:t>
      </w:r>
      <w:proofErr w:type="spellStart"/>
      <w:r w:rsidRPr="00B64DD1">
        <w:t>Boyer</w:t>
      </w:r>
      <w:proofErr w:type="spellEnd"/>
      <w:r w:rsidRPr="00B64DD1">
        <w:t xml:space="preserve">, Michal </w:t>
      </w:r>
      <w:proofErr w:type="spellStart"/>
      <w:r w:rsidRPr="00B64DD1">
        <w:t>Wiezik</w:t>
      </w:r>
      <w:proofErr w:type="spellEnd"/>
      <w:r w:rsidRPr="00B64DD1">
        <w:rPr>
          <w:rStyle w:val="HideTWBExt"/>
          <w:b w:val="0"/>
        </w:rPr>
        <w:t>&lt;/Members&gt;</w:t>
      </w:r>
    </w:p>
    <w:p w14:paraId="77DF7DAF" w14:textId="77777777" w:rsidR="00A82F4D" w:rsidRPr="00B64DD1" w:rsidRDefault="00A82F4D" w:rsidP="00A82F4D">
      <w:pPr>
        <w:pStyle w:val="NormalBold"/>
      </w:pPr>
      <w:r w:rsidRPr="00B64DD1">
        <w:rPr>
          <w:rStyle w:val="HideTWBExt"/>
          <w:b w:val="0"/>
        </w:rPr>
        <w:t>&lt;/RepeatBlock-By&gt;</w:t>
      </w:r>
    </w:p>
    <w:p w14:paraId="53E5AADE"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2CD8F013" w14:textId="77777777" w:rsidR="00A82F4D" w:rsidRPr="00B64DD1" w:rsidRDefault="00A82F4D" w:rsidP="00A82F4D">
      <w:pPr>
        <w:pStyle w:val="NormalBold"/>
      </w:pPr>
      <w:r w:rsidRPr="00B64DD1">
        <w:rPr>
          <w:rStyle w:val="HideTWBExt"/>
          <w:b w:val="0"/>
        </w:rPr>
        <w:t>&lt;Article&gt;</w:t>
      </w:r>
      <w:r w:rsidRPr="00B64DD1">
        <w:t>Ustęp 43</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31522147" w14:textId="77777777" w:rsidTr="00EA17FD">
        <w:trPr>
          <w:trHeight w:hRule="exact" w:val="240"/>
          <w:jc w:val="center"/>
        </w:trPr>
        <w:tc>
          <w:tcPr>
            <w:tcW w:w="9752" w:type="dxa"/>
            <w:gridSpan w:val="2"/>
            <w:tcBorders>
              <w:top w:val="nil"/>
              <w:left w:val="nil"/>
              <w:bottom w:val="nil"/>
              <w:right w:val="nil"/>
            </w:tcBorders>
          </w:tcPr>
          <w:p w14:paraId="197ED22F" w14:textId="77777777" w:rsidR="00A82F4D" w:rsidRPr="00B64DD1" w:rsidRDefault="00A82F4D" w:rsidP="00EA17FD"/>
        </w:tc>
      </w:tr>
      <w:tr w:rsidR="00A82F4D" w:rsidRPr="00B64DD1" w14:paraId="4C0BF144" w14:textId="77777777" w:rsidTr="00EA17FD">
        <w:trPr>
          <w:trHeight w:val="240"/>
          <w:jc w:val="center"/>
        </w:trPr>
        <w:tc>
          <w:tcPr>
            <w:tcW w:w="4876" w:type="dxa"/>
            <w:tcBorders>
              <w:top w:val="nil"/>
              <w:left w:val="nil"/>
              <w:bottom w:val="nil"/>
              <w:right w:val="nil"/>
            </w:tcBorders>
          </w:tcPr>
          <w:p w14:paraId="36D37038"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6884DC7F" w14:textId="77777777" w:rsidR="00A82F4D" w:rsidRPr="00B64DD1" w:rsidRDefault="00A82F4D" w:rsidP="00EA17FD">
            <w:pPr>
              <w:pStyle w:val="AmColumnHeading"/>
            </w:pPr>
            <w:r w:rsidRPr="00B64DD1">
              <w:t>Poprawka</w:t>
            </w:r>
          </w:p>
        </w:tc>
      </w:tr>
      <w:tr w:rsidR="00A82F4D" w:rsidRPr="00B64DD1" w14:paraId="19C920FD" w14:textId="77777777" w:rsidTr="00EA17FD">
        <w:trPr>
          <w:jc w:val="center"/>
        </w:trPr>
        <w:tc>
          <w:tcPr>
            <w:tcW w:w="4876" w:type="dxa"/>
            <w:tcBorders>
              <w:top w:val="nil"/>
              <w:left w:val="nil"/>
              <w:bottom w:val="nil"/>
              <w:right w:val="nil"/>
            </w:tcBorders>
          </w:tcPr>
          <w:p w14:paraId="0133A495" w14:textId="77777777" w:rsidR="00A82F4D" w:rsidRPr="00B64DD1" w:rsidRDefault="00A82F4D" w:rsidP="00EA17FD">
            <w:pPr>
              <w:pStyle w:val="Normal6a"/>
            </w:pPr>
            <w:r w:rsidRPr="00B64DD1">
              <w:t>43.</w:t>
            </w:r>
            <w:r w:rsidRPr="00B64DD1">
              <w:tab/>
              <w:t xml:space="preserve">z zadowoleniem odnotowuje działania podjęte przez ESDZ w 2024 r. w ramach agendy na rzecz różnorodności i </w:t>
            </w:r>
            <w:r w:rsidRPr="00B64DD1">
              <w:lastRenderedPageBreak/>
              <w:t>włączenia społecznego na lata 2023–2025, w szczególności działania ukierunkowane na kwestie płci, pochodzenia etnicznego, niepełnosprawności i wieku oraz osoby LGBTIQ+; zwraca uwagę w tym kontekście, że ESDZ uwzględniła zagadnienia dotyczące różnorodności i włączenia społecznego w programach szkoleniowych, przekazywała pracownikom LGBTIQ+ informacje o uwarunkowaniach prawnych i kulturowych w krajach oddelegowania oraz wzmocniła działania na rzecz rekrutacji sprzyjającej różnorodności; ponadto wyraża uznanie dla ESDZ za aktualizację planu działania w sprawie niepełnosprawności, przeprowadzenie badania dotyczącego kwestii niepełnosprawności, opracowanie arkuszy informacyjnych dotyczących dostępności dla delegatur Unii, przeprowadzenie oceny dostępności swojej strony internetowej oraz zapewnienie pomocy finansowej na pokrycie kosztów pozamedycznych 26 pracownikom wychowującym dzieci z niepełnosprawnościami;</w:t>
            </w:r>
          </w:p>
        </w:tc>
        <w:tc>
          <w:tcPr>
            <w:tcW w:w="4876" w:type="dxa"/>
            <w:tcBorders>
              <w:top w:val="nil"/>
              <w:left w:val="nil"/>
              <w:bottom w:val="nil"/>
              <w:right w:val="nil"/>
            </w:tcBorders>
          </w:tcPr>
          <w:p w14:paraId="353DAAAB" w14:textId="77777777" w:rsidR="00A82F4D" w:rsidRPr="00B64DD1" w:rsidRDefault="00A82F4D" w:rsidP="00EA17FD">
            <w:pPr>
              <w:pStyle w:val="Normal6a"/>
            </w:pPr>
            <w:r w:rsidRPr="00B64DD1">
              <w:lastRenderedPageBreak/>
              <w:t>43.</w:t>
            </w:r>
            <w:r w:rsidRPr="00B64DD1">
              <w:tab/>
              <w:t xml:space="preserve">z zadowoleniem odnotowuje działania podjęte przez ESDZ w 2024 r. w ramach agendy na rzecz różnorodności i </w:t>
            </w:r>
            <w:r w:rsidRPr="00B64DD1">
              <w:lastRenderedPageBreak/>
              <w:t xml:space="preserve">włączenia społecznego na lata 2023–2025, w szczególności działania ukierunkowane na kwestie płci, pochodzenia etnicznego, niepełnosprawności i wieku oraz osoby LGBTIQ+; zwraca uwagę w tym kontekście, że ESDZ uwzględniła zagadnienia dotyczące różnorodności i włączenia społecznego w programach szkoleniowych, przekazywała pracownikom LGBTIQ+ informacje o uwarunkowaniach prawnych i kulturowych w krajach oddelegowania oraz wzmocniła działania na rzecz rekrutacji sprzyjającej różnorodności; ponadto wyraża uznanie dla ESDZ za aktualizację planu działania w sprawie niepełnosprawności, przeprowadzenie badania dotyczącego kwestii niepełnosprawności, opracowanie arkuszy informacyjnych dotyczących dostępności dla delegatur Unii, przeprowadzenie oceny dostępności swojej strony internetowej oraz zapewnienie pomocy finansowej na pokrycie kosztów pozamedycznych 26 pracownikom wychowującym dzieci z niepełnosprawnościami; </w:t>
            </w:r>
            <w:r w:rsidRPr="00B64DD1">
              <w:rPr>
                <w:b/>
                <w:i/>
              </w:rPr>
              <w:t>wzywa ESDZ do kontynuowania regularnych szkoleń personelu na szczeblu kierowniczym i innym niż kierowniczy w kwestiach różnorodności, równości, włączenia społecznego i przynależności;</w:t>
            </w:r>
          </w:p>
        </w:tc>
      </w:tr>
    </w:tbl>
    <w:p w14:paraId="54035819"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1F579289" w14:textId="77777777" w:rsidR="00A82F4D" w:rsidRPr="00B64DD1" w:rsidRDefault="00A82F4D" w:rsidP="00A82F4D">
      <w:r w:rsidRPr="00B64DD1">
        <w:rPr>
          <w:rStyle w:val="HideTWBExt"/>
        </w:rPr>
        <w:t>&lt;/Amend&gt;</w:t>
      </w:r>
    </w:p>
    <w:p w14:paraId="31106BF0"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76</w:t>
      </w:r>
      <w:r w:rsidRPr="00B64DD1">
        <w:rPr>
          <w:rStyle w:val="HideTWBExt"/>
          <w:b w:val="0"/>
        </w:rPr>
        <w:t>&lt;/NumAm&gt;</w:t>
      </w:r>
    </w:p>
    <w:p w14:paraId="5E09A516" w14:textId="77777777" w:rsidR="00A82F4D" w:rsidRPr="00B64DD1" w:rsidRDefault="00A82F4D" w:rsidP="00A82F4D">
      <w:pPr>
        <w:pStyle w:val="NormalBold"/>
      </w:pPr>
      <w:r w:rsidRPr="00B64DD1">
        <w:rPr>
          <w:rStyle w:val="HideTWBExt"/>
          <w:b w:val="0"/>
        </w:rPr>
        <w:t>&lt;RepeatBlock-By&gt;&lt;Members&gt;</w:t>
      </w:r>
      <w:proofErr w:type="spellStart"/>
      <w:r w:rsidRPr="00B64DD1">
        <w:t>Vlad</w:t>
      </w:r>
      <w:proofErr w:type="spellEnd"/>
      <w:r w:rsidRPr="00B64DD1">
        <w:t xml:space="preserve"> </w:t>
      </w:r>
      <w:proofErr w:type="spellStart"/>
      <w:r w:rsidRPr="00B64DD1">
        <w:t>Vasile-Voiculescu</w:t>
      </w:r>
      <w:proofErr w:type="spellEnd"/>
      <w:r w:rsidRPr="00B64DD1">
        <w:t xml:space="preserve">, Olivier </w:t>
      </w:r>
      <w:proofErr w:type="spellStart"/>
      <w:r w:rsidRPr="00B64DD1">
        <w:t>Chastel</w:t>
      </w:r>
      <w:proofErr w:type="spellEnd"/>
      <w:r w:rsidRPr="00B64DD1">
        <w:t xml:space="preserve">, </w:t>
      </w:r>
      <w:proofErr w:type="spellStart"/>
      <w:r w:rsidRPr="00B64DD1">
        <w:t>Gerben</w:t>
      </w:r>
      <w:proofErr w:type="spellEnd"/>
      <w:r w:rsidRPr="00B64DD1">
        <w:t xml:space="preserve">-Jan </w:t>
      </w:r>
      <w:proofErr w:type="spellStart"/>
      <w:r w:rsidRPr="00B64DD1">
        <w:t>Gerbrandy</w:t>
      </w:r>
      <w:proofErr w:type="spellEnd"/>
      <w:r w:rsidRPr="00B64DD1">
        <w:t xml:space="preserve">, </w:t>
      </w:r>
      <w:proofErr w:type="spellStart"/>
      <w:r w:rsidRPr="00B64DD1">
        <w:t>Gilles</w:t>
      </w:r>
      <w:proofErr w:type="spellEnd"/>
      <w:r w:rsidRPr="00B64DD1">
        <w:t xml:space="preserve"> </w:t>
      </w:r>
      <w:proofErr w:type="spellStart"/>
      <w:r w:rsidRPr="00B64DD1">
        <w:t>Boyer</w:t>
      </w:r>
      <w:proofErr w:type="spellEnd"/>
      <w:r w:rsidRPr="00B64DD1">
        <w:t xml:space="preserve">, Michal </w:t>
      </w:r>
      <w:proofErr w:type="spellStart"/>
      <w:r w:rsidRPr="00B64DD1">
        <w:t>Wiezik</w:t>
      </w:r>
      <w:proofErr w:type="spellEnd"/>
      <w:r w:rsidRPr="00B64DD1">
        <w:rPr>
          <w:rStyle w:val="HideTWBExt"/>
          <w:b w:val="0"/>
        </w:rPr>
        <w:t>&lt;/Members&gt;</w:t>
      </w:r>
    </w:p>
    <w:p w14:paraId="330F2119" w14:textId="77777777" w:rsidR="00A82F4D" w:rsidRPr="00B64DD1" w:rsidRDefault="00A82F4D" w:rsidP="00A82F4D">
      <w:pPr>
        <w:pStyle w:val="NormalBold"/>
      </w:pPr>
      <w:r w:rsidRPr="00B64DD1">
        <w:rPr>
          <w:rStyle w:val="HideTWBExt"/>
          <w:b w:val="0"/>
        </w:rPr>
        <w:t>&lt;/RepeatBlock-By&gt;</w:t>
      </w:r>
    </w:p>
    <w:p w14:paraId="66758955"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46226622" w14:textId="77777777" w:rsidR="00A82F4D" w:rsidRPr="00B64DD1" w:rsidRDefault="00A82F4D" w:rsidP="00A82F4D">
      <w:pPr>
        <w:pStyle w:val="NormalBold"/>
      </w:pPr>
      <w:r w:rsidRPr="00B64DD1">
        <w:rPr>
          <w:rStyle w:val="HideTWBExt"/>
          <w:b w:val="0"/>
        </w:rPr>
        <w:t>&lt;Article&gt;</w:t>
      </w:r>
      <w:r w:rsidRPr="00B64DD1">
        <w:t>Ustęp 45</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2B08E725" w14:textId="77777777" w:rsidTr="00EA17FD">
        <w:trPr>
          <w:trHeight w:hRule="exact" w:val="240"/>
          <w:jc w:val="center"/>
        </w:trPr>
        <w:tc>
          <w:tcPr>
            <w:tcW w:w="9752" w:type="dxa"/>
            <w:gridSpan w:val="2"/>
            <w:tcBorders>
              <w:top w:val="nil"/>
              <w:left w:val="nil"/>
              <w:bottom w:val="nil"/>
              <w:right w:val="nil"/>
            </w:tcBorders>
          </w:tcPr>
          <w:p w14:paraId="30B5018A" w14:textId="77777777" w:rsidR="00A82F4D" w:rsidRPr="00B64DD1" w:rsidRDefault="00A82F4D" w:rsidP="00EA17FD"/>
        </w:tc>
      </w:tr>
      <w:tr w:rsidR="00A82F4D" w:rsidRPr="00B64DD1" w14:paraId="651C5257" w14:textId="77777777" w:rsidTr="00EA17FD">
        <w:trPr>
          <w:trHeight w:val="240"/>
          <w:jc w:val="center"/>
        </w:trPr>
        <w:tc>
          <w:tcPr>
            <w:tcW w:w="4876" w:type="dxa"/>
            <w:tcBorders>
              <w:top w:val="nil"/>
              <w:left w:val="nil"/>
              <w:bottom w:val="nil"/>
              <w:right w:val="nil"/>
            </w:tcBorders>
          </w:tcPr>
          <w:p w14:paraId="0F985262"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619D2835" w14:textId="77777777" w:rsidR="00A82F4D" w:rsidRPr="00B64DD1" w:rsidRDefault="00A82F4D" w:rsidP="00EA17FD">
            <w:pPr>
              <w:pStyle w:val="AmColumnHeading"/>
            </w:pPr>
            <w:r w:rsidRPr="00B64DD1">
              <w:t>Poprawka</w:t>
            </w:r>
          </w:p>
        </w:tc>
      </w:tr>
      <w:tr w:rsidR="00A82F4D" w:rsidRPr="00B64DD1" w14:paraId="6C72790A" w14:textId="77777777" w:rsidTr="00EA17FD">
        <w:trPr>
          <w:jc w:val="center"/>
        </w:trPr>
        <w:tc>
          <w:tcPr>
            <w:tcW w:w="4876" w:type="dxa"/>
            <w:tcBorders>
              <w:top w:val="nil"/>
              <w:left w:val="nil"/>
              <w:bottom w:val="nil"/>
              <w:right w:val="nil"/>
            </w:tcBorders>
          </w:tcPr>
          <w:p w14:paraId="0A8FD2B0" w14:textId="77777777" w:rsidR="00A82F4D" w:rsidRPr="00B64DD1" w:rsidRDefault="00A82F4D" w:rsidP="00EA17FD">
            <w:pPr>
              <w:pStyle w:val="Normal6a"/>
            </w:pPr>
            <w:r w:rsidRPr="00B64DD1">
              <w:t>45.</w:t>
            </w:r>
            <w:r w:rsidRPr="00B64DD1">
              <w:tab/>
              <w:t xml:space="preserve">na podstawie kwestionariusza zauważa, że zgodnie z definicją stosowaną przez Służbę Medyczną Komisji długoterminowe zwolnienie chorobowe </w:t>
            </w:r>
            <w:r w:rsidRPr="00B64DD1">
              <w:lastRenderedPageBreak/>
              <w:t>odnosi się do nieobecności przekraczającej 20 kolejnych dni; zauważa, że w 2023 r. 323 pracowników przebywało na długotrwałym zwolnieniu lekarskim, którego średni czas trwania wynosił 83 dni, natomiast w 2024 r. liczba ta wzrosła do 338 pracowników, a średni czas trwania zwolnienia uległ skróceniu do 77 dni; zauważa ponadto, że chociaż dokładna liczba przypadków wypalenia zawodowego nie jest znana, znaczna część zwolnień lekarskich w 2024 r. była związana z problemami zdrowia psychicznego, takimi jak depresja i wypalenie zawodowe; z zadowoleniem przyjmuje inicjatywę Komisji dotyczącą opracowania strategii na rzecz zdrowia psychicznego w celu zapewnienia ustrukturyzowanych i trwałych ram pozwalających sprostać wyzwaniom związanym ze zdrowiem psychicznym w miejscu pracy, w tym zapobiegania wypaleniu zawodowemu oraz wspierania powrotu do pracy; zachęca ESDZ do ustanowienia formalnego mechanizmu oceny obciążenia pracą;</w:t>
            </w:r>
          </w:p>
        </w:tc>
        <w:tc>
          <w:tcPr>
            <w:tcW w:w="4876" w:type="dxa"/>
            <w:tcBorders>
              <w:top w:val="nil"/>
              <w:left w:val="nil"/>
              <w:bottom w:val="nil"/>
              <w:right w:val="nil"/>
            </w:tcBorders>
          </w:tcPr>
          <w:p w14:paraId="4A925FD0" w14:textId="77777777" w:rsidR="00A82F4D" w:rsidRPr="00B64DD1" w:rsidRDefault="00A82F4D" w:rsidP="00EA17FD">
            <w:pPr>
              <w:pStyle w:val="Normal6a"/>
            </w:pPr>
            <w:r w:rsidRPr="00B64DD1">
              <w:lastRenderedPageBreak/>
              <w:t>45.</w:t>
            </w:r>
            <w:r w:rsidRPr="00B64DD1">
              <w:tab/>
              <w:t xml:space="preserve">na podstawie kwestionariusza zauważa, że zgodnie z definicją stosowaną przez Służbę Medyczną Komisji długoterminowe zwolnienie chorobowe </w:t>
            </w:r>
            <w:r w:rsidRPr="00B64DD1">
              <w:lastRenderedPageBreak/>
              <w:t xml:space="preserve">odnosi się do nieobecności przekraczającej 20 kolejnych dni; zauważa, że w 2023 r. 323 pracowników przebywało na długotrwałym zwolnieniu lekarskim, którego średni czas trwania wynosił 83 dni, natomiast w 2024 r. liczba ta wzrosła do 338 pracowników, a średni czas trwania zwolnienia uległ skróceniu do 77 dni; zauważa ponadto, że chociaż dokładna liczba przypadków wypalenia zawodowego nie jest znana, znaczna część zwolnień lekarskich w 2024 r. była związana z problemami zdrowia psychicznego, takimi jak depresja i wypalenie zawodowe; z zadowoleniem przyjmuje inicjatywę Komisji dotyczącą opracowania strategii na rzecz zdrowia psychicznego w celu zapewnienia ustrukturyzowanych i trwałych ram pozwalających sprostać wyzwaniom związanym ze zdrowiem psychicznym w miejscu pracy, w tym zapobiegania wypaleniu zawodowemu oraz wspierania powrotu do pracy; zachęca ESDZ do ustanowienia formalnego mechanizmu oceny obciążenia pracą; </w:t>
            </w:r>
            <w:r w:rsidRPr="00B64DD1">
              <w:rPr>
                <w:b/>
                <w:i/>
              </w:rPr>
              <w:t>wzywa ESDZ do wdrożenia okresowej oceny obciążenia pracą i metodologii określania potrzeb kadrowych dla delegatur, powiązanej z poziomem ryzyka i rozszerzeniem mandatu, aby zapobiegać wypaleniu zawodowemu i poprawić utrzymanie pracowników;</w:t>
            </w:r>
          </w:p>
        </w:tc>
      </w:tr>
    </w:tbl>
    <w:p w14:paraId="7E9A6399"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03EBE53D" w14:textId="77777777" w:rsidR="00A82F4D" w:rsidRPr="00B64DD1" w:rsidRDefault="00A82F4D" w:rsidP="00A82F4D">
      <w:r w:rsidRPr="00B64DD1">
        <w:rPr>
          <w:rStyle w:val="HideTWBExt"/>
        </w:rPr>
        <w:t>&lt;/Amend&gt;</w:t>
      </w:r>
    </w:p>
    <w:p w14:paraId="69EDF585"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77</w:t>
      </w:r>
      <w:r w:rsidRPr="00B64DD1">
        <w:rPr>
          <w:rStyle w:val="HideTWBExt"/>
          <w:b w:val="0"/>
        </w:rPr>
        <w:t>&lt;/NumAm&gt;</w:t>
      </w:r>
    </w:p>
    <w:p w14:paraId="68F0DD9C" w14:textId="77777777" w:rsidR="00A82F4D" w:rsidRPr="00B64DD1" w:rsidRDefault="00A82F4D" w:rsidP="00A82F4D">
      <w:pPr>
        <w:pStyle w:val="NormalBold"/>
      </w:pPr>
      <w:r w:rsidRPr="00B64DD1">
        <w:rPr>
          <w:rStyle w:val="HideTWBExt"/>
          <w:b w:val="0"/>
        </w:rPr>
        <w:t>&lt;RepeatBlock-By&gt;&lt;Members&gt;</w:t>
      </w:r>
      <w:proofErr w:type="spellStart"/>
      <w:r w:rsidRPr="00B64DD1">
        <w:t>Andrey</w:t>
      </w:r>
      <w:proofErr w:type="spellEnd"/>
      <w:r w:rsidRPr="00B64DD1">
        <w:t xml:space="preserve"> </w:t>
      </w:r>
      <w:proofErr w:type="spellStart"/>
      <w:r w:rsidRPr="00B64DD1">
        <w:t>Kovatchev</w:t>
      </w:r>
      <w:proofErr w:type="spellEnd"/>
      <w:r w:rsidRPr="00B64DD1">
        <w:rPr>
          <w:rStyle w:val="HideTWBExt"/>
          <w:b w:val="0"/>
        </w:rPr>
        <w:t>&lt;/Members&gt;</w:t>
      </w:r>
    </w:p>
    <w:p w14:paraId="7B7291E5" w14:textId="77777777" w:rsidR="00A82F4D" w:rsidRPr="00B64DD1" w:rsidRDefault="00A82F4D" w:rsidP="00A82F4D">
      <w:pPr>
        <w:pStyle w:val="NormalBold"/>
      </w:pPr>
      <w:r w:rsidRPr="00B64DD1">
        <w:rPr>
          <w:rStyle w:val="HideTWBExt"/>
          <w:b w:val="0"/>
        </w:rPr>
        <w:t>&lt;/RepeatBlock-By&gt;</w:t>
      </w:r>
    </w:p>
    <w:p w14:paraId="7553F16E"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3061F0E3" w14:textId="77777777" w:rsidR="00A82F4D" w:rsidRPr="00B64DD1" w:rsidRDefault="00A82F4D" w:rsidP="00A82F4D">
      <w:pPr>
        <w:pStyle w:val="NormalBold"/>
      </w:pPr>
      <w:r w:rsidRPr="00B64DD1">
        <w:rPr>
          <w:rStyle w:val="HideTWBExt"/>
          <w:b w:val="0"/>
        </w:rPr>
        <w:t>&lt;Article&gt;</w:t>
      </w:r>
      <w:r w:rsidRPr="00B64DD1">
        <w:t>Ustęp 47</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4ACC9C25" w14:textId="77777777" w:rsidTr="00EA17FD">
        <w:trPr>
          <w:trHeight w:hRule="exact" w:val="240"/>
          <w:jc w:val="center"/>
        </w:trPr>
        <w:tc>
          <w:tcPr>
            <w:tcW w:w="9752" w:type="dxa"/>
            <w:gridSpan w:val="2"/>
            <w:tcBorders>
              <w:top w:val="nil"/>
              <w:left w:val="nil"/>
              <w:bottom w:val="nil"/>
              <w:right w:val="nil"/>
            </w:tcBorders>
          </w:tcPr>
          <w:p w14:paraId="38630BE8" w14:textId="77777777" w:rsidR="00A82F4D" w:rsidRPr="00B64DD1" w:rsidRDefault="00A82F4D" w:rsidP="00EA17FD"/>
        </w:tc>
      </w:tr>
      <w:tr w:rsidR="00A82F4D" w:rsidRPr="00B64DD1" w14:paraId="70997291" w14:textId="77777777" w:rsidTr="00EA17FD">
        <w:trPr>
          <w:trHeight w:val="240"/>
          <w:jc w:val="center"/>
        </w:trPr>
        <w:tc>
          <w:tcPr>
            <w:tcW w:w="4876" w:type="dxa"/>
            <w:tcBorders>
              <w:top w:val="nil"/>
              <w:left w:val="nil"/>
              <w:bottom w:val="nil"/>
              <w:right w:val="nil"/>
            </w:tcBorders>
          </w:tcPr>
          <w:p w14:paraId="268F219E"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5C096CA2" w14:textId="77777777" w:rsidR="00A82F4D" w:rsidRPr="00B64DD1" w:rsidRDefault="00A82F4D" w:rsidP="00EA17FD">
            <w:pPr>
              <w:pStyle w:val="AmColumnHeading"/>
            </w:pPr>
            <w:r w:rsidRPr="00B64DD1">
              <w:t>Poprawka</w:t>
            </w:r>
          </w:p>
        </w:tc>
      </w:tr>
      <w:tr w:rsidR="00A82F4D" w:rsidRPr="00B64DD1" w14:paraId="4E8A8E01" w14:textId="77777777" w:rsidTr="00EA17FD">
        <w:trPr>
          <w:jc w:val="center"/>
        </w:trPr>
        <w:tc>
          <w:tcPr>
            <w:tcW w:w="4876" w:type="dxa"/>
            <w:tcBorders>
              <w:top w:val="nil"/>
              <w:left w:val="nil"/>
              <w:bottom w:val="nil"/>
              <w:right w:val="nil"/>
            </w:tcBorders>
          </w:tcPr>
          <w:p w14:paraId="49CD1E36" w14:textId="77777777" w:rsidR="00A82F4D" w:rsidRPr="00B64DD1" w:rsidRDefault="00A82F4D" w:rsidP="00EA17FD">
            <w:pPr>
              <w:pStyle w:val="Normal6a"/>
            </w:pPr>
            <w:r w:rsidRPr="00B64DD1">
              <w:t>47.</w:t>
            </w:r>
            <w:r w:rsidRPr="00B64DD1">
              <w:tab/>
              <w:t xml:space="preserve">zauważa z zaniepokojeniem dochodzenie wszczęte w 2025 r. przez Prokuraturę Europejską (EPPO) w sprawie potencjalnego nadużycia przy udzielaniu </w:t>
            </w:r>
            <w:r w:rsidRPr="00B64DD1">
              <w:lastRenderedPageBreak/>
              <w:t>zamówień publicznych, korupcji, konfliktu interesów oraz naruszenia tajemnicy służbowej, związane z poważnymi podejrzeniami naruszenia zasad konkurencji w związku z udzieleniem przez ESDZ Kolegium Europejskiemu w latach 2021–2022 zamówienia w postępowaniu przetargowym na dziewięciomiesięczny program szkoleniowy związany z realizacją projektu pilotażowego mającego na celu utworzenie Europejskiej Akademii Dyplomatycznej Unii (EUDA); zwraca uwagę, że dochodzenie koncentruje się na ustaleniu, czy Kolegium Europejskie lub jego przedstawiciele zostali z wyprzedzeniem poinformowani o kryteriach wyboru w postępowaniu przetargowym oraz czy mieli podstawy, by sądzić, że realizacja projektu zostanie im powierzona jeszcze przed oficjalną publikacją przez ESDZ ogłoszenia o zamówieniu; zauważa ponadto, że po przeprowadzonych przeszukaniach w ESDZ i w Kolegium Europejskim policja belgijska zatrzymała, a następnie zwolniła w grudniu 2025 r. trzech podejrzanych, tj. byłą wiceprzewodniczącą / wysoką przedstawicielkę, obecną rektorkę Kolegium Europejskiego i dyrektorkę EUDA, a także obecnego dyrektora generalnego Dyrekcji Generalnej Komisji ds. Bliskiego Wschodu, Afryki Północnej i Zatoki Perskiej oraz byłego sekretarza generalnego ESDZ; wnosi o należyte zbadanie wszelkich podejrzeń nadużyć finansowych, przy pełnej współpracy ze strony ESDZ, oraz domaga się, aby ESDZ wzmocniła swoje ramy zwalczania nadużyć finansowych, tak aby zapewnić solidne gwarancje, że podobne przypadki nie powtórzą się w przyszłości; apeluje o przekazywanie organowi udzielającemu absolutorium informacji o dalszym przebiegu sprawy;</w:t>
            </w:r>
          </w:p>
        </w:tc>
        <w:tc>
          <w:tcPr>
            <w:tcW w:w="4876" w:type="dxa"/>
            <w:tcBorders>
              <w:top w:val="nil"/>
              <w:left w:val="nil"/>
              <w:bottom w:val="nil"/>
              <w:right w:val="nil"/>
            </w:tcBorders>
          </w:tcPr>
          <w:p w14:paraId="5D0CC912" w14:textId="77777777" w:rsidR="00A82F4D" w:rsidRPr="00B64DD1" w:rsidRDefault="00A82F4D" w:rsidP="00EA17FD">
            <w:pPr>
              <w:pStyle w:val="Normal6a"/>
            </w:pPr>
            <w:r w:rsidRPr="00B64DD1">
              <w:lastRenderedPageBreak/>
              <w:t>47.</w:t>
            </w:r>
            <w:r w:rsidRPr="00B64DD1">
              <w:tab/>
              <w:t xml:space="preserve">zauważa z zaniepokojeniem dochodzenie wszczęte w 2025 r. przez Prokuraturę Europejską (EPPO) w sprawie potencjalnego nadużycia przy udzielaniu </w:t>
            </w:r>
            <w:r w:rsidRPr="00B64DD1">
              <w:lastRenderedPageBreak/>
              <w:t xml:space="preserve">zamówień publicznych, korupcji, konfliktu interesów oraz naruszenia tajemnicy służbowej, związane z poważnymi podejrzeniami naruszenia zasad konkurencji w związku z udzieleniem przez ESDZ Kolegium Europejskiemu w latach 2021–2022 zamówienia w postępowaniu przetargowym na dziewięciomiesięczny program szkoleniowy związany z realizacją projektu pilotażowego mającego na celu utworzenie Europejskiej Akademii Dyplomatycznej Unii (EUDA); zwraca uwagę, że dochodzenie koncentruje się na ustaleniu, czy Kolegium Europejskie lub jego przedstawiciele zostali z wyprzedzeniem poinformowani o kryteriach wyboru w postępowaniu przetargowym oraz czy mieli podstawy, by sądzić, że realizacja projektu zostanie im powierzona jeszcze przed oficjalną publikacją przez ESDZ ogłoszenia o zamówieniu; zauważa ponadto, że po przeprowadzonych przeszukaniach w ESDZ i w Kolegium Europejskim policja belgijska zatrzymała, a następnie zwolniła w grudniu 2025 r. trzech podejrzanych, tj. byłą wiceprzewodniczącą / wysoką przedstawicielkę, obecną rektorkę Kolegium Europejskiego i dyrektorkę EUDA, a także obecnego dyrektora generalnego Dyrekcji Generalnej Komisji ds. Bliskiego Wschodu, Afryki Północnej i Zatoki Perskiej oraz byłego sekretarza generalnego ESDZ; </w:t>
            </w:r>
            <w:r w:rsidRPr="00B64DD1">
              <w:rPr>
                <w:b/>
                <w:i/>
              </w:rPr>
              <w:t>zauważa z niepokojem, że rektorka Kolegium Europejskiego i dyrektor EUDA złożyli rezygnację w związku z trwającym dochodzeniem dotyczącym nieprawidłowości w zakresie zamówień publicznych i Akademii Dyplomatycznej Unii Europejskiej; podkreśla, że nie należy wyciągać żadnych wniosków przed zakończeniem postępowania sądowego; podkreśla, że nadzór parlamentarny musi pozostać czujny, aby zapewnić integralność zamówień publicznych, przestrzeganie standardów etycznych oraz ochronę zasobów i reputacji UE;</w:t>
            </w:r>
            <w:r w:rsidRPr="00B64DD1">
              <w:t xml:space="preserve"> wnosi o </w:t>
            </w:r>
            <w:r w:rsidRPr="00B64DD1">
              <w:lastRenderedPageBreak/>
              <w:t>należyte zbadanie wszelkich podejrzeń nadużyć finansowych, przy pełnej współpracy ze strony ESDZ, oraz domaga się, aby ESDZ wzmocniła swoje ramy zwalczania nadużyć finansowych, tak aby zapewnić solidne gwarancje, że podobne przypadki nie powtórzą się w przyszłości; apeluje o przekazywanie organowi udzielającemu absolutorium informacji o dalszym przebiegu sprawy;</w:t>
            </w:r>
          </w:p>
        </w:tc>
      </w:tr>
    </w:tbl>
    <w:p w14:paraId="3476ADBB"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47F3B1F4" w14:textId="77777777" w:rsidR="00A82F4D" w:rsidRPr="00B64DD1" w:rsidRDefault="00A82F4D" w:rsidP="00A82F4D">
      <w:r w:rsidRPr="00B64DD1">
        <w:rPr>
          <w:rStyle w:val="HideTWBExt"/>
        </w:rPr>
        <w:t>&lt;/Amend&gt;</w:t>
      </w:r>
    </w:p>
    <w:p w14:paraId="36154F75"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78</w:t>
      </w:r>
      <w:r w:rsidRPr="00B64DD1">
        <w:rPr>
          <w:rStyle w:val="HideTWBExt"/>
          <w:b w:val="0"/>
        </w:rPr>
        <w:t>&lt;/NumAm&gt;</w:t>
      </w:r>
    </w:p>
    <w:p w14:paraId="6A961D6F" w14:textId="77777777" w:rsidR="00A82F4D" w:rsidRPr="00B64DD1" w:rsidRDefault="00A82F4D" w:rsidP="00A82F4D">
      <w:pPr>
        <w:pStyle w:val="NormalBold"/>
      </w:pPr>
      <w:r w:rsidRPr="00B64DD1">
        <w:rPr>
          <w:rStyle w:val="HideTWBExt"/>
          <w:b w:val="0"/>
        </w:rPr>
        <w:t>&lt;RepeatBlock-By&gt;&lt;Members&gt;</w:t>
      </w:r>
      <w:proofErr w:type="spellStart"/>
      <w:r w:rsidRPr="00B64DD1">
        <w:t>Ondřej</w:t>
      </w:r>
      <w:proofErr w:type="spellEnd"/>
      <w:r w:rsidRPr="00B64DD1">
        <w:t xml:space="preserve"> Knotek, Virginie </w:t>
      </w:r>
      <w:proofErr w:type="spellStart"/>
      <w:r w:rsidRPr="00B64DD1">
        <w:t>Joron</w:t>
      </w:r>
      <w:proofErr w:type="spellEnd"/>
      <w:r w:rsidRPr="00B64DD1">
        <w:t xml:space="preserve">, </w:t>
      </w:r>
      <w:proofErr w:type="spellStart"/>
      <w:r w:rsidRPr="00B64DD1">
        <w:t>Julien</w:t>
      </w:r>
      <w:proofErr w:type="spellEnd"/>
      <w:r w:rsidRPr="00B64DD1">
        <w:t xml:space="preserve"> Sanchez, </w:t>
      </w:r>
      <w:proofErr w:type="spellStart"/>
      <w:r w:rsidRPr="00B64DD1">
        <w:t>Tamás</w:t>
      </w:r>
      <w:proofErr w:type="spellEnd"/>
      <w:r w:rsidRPr="00B64DD1">
        <w:t xml:space="preserve"> </w:t>
      </w:r>
      <w:proofErr w:type="spellStart"/>
      <w:r w:rsidRPr="00B64DD1">
        <w:t>Deutsch</w:t>
      </w:r>
      <w:proofErr w:type="spellEnd"/>
      <w:r w:rsidRPr="00B64DD1">
        <w:rPr>
          <w:rStyle w:val="HideTWBExt"/>
          <w:b w:val="0"/>
        </w:rPr>
        <w:t>&lt;/Members&gt;</w:t>
      </w:r>
    </w:p>
    <w:p w14:paraId="1BF414AD" w14:textId="77777777" w:rsidR="00A82F4D" w:rsidRPr="00B64DD1" w:rsidRDefault="00A82F4D" w:rsidP="00A82F4D">
      <w:pPr>
        <w:pStyle w:val="NormalBold"/>
      </w:pPr>
      <w:r w:rsidRPr="00B64DD1">
        <w:rPr>
          <w:rStyle w:val="HideTWBExt"/>
          <w:b w:val="0"/>
        </w:rPr>
        <w:t>&lt;/RepeatBlock-By&gt;</w:t>
      </w:r>
    </w:p>
    <w:p w14:paraId="7DC9F328"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47823C38" w14:textId="77777777" w:rsidR="00A82F4D" w:rsidRPr="00B64DD1" w:rsidRDefault="00A82F4D" w:rsidP="00A82F4D">
      <w:pPr>
        <w:pStyle w:val="NormalBold"/>
      </w:pPr>
      <w:r w:rsidRPr="00B64DD1">
        <w:rPr>
          <w:rStyle w:val="HideTWBExt"/>
          <w:b w:val="0"/>
        </w:rPr>
        <w:t>&lt;Article&gt;</w:t>
      </w:r>
      <w:r w:rsidRPr="00B64DD1">
        <w:t>Ustęp 47</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26EE915F" w14:textId="77777777" w:rsidTr="00EA17FD">
        <w:trPr>
          <w:trHeight w:hRule="exact" w:val="240"/>
          <w:jc w:val="center"/>
        </w:trPr>
        <w:tc>
          <w:tcPr>
            <w:tcW w:w="9752" w:type="dxa"/>
            <w:gridSpan w:val="2"/>
            <w:tcBorders>
              <w:top w:val="nil"/>
              <w:left w:val="nil"/>
              <w:bottom w:val="nil"/>
              <w:right w:val="nil"/>
            </w:tcBorders>
          </w:tcPr>
          <w:p w14:paraId="6A4CFF64" w14:textId="77777777" w:rsidR="00A82F4D" w:rsidRPr="00B64DD1" w:rsidRDefault="00A82F4D" w:rsidP="00EA17FD"/>
        </w:tc>
      </w:tr>
      <w:tr w:rsidR="00A82F4D" w:rsidRPr="00B64DD1" w14:paraId="733962EE" w14:textId="77777777" w:rsidTr="00EA17FD">
        <w:trPr>
          <w:trHeight w:val="240"/>
          <w:jc w:val="center"/>
        </w:trPr>
        <w:tc>
          <w:tcPr>
            <w:tcW w:w="4876" w:type="dxa"/>
            <w:tcBorders>
              <w:top w:val="nil"/>
              <w:left w:val="nil"/>
              <w:bottom w:val="nil"/>
              <w:right w:val="nil"/>
            </w:tcBorders>
          </w:tcPr>
          <w:p w14:paraId="294BAE86"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57730952" w14:textId="77777777" w:rsidR="00A82F4D" w:rsidRPr="00B64DD1" w:rsidRDefault="00A82F4D" w:rsidP="00EA17FD">
            <w:pPr>
              <w:pStyle w:val="AmColumnHeading"/>
            </w:pPr>
            <w:r w:rsidRPr="00B64DD1">
              <w:t>Poprawka</w:t>
            </w:r>
          </w:p>
        </w:tc>
      </w:tr>
      <w:tr w:rsidR="00A82F4D" w:rsidRPr="00B64DD1" w14:paraId="3E1AFF27" w14:textId="77777777" w:rsidTr="00EA17FD">
        <w:trPr>
          <w:jc w:val="center"/>
        </w:trPr>
        <w:tc>
          <w:tcPr>
            <w:tcW w:w="4876" w:type="dxa"/>
            <w:tcBorders>
              <w:top w:val="nil"/>
              <w:left w:val="nil"/>
              <w:bottom w:val="nil"/>
              <w:right w:val="nil"/>
            </w:tcBorders>
          </w:tcPr>
          <w:p w14:paraId="7B9543FC" w14:textId="77777777" w:rsidR="00A82F4D" w:rsidRPr="00B64DD1" w:rsidRDefault="00A82F4D" w:rsidP="00EA17FD">
            <w:pPr>
              <w:pStyle w:val="Normal6a"/>
            </w:pPr>
            <w:r w:rsidRPr="00B64DD1">
              <w:t>47.</w:t>
            </w:r>
            <w:r w:rsidRPr="00B64DD1">
              <w:tab/>
              <w:t xml:space="preserve">zauważa z zaniepokojeniem dochodzenie wszczęte w 2025 r. przez Prokuraturę Europejską (EPPO) w sprawie potencjalnego nadużycia przy udzielaniu zamówień publicznych, korupcji, konfliktu interesów oraz naruszenia tajemnicy służbowej, związane z poważnymi podejrzeniami naruszenia zasad konkurencji w związku z udzieleniem przez ESDZ Kolegium Europejskiemu w latach 2021–2022 zamówienia w postępowaniu przetargowym na dziewięciomiesięczny program szkoleniowy związany z realizacją projektu pilotażowego mającego na celu utworzenie Europejskiej Akademii Dyplomatycznej Unii (EUDA); zwraca uwagę, że dochodzenie koncentruje się na ustaleniu, czy Kolegium Europejskie lub jego przedstawiciele zostali z wyprzedzeniem poinformowani o kryteriach wyboru w postępowaniu przetargowym oraz czy mieli podstawy, by sądzić, że realizacja projektu zostanie im powierzona jeszcze przed oficjalną publikacją przez ESDZ ogłoszenia o zamówieniu; zauważa </w:t>
            </w:r>
            <w:r w:rsidRPr="00B64DD1">
              <w:lastRenderedPageBreak/>
              <w:t>ponadto, że po przeprowadzonych przeszukaniach w ESDZ i w Kolegium Europejskim policja belgijska zatrzymała, a następnie zwolniła w grudniu 2025 r. trzech podejrzanych, tj. byłą wiceprzewodniczącą / wysoką przedstawicielkę, obecną rektorkę Kolegium Europejskiego i dyrektorkę EUDA, a także obecnego dyrektora generalnego Dyrekcji Generalnej Komisji ds. Bliskiego Wschodu, Afryki Północnej i Zatoki Perskiej oraz byłego sekretarza generalnego ESDZ; wnosi o należyte zbadanie wszelkich podejrzeń nadużyć finansowych, przy pełnej współpracy ze strony ESDZ, oraz domaga się, aby ESDZ wzmocniła swoje ramy zwalczania nadużyć finansowych, tak aby zapewnić solidne gwarancje, że podobne przypadki nie powtórzą się w przyszłości; apeluje o przekazywanie organowi udzielającemu absolutorium informacji o dalszym przebiegu sprawy;</w:t>
            </w:r>
          </w:p>
        </w:tc>
        <w:tc>
          <w:tcPr>
            <w:tcW w:w="4876" w:type="dxa"/>
            <w:tcBorders>
              <w:top w:val="nil"/>
              <w:left w:val="nil"/>
              <w:bottom w:val="nil"/>
              <w:right w:val="nil"/>
            </w:tcBorders>
          </w:tcPr>
          <w:p w14:paraId="285E20BF" w14:textId="77777777" w:rsidR="00A82F4D" w:rsidRPr="00B64DD1" w:rsidRDefault="00A82F4D" w:rsidP="00EA17FD">
            <w:pPr>
              <w:pStyle w:val="Normal6a"/>
            </w:pPr>
            <w:r w:rsidRPr="00B64DD1">
              <w:lastRenderedPageBreak/>
              <w:t>47.</w:t>
            </w:r>
            <w:r w:rsidRPr="00B64DD1">
              <w:tab/>
              <w:t xml:space="preserve">zauważa z zaniepokojeniem dochodzenie wszczęte w 2025 r. przez Prokuraturę Europejską (EPPO) w sprawie potencjalnego nadużycia przy udzielaniu zamówień publicznych, korupcji, konfliktu interesów oraz naruszenia tajemnicy służbowej, związane z poważnymi podejrzeniami naruszenia zasad konkurencji w związku z udzieleniem przez ESDZ Kolegium Europejskiemu w latach 2021–2022 zamówienia w postępowaniu przetargowym na dziewięciomiesięczny program szkoleniowy związany z realizacją projektu pilotażowego mającego na celu utworzenie Europejskiej Akademii Dyplomatycznej Unii (EUDA); zwraca uwagę, że dochodzenie koncentruje się na ustaleniu, czy Kolegium Europejskie lub jego przedstawiciele zostali z wyprzedzeniem poinformowani o kryteriach wyboru w postępowaniu przetargowym oraz czy mieli podstawy, by sądzić, że realizacja projektu zostanie im powierzona jeszcze przed oficjalną publikacją przez ESDZ ogłoszenia o zamówieniu; zauważa </w:t>
            </w:r>
            <w:r w:rsidRPr="00B64DD1">
              <w:lastRenderedPageBreak/>
              <w:t xml:space="preserve">ponadto, że po przeprowadzonych przeszukaniach w ESDZ i w Kolegium Europejskim policja belgijska zatrzymała, a następnie zwolniła w grudniu 2025 r. trzech podejrzanych, tj. byłą wiceprzewodniczącą / wysoką przedstawicielkę, obecną rektorkę Kolegium Europejskiego i dyrektorkę EUDA, a także obecnego dyrektora generalnego Dyrekcji Generalnej Komisji ds. Bliskiego Wschodu, Afryki Północnej i Zatoki Perskiej oraz byłego sekretarza generalnego ESDZ; </w:t>
            </w:r>
            <w:r w:rsidRPr="00B64DD1">
              <w:rPr>
                <w:b/>
                <w:i/>
              </w:rPr>
              <w:t>podkreśla, że sprawa ta stanowi poważny skandal, który podważa wiarygodność działań zewnętrznych Unii i zarządzania budżetowego;</w:t>
            </w:r>
            <w:r w:rsidRPr="00B64DD1">
              <w:t xml:space="preserve"> wnosi o należyte zbadanie wszelkich podejrzeń nadużyć finansowych, przy pełnej współpracy ze strony ESDZ, oraz domaga się, aby ESDZ wzmocniła swoje ramy zwalczania nadużyć finansowych, tak aby zapewnić solidne gwarancje, że podobne przypadki nie powtórzą się w przyszłości; apeluje o przekazywanie organowi udzielającemu absolutorium informacji o dalszym przebiegu sprawy;</w:t>
            </w:r>
          </w:p>
        </w:tc>
      </w:tr>
    </w:tbl>
    <w:p w14:paraId="2CBB44C0"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27493B77" w14:textId="77777777" w:rsidR="00A82F4D" w:rsidRPr="00B64DD1" w:rsidRDefault="00A82F4D" w:rsidP="00A82F4D">
      <w:r w:rsidRPr="00B64DD1">
        <w:rPr>
          <w:rStyle w:val="HideTWBExt"/>
        </w:rPr>
        <w:t>&lt;/Amend&gt;</w:t>
      </w:r>
    </w:p>
    <w:p w14:paraId="5F0AE349"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79</w:t>
      </w:r>
      <w:r w:rsidRPr="00B64DD1">
        <w:rPr>
          <w:rStyle w:val="HideTWBExt"/>
          <w:b w:val="0"/>
        </w:rPr>
        <w:t>&lt;/NumAm&gt;</w:t>
      </w:r>
    </w:p>
    <w:p w14:paraId="3FBE58A9" w14:textId="77777777" w:rsidR="00A82F4D" w:rsidRPr="00B64DD1" w:rsidRDefault="00A82F4D" w:rsidP="00A82F4D">
      <w:pPr>
        <w:pStyle w:val="NormalBold"/>
      </w:pPr>
      <w:r w:rsidRPr="00B64DD1">
        <w:rPr>
          <w:rStyle w:val="HideTWBExt"/>
          <w:b w:val="0"/>
        </w:rPr>
        <w:t>&lt;RepeatBlock-By&gt;&lt;Members&gt;</w:t>
      </w:r>
      <w:proofErr w:type="spellStart"/>
      <w:r w:rsidRPr="00B64DD1">
        <w:t>Pasquale</w:t>
      </w:r>
      <w:proofErr w:type="spellEnd"/>
      <w:r w:rsidRPr="00B64DD1">
        <w:t xml:space="preserve"> </w:t>
      </w:r>
      <w:proofErr w:type="spellStart"/>
      <w:r w:rsidRPr="00B64DD1">
        <w:t>Tridico</w:t>
      </w:r>
      <w:proofErr w:type="spellEnd"/>
      <w:r w:rsidRPr="00B64DD1">
        <w:rPr>
          <w:rStyle w:val="HideTWBExt"/>
          <w:b w:val="0"/>
        </w:rPr>
        <w:t>&lt;/Members&gt;</w:t>
      </w:r>
    </w:p>
    <w:p w14:paraId="045C2FE1" w14:textId="77777777" w:rsidR="00A82F4D" w:rsidRPr="00B64DD1" w:rsidRDefault="00A82F4D" w:rsidP="00A82F4D">
      <w:pPr>
        <w:pStyle w:val="NormalBold"/>
      </w:pPr>
      <w:r w:rsidRPr="00B64DD1">
        <w:rPr>
          <w:rStyle w:val="HideTWBExt"/>
          <w:b w:val="0"/>
        </w:rPr>
        <w:t>&lt;/RepeatBlock-By&gt;</w:t>
      </w:r>
    </w:p>
    <w:p w14:paraId="5FA56E1A"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687DD175" w14:textId="77777777" w:rsidR="00A82F4D" w:rsidRPr="00B64DD1" w:rsidRDefault="00A82F4D" w:rsidP="00A82F4D">
      <w:pPr>
        <w:pStyle w:val="NormalBold"/>
      </w:pPr>
      <w:r w:rsidRPr="00B64DD1">
        <w:rPr>
          <w:rStyle w:val="HideTWBExt"/>
          <w:b w:val="0"/>
        </w:rPr>
        <w:t>&lt;Article&gt;</w:t>
      </w:r>
      <w:r w:rsidRPr="00B64DD1">
        <w:t>Ustęp 47</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55414F14" w14:textId="77777777" w:rsidTr="00EA17FD">
        <w:trPr>
          <w:trHeight w:hRule="exact" w:val="240"/>
          <w:jc w:val="center"/>
        </w:trPr>
        <w:tc>
          <w:tcPr>
            <w:tcW w:w="9752" w:type="dxa"/>
            <w:gridSpan w:val="2"/>
            <w:tcBorders>
              <w:top w:val="nil"/>
              <w:left w:val="nil"/>
              <w:bottom w:val="nil"/>
              <w:right w:val="nil"/>
            </w:tcBorders>
          </w:tcPr>
          <w:p w14:paraId="3DD95291" w14:textId="77777777" w:rsidR="00A82F4D" w:rsidRPr="00B64DD1" w:rsidRDefault="00A82F4D" w:rsidP="00EA17FD"/>
        </w:tc>
      </w:tr>
      <w:tr w:rsidR="00A82F4D" w:rsidRPr="00B64DD1" w14:paraId="01AEAA6A" w14:textId="77777777" w:rsidTr="00EA17FD">
        <w:trPr>
          <w:trHeight w:val="240"/>
          <w:jc w:val="center"/>
        </w:trPr>
        <w:tc>
          <w:tcPr>
            <w:tcW w:w="4876" w:type="dxa"/>
            <w:tcBorders>
              <w:top w:val="nil"/>
              <w:left w:val="nil"/>
              <w:bottom w:val="nil"/>
              <w:right w:val="nil"/>
            </w:tcBorders>
          </w:tcPr>
          <w:p w14:paraId="45839A44"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64C20109" w14:textId="77777777" w:rsidR="00A82F4D" w:rsidRPr="00B64DD1" w:rsidRDefault="00A82F4D" w:rsidP="00EA17FD">
            <w:pPr>
              <w:pStyle w:val="AmColumnHeading"/>
            </w:pPr>
            <w:r w:rsidRPr="00B64DD1">
              <w:t>Poprawka</w:t>
            </w:r>
          </w:p>
        </w:tc>
      </w:tr>
      <w:tr w:rsidR="00A82F4D" w:rsidRPr="00B64DD1" w14:paraId="5BE1FA52" w14:textId="77777777" w:rsidTr="00EA17FD">
        <w:trPr>
          <w:jc w:val="center"/>
        </w:trPr>
        <w:tc>
          <w:tcPr>
            <w:tcW w:w="4876" w:type="dxa"/>
            <w:tcBorders>
              <w:top w:val="nil"/>
              <w:left w:val="nil"/>
              <w:bottom w:val="nil"/>
              <w:right w:val="nil"/>
            </w:tcBorders>
          </w:tcPr>
          <w:p w14:paraId="24CC4674" w14:textId="77777777" w:rsidR="00A82F4D" w:rsidRPr="00B64DD1" w:rsidRDefault="00A82F4D" w:rsidP="00EA17FD">
            <w:pPr>
              <w:pStyle w:val="Normal6a"/>
            </w:pPr>
            <w:r w:rsidRPr="00B64DD1">
              <w:t>47.</w:t>
            </w:r>
            <w:r w:rsidRPr="00B64DD1">
              <w:tab/>
              <w:t xml:space="preserve">zauważa z zaniepokojeniem dochodzenie wszczęte w 2025 r. przez Prokuraturę Europejską (EPPO) w sprawie potencjalnego nadużycia przy udzielaniu zamówień publicznych, korupcji, konfliktu interesów oraz naruszenia tajemnicy służbowej, związane z poważnymi podejrzeniami naruszenia zasad konkurencji w związku z udzieleniem </w:t>
            </w:r>
            <w:r w:rsidRPr="00B64DD1">
              <w:lastRenderedPageBreak/>
              <w:t>przez ESDZ Kolegium Europejskiemu w latach 2021–2022 zamówienia w postępowaniu przetargowym na dziewięciomiesięczny program szkoleniowy związany z realizacją projektu pilotażowego mającego na celu utworzenie Europejskiej Akademii Dyplomatycznej Unii (EUDA); zwraca uwagę, że dochodzenie koncentruje się na ustaleniu, czy Kolegium Europejskie lub jego przedstawiciele zostali z wyprzedzeniem poinformowani o kryteriach wyboru w postępowaniu przetargowym oraz czy mieli podstawy, by sądzić, że realizacja projektu zostanie im powierzona jeszcze przed oficjalną publikacją przez ESDZ ogłoszenia o zamówieniu; zauważa ponadto, że po przeprowadzonych przeszukaniach w ESDZ i w Kolegium Europejskim policja belgijska zatrzymała, a następnie zwolniła w grudniu 2025 r. trzech podejrzanych, tj. byłą wiceprzewodniczącą / wysoką przedstawicielkę, obecną rektorkę Kolegium Europejskiego i dyrektorkę EUDA, a także obecnego dyrektora generalnego Dyrekcji Generalnej Komisji ds. Bliskiego Wschodu, Afryki Północnej i Zatoki Perskiej oraz byłego sekretarza generalnego ESDZ; wnosi o należyte zbadanie wszelkich podejrzeń nadużyć finansowych, przy pełnej współpracy ze strony ESDZ, oraz domaga się, aby ESDZ wzmocniła swoje ramy zwalczania nadużyć finansowych, tak aby zapewnić solidne gwarancje, że podobne przypadki nie powtórzą się w przyszłości; apeluje o przekazywanie organowi udzielającemu absolutorium informacji o dalszym przebiegu sprawy;</w:t>
            </w:r>
          </w:p>
        </w:tc>
        <w:tc>
          <w:tcPr>
            <w:tcW w:w="4876" w:type="dxa"/>
            <w:tcBorders>
              <w:top w:val="nil"/>
              <w:left w:val="nil"/>
              <w:bottom w:val="nil"/>
              <w:right w:val="nil"/>
            </w:tcBorders>
          </w:tcPr>
          <w:p w14:paraId="4BB78E7C" w14:textId="77777777" w:rsidR="00A82F4D" w:rsidRPr="00B64DD1" w:rsidRDefault="00A82F4D" w:rsidP="00EA17FD">
            <w:pPr>
              <w:pStyle w:val="Normal6a"/>
            </w:pPr>
            <w:r w:rsidRPr="00B64DD1">
              <w:lastRenderedPageBreak/>
              <w:t>47.</w:t>
            </w:r>
            <w:r w:rsidRPr="00B64DD1">
              <w:tab/>
              <w:t xml:space="preserve">zauważa z zaniepokojeniem dochodzenie wszczęte w 2025 r. przez Prokuraturę Europejską (EPPO) w sprawie potencjalnego nadużycia przy udzielaniu zamówień publicznych, korupcji, konfliktu interesów oraz naruszenia tajemnicy służbowej, związane z poważnymi podejrzeniami naruszenia zasad konkurencji w związku z udzieleniem </w:t>
            </w:r>
            <w:r w:rsidRPr="00B64DD1">
              <w:lastRenderedPageBreak/>
              <w:t xml:space="preserve">przez ESDZ Kolegium Europejskiemu w latach 2021–2022 zamówienia w postępowaniu przetargowym na dziewięciomiesięczny program szkoleniowy związany z realizacją projektu pilotażowego mającego na celu utworzenie Europejskiej Akademii Dyplomatycznej Unii (EUDA); zwraca uwagę, że dochodzenie koncentruje się na ustaleniu, czy Kolegium Europejskie lub jego przedstawiciele zostali z wyprzedzeniem poinformowani o kryteriach wyboru w postępowaniu przetargowym oraz czy mieli podstawy, by sądzić, że realizacja projektu zostanie im powierzona jeszcze przed oficjalną publikacją przez ESDZ ogłoszenia o zamówieniu; zauważa ponadto, że po przeprowadzonych przeszukaniach w ESDZ i w Kolegium Europejskim policja belgijska zatrzymała, a następnie zwolniła w grudniu 2025 r. trzech podejrzanych, tj. byłą wiceprzewodniczącą / wysoką przedstawicielkę, obecną rektorkę Kolegium Europejskiego i dyrektorkę EUDA, a także obecnego dyrektora generalnego Dyrekcji Generalnej Komisji ds. Bliskiego Wschodu, Afryki Północnej i Zatoki Perskiej oraz byłego sekretarza generalnego ESDZ; wnosi o należyte zbadanie wszelkich podejrzeń nadużyć finansowych, przy pełnej współpracy ze strony ESDZ, oraz domaga się, aby ESDZ wzmocniła ramy </w:t>
            </w:r>
            <w:r w:rsidRPr="00B64DD1">
              <w:rPr>
                <w:b/>
                <w:bCs/>
                <w:i/>
                <w:iCs/>
              </w:rPr>
              <w:t>zarządzania i ramy etyczne, w tym poprzez wzmocnienie swoich ram</w:t>
            </w:r>
            <w:r w:rsidRPr="00B64DD1">
              <w:t xml:space="preserve"> zwalczania nadużyć finansowych </w:t>
            </w:r>
            <w:r w:rsidRPr="00B64DD1">
              <w:rPr>
                <w:b/>
                <w:bCs/>
                <w:i/>
                <w:iCs/>
              </w:rPr>
              <w:t>i polityki „drzwi obrotowych”</w:t>
            </w:r>
            <w:r w:rsidRPr="00B64DD1">
              <w:t>, tak aby zapewnić solidne gwarancje, że podobne przypadki nie powtórzą się w przyszłości; apeluje o przekazywanie organowi udzielającemu absolutorium informacji o dalszym przebiegu sprawy;</w:t>
            </w:r>
          </w:p>
        </w:tc>
      </w:tr>
    </w:tbl>
    <w:p w14:paraId="074CFC60"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2F7AA786" w14:textId="77777777" w:rsidR="00A82F4D" w:rsidRPr="00B64DD1" w:rsidRDefault="00A82F4D" w:rsidP="00A82F4D">
      <w:r w:rsidRPr="00B64DD1">
        <w:rPr>
          <w:rStyle w:val="HideTWBExt"/>
        </w:rPr>
        <w:t>&lt;/Amend&gt;</w:t>
      </w:r>
    </w:p>
    <w:p w14:paraId="14F504EB"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80</w:t>
      </w:r>
      <w:r w:rsidRPr="00B64DD1">
        <w:rPr>
          <w:rStyle w:val="HideTWBExt"/>
          <w:b w:val="0"/>
        </w:rPr>
        <w:t>&lt;/NumAm&gt;</w:t>
      </w:r>
    </w:p>
    <w:p w14:paraId="16CA5D80" w14:textId="77777777" w:rsidR="00A82F4D" w:rsidRPr="00B64DD1" w:rsidRDefault="00A82F4D" w:rsidP="00A82F4D">
      <w:pPr>
        <w:pStyle w:val="NormalBold"/>
      </w:pPr>
      <w:r w:rsidRPr="00B64DD1">
        <w:rPr>
          <w:rStyle w:val="HideTWBExt"/>
          <w:b w:val="0"/>
        </w:rPr>
        <w:lastRenderedPageBreak/>
        <w:t>&lt;RepeatBlock-By&gt;&lt;Members&gt;</w:t>
      </w:r>
      <w:r w:rsidRPr="00B64DD1">
        <w:t xml:space="preserve">Joachim Stanisław Brudziński, </w:t>
      </w:r>
      <w:proofErr w:type="spellStart"/>
      <w:r w:rsidRPr="00B64DD1">
        <w:t>Şerban</w:t>
      </w:r>
      <w:proofErr w:type="spellEnd"/>
      <w:r w:rsidRPr="00B64DD1">
        <w:t xml:space="preserve"> </w:t>
      </w:r>
      <w:proofErr w:type="spellStart"/>
      <w:r w:rsidRPr="00B64DD1">
        <w:t>Dimitrie</w:t>
      </w:r>
      <w:proofErr w:type="spellEnd"/>
      <w:r w:rsidRPr="00B64DD1">
        <w:t xml:space="preserve"> </w:t>
      </w:r>
      <w:proofErr w:type="spellStart"/>
      <w:r w:rsidRPr="00B64DD1">
        <w:t>Sturdza</w:t>
      </w:r>
      <w:proofErr w:type="spellEnd"/>
      <w:r w:rsidRPr="00B64DD1">
        <w:rPr>
          <w:rStyle w:val="HideTWBExt"/>
          <w:b w:val="0"/>
        </w:rPr>
        <w:t>&lt;/Members&gt;</w:t>
      </w:r>
    </w:p>
    <w:p w14:paraId="6C71BED4" w14:textId="77777777" w:rsidR="00A82F4D" w:rsidRPr="00B64DD1" w:rsidRDefault="00A82F4D" w:rsidP="00A82F4D">
      <w:pPr>
        <w:pStyle w:val="NormalBold"/>
      </w:pPr>
      <w:r w:rsidRPr="00B64DD1">
        <w:rPr>
          <w:rStyle w:val="HideTWBExt"/>
          <w:b w:val="0"/>
        </w:rPr>
        <w:t>&lt;/RepeatBlock-By&gt;</w:t>
      </w:r>
    </w:p>
    <w:p w14:paraId="62B2C838"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7FB7FA43" w14:textId="77777777" w:rsidR="00A82F4D" w:rsidRPr="00B64DD1" w:rsidRDefault="00A82F4D" w:rsidP="00A82F4D">
      <w:pPr>
        <w:pStyle w:val="NormalBold"/>
      </w:pPr>
      <w:r w:rsidRPr="00B64DD1">
        <w:rPr>
          <w:rStyle w:val="HideTWBExt"/>
          <w:b w:val="0"/>
        </w:rPr>
        <w:t>&lt;Article&gt;</w:t>
      </w:r>
      <w:r w:rsidRPr="00B64DD1">
        <w:t>Ustęp 47 a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7BF0D59F" w14:textId="77777777" w:rsidTr="00EA17FD">
        <w:trPr>
          <w:trHeight w:hRule="exact" w:val="240"/>
          <w:jc w:val="center"/>
        </w:trPr>
        <w:tc>
          <w:tcPr>
            <w:tcW w:w="9752" w:type="dxa"/>
            <w:gridSpan w:val="2"/>
            <w:tcBorders>
              <w:top w:val="nil"/>
              <w:left w:val="nil"/>
              <w:bottom w:val="nil"/>
              <w:right w:val="nil"/>
            </w:tcBorders>
          </w:tcPr>
          <w:p w14:paraId="5008C816" w14:textId="77777777" w:rsidR="00A82F4D" w:rsidRPr="00B64DD1" w:rsidRDefault="00A82F4D" w:rsidP="00EA17FD"/>
        </w:tc>
      </w:tr>
      <w:tr w:rsidR="00A82F4D" w:rsidRPr="00B64DD1" w14:paraId="5C44FD97" w14:textId="77777777" w:rsidTr="00EA17FD">
        <w:trPr>
          <w:trHeight w:val="240"/>
          <w:jc w:val="center"/>
        </w:trPr>
        <w:tc>
          <w:tcPr>
            <w:tcW w:w="4876" w:type="dxa"/>
            <w:tcBorders>
              <w:top w:val="nil"/>
              <w:left w:val="nil"/>
              <w:bottom w:val="nil"/>
              <w:right w:val="nil"/>
            </w:tcBorders>
          </w:tcPr>
          <w:p w14:paraId="61402899"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75626EE3" w14:textId="77777777" w:rsidR="00A82F4D" w:rsidRPr="00B64DD1" w:rsidRDefault="00A82F4D" w:rsidP="00EA17FD">
            <w:pPr>
              <w:pStyle w:val="AmColumnHeading"/>
            </w:pPr>
            <w:r w:rsidRPr="00B64DD1">
              <w:t>Poprawka</w:t>
            </w:r>
          </w:p>
        </w:tc>
      </w:tr>
      <w:tr w:rsidR="00A82F4D" w:rsidRPr="00B64DD1" w14:paraId="0379C4A2" w14:textId="77777777" w:rsidTr="00EA17FD">
        <w:trPr>
          <w:jc w:val="center"/>
        </w:trPr>
        <w:tc>
          <w:tcPr>
            <w:tcW w:w="4876" w:type="dxa"/>
            <w:tcBorders>
              <w:top w:val="nil"/>
              <w:left w:val="nil"/>
              <w:bottom w:val="nil"/>
              <w:right w:val="nil"/>
            </w:tcBorders>
          </w:tcPr>
          <w:p w14:paraId="5DC15EE6" w14:textId="77777777" w:rsidR="00A82F4D" w:rsidRPr="00B64DD1" w:rsidRDefault="00A82F4D" w:rsidP="00EA17FD">
            <w:pPr>
              <w:pStyle w:val="Normal6a"/>
            </w:pPr>
          </w:p>
        </w:tc>
        <w:tc>
          <w:tcPr>
            <w:tcW w:w="4876" w:type="dxa"/>
            <w:tcBorders>
              <w:top w:val="nil"/>
              <w:left w:val="nil"/>
              <w:bottom w:val="nil"/>
              <w:right w:val="nil"/>
            </w:tcBorders>
          </w:tcPr>
          <w:p w14:paraId="5E627D9C" w14:textId="77777777" w:rsidR="00A82F4D" w:rsidRPr="00B64DD1" w:rsidRDefault="00A82F4D" w:rsidP="00EA17FD">
            <w:pPr>
              <w:pStyle w:val="Normal6a"/>
            </w:pPr>
            <w:r w:rsidRPr="00B64DD1">
              <w:rPr>
                <w:b/>
                <w:i/>
              </w:rPr>
              <w:t>47a.</w:t>
            </w:r>
            <w:r w:rsidRPr="00B64DD1">
              <w:tab/>
            </w:r>
            <w:r w:rsidRPr="00B64DD1">
              <w:rPr>
                <w:b/>
                <w:i/>
              </w:rPr>
              <w:t>ubolewa, że trwa dochodzenie w sprawie zarzutów, iż przetarg publiczny ogłoszony przez Europejską Służbę Działań Zewnętrznych w latach 2021–2022 na prowadzenie Akademii Dyplomatycznej Unii Europejskiej przez instytucję szkolnictwa wyższego mógł zostać sfałszowany na korzyść Kolegium Europejskiego;</w:t>
            </w:r>
          </w:p>
        </w:tc>
      </w:tr>
    </w:tbl>
    <w:p w14:paraId="71793119"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515D7967" w14:textId="77777777" w:rsidR="00A82F4D" w:rsidRPr="00B64DD1" w:rsidRDefault="00A82F4D" w:rsidP="00A82F4D">
      <w:r w:rsidRPr="00B64DD1">
        <w:rPr>
          <w:rStyle w:val="HideTWBExt"/>
        </w:rPr>
        <w:t>&lt;/Amend&gt;</w:t>
      </w:r>
    </w:p>
    <w:p w14:paraId="7A026C5F"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81</w:t>
      </w:r>
      <w:r w:rsidRPr="00B64DD1">
        <w:rPr>
          <w:rStyle w:val="HideTWBExt"/>
          <w:b w:val="0"/>
        </w:rPr>
        <w:t>&lt;/NumAm&gt;</w:t>
      </w:r>
    </w:p>
    <w:p w14:paraId="4A048261" w14:textId="77777777" w:rsidR="00A82F4D" w:rsidRPr="00B64DD1" w:rsidRDefault="00A82F4D" w:rsidP="00A82F4D">
      <w:pPr>
        <w:pStyle w:val="NormalBold"/>
      </w:pPr>
      <w:r w:rsidRPr="00B64DD1">
        <w:rPr>
          <w:rStyle w:val="HideTWBExt"/>
          <w:b w:val="0"/>
        </w:rPr>
        <w:t>&lt;RepeatBlock-By&gt;&lt;Members&gt;</w:t>
      </w:r>
      <w:r w:rsidRPr="00B64DD1">
        <w:t xml:space="preserve">Joachim Stanisław Brudziński, </w:t>
      </w:r>
      <w:proofErr w:type="spellStart"/>
      <w:r w:rsidRPr="00B64DD1">
        <w:t>Şerban</w:t>
      </w:r>
      <w:proofErr w:type="spellEnd"/>
      <w:r w:rsidRPr="00B64DD1">
        <w:t xml:space="preserve"> </w:t>
      </w:r>
      <w:proofErr w:type="spellStart"/>
      <w:r w:rsidRPr="00B64DD1">
        <w:t>Dimitrie</w:t>
      </w:r>
      <w:proofErr w:type="spellEnd"/>
      <w:r w:rsidRPr="00B64DD1">
        <w:t xml:space="preserve"> </w:t>
      </w:r>
      <w:proofErr w:type="spellStart"/>
      <w:r w:rsidRPr="00B64DD1">
        <w:t>Sturdza</w:t>
      </w:r>
      <w:proofErr w:type="spellEnd"/>
      <w:r w:rsidRPr="00B64DD1">
        <w:rPr>
          <w:rStyle w:val="HideTWBExt"/>
          <w:b w:val="0"/>
        </w:rPr>
        <w:t>&lt;/Members&gt;</w:t>
      </w:r>
    </w:p>
    <w:p w14:paraId="2A0AA579" w14:textId="77777777" w:rsidR="00A82F4D" w:rsidRPr="00B64DD1" w:rsidRDefault="00A82F4D" w:rsidP="00A82F4D">
      <w:pPr>
        <w:pStyle w:val="NormalBold"/>
      </w:pPr>
      <w:r w:rsidRPr="00B64DD1">
        <w:rPr>
          <w:rStyle w:val="HideTWBExt"/>
          <w:b w:val="0"/>
        </w:rPr>
        <w:t>&lt;/RepeatBlock-By&gt;</w:t>
      </w:r>
    </w:p>
    <w:p w14:paraId="757ACB73"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02DBF956" w14:textId="77777777" w:rsidR="00A82F4D" w:rsidRPr="00B64DD1" w:rsidRDefault="00A82F4D" w:rsidP="00A82F4D">
      <w:pPr>
        <w:pStyle w:val="NormalBold"/>
      </w:pPr>
      <w:r w:rsidRPr="00B64DD1">
        <w:rPr>
          <w:rStyle w:val="HideTWBExt"/>
          <w:b w:val="0"/>
        </w:rPr>
        <w:t>&lt;Article&gt;</w:t>
      </w:r>
      <w:r w:rsidRPr="00B64DD1">
        <w:t>Ustęp 47 b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2B12B13A" w14:textId="77777777" w:rsidTr="00EA17FD">
        <w:trPr>
          <w:trHeight w:hRule="exact" w:val="240"/>
          <w:jc w:val="center"/>
        </w:trPr>
        <w:tc>
          <w:tcPr>
            <w:tcW w:w="9752" w:type="dxa"/>
            <w:gridSpan w:val="2"/>
            <w:tcBorders>
              <w:top w:val="nil"/>
              <w:left w:val="nil"/>
              <w:bottom w:val="nil"/>
              <w:right w:val="nil"/>
            </w:tcBorders>
          </w:tcPr>
          <w:p w14:paraId="4BF903C6" w14:textId="77777777" w:rsidR="00A82F4D" w:rsidRPr="00B64DD1" w:rsidRDefault="00A82F4D" w:rsidP="00EA17FD"/>
        </w:tc>
      </w:tr>
      <w:tr w:rsidR="00A82F4D" w:rsidRPr="00B64DD1" w14:paraId="6D35B73C" w14:textId="77777777" w:rsidTr="00EA17FD">
        <w:trPr>
          <w:trHeight w:val="240"/>
          <w:jc w:val="center"/>
        </w:trPr>
        <w:tc>
          <w:tcPr>
            <w:tcW w:w="4876" w:type="dxa"/>
            <w:tcBorders>
              <w:top w:val="nil"/>
              <w:left w:val="nil"/>
              <w:bottom w:val="nil"/>
              <w:right w:val="nil"/>
            </w:tcBorders>
          </w:tcPr>
          <w:p w14:paraId="0725D6F0"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51B378FF" w14:textId="77777777" w:rsidR="00A82F4D" w:rsidRPr="00B64DD1" w:rsidRDefault="00A82F4D" w:rsidP="00EA17FD">
            <w:pPr>
              <w:pStyle w:val="AmColumnHeading"/>
            </w:pPr>
            <w:r w:rsidRPr="00B64DD1">
              <w:t>Poprawka</w:t>
            </w:r>
          </w:p>
        </w:tc>
      </w:tr>
      <w:tr w:rsidR="00A82F4D" w:rsidRPr="00B64DD1" w14:paraId="02236DCD" w14:textId="77777777" w:rsidTr="00EA17FD">
        <w:trPr>
          <w:jc w:val="center"/>
        </w:trPr>
        <w:tc>
          <w:tcPr>
            <w:tcW w:w="4876" w:type="dxa"/>
            <w:tcBorders>
              <w:top w:val="nil"/>
              <w:left w:val="nil"/>
              <w:bottom w:val="nil"/>
              <w:right w:val="nil"/>
            </w:tcBorders>
          </w:tcPr>
          <w:p w14:paraId="40C36884" w14:textId="77777777" w:rsidR="00A82F4D" w:rsidRPr="00B64DD1" w:rsidRDefault="00A82F4D" w:rsidP="00EA17FD">
            <w:pPr>
              <w:pStyle w:val="Normal6a"/>
            </w:pPr>
          </w:p>
        </w:tc>
        <w:tc>
          <w:tcPr>
            <w:tcW w:w="4876" w:type="dxa"/>
            <w:tcBorders>
              <w:top w:val="nil"/>
              <w:left w:val="nil"/>
              <w:bottom w:val="nil"/>
              <w:right w:val="nil"/>
            </w:tcBorders>
          </w:tcPr>
          <w:p w14:paraId="238D6333" w14:textId="77777777" w:rsidR="00A82F4D" w:rsidRPr="00B64DD1" w:rsidRDefault="00A82F4D" w:rsidP="00EA17FD">
            <w:pPr>
              <w:pStyle w:val="Normal6a"/>
            </w:pPr>
            <w:r w:rsidRPr="00B64DD1">
              <w:rPr>
                <w:b/>
                <w:i/>
              </w:rPr>
              <w:t>47b.</w:t>
            </w:r>
            <w:r w:rsidRPr="00B64DD1">
              <w:tab/>
            </w:r>
            <w:r w:rsidRPr="00B64DD1">
              <w:rPr>
                <w:b/>
                <w:i/>
              </w:rPr>
              <w:t>zauważa, że taka sytuacja może podważyć zaufanie do instytucji UE, ponieważ zarzuty dotyczące nieprawidłowości w zamówieniach publicznych mogą budzić wątpliwości co do przejrzystości, uczciwości i równego traktowania kandydatów;</w:t>
            </w:r>
          </w:p>
        </w:tc>
      </w:tr>
    </w:tbl>
    <w:p w14:paraId="243815E2"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16AC52BA" w14:textId="77777777" w:rsidR="00A82F4D" w:rsidRPr="00B64DD1" w:rsidRDefault="00A82F4D" w:rsidP="00A82F4D">
      <w:r w:rsidRPr="00B64DD1">
        <w:rPr>
          <w:rStyle w:val="HideTWBExt"/>
        </w:rPr>
        <w:t>&lt;/Amend&gt;</w:t>
      </w:r>
    </w:p>
    <w:p w14:paraId="6B3BD974"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82</w:t>
      </w:r>
      <w:r w:rsidRPr="00B64DD1">
        <w:rPr>
          <w:rStyle w:val="HideTWBExt"/>
          <w:b w:val="0"/>
        </w:rPr>
        <w:t>&lt;/NumAm&gt;</w:t>
      </w:r>
    </w:p>
    <w:p w14:paraId="7212164C" w14:textId="77777777" w:rsidR="00A82F4D" w:rsidRPr="00B64DD1" w:rsidRDefault="00A82F4D" w:rsidP="00A82F4D">
      <w:pPr>
        <w:pStyle w:val="NormalBold"/>
      </w:pPr>
      <w:r w:rsidRPr="00B64DD1">
        <w:rPr>
          <w:rStyle w:val="HideTWBExt"/>
          <w:b w:val="0"/>
        </w:rPr>
        <w:t>&lt;RepeatBlock-By&gt;&lt;Members&gt;</w:t>
      </w:r>
      <w:r w:rsidRPr="00B64DD1">
        <w:t xml:space="preserve">Joachim Stanisław Brudziński, </w:t>
      </w:r>
      <w:proofErr w:type="spellStart"/>
      <w:r w:rsidRPr="00B64DD1">
        <w:t>Şerban</w:t>
      </w:r>
      <w:proofErr w:type="spellEnd"/>
      <w:r w:rsidRPr="00B64DD1">
        <w:t xml:space="preserve"> </w:t>
      </w:r>
      <w:proofErr w:type="spellStart"/>
      <w:r w:rsidRPr="00B64DD1">
        <w:t>Dimitrie</w:t>
      </w:r>
      <w:proofErr w:type="spellEnd"/>
      <w:r w:rsidRPr="00B64DD1">
        <w:t xml:space="preserve"> </w:t>
      </w:r>
      <w:proofErr w:type="spellStart"/>
      <w:r w:rsidRPr="00B64DD1">
        <w:t>Sturdza</w:t>
      </w:r>
      <w:proofErr w:type="spellEnd"/>
      <w:r w:rsidRPr="00B64DD1">
        <w:rPr>
          <w:rStyle w:val="HideTWBExt"/>
          <w:b w:val="0"/>
        </w:rPr>
        <w:t>&lt;/Members&gt;</w:t>
      </w:r>
    </w:p>
    <w:p w14:paraId="3AEE55D3" w14:textId="77777777" w:rsidR="00A82F4D" w:rsidRPr="00B64DD1" w:rsidRDefault="00A82F4D" w:rsidP="00A82F4D">
      <w:pPr>
        <w:pStyle w:val="NormalBold"/>
      </w:pPr>
      <w:r w:rsidRPr="00B64DD1">
        <w:rPr>
          <w:rStyle w:val="HideTWBExt"/>
          <w:b w:val="0"/>
        </w:rPr>
        <w:t>&lt;/RepeatBlock-By&gt;</w:t>
      </w:r>
    </w:p>
    <w:p w14:paraId="645F4F00"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37669A8D" w14:textId="77777777" w:rsidR="00A82F4D" w:rsidRPr="00B64DD1" w:rsidRDefault="00A82F4D" w:rsidP="00A82F4D">
      <w:pPr>
        <w:pStyle w:val="NormalBold"/>
      </w:pPr>
      <w:r w:rsidRPr="00B64DD1">
        <w:rPr>
          <w:rStyle w:val="HideTWBExt"/>
          <w:b w:val="0"/>
        </w:rPr>
        <w:t>&lt;Article&gt;</w:t>
      </w:r>
      <w:r w:rsidRPr="00B64DD1">
        <w:t>Ustęp 47 c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27128EAD" w14:textId="77777777" w:rsidTr="00EA17FD">
        <w:trPr>
          <w:trHeight w:hRule="exact" w:val="240"/>
          <w:jc w:val="center"/>
        </w:trPr>
        <w:tc>
          <w:tcPr>
            <w:tcW w:w="9752" w:type="dxa"/>
            <w:gridSpan w:val="2"/>
            <w:tcBorders>
              <w:top w:val="nil"/>
              <w:left w:val="nil"/>
              <w:bottom w:val="nil"/>
              <w:right w:val="nil"/>
            </w:tcBorders>
          </w:tcPr>
          <w:p w14:paraId="7643EE1C" w14:textId="77777777" w:rsidR="00A82F4D" w:rsidRPr="00B64DD1" w:rsidRDefault="00A82F4D" w:rsidP="00EA17FD"/>
        </w:tc>
      </w:tr>
      <w:tr w:rsidR="00A82F4D" w:rsidRPr="00B64DD1" w14:paraId="08F60FEE" w14:textId="77777777" w:rsidTr="00EA17FD">
        <w:trPr>
          <w:trHeight w:val="240"/>
          <w:jc w:val="center"/>
        </w:trPr>
        <w:tc>
          <w:tcPr>
            <w:tcW w:w="4876" w:type="dxa"/>
            <w:tcBorders>
              <w:top w:val="nil"/>
              <w:left w:val="nil"/>
              <w:bottom w:val="nil"/>
              <w:right w:val="nil"/>
            </w:tcBorders>
          </w:tcPr>
          <w:p w14:paraId="0DF848E9"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0911BFC1" w14:textId="77777777" w:rsidR="00A82F4D" w:rsidRPr="00B64DD1" w:rsidRDefault="00A82F4D" w:rsidP="00EA17FD">
            <w:pPr>
              <w:pStyle w:val="AmColumnHeading"/>
            </w:pPr>
            <w:r w:rsidRPr="00B64DD1">
              <w:t>Poprawka</w:t>
            </w:r>
          </w:p>
        </w:tc>
      </w:tr>
      <w:tr w:rsidR="00A82F4D" w:rsidRPr="00B64DD1" w14:paraId="368604A5" w14:textId="77777777" w:rsidTr="00EA17FD">
        <w:trPr>
          <w:jc w:val="center"/>
        </w:trPr>
        <w:tc>
          <w:tcPr>
            <w:tcW w:w="4876" w:type="dxa"/>
            <w:tcBorders>
              <w:top w:val="nil"/>
              <w:left w:val="nil"/>
              <w:bottom w:val="nil"/>
              <w:right w:val="nil"/>
            </w:tcBorders>
          </w:tcPr>
          <w:p w14:paraId="62CDD581" w14:textId="77777777" w:rsidR="00A82F4D" w:rsidRPr="00B64DD1" w:rsidRDefault="00A82F4D" w:rsidP="00EA17FD">
            <w:pPr>
              <w:pStyle w:val="Normal6a"/>
            </w:pPr>
          </w:p>
        </w:tc>
        <w:tc>
          <w:tcPr>
            <w:tcW w:w="4876" w:type="dxa"/>
            <w:tcBorders>
              <w:top w:val="nil"/>
              <w:left w:val="nil"/>
              <w:bottom w:val="nil"/>
              <w:right w:val="nil"/>
            </w:tcBorders>
          </w:tcPr>
          <w:p w14:paraId="0D84B0F9" w14:textId="77777777" w:rsidR="00A82F4D" w:rsidRPr="00B64DD1" w:rsidRDefault="00A82F4D" w:rsidP="00EA17FD">
            <w:pPr>
              <w:pStyle w:val="Normal6a"/>
            </w:pPr>
            <w:r w:rsidRPr="00B64DD1">
              <w:rPr>
                <w:b/>
                <w:i/>
              </w:rPr>
              <w:t>47c.</w:t>
            </w:r>
            <w:r w:rsidRPr="00B64DD1">
              <w:tab/>
            </w:r>
            <w:r w:rsidRPr="00B64DD1">
              <w:rPr>
                <w:b/>
                <w:i/>
              </w:rPr>
              <w:t>zauważa, że nawet jeśli nie zostaną one potwierdzone, tego rodzaju dochodzenia mogą zaszkodzić wiarygodności zarządzania UE i osłabić zaufanie publiczne do właściwego wykorzystania funduszy UE;</w:t>
            </w:r>
          </w:p>
        </w:tc>
      </w:tr>
    </w:tbl>
    <w:p w14:paraId="4E6CECA8"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43BFC425" w14:textId="77777777" w:rsidR="00A82F4D" w:rsidRPr="00B64DD1" w:rsidRDefault="00A82F4D" w:rsidP="00A82F4D">
      <w:r w:rsidRPr="00B64DD1">
        <w:rPr>
          <w:rStyle w:val="HideTWBExt"/>
        </w:rPr>
        <w:t>&lt;/Amend&gt;</w:t>
      </w:r>
    </w:p>
    <w:p w14:paraId="2438F595"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83</w:t>
      </w:r>
      <w:r w:rsidRPr="00B64DD1">
        <w:rPr>
          <w:rStyle w:val="HideTWBExt"/>
          <w:b w:val="0"/>
        </w:rPr>
        <w:t>&lt;/NumAm&gt;</w:t>
      </w:r>
    </w:p>
    <w:p w14:paraId="38320B74" w14:textId="77777777" w:rsidR="00A82F4D" w:rsidRPr="00B64DD1" w:rsidRDefault="00A82F4D" w:rsidP="00A82F4D">
      <w:pPr>
        <w:pStyle w:val="NormalBold"/>
      </w:pPr>
      <w:r w:rsidRPr="00B64DD1">
        <w:rPr>
          <w:rStyle w:val="HideTWBExt"/>
          <w:b w:val="0"/>
        </w:rPr>
        <w:t>&lt;RepeatBlock-By&gt;&lt;Members&gt;</w:t>
      </w:r>
      <w:proofErr w:type="spellStart"/>
      <w:r w:rsidRPr="00B64DD1">
        <w:t>Pasquale</w:t>
      </w:r>
      <w:proofErr w:type="spellEnd"/>
      <w:r w:rsidRPr="00B64DD1">
        <w:t xml:space="preserve"> </w:t>
      </w:r>
      <w:proofErr w:type="spellStart"/>
      <w:r w:rsidRPr="00B64DD1">
        <w:t>Tridico</w:t>
      </w:r>
      <w:proofErr w:type="spellEnd"/>
      <w:r w:rsidRPr="00B64DD1">
        <w:rPr>
          <w:rStyle w:val="HideTWBExt"/>
          <w:b w:val="0"/>
        </w:rPr>
        <w:t>&lt;/Members&gt;</w:t>
      </w:r>
    </w:p>
    <w:p w14:paraId="72EE2F10" w14:textId="77777777" w:rsidR="00A82F4D" w:rsidRPr="00B64DD1" w:rsidRDefault="00A82F4D" w:rsidP="00A82F4D">
      <w:pPr>
        <w:pStyle w:val="NormalBold"/>
      </w:pPr>
      <w:r w:rsidRPr="00B64DD1">
        <w:rPr>
          <w:rStyle w:val="HideTWBExt"/>
          <w:b w:val="0"/>
        </w:rPr>
        <w:t>&lt;/RepeatBlock-By&gt;</w:t>
      </w:r>
    </w:p>
    <w:p w14:paraId="3690756B"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5EF56668" w14:textId="77777777" w:rsidR="00A82F4D" w:rsidRPr="00B64DD1" w:rsidRDefault="00A82F4D" w:rsidP="00A82F4D">
      <w:pPr>
        <w:pStyle w:val="NormalBold"/>
      </w:pPr>
      <w:r w:rsidRPr="00B64DD1">
        <w:rPr>
          <w:rStyle w:val="HideTWBExt"/>
          <w:b w:val="0"/>
        </w:rPr>
        <w:t>&lt;Article&gt;</w:t>
      </w:r>
      <w:r w:rsidRPr="00B64DD1">
        <w:t>Ustęp 47 e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03CE18D7" w14:textId="77777777" w:rsidTr="00EA17FD">
        <w:trPr>
          <w:trHeight w:hRule="exact" w:val="240"/>
          <w:jc w:val="center"/>
        </w:trPr>
        <w:tc>
          <w:tcPr>
            <w:tcW w:w="9752" w:type="dxa"/>
            <w:gridSpan w:val="2"/>
            <w:tcBorders>
              <w:top w:val="nil"/>
              <w:left w:val="nil"/>
              <w:bottom w:val="nil"/>
              <w:right w:val="nil"/>
            </w:tcBorders>
          </w:tcPr>
          <w:p w14:paraId="07668A23" w14:textId="77777777" w:rsidR="00A82F4D" w:rsidRPr="00B64DD1" w:rsidRDefault="00A82F4D" w:rsidP="00EA17FD"/>
        </w:tc>
      </w:tr>
      <w:tr w:rsidR="00A82F4D" w:rsidRPr="00B64DD1" w14:paraId="25D85521" w14:textId="77777777" w:rsidTr="00EA17FD">
        <w:trPr>
          <w:trHeight w:val="240"/>
          <w:jc w:val="center"/>
        </w:trPr>
        <w:tc>
          <w:tcPr>
            <w:tcW w:w="4876" w:type="dxa"/>
            <w:tcBorders>
              <w:top w:val="nil"/>
              <w:left w:val="nil"/>
              <w:bottom w:val="nil"/>
              <w:right w:val="nil"/>
            </w:tcBorders>
          </w:tcPr>
          <w:p w14:paraId="149BA575"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32273992" w14:textId="77777777" w:rsidR="00A82F4D" w:rsidRPr="00B64DD1" w:rsidRDefault="00A82F4D" w:rsidP="00EA17FD">
            <w:pPr>
              <w:pStyle w:val="AmColumnHeading"/>
            </w:pPr>
            <w:r w:rsidRPr="00B64DD1">
              <w:t>Poprawka</w:t>
            </w:r>
          </w:p>
        </w:tc>
      </w:tr>
      <w:tr w:rsidR="00A82F4D" w:rsidRPr="00B64DD1" w14:paraId="53D65A9B" w14:textId="77777777" w:rsidTr="00EA17FD">
        <w:trPr>
          <w:jc w:val="center"/>
        </w:trPr>
        <w:tc>
          <w:tcPr>
            <w:tcW w:w="4876" w:type="dxa"/>
            <w:tcBorders>
              <w:top w:val="nil"/>
              <w:left w:val="nil"/>
              <w:bottom w:val="nil"/>
              <w:right w:val="nil"/>
            </w:tcBorders>
          </w:tcPr>
          <w:p w14:paraId="7746AA94" w14:textId="77777777" w:rsidR="00A82F4D" w:rsidRPr="00B64DD1" w:rsidRDefault="00A82F4D" w:rsidP="00EA17FD">
            <w:pPr>
              <w:pStyle w:val="Normal6a"/>
            </w:pPr>
          </w:p>
        </w:tc>
        <w:tc>
          <w:tcPr>
            <w:tcW w:w="4876" w:type="dxa"/>
            <w:tcBorders>
              <w:top w:val="nil"/>
              <w:left w:val="nil"/>
              <w:bottom w:val="nil"/>
              <w:right w:val="nil"/>
            </w:tcBorders>
          </w:tcPr>
          <w:p w14:paraId="6D0AD691" w14:textId="77777777" w:rsidR="00A82F4D" w:rsidRPr="00B64DD1" w:rsidRDefault="00A82F4D" w:rsidP="00EA17FD">
            <w:pPr>
              <w:pStyle w:val="Normal6a"/>
            </w:pPr>
            <w:r w:rsidRPr="00B64DD1">
              <w:rPr>
                <w:b/>
                <w:i/>
              </w:rPr>
              <w:t>47e.</w:t>
            </w:r>
            <w:r w:rsidRPr="00B64DD1">
              <w:tab/>
            </w:r>
            <w:r w:rsidRPr="00B64DD1">
              <w:rPr>
                <w:b/>
                <w:i/>
              </w:rPr>
              <w:t>uważa, że dochodzenia prowadzone przez EPPO powinny stanowić okazję do poprawy wewnętrznego zarządzania ESDZ i nie mogą być wykorzystywane do podważania roli ADUE, której wartość dodaną należy w pełni docenić, zwłaszcza w świetle konsekwentnie pozytywnych opinii uczestników i państw członkowskich;</w:t>
            </w:r>
          </w:p>
        </w:tc>
      </w:tr>
    </w:tbl>
    <w:p w14:paraId="615ED5BB"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0E3A5695" w14:textId="77777777" w:rsidR="00A82F4D" w:rsidRPr="00B64DD1" w:rsidRDefault="00A82F4D" w:rsidP="00A82F4D">
      <w:r w:rsidRPr="00B64DD1">
        <w:rPr>
          <w:rStyle w:val="HideTWBExt"/>
        </w:rPr>
        <w:t>&lt;/Amend&gt;</w:t>
      </w:r>
    </w:p>
    <w:p w14:paraId="103470D3"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84</w:t>
      </w:r>
      <w:r w:rsidRPr="00B64DD1">
        <w:rPr>
          <w:rStyle w:val="HideTWBExt"/>
          <w:b w:val="0"/>
        </w:rPr>
        <w:t>&lt;/NumAm&gt;</w:t>
      </w:r>
    </w:p>
    <w:p w14:paraId="46D8FB3C" w14:textId="77777777" w:rsidR="00A82F4D" w:rsidRPr="00B64DD1" w:rsidRDefault="00A82F4D" w:rsidP="00A82F4D">
      <w:pPr>
        <w:pStyle w:val="NormalBold"/>
      </w:pPr>
      <w:r w:rsidRPr="00B64DD1">
        <w:rPr>
          <w:rStyle w:val="HideTWBExt"/>
          <w:b w:val="0"/>
        </w:rPr>
        <w:t>&lt;RepeatBlock-By&gt;&lt;Members&gt;</w:t>
      </w:r>
      <w:proofErr w:type="spellStart"/>
      <w:r w:rsidRPr="00B64DD1">
        <w:t>Tamás</w:t>
      </w:r>
      <w:proofErr w:type="spellEnd"/>
      <w:r w:rsidRPr="00B64DD1">
        <w:t xml:space="preserve"> </w:t>
      </w:r>
      <w:proofErr w:type="spellStart"/>
      <w:r w:rsidRPr="00B64DD1">
        <w:t>Deutsch</w:t>
      </w:r>
      <w:proofErr w:type="spellEnd"/>
      <w:r w:rsidRPr="00B64DD1">
        <w:rPr>
          <w:rStyle w:val="HideTWBExt"/>
          <w:b w:val="0"/>
        </w:rPr>
        <w:t>&lt;/Members&gt;</w:t>
      </w:r>
    </w:p>
    <w:p w14:paraId="0D2B0990" w14:textId="77777777" w:rsidR="00A82F4D" w:rsidRPr="00B64DD1" w:rsidRDefault="00A82F4D" w:rsidP="00A82F4D">
      <w:pPr>
        <w:pStyle w:val="NormalBold"/>
      </w:pPr>
      <w:r w:rsidRPr="00B64DD1">
        <w:rPr>
          <w:rStyle w:val="HideTWBExt"/>
          <w:b w:val="0"/>
        </w:rPr>
        <w:t>&lt;/RepeatBlock-By&gt;</w:t>
      </w:r>
    </w:p>
    <w:p w14:paraId="471A87D8"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5FDA3B97" w14:textId="77777777" w:rsidR="00A82F4D" w:rsidRPr="00B64DD1" w:rsidRDefault="00A82F4D" w:rsidP="00A82F4D">
      <w:pPr>
        <w:pStyle w:val="NormalBold"/>
      </w:pPr>
      <w:r w:rsidRPr="00B64DD1">
        <w:rPr>
          <w:rStyle w:val="HideTWBExt"/>
          <w:b w:val="0"/>
        </w:rPr>
        <w:t>&lt;Article&gt;</w:t>
      </w:r>
      <w:r w:rsidRPr="00B64DD1">
        <w:t>Ustęp 47 a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20811E2A" w14:textId="77777777" w:rsidTr="00EA17FD">
        <w:trPr>
          <w:trHeight w:hRule="exact" w:val="240"/>
          <w:jc w:val="center"/>
        </w:trPr>
        <w:tc>
          <w:tcPr>
            <w:tcW w:w="9752" w:type="dxa"/>
            <w:gridSpan w:val="2"/>
            <w:tcBorders>
              <w:top w:val="nil"/>
              <w:left w:val="nil"/>
              <w:bottom w:val="nil"/>
              <w:right w:val="nil"/>
            </w:tcBorders>
          </w:tcPr>
          <w:p w14:paraId="522CECB1" w14:textId="77777777" w:rsidR="00A82F4D" w:rsidRPr="00B64DD1" w:rsidRDefault="00A82F4D" w:rsidP="00EA17FD"/>
        </w:tc>
      </w:tr>
      <w:tr w:rsidR="00A82F4D" w:rsidRPr="00B64DD1" w14:paraId="11675DC8" w14:textId="77777777" w:rsidTr="00EA17FD">
        <w:trPr>
          <w:trHeight w:val="240"/>
          <w:jc w:val="center"/>
        </w:trPr>
        <w:tc>
          <w:tcPr>
            <w:tcW w:w="4876" w:type="dxa"/>
            <w:tcBorders>
              <w:top w:val="nil"/>
              <w:left w:val="nil"/>
              <w:bottom w:val="nil"/>
              <w:right w:val="nil"/>
            </w:tcBorders>
          </w:tcPr>
          <w:p w14:paraId="146EFF43"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01436431" w14:textId="77777777" w:rsidR="00A82F4D" w:rsidRPr="00B64DD1" w:rsidRDefault="00A82F4D" w:rsidP="00EA17FD">
            <w:pPr>
              <w:pStyle w:val="AmColumnHeading"/>
            </w:pPr>
            <w:r w:rsidRPr="00B64DD1">
              <w:t>Poprawka</w:t>
            </w:r>
          </w:p>
        </w:tc>
      </w:tr>
      <w:tr w:rsidR="00A82F4D" w:rsidRPr="00B64DD1" w14:paraId="0AE9881F" w14:textId="77777777" w:rsidTr="00EA17FD">
        <w:trPr>
          <w:jc w:val="center"/>
        </w:trPr>
        <w:tc>
          <w:tcPr>
            <w:tcW w:w="4876" w:type="dxa"/>
            <w:tcBorders>
              <w:top w:val="nil"/>
              <w:left w:val="nil"/>
              <w:bottom w:val="nil"/>
              <w:right w:val="nil"/>
            </w:tcBorders>
          </w:tcPr>
          <w:p w14:paraId="45857B0D" w14:textId="77777777" w:rsidR="00A82F4D" w:rsidRPr="00B64DD1" w:rsidRDefault="00A82F4D" w:rsidP="00EA17FD">
            <w:pPr>
              <w:pStyle w:val="Normal6a"/>
            </w:pPr>
          </w:p>
        </w:tc>
        <w:tc>
          <w:tcPr>
            <w:tcW w:w="4876" w:type="dxa"/>
            <w:tcBorders>
              <w:top w:val="nil"/>
              <w:left w:val="nil"/>
              <w:bottom w:val="nil"/>
              <w:right w:val="nil"/>
            </w:tcBorders>
          </w:tcPr>
          <w:p w14:paraId="2CCE8C4F" w14:textId="77777777" w:rsidR="00A82F4D" w:rsidRPr="00B64DD1" w:rsidRDefault="00A82F4D" w:rsidP="00EA17FD">
            <w:pPr>
              <w:pStyle w:val="Normal6a"/>
            </w:pPr>
            <w:r w:rsidRPr="00B64DD1">
              <w:rPr>
                <w:b/>
                <w:i/>
              </w:rPr>
              <w:t>47a.</w:t>
            </w:r>
            <w:r w:rsidRPr="00B64DD1">
              <w:tab/>
            </w:r>
            <w:r w:rsidRPr="00B64DD1">
              <w:rPr>
                <w:b/>
                <w:i/>
              </w:rPr>
              <w:t xml:space="preserve">uważa, że sprawa ujawniona w wyniku niedawnego postępowania karnego i dochodzeń dotyczących ESDZ wykazała, że interesy finansowe Unii Europejskiej nie były odpowiednio chronione w Europejskiej Służbie Działań Zewnętrznych; w związku z tym sugeruje odłożenie decyzji w sprawie udzielenia </w:t>
            </w:r>
            <w:r w:rsidRPr="00B64DD1">
              <w:rPr>
                <w:b/>
                <w:i/>
              </w:rPr>
              <w:lastRenderedPageBreak/>
              <w:t>wysokiej przedstawicielce Unii do spraw zagranicznych i polityki bezpieczeństwa absolutorium za rok budżetowy 2024;</w:t>
            </w:r>
          </w:p>
        </w:tc>
      </w:tr>
    </w:tbl>
    <w:p w14:paraId="3C17C36F"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76B15FAC" w14:textId="77777777" w:rsidR="00A82F4D" w:rsidRPr="00B64DD1" w:rsidRDefault="00A82F4D" w:rsidP="00A82F4D">
      <w:r w:rsidRPr="00B64DD1">
        <w:rPr>
          <w:rStyle w:val="HideTWBExt"/>
        </w:rPr>
        <w:t>&lt;/Amend&gt;</w:t>
      </w:r>
    </w:p>
    <w:p w14:paraId="6E1B4C09"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85</w:t>
      </w:r>
      <w:r w:rsidRPr="00B64DD1">
        <w:rPr>
          <w:rStyle w:val="HideTWBExt"/>
          <w:b w:val="0"/>
        </w:rPr>
        <w:t>&lt;/NumAm&gt;</w:t>
      </w:r>
    </w:p>
    <w:p w14:paraId="2840EB95" w14:textId="77777777" w:rsidR="00A82F4D" w:rsidRPr="00B64DD1" w:rsidRDefault="00A82F4D" w:rsidP="00A82F4D">
      <w:pPr>
        <w:pStyle w:val="NormalBold"/>
      </w:pPr>
      <w:r w:rsidRPr="00B64DD1">
        <w:rPr>
          <w:rStyle w:val="HideTWBExt"/>
          <w:b w:val="0"/>
        </w:rPr>
        <w:t>&lt;RepeatBlock-By&gt;&lt;Members&gt;</w:t>
      </w:r>
      <w:proofErr w:type="spellStart"/>
      <w:r w:rsidRPr="00B64DD1">
        <w:t>Pasquale</w:t>
      </w:r>
      <w:proofErr w:type="spellEnd"/>
      <w:r w:rsidRPr="00B64DD1">
        <w:t xml:space="preserve"> </w:t>
      </w:r>
      <w:proofErr w:type="spellStart"/>
      <w:r w:rsidRPr="00B64DD1">
        <w:t>Tridico</w:t>
      </w:r>
      <w:proofErr w:type="spellEnd"/>
      <w:r w:rsidRPr="00B64DD1">
        <w:rPr>
          <w:rStyle w:val="HideTWBExt"/>
          <w:b w:val="0"/>
        </w:rPr>
        <w:t>&lt;/Members&gt;</w:t>
      </w:r>
    </w:p>
    <w:p w14:paraId="5D9A85C6" w14:textId="77777777" w:rsidR="00A82F4D" w:rsidRPr="00B64DD1" w:rsidRDefault="00A82F4D" w:rsidP="00A82F4D">
      <w:pPr>
        <w:pStyle w:val="NormalBold"/>
      </w:pPr>
      <w:r w:rsidRPr="00B64DD1">
        <w:rPr>
          <w:rStyle w:val="HideTWBExt"/>
          <w:b w:val="0"/>
        </w:rPr>
        <w:t>&lt;/RepeatBlock-By&gt;</w:t>
      </w:r>
    </w:p>
    <w:p w14:paraId="0C0AE42F"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18E09E17" w14:textId="77777777" w:rsidR="00A82F4D" w:rsidRPr="00B64DD1" w:rsidRDefault="00A82F4D" w:rsidP="00A82F4D">
      <w:pPr>
        <w:pStyle w:val="NormalBold"/>
      </w:pPr>
      <w:r w:rsidRPr="00B64DD1">
        <w:rPr>
          <w:rStyle w:val="HideTWBExt"/>
          <w:b w:val="0"/>
        </w:rPr>
        <w:t>&lt;Article&gt;</w:t>
      </w:r>
      <w:r w:rsidRPr="00B64DD1">
        <w:t>Ustęp 47 a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18E869BF" w14:textId="77777777" w:rsidTr="00EA17FD">
        <w:trPr>
          <w:trHeight w:hRule="exact" w:val="240"/>
          <w:jc w:val="center"/>
        </w:trPr>
        <w:tc>
          <w:tcPr>
            <w:tcW w:w="9752" w:type="dxa"/>
            <w:gridSpan w:val="2"/>
            <w:tcBorders>
              <w:top w:val="nil"/>
              <w:left w:val="nil"/>
              <w:bottom w:val="nil"/>
              <w:right w:val="nil"/>
            </w:tcBorders>
          </w:tcPr>
          <w:p w14:paraId="7C1DA8FA" w14:textId="77777777" w:rsidR="00A82F4D" w:rsidRPr="00B64DD1" w:rsidRDefault="00A82F4D" w:rsidP="00EA17FD"/>
        </w:tc>
      </w:tr>
      <w:tr w:rsidR="00A82F4D" w:rsidRPr="00B64DD1" w14:paraId="3583D706" w14:textId="77777777" w:rsidTr="00EA17FD">
        <w:trPr>
          <w:trHeight w:val="240"/>
          <w:jc w:val="center"/>
        </w:trPr>
        <w:tc>
          <w:tcPr>
            <w:tcW w:w="4876" w:type="dxa"/>
            <w:tcBorders>
              <w:top w:val="nil"/>
              <w:left w:val="nil"/>
              <w:bottom w:val="nil"/>
              <w:right w:val="nil"/>
            </w:tcBorders>
          </w:tcPr>
          <w:p w14:paraId="272D7FA8"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17871D83" w14:textId="77777777" w:rsidR="00A82F4D" w:rsidRPr="00B64DD1" w:rsidRDefault="00A82F4D" w:rsidP="00EA17FD">
            <w:pPr>
              <w:pStyle w:val="AmColumnHeading"/>
            </w:pPr>
            <w:r w:rsidRPr="00B64DD1">
              <w:t>Poprawka</w:t>
            </w:r>
          </w:p>
        </w:tc>
      </w:tr>
      <w:tr w:rsidR="00A82F4D" w:rsidRPr="00B64DD1" w14:paraId="053B66E0" w14:textId="77777777" w:rsidTr="00EA17FD">
        <w:trPr>
          <w:jc w:val="center"/>
        </w:trPr>
        <w:tc>
          <w:tcPr>
            <w:tcW w:w="4876" w:type="dxa"/>
            <w:tcBorders>
              <w:top w:val="nil"/>
              <w:left w:val="nil"/>
              <w:bottom w:val="nil"/>
              <w:right w:val="nil"/>
            </w:tcBorders>
          </w:tcPr>
          <w:p w14:paraId="1DDCD002" w14:textId="77777777" w:rsidR="00A82F4D" w:rsidRPr="00B64DD1" w:rsidRDefault="00A82F4D" w:rsidP="00EA17FD">
            <w:pPr>
              <w:pStyle w:val="Normal6a"/>
            </w:pPr>
          </w:p>
        </w:tc>
        <w:tc>
          <w:tcPr>
            <w:tcW w:w="4876" w:type="dxa"/>
            <w:tcBorders>
              <w:top w:val="nil"/>
              <w:left w:val="nil"/>
              <w:bottom w:val="nil"/>
              <w:right w:val="nil"/>
            </w:tcBorders>
          </w:tcPr>
          <w:p w14:paraId="3B249380" w14:textId="77777777" w:rsidR="00A82F4D" w:rsidRPr="00B64DD1" w:rsidRDefault="00A82F4D" w:rsidP="00EA17FD">
            <w:pPr>
              <w:pStyle w:val="Normal6a"/>
            </w:pPr>
            <w:r w:rsidRPr="00B64DD1">
              <w:rPr>
                <w:b/>
                <w:i/>
              </w:rPr>
              <w:t>47a.</w:t>
            </w:r>
            <w:r w:rsidRPr="00B64DD1">
              <w:tab/>
            </w:r>
            <w:r w:rsidRPr="00B64DD1">
              <w:rPr>
                <w:b/>
                <w:i/>
              </w:rPr>
              <w:t>rozumie, na podstawie pytań uzupełniających, że fakty związane z dochodzeniami EPPO podlegają ścisłym zasadom poufności i nie mogą być ujawniane w kontekście procedury udzielania absolutorium, ale z zadowoleniem przyjmuje fakt, że ESDZ zobowiązała się do udostępnienia odpowiednich dokumentów po zakończeniu dochodzeń sądowych;</w:t>
            </w:r>
          </w:p>
        </w:tc>
      </w:tr>
    </w:tbl>
    <w:p w14:paraId="52E65CE4"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6A867589" w14:textId="77777777" w:rsidR="00A82F4D" w:rsidRPr="00B64DD1" w:rsidRDefault="00A82F4D" w:rsidP="00A82F4D">
      <w:r w:rsidRPr="00B64DD1">
        <w:rPr>
          <w:rStyle w:val="HideTWBExt"/>
        </w:rPr>
        <w:t>&lt;/Amend&gt;</w:t>
      </w:r>
    </w:p>
    <w:p w14:paraId="6C3A7D92"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86</w:t>
      </w:r>
      <w:r w:rsidRPr="00B64DD1">
        <w:rPr>
          <w:rStyle w:val="HideTWBExt"/>
          <w:b w:val="0"/>
        </w:rPr>
        <w:t>&lt;/NumAm&gt;</w:t>
      </w:r>
    </w:p>
    <w:p w14:paraId="1AF04D9E" w14:textId="77777777" w:rsidR="00A82F4D" w:rsidRPr="00B64DD1" w:rsidRDefault="00A82F4D" w:rsidP="00A82F4D">
      <w:pPr>
        <w:pStyle w:val="NormalBold"/>
      </w:pPr>
      <w:r w:rsidRPr="00B64DD1">
        <w:rPr>
          <w:rStyle w:val="HideTWBExt"/>
          <w:b w:val="0"/>
        </w:rPr>
        <w:t>&lt;RepeatBlock-By&gt;&lt;Members&gt;</w:t>
      </w:r>
      <w:proofErr w:type="spellStart"/>
      <w:r w:rsidRPr="00B64DD1">
        <w:t>Pasquale</w:t>
      </w:r>
      <w:proofErr w:type="spellEnd"/>
      <w:r w:rsidRPr="00B64DD1">
        <w:t xml:space="preserve"> </w:t>
      </w:r>
      <w:proofErr w:type="spellStart"/>
      <w:r w:rsidRPr="00B64DD1">
        <w:t>Tridico</w:t>
      </w:r>
      <w:proofErr w:type="spellEnd"/>
      <w:r w:rsidRPr="00B64DD1">
        <w:rPr>
          <w:rStyle w:val="HideTWBExt"/>
          <w:b w:val="0"/>
        </w:rPr>
        <w:t>&lt;/Members&gt;</w:t>
      </w:r>
    </w:p>
    <w:p w14:paraId="0FDE5861" w14:textId="77777777" w:rsidR="00A82F4D" w:rsidRPr="00B64DD1" w:rsidRDefault="00A82F4D" w:rsidP="00A82F4D">
      <w:pPr>
        <w:pStyle w:val="NormalBold"/>
      </w:pPr>
      <w:r w:rsidRPr="00B64DD1">
        <w:rPr>
          <w:rStyle w:val="HideTWBExt"/>
          <w:b w:val="0"/>
        </w:rPr>
        <w:t>&lt;/RepeatBlock-By&gt;</w:t>
      </w:r>
    </w:p>
    <w:p w14:paraId="5FF13AA2"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446337F0" w14:textId="77777777" w:rsidR="00A82F4D" w:rsidRPr="00B64DD1" w:rsidRDefault="00A82F4D" w:rsidP="00A82F4D">
      <w:pPr>
        <w:pStyle w:val="NormalBold"/>
      </w:pPr>
      <w:r w:rsidRPr="00B64DD1">
        <w:rPr>
          <w:rStyle w:val="HideTWBExt"/>
          <w:b w:val="0"/>
        </w:rPr>
        <w:t>&lt;Article&gt;</w:t>
      </w:r>
      <w:r w:rsidRPr="00B64DD1">
        <w:t>Ustęp 47 c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3273FB32" w14:textId="77777777" w:rsidTr="00EA17FD">
        <w:trPr>
          <w:trHeight w:hRule="exact" w:val="240"/>
          <w:jc w:val="center"/>
        </w:trPr>
        <w:tc>
          <w:tcPr>
            <w:tcW w:w="9752" w:type="dxa"/>
            <w:gridSpan w:val="2"/>
            <w:tcBorders>
              <w:top w:val="nil"/>
              <w:left w:val="nil"/>
              <w:bottom w:val="nil"/>
              <w:right w:val="nil"/>
            </w:tcBorders>
          </w:tcPr>
          <w:p w14:paraId="2D65B8EC" w14:textId="77777777" w:rsidR="00A82F4D" w:rsidRPr="00B64DD1" w:rsidRDefault="00A82F4D" w:rsidP="00EA17FD"/>
        </w:tc>
      </w:tr>
      <w:tr w:rsidR="00A82F4D" w:rsidRPr="00B64DD1" w14:paraId="37B02A52" w14:textId="77777777" w:rsidTr="00EA17FD">
        <w:trPr>
          <w:trHeight w:val="240"/>
          <w:jc w:val="center"/>
        </w:trPr>
        <w:tc>
          <w:tcPr>
            <w:tcW w:w="4876" w:type="dxa"/>
            <w:tcBorders>
              <w:top w:val="nil"/>
              <w:left w:val="nil"/>
              <w:bottom w:val="nil"/>
              <w:right w:val="nil"/>
            </w:tcBorders>
          </w:tcPr>
          <w:p w14:paraId="26786F41"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7550CC07" w14:textId="77777777" w:rsidR="00A82F4D" w:rsidRPr="00B64DD1" w:rsidRDefault="00A82F4D" w:rsidP="00EA17FD">
            <w:pPr>
              <w:pStyle w:val="AmColumnHeading"/>
            </w:pPr>
            <w:r w:rsidRPr="00B64DD1">
              <w:t>Poprawka</w:t>
            </w:r>
          </w:p>
        </w:tc>
      </w:tr>
      <w:tr w:rsidR="00A82F4D" w:rsidRPr="00B64DD1" w14:paraId="5B22D3BD" w14:textId="77777777" w:rsidTr="00EA17FD">
        <w:trPr>
          <w:jc w:val="center"/>
        </w:trPr>
        <w:tc>
          <w:tcPr>
            <w:tcW w:w="4876" w:type="dxa"/>
            <w:tcBorders>
              <w:top w:val="nil"/>
              <w:left w:val="nil"/>
              <w:bottom w:val="nil"/>
              <w:right w:val="nil"/>
            </w:tcBorders>
          </w:tcPr>
          <w:p w14:paraId="7C545657" w14:textId="77777777" w:rsidR="00A82F4D" w:rsidRPr="00B64DD1" w:rsidRDefault="00A82F4D" w:rsidP="00EA17FD">
            <w:pPr>
              <w:pStyle w:val="Normal6a"/>
            </w:pPr>
          </w:p>
        </w:tc>
        <w:tc>
          <w:tcPr>
            <w:tcW w:w="4876" w:type="dxa"/>
            <w:tcBorders>
              <w:top w:val="nil"/>
              <w:left w:val="nil"/>
              <w:bottom w:val="nil"/>
              <w:right w:val="nil"/>
            </w:tcBorders>
          </w:tcPr>
          <w:p w14:paraId="4A813D8B" w14:textId="77777777" w:rsidR="00A82F4D" w:rsidRPr="00B64DD1" w:rsidRDefault="00A82F4D" w:rsidP="00EA17FD">
            <w:pPr>
              <w:pStyle w:val="Normal6a"/>
            </w:pPr>
            <w:r w:rsidRPr="00B64DD1">
              <w:rPr>
                <w:b/>
                <w:i/>
              </w:rPr>
              <w:t>47c.</w:t>
            </w:r>
            <w:r w:rsidRPr="00B64DD1">
              <w:tab/>
            </w:r>
            <w:r w:rsidRPr="00B64DD1">
              <w:rPr>
                <w:b/>
                <w:i/>
              </w:rPr>
              <w:t xml:space="preserve">zauważa, że zgodnie z umową o udzielenie dotacji, na mocy której ADUE zostaje powierzona Kolegium Europejskiemu, Kolegium ma obowiązek przedłożyć wraz ze swoim sprawozdaniem końcowym sprawozdanie z weryfikacji wydatków, sporządzone przez zewnętrznego audytora, które ma zostać wkrótce przedłożone za rok 2024; wzywa ESDZ do udostępnienia tej oceny </w:t>
            </w:r>
            <w:r w:rsidRPr="00B64DD1">
              <w:rPr>
                <w:b/>
                <w:i/>
              </w:rPr>
              <w:lastRenderedPageBreak/>
              <w:t>organowi udzielającemu absolutorium w celu zapewnienia rozliczalności i przejrzystości;</w:t>
            </w:r>
          </w:p>
        </w:tc>
      </w:tr>
    </w:tbl>
    <w:p w14:paraId="6221D61F"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472042A5" w14:textId="77777777" w:rsidR="00A82F4D" w:rsidRPr="00B64DD1" w:rsidRDefault="00A82F4D" w:rsidP="00A82F4D">
      <w:r w:rsidRPr="00B64DD1">
        <w:rPr>
          <w:rStyle w:val="HideTWBExt"/>
        </w:rPr>
        <w:t>&lt;/Amend&gt;</w:t>
      </w:r>
    </w:p>
    <w:p w14:paraId="5E7D8893"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87</w:t>
      </w:r>
      <w:r w:rsidRPr="00B64DD1">
        <w:rPr>
          <w:rStyle w:val="HideTWBExt"/>
          <w:b w:val="0"/>
        </w:rPr>
        <w:t>&lt;/NumAm&gt;</w:t>
      </w:r>
    </w:p>
    <w:p w14:paraId="10ED4CEB" w14:textId="77777777" w:rsidR="00A82F4D" w:rsidRPr="00B64DD1" w:rsidRDefault="00A82F4D" w:rsidP="00A82F4D">
      <w:pPr>
        <w:pStyle w:val="NormalBold"/>
      </w:pPr>
      <w:r w:rsidRPr="00B64DD1">
        <w:rPr>
          <w:rStyle w:val="HideTWBExt"/>
          <w:b w:val="0"/>
        </w:rPr>
        <w:t>&lt;RepeatBlock-By&gt;&lt;Members&gt;</w:t>
      </w:r>
      <w:r w:rsidRPr="00B64DD1">
        <w:t xml:space="preserve">Dick </w:t>
      </w:r>
      <w:proofErr w:type="spellStart"/>
      <w:r w:rsidRPr="00B64DD1">
        <w:t>Erixon</w:t>
      </w:r>
      <w:proofErr w:type="spellEnd"/>
      <w:r w:rsidRPr="00B64DD1">
        <w:t xml:space="preserve">, </w:t>
      </w:r>
      <w:proofErr w:type="spellStart"/>
      <w:r w:rsidRPr="00B64DD1">
        <w:t>Şerban</w:t>
      </w:r>
      <w:proofErr w:type="spellEnd"/>
      <w:r w:rsidRPr="00B64DD1">
        <w:t xml:space="preserve"> </w:t>
      </w:r>
      <w:proofErr w:type="spellStart"/>
      <w:r w:rsidRPr="00B64DD1">
        <w:t>Dimitrie</w:t>
      </w:r>
      <w:proofErr w:type="spellEnd"/>
      <w:r w:rsidRPr="00B64DD1">
        <w:t xml:space="preserve"> </w:t>
      </w:r>
      <w:proofErr w:type="spellStart"/>
      <w:r w:rsidRPr="00B64DD1">
        <w:t>Sturdza</w:t>
      </w:r>
      <w:proofErr w:type="spellEnd"/>
      <w:r w:rsidRPr="00B64DD1">
        <w:t>, Joachim Stanisław Brudziński</w:t>
      </w:r>
      <w:r w:rsidRPr="00B64DD1">
        <w:rPr>
          <w:rStyle w:val="HideTWBExt"/>
          <w:b w:val="0"/>
        </w:rPr>
        <w:t>&lt;/Members&gt;</w:t>
      </w:r>
    </w:p>
    <w:p w14:paraId="7AAC7ADB" w14:textId="77777777" w:rsidR="00A82F4D" w:rsidRPr="00B64DD1" w:rsidRDefault="00A82F4D" w:rsidP="00A82F4D">
      <w:pPr>
        <w:pStyle w:val="NormalBold"/>
      </w:pPr>
      <w:r w:rsidRPr="00B64DD1">
        <w:rPr>
          <w:rStyle w:val="HideTWBExt"/>
          <w:b w:val="0"/>
        </w:rPr>
        <w:t>&lt;/RepeatBlock-By&gt;</w:t>
      </w:r>
    </w:p>
    <w:p w14:paraId="45F21932"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73BD73E5" w14:textId="77777777" w:rsidR="00A82F4D" w:rsidRPr="00B64DD1" w:rsidRDefault="00A82F4D" w:rsidP="00A82F4D">
      <w:pPr>
        <w:pStyle w:val="NormalBold"/>
      </w:pPr>
      <w:r w:rsidRPr="00B64DD1">
        <w:rPr>
          <w:rStyle w:val="HideTWBExt"/>
          <w:b w:val="0"/>
        </w:rPr>
        <w:t>&lt;Article&gt;</w:t>
      </w:r>
      <w:r w:rsidRPr="00B64DD1">
        <w:t>Ustęp 47 b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0915EDC1" w14:textId="77777777" w:rsidTr="00EA17FD">
        <w:trPr>
          <w:trHeight w:hRule="exact" w:val="240"/>
          <w:jc w:val="center"/>
        </w:trPr>
        <w:tc>
          <w:tcPr>
            <w:tcW w:w="9752" w:type="dxa"/>
            <w:gridSpan w:val="2"/>
            <w:tcBorders>
              <w:top w:val="nil"/>
              <w:left w:val="nil"/>
              <w:bottom w:val="nil"/>
              <w:right w:val="nil"/>
            </w:tcBorders>
          </w:tcPr>
          <w:p w14:paraId="46140523" w14:textId="77777777" w:rsidR="00A82F4D" w:rsidRPr="00B64DD1" w:rsidRDefault="00A82F4D" w:rsidP="00EA17FD"/>
        </w:tc>
      </w:tr>
      <w:tr w:rsidR="00A82F4D" w:rsidRPr="00B64DD1" w14:paraId="02CD46BC" w14:textId="77777777" w:rsidTr="00EA17FD">
        <w:trPr>
          <w:trHeight w:val="240"/>
          <w:jc w:val="center"/>
        </w:trPr>
        <w:tc>
          <w:tcPr>
            <w:tcW w:w="4876" w:type="dxa"/>
            <w:tcBorders>
              <w:top w:val="nil"/>
              <w:left w:val="nil"/>
              <w:bottom w:val="nil"/>
              <w:right w:val="nil"/>
            </w:tcBorders>
          </w:tcPr>
          <w:p w14:paraId="294EB704"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4BCFED3E" w14:textId="77777777" w:rsidR="00A82F4D" w:rsidRPr="00B64DD1" w:rsidRDefault="00A82F4D" w:rsidP="00EA17FD">
            <w:pPr>
              <w:pStyle w:val="AmColumnHeading"/>
            </w:pPr>
            <w:r w:rsidRPr="00B64DD1">
              <w:t>Poprawka</w:t>
            </w:r>
          </w:p>
        </w:tc>
      </w:tr>
      <w:tr w:rsidR="00A82F4D" w:rsidRPr="00B64DD1" w14:paraId="480A56C4" w14:textId="77777777" w:rsidTr="00EA17FD">
        <w:trPr>
          <w:jc w:val="center"/>
        </w:trPr>
        <w:tc>
          <w:tcPr>
            <w:tcW w:w="4876" w:type="dxa"/>
            <w:tcBorders>
              <w:top w:val="nil"/>
              <w:left w:val="nil"/>
              <w:bottom w:val="nil"/>
              <w:right w:val="nil"/>
            </w:tcBorders>
          </w:tcPr>
          <w:p w14:paraId="181F3A4B" w14:textId="77777777" w:rsidR="00A82F4D" w:rsidRPr="00B64DD1" w:rsidRDefault="00A82F4D" w:rsidP="00EA17FD">
            <w:pPr>
              <w:pStyle w:val="Normal6a"/>
            </w:pPr>
          </w:p>
        </w:tc>
        <w:tc>
          <w:tcPr>
            <w:tcW w:w="4876" w:type="dxa"/>
            <w:tcBorders>
              <w:top w:val="nil"/>
              <w:left w:val="nil"/>
              <w:bottom w:val="nil"/>
              <w:right w:val="nil"/>
            </w:tcBorders>
          </w:tcPr>
          <w:p w14:paraId="010C183C" w14:textId="77777777" w:rsidR="00A82F4D" w:rsidRPr="00B64DD1" w:rsidRDefault="00A82F4D" w:rsidP="00EA17FD">
            <w:pPr>
              <w:pStyle w:val="Normal6a"/>
            </w:pPr>
            <w:r w:rsidRPr="00B64DD1">
              <w:rPr>
                <w:b/>
                <w:i/>
              </w:rPr>
              <w:t>47b.</w:t>
            </w:r>
            <w:r w:rsidRPr="00B64DD1">
              <w:tab/>
            </w:r>
            <w:r w:rsidRPr="00B64DD1">
              <w:rPr>
                <w:b/>
                <w:i/>
              </w:rPr>
              <w:t>wzywa ESDZ do przekazania Parlamentowi szczegółowych informacji na temat wdrożenia zaleceń Służby Audytu Wewnętrznego dotyczących zamówień publicznych; zwraca się do ESDZ o opublikowanie ustaleń i zaleceń grupy zadaniowej utworzonej w 2024 r. w celu usprawnienia procesów udzielania zamówień, aby umożliwić publiczną kontrolę ich wdrażania i umożliwić innym instytucjom UE skorzystanie z doświadczeń ESDZ w zakresie usprawniania procedur udzielania zamówień;</w:t>
            </w:r>
          </w:p>
        </w:tc>
      </w:tr>
    </w:tbl>
    <w:p w14:paraId="4FAF740C"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1903C34F" w14:textId="77777777" w:rsidR="00A82F4D" w:rsidRPr="00B64DD1" w:rsidRDefault="00A82F4D" w:rsidP="00A82F4D">
      <w:r w:rsidRPr="00B64DD1">
        <w:rPr>
          <w:rStyle w:val="HideTWBExt"/>
        </w:rPr>
        <w:t>&lt;/Amend&gt;</w:t>
      </w:r>
    </w:p>
    <w:p w14:paraId="368CFE5F"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88</w:t>
      </w:r>
      <w:r w:rsidRPr="00B64DD1">
        <w:rPr>
          <w:rStyle w:val="HideTWBExt"/>
          <w:b w:val="0"/>
        </w:rPr>
        <w:t>&lt;/NumAm&gt;</w:t>
      </w:r>
    </w:p>
    <w:p w14:paraId="5A074473" w14:textId="77777777" w:rsidR="00A82F4D" w:rsidRPr="00B64DD1" w:rsidRDefault="00A82F4D" w:rsidP="00A82F4D">
      <w:pPr>
        <w:pStyle w:val="NormalBold"/>
      </w:pPr>
      <w:r w:rsidRPr="00B64DD1">
        <w:rPr>
          <w:rStyle w:val="HideTWBExt"/>
          <w:b w:val="0"/>
        </w:rPr>
        <w:t>&lt;RepeatBlock-By&gt;&lt;Members&gt;</w:t>
      </w:r>
      <w:r w:rsidRPr="00B64DD1">
        <w:t xml:space="preserve">Dick </w:t>
      </w:r>
      <w:proofErr w:type="spellStart"/>
      <w:r w:rsidRPr="00B64DD1">
        <w:t>Erixon</w:t>
      </w:r>
      <w:proofErr w:type="spellEnd"/>
      <w:r w:rsidRPr="00B64DD1">
        <w:t xml:space="preserve">, </w:t>
      </w:r>
      <w:proofErr w:type="spellStart"/>
      <w:r w:rsidRPr="00B64DD1">
        <w:t>Şerban</w:t>
      </w:r>
      <w:proofErr w:type="spellEnd"/>
      <w:r w:rsidRPr="00B64DD1">
        <w:t xml:space="preserve"> </w:t>
      </w:r>
      <w:proofErr w:type="spellStart"/>
      <w:r w:rsidRPr="00B64DD1">
        <w:t>Dimitrie</w:t>
      </w:r>
      <w:proofErr w:type="spellEnd"/>
      <w:r w:rsidRPr="00B64DD1">
        <w:t xml:space="preserve"> </w:t>
      </w:r>
      <w:proofErr w:type="spellStart"/>
      <w:r w:rsidRPr="00B64DD1">
        <w:t>Sturdza</w:t>
      </w:r>
      <w:proofErr w:type="spellEnd"/>
      <w:r w:rsidRPr="00B64DD1">
        <w:t>, Joachim Stanisław Brudziński</w:t>
      </w:r>
      <w:r w:rsidRPr="00B64DD1">
        <w:rPr>
          <w:rStyle w:val="HideTWBExt"/>
          <w:b w:val="0"/>
        </w:rPr>
        <w:t>&lt;/Members&gt;</w:t>
      </w:r>
    </w:p>
    <w:p w14:paraId="63D9C39F" w14:textId="77777777" w:rsidR="00A82F4D" w:rsidRPr="00B64DD1" w:rsidRDefault="00A82F4D" w:rsidP="00A82F4D">
      <w:pPr>
        <w:pStyle w:val="NormalBold"/>
      </w:pPr>
      <w:r w:rsidRPr="00B64DD1">
        <w:rPr>
          <w:rStyle w:val="HideTWBExt"/>
          <w:b w:val="0"/>
        </w:rPr>
        <w:t>&lt;/RepeatBlock-By&gt;</w:t>
      </w:r>
    </w:p>
    <w:p w14:paraId="34328E6B"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128E68AE" w14:textId="77777777" w:rsidR="00A82F4D" w:rsidRPr="00B64DD1" w:rsidRDefault="00A82F4D" w:rsidP="00A82F4D">
      <w:pPr>
        <w:pStyle w:val="NormalBold"/>
      </w:pPr>
      <w:r w:rsidRPr="00B64DD1">
        <w:rPr>
          <w:rStyle w:val="HideTWBExt"/>
          <w:b w:val="0"/>
        </w:rPr>
        <w:t>&lt;Article&gt;</w:t>
      </w:r>
      <w:r w:rsidRPr="00B64DD1">
        <w:t>Ustęp 47 a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05BD2D2D" w14:textId="77777777" w:rsidTr="00EA17FD">
        <w:trPr>
          <w:trHeight w:hRule="exact" w:val="240"/>
          <w:jc w:val="center"/>
        </w:trPr>
        <w:tc>
          <w:tcPr>
            <w:tcW w:w="9752" w:type="dxa"/>
            <w:gridSpan w:val="2"/>
            <w:tcBorders>
              <w:top w:val="nil"/>
              <w:left w:val="nil"/>
              <w:bottom w:val="nil"/>
              <w:right w:val="nil"/>
            </w:tcBorders>
          </w:tcPr>
          <w:p w14:paraId="7C528B76" w14:textId="77777777" w:rsidR="00A82F4D" w:rsidRPr="00B64DD1" w:rsidRDefault="00A82F4D" w:rsidP="00EA17FD"/>
        </w:tc>
      </w:tr>
      <w:tr w:rsidR="00A82F4D" w:rsidRPr="00B64DD1" w14:paraId="5665D968" w14:textId="77777777" w:rsidTr="00EA17FD">
        <w:trPr>
          <w:trHeight w:val="240"/>
          <w:jc w:val="center"/>
        </w:trPr>
        <w:tc>
          <w:tcPr>
            <w:tcW w:w="4876" w:type="dxa"/>
            <w:tcBorders>
              <w:top w:val="nil"/>
              <w:left w:val="nil"/>
              <w:bottom w:val="nil"/>
              <w:right w:val="nil"/>
            </w:tcBorders>
          </w:tcPr>
          <w:p w14:paraId="457ABBD6"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1084EC31" w14:textId="77777777" w:rsidR="00A82F4D" w:rsidRPr="00B64DD1" w:rsidRDefault="00A82F4D" w:rsidP="00EA17FD">
            <w:pPr>
              <w:pStyle w:val="AmColumnHeading"/>
            </w:pPr>
            <w:r w:rsidRPr="00B64DD1">
              <w:t>Poprawka</w:t>
            </w:r>
          </w:p>
        </w:tc>
      </w:tr>
      <w:tr w:rsidR="00A82F4D" w:rsidRPr="00B64DD1" w14:paraId="3B82690F" w14:textId="77777777" w:rsidTr="00EA17FD">
        <w:trPr>
          <w:jc w:val="center"/>
        </w:trPr>
        <w:tc>
          <w:tcPr>
            <w:tcW w:w="4876" w:type="dxa"/>
            <w:tcBorders>
              <w:top w:val="nil"/>
              <w:left w:val="nil"/>
              <w:bottom w:val="nil"/>
              <w:right w:val="nil"/>
            </w:tcBorders>
          </w:tcPr>
          <w:p w14:paraId="1C52612C" w14:textId="77777777" w:rsidR="00A82F4D" w:rsidRPr="00B64DD1" w:rsidRDefault="00A82F4D" w:rsidP="00EA17FD">
            <w:pPr>
              <w:pStyle w:val="Normal6a"/>
            </w:pPr>
          </w:p>
        </w:tc>
        <w:tc>
          <w:tcPr>
            <w:tcW w:w="4876" w:type="dxa"/>
            <w:tcBorders>
              <w:top w:val="nil"/>
              <w:left w:val="nil"/>
              <w:bottom w:val="nil"/>
              <w:right w:val="nil"/>
            </w:tcBorders>
          </w:tcPr>
          <w:p w14:paraId="1F66882A" w14:textId="77777777" w:rsidR="00A82F4D" w:rsidRPr="00B64DD1" w:rsidRDefault="00A82F4D" w:rsidP="00EA17FD">
            <w:pPr>
              <w:pStyle w:val="Normal6a"/>
            </w:pPr>
            <w:r w:rsidRPr="00B64DD1">
              <w:rPr>
                <w:b/>
                <w:i/>
              </w:rPr>
              <w:t>47a.</w:t>
            </w:r>
            <w:r w:rsidRPr="00B64DD1">
              <w:tab/>
            </w:r>
            <w:r w:rsidRPr="00B64DD1">
              <w:rPr>
                <w:b/>
                <w:i/>
              </w:rPr>
              <w:t xml:space="preserve">wzywa ESDZ do przeprowadzenia dokładnego przeglądu wszystkich przeszłych i bieżących procedur udzielania zamówień oraz umów z Kolegium Europejskim, w szczególności tych związanych z Akademią </w:t>
            </w:r>
            <w:r w:rsidRPr="00B64DD1">
              <w:rPr>
                <w:b/>
                <w:i/>
              </w:rPr>
              <w:lastRenderedPageBreak/>
              <w:t>Dyplomatyczną Unii Europejskiej finansowaną z budżetu Unii; wzywa ESDZ do rygorystycznego egzekwowania przepisów dotyczących konfliktu interesów i obowiązkowych okresów karencji dla urzędników przechodzących do podmiotów posiadających umowy z ESDZ, aby zapewnić, że żadne takie przejścia nie zagrażają integralności procedur udzielania zamówień;</w:t>
            </w:r>
          </w:p>
        </w:tc>
      </w:tr>
    </w:tbl>
    <w:p w14:paraId="150527F6"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01DAD519" w14:textId="77777777" w:rsidR="00A82F4D" w:rsidRPr="00B64DD1" w:rsidRDefault="00A82F4D" w:rsidP="00A82F4D">
      <w:r w:rsidRPr="00B64DD1">
        <w:rPr>
          <w:rStyle w:val="HideTWBExt"/>
        </w:rPr>
        <w:t>&lt;/Amend&gt;</w:t>
      </w:r>
    </w:p>
    <w:p w14:paraId="6BCED34E"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89</w:t>
      </w:r>
      <w:r w:rsidRPr="00B64DD1">
        <w:rPr>
          <w:rStyle w:val="HideTWBExt"/>
          <w:b w:val="0"/>
        </w:rPr>
        <w:t>&lt;/NumAm&gt;</w:t>
      </w:r>
    </w:p>
    <w:p w14:paraId="788D4F5E" w14:textId="77777777" w:rsidR="00A82F4D" w:rsidRPr="00B64DD1" w:rsidRDefault="00A82F4D" w:rsidP="00A82F4D">
      <w:pPr>
        <w:pStyle w:val="NormalBold"/>
      </w:pPr>
      <w:r w:rsidRPr="00B64DD1">
        <w:rPr>
          <w:rStyle w:val="HideTWBExt"/>
          <w:b w:val="0"/>
        </w:rPr>
        <w:t>&lt;RepeatBlock-By&gt;&lt;Members&gt;</w:t>
      </w:r>
      <w:r w:rsidRPr="00B64DD1">
        <w:t xml:space="preserve">Damian </w:t>
      </w:r>
      <w:proofErr w:type="spellStart"/>
      <w:r w:rsidRPr="00B64DD1">
        <w:t>Boeselager</w:t>
      </w:r>
      <w:proofErr w:type="spellEnd"/>
      <w:r w:rsidRPr="00B64DD1">
        <w:rPr>
          <w:rStyle w:val="HideTWBExt"/>
          <w:b w:val="0"/>
        </w:rPr>
        <w:t>&lt;/Members&gt;</w:t>
      </w:r>
    </w:p>
    <w:p w14:paraId="602AC90D" w14:textId="77777777" w:rsidR="00A82F4D" w:rsidRPr="00B64DD1" w:rsidRDefault="00A82F4D" w:rsidP="00A82F4D">
      <w:r w:rsidRPr="00B64DD1">
        <w:rPr>
          <w:rStyle w:val="HideTWBExt"/>
        </w:rPr>
        <w:t>&lt;AuNomDe&gt;</w:t>
      </w:r>
      <w:r w:rsidRPr="00B64DD1">
        <w:rPr>
          <w:rStyle w:val="HideTWBInt"/>
        </w:rPr>
        <w:t>{Verts/ALE}</w:t>
      </w:r>
      <w:r w:rsidRPr="00B64DD1">
        <w:t xml:space="preserve">w imieniu grupy </w:t>
      </w:r>
      <w:proofErr w:type="spellStart"/>
      <w:r w:rsidRPr="00B64DD1">
        <w:t>Verts</w:t>
      </w:r>
      <w:proofErr w:type="spellEnd"/>
      <w:r w:rsidRPr="00B64DD1">
        <w:t>/ALE</w:t>
      </w:r>
      <w:r w:rsidRPr="00B64DD1">
        <w:rPr>
          <w:rStyle w:val="HideTWBExt"/>
        </w:rPr>
        <w:t>&lt;/AuNomDe&gt;</w:t>
      </w:r>
    </w:p>
    <w:p w14:paraId="646FD3F5" w14:textId="77777777" w:rsidR="00A82F4D" w:rsidRPr="00B64DD1" w:rsidRDefault="00A82F4D" w:rsidP="00A82F4D">
      <w:pPr>
        <w:pStyle w:val="NormalBold"/>
      </w:pPr>
      <w:r w:rsidRPr="00B64DD1">
        <w:rPr>
          <w:rStyle w:val="HideTWBExt"/>
          <w:b w:val="0"/>
        </w:rPr>
        <w:t>&lt;/RepeatBlock-By&gt;</w:t>
      </w:r>
    </w:p>
    <w:p w14:paraId="31234ED9"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3294A370" w14:textId="77777777" w:rsidR="00A82F4D" w:rsidRPr="00B64DD1" w:rsidRDefault="00A82F4D" w:rsidP="00A82F4D">
      <w:pPr>
        <w:pStyle w:val="NormalBold"/>
      </w:pPr>
      <w:r w:rsidRPr="00B64DD1">
        <w:rPr>
          <w:rStyle w:val="HideTWBExt"/>
          <w:b w:val="0"/>
        </w:rPr>
        <w:t>&lt;Article&gt;</w:t>
      </w:r>
      <w:r w:rsidRPr="00B64DD1">
        <w:t>Ustęp 47 a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6B0A4111" w14:textId="77777777" w:rsidTr="00EA17FD">
        <w:trPr>
          <w:trHeight w:hRule="exact" w:val="240"/>
          <w:jc w:val="center"/>
        </w:trPr>
        <w:tc>
          <w:tcPr>
            <w:tcW w:w="9752" w:type="dxa"/>
            <w:gridSpan w:val="2"/>
            <w:tcBorders>
              <w:top w:val="nil"/>
              <w:left w:val="nil"/>
              <w:bottom w:val="nil"/>
              <w:right w:val="nil"/>
            </w:tcBorders>
          </w:tcPr>
          <w:p w14:paraId="0B4ED9E8" w14:textId="77777777" w:rsidR="00A82F4D" w:rsidRPr="00B64DD1" w:rsidRDefault="00A82F4D" w:rsidP="00EA17FD"/>
        </w:tc>
      </w:tr>
      <w:tr w:rsidR="00A82F4D" w:rsidRPr="00B64DD1" w14:paraId="52C32B80" w14:textId="77777777" w:rsidTr="00EA17FD">
        <w:trPr>
          <w:trHeight w:val="240"/>
          <w:jc w:val="center"/>
        </w:trPr>
        <w:tc>
          <w:tcPr>
            <w:tcW w:w="4876" w:type="dxa"/>
            <w:tcBorders>
              <w:top w:val="nil"/>
              <w:left w:val="nil"/>
              <w:bottom w:val="nil"/>
              <w:right w:val="nil"/>
            </w:tcBorders>
          </w:tcPr>
          <w:p w14:paraId="036F1454"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576B8466" w14:textId="77777777" w:rsidR="00A82F4D" w:rsidRPr="00B64DD1" w:rsidRDefault="00A82F4D" w:rsidP="00EA17FD">
            <w:pPr>
              <w:pStyle w:val="AmColumnHeading"/>
            </w:pPr>
            <w:r w:rsidRPr="00B64DD1">
              <w:t>Poprawka</w:t>
            </w:r>
          </w:p>
        </w:tc>
      </w:tr>
      <w:tr w:rsidR="00A82F4D" w:rsidRPr="00B64DD1" w14:paraId="0398BDD6" w14:textId="77777777" w:rsidTr="00EA17FD">
        <w:trPr>
          <w:jc w:val="center"/>
        </w:trPr>
        <w:tc>
          <w:tcPr>
            <w:tcW w:w="4876" w:type="dxa"/>
            <w:tcBorders>
              <w:top w:val="nil"/>
              <w:left w:val="nil"/>
              <w:bottom w:val="nil"/>
              <w:right w:val="nil"/>
            </w:tcBorders>
          </w:tcPr>
          <w:p w14:paraId="24689D4D" w14:textId="77777777" w:rsidR="00A82F4D" w:rsidRPr="00B64DD1" w:rsidRDefault="00A82F4D" w:rsidP="00EA17FD">
            <w:pPr>
              <w:pStyle w:val="Normal6a"/>
            </w:pPr>
          </w:p>
        </w:tc>
        <w:tc>
          <w:tcPr>
            <w:tcW w:w="4876" w:type="dxa"/>
            <w:tcBorders>
              <w:top w:val="nil"/>
              <w:left w:val="nil"/>
              <w:bottom w:val="nil"/>
              <w:right w:val="nil"/>
            </w:tcBorders>
          </w:tcPr>
          <w:p w14:paraId="5C67579B" w14:textId="77777777" w:rsidR="00A82F4D" w:rsidRPr="00B64DD1" w:rsidRDefault="00A82F4D" w:rsidP="00EA17FD">
            <w:pPr>
              <w:pStyle w:val="Normal6a"/>
            </w:pPr>
            <w:r w:rsidRPr="00B64DD1">
              <w:rPr>
                <w:b/>
                <w:i/>
              </w:rPr>
              <w:t>47a.</w:t>
            </w:r>
            <w:r w:rsidRPr="00B64DD1">
              <w:tab/>
            </w:r>
            <w:r w:rsidRPr="00B64DD1">
              <w:rPr>
                <w:b/>
                <w:i/>
              </w:rPr>
              <w:t>wzywa ESDZ, bez uszczerbku dla trwających dochodzeń, do wyciągnięcia wniosków systemowych z tej sprawy, w tym poprzez przegląd zarządzania zamówieniami publicznymi, zapobiegania konfliktom interesów i kontroli wewnętrznych w zakresie szkoleń i partnerstw akademickich, oraz do poinformowania o tym organu udzielającego absolutorium;</w:t>
            </w:r>
          </w:p>
        </w:tc>
      </w:tr>
    </w:tbl>
    <w:p w14:paraId="15B77D22"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3B483248" w14:textId="77777777" w:rsidR="00A82F4D" w:rsidRPr="00B64DD1" w:rsidRDefault="00A82F4D" w:rsidP="00A82F4D">
      <w:r w:rsidRPr="00B64DD1">
        <w:rPr>
          <w:rStyle w:val="HideTWBExt"/>
        </w:rPr>
        <w:t>&lt;/Amend&gt;</w:t>
      </w:r>
    </w:p>
    <w:p w14:paraId="32C564F6"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90</w:t>
      </w:r>
      <w:r w:rsidRPr="00B64DD1">
        <w:rPr>
          <w:rStyle w:val="HideTWBExt"/>
          <w:b w:val="0"/>
        </w:rPr>
        <w:t>&lt;/NumAm&gt;</w:t>
      </w:r>
    </w:p>
    <w:p w14:paraId="59BEF913" w14:textId="77777777" w:rsidR="00A82F4D" w:rsidRPr="00B64DD1" w:rsidRDefault="00A82F4D" w:rsidP="00A82F4D">
      <w:pPr>
        <w:pStyle w:val="NormalBold"/>
      </w:pPr>
      <w:r w:rsidRPr="00B64DD1">
        <w:rPr>
          <w:rStyle w:val="HideTWBExt"/>
          <w:b w:val="0"/>
        </w:rPr>
        <w:t>&lt;RepeatBlock-By&gt;&lt;Members&gt;</w:t>
      </w:r>
      <w:proofErr w:type="spellStart"/>
      <w:r w:rsidRPr="00B64DD1">
        <w:t>Pasquale</w:t>
      </w:r>
      <w:proofErr w:type="spellEnd"/>
      <w:r w:rsidRPr="00B64DD1">
        <w:t xml:space="preserve"> </w:t>
      </w:r>
      <w:proofErr w:type="spellStart"/>
      <w:r w:rsidRPr="00B64DD1">
        <w:t>Tridico</w:t>
      </w:r>
      <w:proofErr w:type="spellEnd"/>
      <w:r w:rsidRPr="00B64DD1">
        <w:rPr>
          <w:rStyle w:val="HideTWBExt"/>
          <w:b w:val="0"/>
        </w:rPr>
        <w:t>&lt;/Members&gt;</w:t>
      </w:r>
    </w:p>
    <w:p w14:paraId="0E66213A" w14:textId="77777777" w:rsidR="00A82F4D" w:rsidRPr="00B64DD1" w:rsidRDefault="00A82F4D" w:rsidP="00A82F4D">
      <w:pPr>
        <w:pStyle w:val="NormalBold"/>
      </w:pPr>
      <w:r w:rsidRPr="00B64DD1">
        <w:rPr>
          <w:rStyle w:val="HideTWBExt"/>
          <w:b w:val="0"/>
        </w:rPr>
        <w:t>&lt;/RepeatBlock-By&gt;</w:t>
      </w:r>
    </w:p>
    <w:p w14:paraId="7F1560F1"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72350A90" w14:textId="77777777" w:rsidR="00A82F4D" w:rsidRPr="00B64DD1" w:rsidRDefault="00A82F4D" w:rsidP="00A82F4D">
      <w:pPr>
        <w:pStyle w:val="NormalBold"/>
      </w:pPr>
      <w:r w:rsidRPr="00B64DD1">
        <w:rPr>
          <w:rStyle w:val="HideTWBExt"/>
          <w:b w:val="0"/>
        </w:rPr>
        <w:t>&lt;Article&gt;</w:t>
      </w:r>
      <w:r w:rsidRPr="00B64DD1">
        <w:t>Ustęp 47 b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61D4C187" w14:textId="77777777" w:rsidTr="00EA17FD">
        <w:trPr>
          <w:trHeight w:hRule="exact" w:val="240"/>
          <w:jc w:val="center"/>
        </w:trPr>
        <w:tc>
          <w:tcPr>
            <w:tcW w:w="9752" w:type="dxa"/>
            <w:gridSpan w:val="2"/>
            <w:tcBorders>
              <w:top w:val="nil"/>
              <w:left w:val="nil"/>
              <w:bottom w:val="nil"/>
              <w:right w:val="nil"/>
            </w:tcBorders>
          </w:tcPr>
          <w:p w14:paraId="77E330D1" w14:textId="77777777" w:rsidR="00A82F4D" w:rsidRPr="00B64DD1" w:rsidRDefault="00A82F4D" w:rsidP="00EA17FD"/>
        </w:tc>
      </w:tr>
      <w:tr w:rsidR="00A82F4D" w:rsidRPr="00B64DD1" w14:paraId="5815B683" w14:textId="77777777" w:rsidTr="00EA17FD">
        <w:trPr>
          <w:trHeight w:val="240"/>
          <w:jc w:val="center"/>
        </w:trPr>
        <w:tc>
          <w:tcPr>
            <w:tcW w:w="4876" w:type="dxa"/>
            <w:tcBorders>
              <w:top w:val="nil"/>
              <w:left w:val="nil"/>
              <w:bottom w:val="nil"/>
              <w:right w:val="nil"/>
            </w:tcBorders>
          </w:tcPr>
          <w:p w14:paraId="3A113EC5"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42A1E688" w14:textId="77777777" w:rsidR="00A82F4D" w:rsidRPr="00B64DD1" w:rsidRDefault="00A82F4D" w:rsidP="00EA17FD">
            <w:pPr>
              <w:pStyle w:val="AmColumnHeading"/>
            </w:pPr>
            <w:r w:rsidRPr="00B64DD1">
              <w:t>Poprawka</w:t>
            </w:r>
          </w:p>
        </w:tc>
      </w:tr>
      <w:tr w:rsidR="00A82F4D" w:rsidRPr="00B64DD1" w14:paraId="2E3A0F24" w14:textId="77777777" w:rsidTr="00EA17FD">
        <w:trPr>
          <w:jc w:val="center"/>
        </w:trPr>
        <w:tc>
          <w:tcPr>
            <w:tcW w:w="4876" w:type="dxa"/>
            <w:tcBorders>
              <w:top w:val="nil"/>
              <w:left w:val="nil"/>
              <w:bottom w:val="nil"/>
              <w:right w:val="nil"/>
            </w:tcBorders>
          </w:tcPr>
          <w:p w14:paraId="5407A7E4" w14:textId="77777777" w:rsidR="00A82F4D" w:rsidRPr="00B64DD1" w:rsidRDefault="00A82F4D" w:rsidP="00EA17FD">
            <w:pPr>
              <w:pStyle w:val="Normal6a"/>
            </w:pPr>
          </w:p>
        </w:tc>
        <w:tc>
          <w:tcPr>
            <w:tcW w:w="4876" w:type="dxa"/>
            <w:tcBorders>
              <w:top w:val="nil"/>
              <w:left w:val="nil"/>
              <w:bottom w:val="nil"/>
              <w:right w:val="nil"/>
            </w:tcBorders>
          </w:tcPr>
          <w:p w14:paraId="44C0A9AC" w14:textId="77777777" w:rsidR="00A82F4D" w:rsidRPr="00B64DD1" w:rsidRDefault="00A82F4D" w:rsidP="00EA17FD">
            <w:pPr>
              <w:pStyle w:val="Normal6a"/>
            </w:pPr>
            <w:r w:rsidRPr="00B64DD1">
              <w:rPr>
                <w:b/>
                <w:i/>
              </w:rPr>
              <w:t>47b.</w:t>
            </w:r>
            <w:r w:rsidRPr="00B64DD1">
              <w:tab/>
            </w:r>
            <w:r w:rsidRPr="00B64DD1">
              <w:rPr>
                <w:b/>
                <w:i/>
              </w:rPr>
              <w:t xml:space="preserve">odnotowuje, że pod koniec grudnia 2025 r. ESDZ zainicjowała proces </w:t>
            </w:r>
            <w:r w:rsidRPr="00B64DD1">
              <w:rPr>
                <w:b/>
                <w:i/>
              </w:rPr>
              <w:lastRenderedPageBreak/>
              <w:t>przeglądu decyzji Rady ustanawiającej ADUE, rozpoczynając niezależną zewnętrzną ocenę Akademii Dyplomatycznej Unii Europejskiej oraz wyników Kolegium Europejskiego w zakresie realizacji działań edukacyjnych i szkoleniowych ADUE; oczekuje, że ocena ta będzie dokładna, biorąc pod uwagę zidentyfikowane uchybienia, i zostanie udostępniona organowi udzielającemu absolutorium;</w:t>
            </w:r>
          </w:p>
        </w:tc>
      </w:tr>
    </w:tbl>
    <w:p w14:paraId="0463A1E3"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7D4631B7" w14:textId="77777777" w:rsidR="00A82F4D" w:rsidRPr="00B64DD1" w:rsidRDefault="00A82F4D" w:rsidP="00A82F4D">
      <w:r w:rsidRPr="00B64DD1">
        <w:rPr>
          <w:rStyle w:val="HideTWBExt"/>
        </w:rPr>
        <w:t>&lt;/Amend&gt;</w:t>
      </w:r>
    </w:p>
    <w:p w14:paraId="3FA22074"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91</w:t>
      </w:r>
      <w:r w:rsidRPr="00B64DD1">
        <w:rPr>
          <w:rStyle w:val="HideTWBExt"/>
          <w:b w:val="0"/>
        </w:rPr>
        <w:t>&lt;/NumAm&gt;</w:t>
      </w:r>
    </w:p>
    <w:p w14:paraId="49C3CEA4" w14:textId="77777777" w:rsidR="00A82F4D" w:rsidRPr="00B64DD1" w:rsidRDefault="00A82F4D" w:rsidP="00A82F4D">
      <w:pPr>
        <w:pStyle w:val="NormalBold"/>
      </w:pPr>
      <w:r w:rsidRPr="00B64DD1">
        <w:rPr>
          <w:rStyle w:val="HideTWBExt"/>
          <w:b w:val="0"/>
        </w:rPr>
        <w:t>&lt;RepeatBlock-By&gt;&lt;Members&gt;</w:t>
      </w:r>
      <w:proofErr w:type="spellStart"/>
      <w:r w:rsidRPr="00B64DD1">
        <w:t>Pasquale</w:t>
      </w:r>
      <w:proofErr w:type="spellEnd"/>
      <w:r w:rsidRPr="00B64DD1">
        <w:t xml:space="preserve"> </w:t>
      </w:r>
      <w:proofErr w:type="spellStart"/>
      <w:r w:rsidRPr="00B64DD1">
        <w:t>Tridico</w:t>
      </w:r>
      <w:proofErr w:type="spellEnd"/>
      <w:r w:rsidRPr="00B64DD1">
        <w:rPr>
          <w:rStyle w:val="HideTWBExt"/>
          <w:b w:val="0"/>
        </w:rPr>
        <w:t>&lt;/Members&gt;</w:t>
      </w:r>
    </w:p>
    <w:p w14:paraId="77DB54DF" w14:textId="77777777" w:rsidR="00A82F4D" w:rsidRPr="00B64DD1" w:rsidRDefault="00A82F4D" w:rsidP="00A82F4D">
      <w:pPr>
        <w:pStyle w:val="NormalBold"/>
      </w:pPr>
      <w:r w:rsidRPr="00B64DD1">
        <w:rPr>
          <w:rStyle w:val="HideTWBExt"/>
          <w:b w:val="0"/>
        </w:rPr>
        <w:t>&lt;/RepeatBlock-By&gt;</w:t>
      </w:r>
    </w:p>
    <w:p w14:paraId="3453F369"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13ADDB7D" w14:textId="77777777" w:rsidR="00A82F4D" w:rsidRPr="00B64DD1" w:rsidRDefault="00A82F4D" w:rsidP="00A82F4D">
      <w:pPr>
        <w:pStyle w:val="NormalBold"/>
      </w:pPr>
      <w:r w:rsidRPr="00B64DD1">
        <w:rPr>
          <w:rStyle w:val="HideTWBExt"/>
          <w:b w:val="0"/>
        </w:rPr>
        <w:t>&lt;Article&gt;</w:t>
      </w:r>
      <w:r w:rsidRPr="00B64DD1">
        <w:t>Ustęp 47 d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5400D4EB" w14:textId="77777777" w:rsidTr="00EA17FD">
        <w:trPr>
          <w:trHeight w:hRule="exact" w:val="240"/>
          <w:jc w:val="center"/>
        </w:trPr>
        <w:tc>
          <w:tcPr>
            <w:tcW w:w="9752" w:type="dxa"/>
            <w:gridSpan w:val="2"/>
            <w:tcBorders>
              <w:top w:val="nil"/>
              <w:left w:val="nil"/>
              <w:bottom w:val="nil"/>
              <w:right w:val="nil"/>
            </w:tcBorders>
          </w:tcPr>
          <w:p w14:paraId="0FCA03CF" w14:textId="77777777" w:rsidR="00A82F4D" w:rsidRPr="00B64DD1" w:rsidRDefault="00A82F4D" w:rsidP="00EA17FD"/>
        </w:tc>
      </w:tr>
      <w:tr w:rsidR="00A82F4D" w:rsidRPr="00B64DD1" w14:paraId="4AE5602C" w14:textId="77777777" w:rsidTr="00EA17FD">
        <w:trPr>
          <w:trHeight w:val="240"/>
          <w:jc w:val="center"/>
        </w:trPr>
        <w:tc>
          <w:tcPr>
            <w:tcW w:w="4876" w:type="dxa"/>
            <w:tcBorders>
              <w:top w:val="nil"/>
              <w:left w:val="nil"/>
              <w:bottom w:val="nil"/>
              <w:right w:val="nil"/>
            </w:tcBorders>
          </w:tcPr>
          <w:p w14:paraId="3EF52878"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5E1E490D" w14:textId="77777777" w:rsidR="00A82F4D" w:rsidRPr="00B64DD1" w:rsidRDefault="00A82F4D" w:rsidP="00EA17FD">
            <w:pPr>
              <w:pStyle w:val="AmColumnHeading"/>
            </w:pPr>
            <w:r w:rsidRPr="00B64DD1">
              <w:t>Poprawka</w:t>
            </w:r>
          </w:p>
        </w:tc>
      </w:tr>
      <w:tr w:rsidR="00A82F4D" w:rsidRPr="00B64DD1" w14:paraId="71316AF3" w14:textId="77777777" w:rsidTr="00EA17FD">
        <w:trPr>
          <w:jc w:val="center"/>
        </w:trPr>
        <w:tc>
          <w:tcPr>
            <w:tcW w:w="4876" w:type="dxa"/>
            <w:tcBorders>
              <w:top w:val="nil"/>
              <w:left w:val="nil"/>
              <w:bottom w:val="nil"/>
              <w:right w:val="nil"/>
            </w:tcBorders>
          </w:tcPr>
          <w:p w14:paraId="5CA759C4" w14:textId="77777777" w:rsidR="00A82F4D" w:rsidRPr="00B64DD1" w:rsidRDefault="00A82F4D" w:rsidP="00EA17FD">
            <w:pPr>
              <w:pStyle w:val="Normal6a"/>
            </w:pPr>
          </w:p>
        </w:tc>
        <w:tc>
          <w:tcPr>
            <w:tcW w:w="4876" w:type="dxa"/>
            <w:tcBorders>
              <w:top w:val="nil"/>
              <w:left w:val="nil"/>
              <w:bottom w:val="nil"/>
              <w:right w:val="nil"/>
            </w:tcBorders>
          </w:tcPr>
          <w:p w14:paraId="1B2B8F9E" w14:textId="77777777" w:rsidR="00A82F4D" w:rsidRPr="00B64DD1" w:rsidRDefault="00A82F4D" w:rsidP="00EA17FD">
            <w:pPr>
              <w:pStyle w:val="Normal6a"/>
            </w:pPr>
            <w:r w:rsidRPr="00B64DD1">
              <w:rPr>
                <w:b/>
                <w:i/>
              </w:rPr>
              <w:t>47d.</w:t>
            </w:r>
            <w:r w:rsidRPr="00B64DD1">
              <w:tab/>
            </w:r>
            <w:r w:rsidRPr="00B64DD1">
              <w:rPr>
                <w:b/>
                <w:i/>
              </w:rPr>
              <w:t xml:space="preserve">odnotowuje decyzję komitetu sterującego ADUE podjętą na posiedzeniu w dniu 18 grudnia 2025 r. o zwróceniu się do Kolegium Europejskiego o zapewnienie przejrzystego i konkurencyjnego procesu rekrutacyjnego, opartego na opublikowaniu ogłoszenia o naborze, w celu mianowania nowego dyrektora ADUE; z zadowoleniem przyjmuje fakt, że komitet zwrócił się ponadto o oddzielenie funkcji dyrektora ADUE od funkcji rektora Kolegium Europejskiego; wzywa komitet sterujący do nadania temu oddzieleniu charakteru prawnie wiążącego w odniesieniu do wszelkich przyszłych </w:t>
            </w:r>
            <w:proofErr w:type="spellStart"/>
            <w:r w:rsidRPr="00B64DD1">
              <w:rPr>
                <w:b/>
                <w:i/>
              </w:rPr>
              <w:t>mianowań</w:t>
            </w:r>
            <w:proofErr w:type="spellEnd"/>
            <w:r w:rsidRPr="00B64DD1">
              <w:rPr>
                <w:b/>
                <w:i/>
              </w:rPr>
              <w:t>; </w:t>
            </w:r>
          </w:p>
        </w:tc>
      </w:tr>
    </w:tbl>
    <w:p w14:paraId="0FE0E238"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41532E39" w14:textId="77777777" w:rsidR="00A82F4D" w:rsidRPr="00B64DD1" w:rsidRDefault="00A82F4D" w:rsidP="00A82F4D">
      <w:r w:rsidRPr="00B64DD1">
        <w:rPr>
          <w:rStyle w:val="HideTWBExt"/>
        </w:rPr>
        <w:t>&lt;/Amend&gt;</w:t>
      </w:r>
    </w:p>
    <w:p w14:paraId="61729E1F"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92</w:t>
      </w:r>
      <w:r w:rsidRPr="00B64DD1">
        <w:rPr>
          <w:rStyle w:val="HideTWBExt"/>
          <w:b w:val="0"/>
        </w:rPr>
        <w:t>&lt;/NumAm&gt;</w:t>
      </w:r>
    </w:p>
    <w:p w14:paraId="0528E807" w14:textId="77777777" w:rsidR="00A82F4D" w:rsidRPr="00B64DD1" w:rsidRDefault="00A82F4D" w:rsidP="00A82F4D">
      <w:pPr>
        <w:pStyle w:val="NormalBold"/>
      </w:pPr>
      <w:r w:rsidRPr="00B64DD1">
        <w:rPr>
          <w:rStyle w:val="HideTWBExt"/>
          <w:b w:val="0"/>
        </w:rPr>
        <w:t>&lt;RepeatBlock-By&gt;&lt;Members&gt;</w:t>
      </w:r>
      <w:r w:rsidRPr="00B64DD1">
        <w:t>Joachim Stanisław Brudziński</w:t>
      </w:r>
      <w:r w:rsidRPr="00B64DD1">
        <w:rPr>
          <w:rStyle w:val="HideTWBExt"/>
          <w:b w:val="0"/>
        </w:rPr>
        <w:t>&lt;/Members&gt;</w:t>
      </w:r>
    </w:p>
    <w:p w14:paraId="0D5A0314" w14:textId="77777777" w:rsidR="00A82F4D" w:rsidRPr="00B64DD1" w:rsidRDefault="00A82F4D" w:rsidP="00A82F4D">
      <w:pPr>
        <w:pStyle w:val="NormalBold"/>
      </w:pPr>
      <w:r w:rsidRPr="00B64DD1">
        <w:rPr>
          <w:rStyle w:val="HideTWBExt"/>
          <w:b w:val="0"/>
        </w:rPr>
        <w:t>&lt;/RepeatBlock-By&gt;</w:t>
      </w:r>
    </w:p>
    <w:p w14:paraId="5134C206"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70043D03" w14:textId="77777777" w:rsidR="00A82F4D" w:rsidRPr="00B64DD1" w:rsidRDefault="00A82F4D" w:rsidP="00A82F4D">
      <w:pPr>
        <w:pStyle w:val="NormalBold"/>
      </w:pPr>
      <w:r w:rsidRPr="00B64DD1">
        <w:rPr>
          <w:rStyle w:val="HideTWBExt"/>
          <w:b w:val="0"/>
        </w:rPr>
        <w:lastRenderedPageBreak/>
        <w:t>&lt;Article&gt;</w:t>
      </w:r>
      <w:r w:rsidRPr="00B64DD1">
        <w:t>Ustęp 47 d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05B75794" w14:textId="77777777" w:rsidTr="00EA17FD">
        <w:trPr>
          <w:trHeight w:hRule="exact" w:val="240"/>
          <w:jc w:val="center"/>
        </w:trPr>
        <w:tc>
          <w:tcPr>
            <w:tcW w:w="9752" w:type="dxa"/>
            <w:gridSpan w:val="2"/>
            <w:tcBorders>
              <w:top w:val="nil"/>
              <w:left w:val="nil"/>
              <w:bottom w:val="nil"/>
              <w:right w:val="nil"/>
            </w:tcBorders>
          </w:tcPr>
          <w:p w14:paraId="6DA59E50" w14:textId="77777777" w:rsidR="00A82F4D" w:rsidRPr="00B64DD1" w:rsidRDefault="00A82F4D" w:rsidP="00EA17FD"/>
        </w:tc>
      </w:tr>
      <w:tr w:rsidR="00A82F4D" w:rsidRPr="00B64DD1" w14:paraId="2520D630" w14:textId="77777777" w:rsidTr="00EA17FD">
        <w:trPr>
          <w:trHeight w:val="240"/>
          <w:jc w:val="center"/>
        </w:trPr>
        <w:tc>
          <w:tcPr>
            <w:tcW w:w="4876" w:type="dxa"/>
            <w:tcBorders>
              <w:top w:val="nil"/>
              <w:left w:val="nil"/>
              <w:bottom w:val="nil"/>
              <w:right w:val="nil"/>
            </w:tcBorders>
          </w:tcPr>
          <w:p w14:paraId="65A78D9F"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67F10A31" w14:textId="77777777" w:rsidR="00A82F4D" w:rsidRPr="00B64DD1" w:rsidRDefault="00A82F4D" w:rsidP="00EA17FD">
            <w:pPr>
              <w:pStyle w:val="AmColumnHeading"/>
            </w:pPr>
            <w:r w:rsidRPr="00B64DD1">
              <w:t>Poprawka</w:t>
            </w:r>
          </w:p>
        </w:tc>
      </w:tr>
      <w:tr w:rsidR="00A82F4D" w:rsidRPr="00B64DD1" w14:paraId="457824C6" w14:textId="77777777" w:rsidTr="00EA17FD">
        <w:trPr>
          <w:jc w:val="center"/>
        </w:trPr>
        <w:tc>
          <w:tcPr>
            <w:tcW w:w="4876" w:type="dxa"/>
            <w:tcBorders>
              <w:top w:val="nil"/>
              <w:left w:val="nil"/>
              <w:bottom w:val="nil"/>
              <w:right w:val="nil"/>
            </w:tcBorders>
          </w:tcPr>
          <w:p w14:paraId="77C5C7DA" w14:textId="77777777" w:rsidR="00A82F4D" w:rsidRPr="00B64DD1" w:rsidRDefault="00A82F4D" w:rsidP="00EA17FD">
            <w:pPr>
              <w:pStyle w:val="Normal6a"/>
            </w:pPr>
          </w:p>
        </w:tc>
        <w:tc>
          <w:tcPr>
            <w:tcW w:w="4876" w:type="dxa"/>
            <w:tcBorders>
              <w:top w:val="nil"/>
              <w:left w:val="nil"/>
              <w:bottom w:val="nil"/>
              <w:right w:val="nil"/>
            </w:tcBorders>
          </w:tcPr>
          <w:p w14:paraId="7990DCEB" w14:textId="77777777" w:rsidR="00A82F4D" w:rsidRPr="00B64DD1" w:rsidRDefault="00A82F4D" w:rsidP="00EA17FD">
            <w:pPr>
              <w:pStyle w:val="Normal6a"/>
            </w:pPr>
            <w:r w:rsidRPr="00B64DD1">
              <w:rPr>
                <w:b/>
                <w:i/>
              </w:rPr>
              <w:t>47d.</w:t>
            </w:r>
            <w:r w:rsidRPr="00B64DD1">
              <w:tab/>
            </w:r>
            <w:r w:rsidRPr="00B64DD1">
              <w:rPr>
                <w:b/>
                <w:i/>
              </w:rPr>
              <w:t>podkreśla, że istnieje pilna potrzeba wprowadzenia solidnych zabezpieczeń, jasnych procedur i skutecznego nadzoru w celu utrzymania najwyższych standardów spójności na szczeblu UE;</w:t>
            </w:r>
          </w:p>
        </w:tc>
      </w:tr>
    </w:tbl>
    <w:p w14:paraId="2D278E15"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61828069" w14:textId="77777777" w:rsidR="00A82F4D" w:rsidRPr="00B64DD1" w:rsidRDefault="00A82F4D" w:rsidP="00A82F4D">
      <w:r w:rsidRPr="00B64DD1">
        <w:rPr>
          <w:rStyle w:val="HideTWBExt"/>
        </w:rPr>
        <w:t>&lt;/Amend&gt;</w:t>
      </w:r>
    </w:p>
    <w:p w14:paraId="015EF281"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93</w:t>
      </w:r>
      <w:r w:rsidRPr="00B64DD1">
        <w:rPr>
          <w:rStyle w:val="HideTWBExt"/>
          <w:b w:val="0"/>
        </w:rPr>
        <w:t>&lt;/NumAm&gt;</w:t>
      </w:r>
    </w:p>
    <w:p w14:paraId="3289F2CA" w14:textId="77777777" w:rsidR="00A82F4D" w:rsidRPr="00B64DD1" w:rsidRDefault="00A82F4D" w:rsidP="00A82F4D">
      <w:pPr>
        <w:pStyle w:val="NormalBold"/>
      </w:pPr>
      <w:r w:rsidRPr="00B64DD1">
        <w:rPr>
          <w:rStyle w:val="HideTWBExt"/>
          <w:b w:val="0"/>
        </w:rPr>
        <w:t>&lt;RepeatBlock-By&gt;&lt;Members&gt;</w:t>
      </w:r>
      <w:proofErr w:type="spellStart"/>
      <w:r w:rsidRPr="00B64DD1">
        <w:t>Şerban</w:t>
      </w:r>
      <w:proofErr w:type="spellEnd"/>
      <w:r w:rsidRPr="00B64DD1">
        <w:t xml:space="preserve"> </w:t>
      </w:r>
      <w:proofErr w:type="spellStart"/>
      <w:r w:rsidRPr="00B64DD1">
        <w:t>Dimitrie</w:t>
      </w:r>
      <w:proofErr w:type="spellEnd"/>
      <w:r w:rsidRPr="00B64DD1">
        <w:t xml:space="preserve"> </w:t>
      </w:r>
      <w:proofErr w:type="spellStart"/>
      <w:r w:rsidRPr="00B64DD1">
        <w:t>Sturdza</w:t>
      </w:r>
      <w:proofErr w:type="spellEnd"/>
      <w:r w:rsidRPr="00B64DD1">
        <w:rPr>
          <w:rStyle w:val="HideTWBExt"/>
          <w:b w:val="0"/>
        </w:rPr>
        <w:t>&lt;/Members&gt;</w:t>
      </w:r>
    </w:p>
    <w:p w14:paraId="71340480" w14:textId="77777777" w:rsidR="00A82F4D" w:rsidRPr="00B64DD1" w:rsidRDefault="00A82F4D" w:rsidP="00A82F4D">
      <w:pPr>
        <w:pStyle w:val="NormalBold"/>
      </w:pPr>
      <w:r w:rsidRPr="00B64DD1">
        <w:rPr>
          <w:rStyle w:val="HideTWBExt"/>
          <w:b w:val="0"/>
        </w:rPr>
        <w:t>&lt;/RepeatBlock-By&gt;</w:t>
      </w:r>
    </w:p>
    <w:p w14:paraId="739D9506"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7F6B0CC6" w14:textId="77777777" w:rsidR="00A82F4D" w:rsidRPr="00B64DD1" w:rsidRDefault="00A82F4D" w:rsidP="00A82F4D">
      <w:pPr>
        <w:pStyle w:val="NormalBold"/>
      </w:pPr>
      <w:r w:rsidRPr="00B64DD1">
        <w:rPr>
          <w:rStyle w:val="HideTWBExt"/>
          <w:b w:val="0"/>
        </w:rPr>
        <w:t>&lt;Article&gt;</w:t>
      </w:r>
      <w:r w:rsidRPr="00B64DD1">
        <w:t>Ustęp 47 a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553F5AE4" w14:textId="77777777" w:rsidTr="00EA17FD">
        <w:trPr>
          <w:trHeight w:hRule="exact" w:val="240"/>
          <w:jc w:val="center"/>
        </w:trPr>
        <w:tc>
          <w:tcPr>
            <w:tcW w:w="9752" w:type="dxa"/>
            <w:gridSpan w:val="2"/>
            <w:tcBorders>
              <w:top w:val="nil"/>
              <w:left w:val="nil"/>
              <w:bottom w:val="nil"/>
              <w:right w:val="nil"/>
            </w:tcBorders>
          </w:tcPr>
          <w:p w14:paraId="48D60309" w14:textId="77777777" w:rsidR="00A82F4D" w:rsidRPr="00B64DD1" w:rsidRDefault="00A82F4D" w:rsidP="00EA17FD"/>
        </w:tc>
      </w:tr>
      <w:tr w:rsidR="00A82F4D" w:rsidRPr="00B64DD1" w14:paraId="3A29BBA4" w14:textId="77777777" w:rsidTr="00EA17FD">
        <w:trPr>
          <w:trHeight w:val="240"/>
          <w:jc w:val="center"/>
        </w:trPr>
        <w:tc>
          <w:tcPr>
            <w:tcW w:w="4876" w:type="dxa"/>
            <w:tcBorders>
              <w:top w:val="nil"/>
              <w:left w:val="nil"/>
              <w:bottom w:val="nil"/>
              <w:right w:val="nil"/>
            </w:tcBorders>
          </w:tcPr>
          <w:p w14:paraId="7A8EC8DF"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52BD105E" w14:textId="77777777" w:rsidR="00A82F4D" w:rsidRPr="00B64DD1" w:rsidRDefault="00A82F4D" w:rsidP="00EA17FD">
            <w:pPr>
              <w:pStyle w:val="AmColumnHeading"/>
            </w:pPr>
            <w:r w:rsidRPr="00B64DD1">
              <w:t>Poprawka</w:t>
            </w:r>
          </w:p>
        </w:tc>
      </w:tr>
      <w:tr w:rsidR="00A82F4D" w:rsidRPr="00B64DD1" w14:paraId="713877DA" w14:textId="77777777" w:rsidTr="00EA17FD">
        <w:trPr>
          <w:jc w:val="center"/>
        </w:trPr>
        <w:tc>
          <w:tcPr>
            <w:tcW w:w="4876" w:type="dxa"/>
            <w:tcBorders>
              <w:top w:val="nil"/>
              <w:left w:val="nil"/>
              <w:bottom w:val="nil"/>
              <w:right w:val="nil"/>
            </w:tcBorders>
          </w:tcPr>
          <w:p w14:paraId="6E106615" w14:textId="77777777" w:rsidR="00A82F4D" w:rsidRPr="00B64DD1" w:rsidRDefault="00A82F4D" w:rsidP="00EA17FD">
            <w:pPr>
              <w:pStyle w:val="Normal6a"/>
            </w:pPr>
          </w:p>
        </w:tc>
        <w:tc>
          <w:tcPr>
            <w:tcW w:w="4876" w:type="dxa"/>
            <w:tcBorders>
              <w:top w:val="nil"/>
              <w:left w:val="nil"/>
              <w:bottom w:val="nil"/>
              <w:right w:val="nil"/>
            </w:tcBorders>
          </w:tcPr>
          <w:p w14:paraId="062915DD" w14:textId="77777777" w:rsidR="00A82F4D" w:rsidRPr="00B64DD1" w:rsidRDefault="00A82F4D" w:rsidP="00EA17FD">
            <w:pPr>
              <w:pStyle w:val="Normal6a"/>
            </w:pPr>
            <w:r w:rsidRPr="00B64DD1">
              <w:rPr>
                <w:b/>
                <w:i/>
              </w:rPr>
              <w:t>47a.</w:t>
            </w:r>
            <w:r w:rsidRPr="00B64DD1">
              <w:tab/>
            </w:r>
            <w:r w:rsidRPr="00B64DD1">
              <w:rPr>
                <w:b/>
                <w:i/>
              </w:rPr>
              <w:t>ponownie podkreśla, że przejrzystość i należyte zarządzanie finansami w zakresie wykorzystania środków publicznych UE muszą pozostać podstawową zasadą dla wszystkich instytucji i organów UE, w tym ESDZ, oraz że zasada ta stanowi fundament utrzymania zaufania obywateli do działań zewnętrznych Unii;</w:t>
            </w:r>
          </w:p>
        </w:tc>
      </w:tr>
    </w:tbl>
    <w:p w14:paraId="1E5AEBB8"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2111BFB2" w14:textId="77777777" w:rsidR="00A82F4D" w:rsidRPr="00B64DD1" w:rsidRDefault="00A82F4D" w:rsidP="00A82F4D">
      <w:r w:rsidRPr="00B64DD1">
        <w:rPr>
          <w:rStyle w:val="HideTWBExt"/>
        </w:rPr>
        <w:t>&lt;/Amend&gt;</w:t>
      </w:r>
    </w:p>
    <w:p w14:paraId="2585FBB7"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94</w:t>
      </w:r>
      <w:r w:rsidRPr="00B64DD1">
        <w:rPr>
          <w:rStyle w:val="HideTWBExt"/>
          <w:b w:val="0"/>
        </w:rPr>
        <w:t>&lt;/NumAm&gt;</w:t>
      </w:r>
    </w:p>
    <w:p w14:paraId="2016624A" w14:textId="77777777" w:rsidR="00A82F4D" w:rsidRPr="00B64DD1" w:rsidRDefault="00A82F4D" w:rsidP="00A82F4D">
      <w:pPr>
        <w:pStyle w:val="NormalBold"/>
      </w:pPr>
      <w:r w:rsidRPr="00B64DD1">
        <w:rPr>
          <w:rStyle w:val="HideTWBExt"/>
          <w:b w:val="0"/>
        </w:rPr>
        <w:t>&lt;RepeatBlock-By&gt;&lt;Members&gt;</w:t>
      </w:r>
      <w:proofErr w:type="spellStart"/>
      <w:r w:rsidRPr="00B64DD1">
        <w:t>Vlad</w:t>
      </w:r>
      <w:proofErr w:type="spellEnd"/>
      <w:r w:rsidRPr="00B64DD1">
        <w:t xml:space="preserve"> </w:t>
      </w:r>
      <w:proofErr w:type="spellStart"/>
      <w:r w:rsidRPr="00B64DD1">
        <w:t>Vasile-Voiculescu</w:t>
      </w:r>
      <w:proofErr w:type="spellEnd"/>
      <w:r w:rsidRPr="00B64DD1">
        <w:t xml:space="preserve">, Olivier </w:t>
      </w:r>
      <w:proofErr w:type="spellStart"/>
      <w:r w:rsidRPr="00B64DD1">
        <w:t>Chastel</w:t>
      </w:r>
      <w:proofErr w:type="spellEnd"/>
      <w:r w:rsidRPr="00B64DD1">
        <w:t xml:space="preserve">, </w:t>
      </w:r>
      <w:proofErr w:type="spellStart"/>
      <w:r w:rsidRPr="00B64DD1">
        <w:t>Gerben</w:t>
      </w:r>
      <w:proofErr w:type="spellEnd"/>
      <w:r w:rsidRPr="00B64DD1">
        <w:t xml:space="preserve">-Jan </w:t>
      </w:r>
      <w:proofErr w:type="spellStart"/>
      <w:r w:rsidRPr="00B64DD1">
        <w:t>Gerbrandy</w:t>
      </w:r>
      <w:proofErr w:type="spellEnd"/>
      <w:r w:rsidRPr="00B64DD1">
        <w:t xml:space="preserve">, </w:t>
      </w:r>
      <w:proofErr w:type="spellStart"/>
      <w:r w:rsidRPr="00B64DD1">
        <w:t>Gilles</w:t>
      </w:r>
      <w:proofErr w:type="spellEnd"/>
      <w:r w:rsidRPr="00B64DD1">
        <w:t xml:space="preserve"> </w:t>
      </w:r>
      <w:proofErr w:type="spellStart"/>
      <w:r w:rsidRPr="00B64DD1">
        <w:t>Boyer</w:t>
      </w:r>
      <w:proofErr w:type="spellEnd"/>
      <w:r w:rsidRPr="00B64DD1">
        <w:t xml:space="preserve">, Michal </w:t>
      </w:r>
      <w:proofErr w:type="spellStart"/>
      <w:r w:rsidRPr="00B64DD1">
        <w:t>Wiezik</w:t>
      </w:r>
      <w:proofErr w:type="spellEnd"/>
      <w:r w:rsidRPr="00B64DD1">
        <w:rPr>
          <w:rStyle w:val="HideTWBExt"/>
          <w:b w:val="0"/>
        </w:rPr>
        <w:t>&lt;/Members&gt;</w:t>
      </w:r>
    </w:p>
    <w:p w14:paraId="15C57D50" w14:textId="77777777" w:rsidR="00A82F4D" w:rsidRPr="00B64DD1" w:rsidRDefault="00A82F4D" w:rsidP="00A82F4D">
      <w:pPr>
        <w:pStyle w:val="NormalBold"/>
      </w:pPr>
      <w:r w:rsidRPr="00B64DD1">
        <w:rPr>
          <w:rStyle w:val="HideTWBExt"/>
          <w:b w:val="0"/>
        </w:rPr>
        <w:t>&lt;/RepeatBlock-By&gt;</w:t>
      </w:r>
    </w:p>
    <w:p w14:paraId="54652407"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472402B3" w14:textId="77777777" w:rsidR="00A82F4D" w:rsidRPr="00B64DD1" w:rsidRDefault="00A82F4D" w:rsidP="00A82F4D">
      <w:pPr>
        <w:pStyle w:val="NormalBold"/>
      </w:pPr>
      <w:r w:rsidRPr="00B64DD1">
        <w:rPr>
          <w:rStyle w:val="HideTWBExt"/>
          <w:b w:val="0"/>
        </w:rPr>
        <w:t>&lt;Article&gt;</w:t>
      </w:r>
      <w:r w:rsidRPr="00B64DD1">
        <w:t>Ustęp 49</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4A9467AF" w14:textId="77777777" w:rsidTr="00EA17FD">
        <w:trPr>
          <w:trHeight w:hRule="exact" w:val="240"/>
          <w:jc w:val="center"/>
        </w:trPr>
        <w:tc>
          <w:tcPr>
            <w:tcW w:w="9752" w:type="dxa"/>
            <w:gridSpan w:val="2"/>
            <w:tcBorders>
              <w:top w:val="nil"/>
              <w:left w:val="nil"/>
              <w:bottom w:val="nil"/>
              <w:right w:val="nil"/>
            </w:tcBorders>
          </w:tcPr>
          <w:p w14:paraId="4B8864EB" w14:textId="77777777" w:rsidR="00A82F4D" w:rsidRPr="00B64DD1" w:rsidRDefault="00A82F4D" w:rsidP="00EA17FD"/>
        </w:tc>
      </w:tr>
      <w:tr w:rsidR="00A82F4D" w:rsidRPr="00B64DD1" w14:paraId="1A7DBC59" w14:textId="77777777" w:rsidTr="00EA17FD">
        <w:trPr>
          <w:trHeight w:val="240"/>
          <w:jc w:val="center"/>
        </w:trPr>
        <w:tc>
          <w:tcPr>
            <w:tcW w:w="4876" w:type="dxa"/>
            <w:tcBorders>
              <w:top w:val="nil"/>
              <w:left w:val="nil"/>
              <w:bottom w:val="nil"/>
              <w:right w:val="nil"/>
            </w:tcBorders>
          </w:tcPr>
          <w:p w14:paraId="3A5A7606"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3B6E88AA" w14:textId="77777777" w:rsidR="00A82F4D" w:rsidRPr="00B64DD1" w:rsidRDefault="00A82F4D" w:rsidP="00EA17FD">
            <w:pPr>
              <w:pStyle w:val="AmColumnHeading"/>
            </w:pPr>
            <w:r w:rsidRPr="00B64DD1">
              <w:t>Poprawka</w:t>
            </w:r>
          </w:p>
        </w:tc>
      </w:tr>
      <w:tr w:rsidR="00A82F4D" w:rsidRPr="00B64DD1" w14:paraId="01478F9F" w14:textId="77777777" w:rsidTr="00EA17FD">
        <w:trPr>
          <w:jc w:val="center"/>
        </w:trPr>
        <w:tc>
          <w:tcPr>
            <w:tcW w:w="4876" w:type="dxa"/>
            <w:tcBorders>
              <w:top w:val="nil"/>
              <w:left w:val="nil"/>
              <w:bottom w:val="nil"/>
              <w:right w:val="nil"/>
            </w:tcBorders>
          </w:tcPr>
          <w:p w14:paraId="64AF6CF5" w14:textId="77777777" w:rsidR="00A82F4D" w:rsidRPr="00B64DD1" w:rsidRDefault="00A82F4D" w:rsidP="00EA17FD">
            <w:pPr>
              <w:pStyle w:val="Normal6a"/>
            </w:pPr>
            <w:r w:rsidRPr="00B64DD1">
              <w:t>49.</w:t>
            </w:r>
            <w:r w:rsidRPr="00B64DD1">
              <w:tab/>
              <w:t xml:space="preserve">na podstawie kwestionariusza zauważa, że w 2024 r. ESDZ odnotowała dwa przypadki sygnalizowania </w:t>
            </w:r>
            <w:r w:rsidRPr="00B64DD1">
              <w:lastRenderedPageBreak/>
              <w:t>nieprawidłowości; zauważa, że oba przypadki zostały zbadane przez Europejski Urząd ds. Zwalczania Nadużyć Finansowych (OLAF) i zamknięte bez zaleceń – po przeprowadzeniu dochodzenia lub już na etapie wstępnej selekcji; na podstawie sprawozdania ESDZ za 2024 r. z zadowoleniem zauważa, że ESDZ rozpoczęła prace nad opracowaniem własnej polityki dotyczącej ochrony sygnalistów; wnosi o informowanie Parlamentu o postępach w tej sprawie;</w:t>
            </w:r>
          </w:p>
        </w:tc>
        <w:tc>
          <w:tcPr>
            <w:tcW w:w="4876" w:type="dxa"/>
            <w:tcBorders>
              <w:top w:val="nil"/>
              <w:left w:val="nil"/>
              <w:bottom w:val="nil"/>
              <w:right w:val="nil"/>
            </w:tcBorders>
          </w:tcPr>
          <w:p w14:paraId="38F3EFE9" w14:textId="77777777" w:rsidR="00A82F4D" w:rsidRPr="00B64DD1" w:rsidRDefault="00A82F4D" w:rsidP="00EA17FD">
            <w:pPr>
              <w:pStyle w:val="Normal6a"/>
            </w:pPr>
            <w:r w:rsidRPr="00B64DD1">
              <w:lastRenderedPageBreak/>
              <w:t>49.</w:t>
            </w:r>
            <w:r w:rsidRPr="00B64DD1">
              <w:tab/>
              <w:t xml:space="preserve">na podstawie kwestionariusza zauważa, że w 2024 r. ESDZ odnotowała dwa przypadki sygnalizowania </w:t>
            </w:r>
            <w:r w:rsidRPr="00B64DD1">
              <w:lastRenderedPageBreak/>
              <w:t xml:space="preserve">nieprawidłowości; zauważa, że oba przypadki zostały zbadane przez Europejski Urząd ds. Zwalczania Nadużyć Finansowych (OLAF) i zamknięte bez zaleceń – po przeprowadzeniu dochodzenia lub już na etapie wstępnej selekcji; na podstawie sprawozdania ESDZ za 2024 r. z zadowoleniem zauważa, że ESDZ rozpoczęła prace nad opracowaniem własnej polityki dotyczącej ochrony sygnalistów; wnosi o informowanie Parlamentu o postępach w tej sprawie; </w:t>
            </w:r>
            <w:r w:rsidRPr="00B64DD1">
              <w:rPr>
                <w:b/>
                <w:i/>
              </w:rPr>
              <w:t>nalega, aby ramy dotyczące sygnalistów w ESDZ obejmowały poufne zgłaszanie nieprawidłowości, ochronę przed działaniami odwetowymi dla wszystkich kategorii pracowników, w tym pracowników miejscowych, oraz coroczne anonimowe sprawozdania dotyczące przypadków i wyników;</w:t>
            </w:r>
          </w:p>
        </w:tc>
      </w:tr>
    </w:tbl>
    <w:p w14:paraId="315D6F4D"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68839AB6" w14:textId="77777777" w:rsidR="00A82F4D" w:rsidRPr="00B64DD1" w:rsidRDefault="00A82F4D" w:rsidP="00A82F4D">
      <w:r w:rsidRPr="00B64DD1">
        <w:rPr>
          <w:rStyle w:val="HideTWBExt"/>
        </w:rPr>
        <w:t>&lt;/Amend&gt;</w:t>
      </w:r>
    </w:p>
    <w:p w14:paraId="76DE6649"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95</w:t>
      </w:r>
      <w:r w:rsidRPr="00B64DD1">
        <w:rPr>
          <w:rStyle w:val="HideTWBExt"/>
          <w:b w:val="0"/>
        </w:rPr>
        <w:t>&lt;/NumAm&gt;</w:t>
      </w:r>
    </w:p>
    <w:p w14:paraId="4D06E5EC" w14:textId="77777777" w:rsidR="00A82F4D" w:rsidRPr="00B64DD1" w:rsidRDefault="00A82F4D" w:rsidP="00A82F4D">
      <w:pPr>
        <w:pStyle w:val="NormalBold"/>
      </w:pPr>
      <w:r w:rsidRPr="00B64DD1">
        <w:rPr>
          <w:rStyle w:val="HideTWBExt"/>
          <w:b w:val="0"/>
        </w:rPr>
        <w:t>&lt;RepeatBlock-By&gt;&lt;Members&gt;</w:t>
      </w:r>
      <w:r w:rsidRPr="00B64DD1">
        <w:t>Mariusz Kamiński, Joachim Stanisław Brudziński</w:t>
      </w:r>
      <w:r w:rsidRPr="00B64DD1">
        <w:rPr>
          <w:rStyle w:val="HideTWBExt"/>
          <w:b w:val="0"/>
        </w:rPr>
        <w:t>&lt;/Members&gt;</w:t>
      </w:r>
    </w:p>
    <w:p w14:paraId="1CAF673A" w14:textId="77777777" w:rsidR="00A82F4D" w:rsidRPr="00B64DD1" w:rsidRDefault="00A82F4D" w:rsidP="00A82F4D">
      <w:pPr>
        <w:pStyle w:val="NormalBold"/>
      </w:pPr>
      <w:r w:rsidRPr="00B64DD1">
        <w:rPr>
          <w:rStyle w:val="HideTWBExt"/>
          <w:b w:val="0"/>
        </w:rPr>
        <w:t>&lt;/RepeatBlock-By&gt;</w:t>
      </w:r>
    </w:p>
    <w:p w14:paraId="1017E368"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7F7BBD42" w14:textId="77777777" w:rsidR="00A82F4D" w:rsidRPr="00B64DD1" w:rsidRDefault="00A82F4D" w:rsidP="00A82F4D">
      <w:pPr>
        <w:pStyle w:val="NormalBold"/>
      </w:pPr>
      <w:r w:rsidRPr="00B64DD1">
        <w:rPr>
          <w:rStyle w:val="HideTWBExt"/>
          <w:b w:val="0"/>
        </w:rPr>
        <w:t>&lt;Article&gt;</w:t>
      </w:r>
      <w:r w:rsidRPr="00B64DD1">
        <w:t>Ustęp 52 a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4B2CAF38" w14:textId="77777777" w:rsidTr="00EA17FD">
        <w:trPr>
          <w:trHeight w:hRule="exact" w:val="240"/>
          <w:jc w:val="center"/>
        </w:trPr>
        <w:tc>
          <w:tcPr>
            <w:tcW w:w="9752" w:type="dxa"/>
            <w:gridSpan w:val="2"/>
            <w:tcBorders>
              <w:top w:val="nil"/>
              <w:left w:val="nil"/>
              <w:bottom w:val="nil"/>
              <w:right w:val="nil"/>
            </w:tcBorders>
          </w:tcPr>
          <w:p w14:paraId="49187AD2" w14:textId="77777777" w:rsidR="00A82F4D" w:rsidRPr="00B64DD1" w:rsidRDefault="00A82F4D" w:rsidP="00EA17FD"/>
        </w:tc>
      </w:tr>
      <w:tr w:rsidR="00A82F4D" w:rsidRPr="00B64DD1" w14:paraId="69979640" w14:textId="77777777" w:rsidTr="00EA17FD">
        <w:trPr>
          <w:trHeight w:val="240"/>
          <w:jc w:val="center"/>
        </w:trPr>
        <w:tc>
          <w:tcPr>
            <w:tcW w:w="4876" w:type="dxa"/>
            <w:tcBorders>
              <w:top w:val="nil"/>
              <w:left w:val="nil"/>
              <w:bottom w:val="nil"/>
              <w:right w:val="nil"/>
            </w:tcBorders>
          </w:tcPr>
          <w:p w14:paraId="0C4AC486"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2B61FF9B" w14:textId="77777777" w:rsidR="00A82F4D" w:rsidRPr="00B64DD1" w:rsidRDefault="00A82F4D" w:rsidP="00EA17FD">
            <w:pPr>
              <w:pStyle w:val="AmColumnHeading"/>
            </w:pPr>
            <w:r w:rsidRPr="00B64DD1">
              <w:t>Poprawka</w:t>
            </w:r>
          </w:p>
        </w:tc>
      </w:tr>
      <w:tr w:rsidR="00A82F4D" w:rsidRPr="00B64DD1" w14:paraId="01ADF67B" w14:textId="77777777" w:rsidTr="00EA17FD">
        <w:trPr>
          <w:jc w:val="center"/>
        </w:trPr>
        <w:tc>
          <w:tcPr>
            <w:tcW w:w="4876" w:type="dxa"/>
            <w:tcBorders>
              <w:top w:val="nil"/>
              <w:left w:val="nil"/>
              <w:bottom w:val="nil"/>
              <w:right w:val="nil"/>
            </w:tcBorders>
          </w:tcPr>
          <w:p w14:paraId="776C173F" w14:textId="77777777" w:rsidR="00A82F4D" w:rsidRPr="00B64DD1" w:rsidRDefault="00A82F4D" w:rsidP="00EA17FD">
            <w:pPr>
              <w:pStyle w:val="Normal6a"/>
            </w:pPr>
          </w:p>
        </w:tc>
        <w:tc>
          <w:tcPr>
            <w:tcW w:w="4876" w:type="dxa"/>
            <w:tcBorders>
              <w:top w:val="nil"/>
              <w:left w:val="nil"/>
              <w:bottom w:val="nil"/>
              <w:right w:val="nil"/>
            </w:tcBorders>
          </w:tcPr>
          <w:p w14:paraId="08C4D1B6" w14:textId="77777777" w:rsidR="00A82F4D" w:rsidRPr="00B64DD1" w:rsidRDefault="00A82F4D" w:rsidP="00EA17FD">
            <w:pPr>
              <w:pStyle w:val="Normal6a"/>
            </w:pPr>
            <w:r w:rsidRPr="00B64DD1">
              <w:rPr>
                <w:b/>
                <w:i/>
              </w:rPr>
              <w:t>52a.</w:t>
            </w:r>
            <w:r w:rsidRPr="00B64DD1">
              <w:tab/>
            </w:r>
            <w:r w:rsidRPr="00B64DD1">
              <w:rPr>
                <w:b/>
                <w:i/>
              </w:rPr>
              <w:t xml:space="preserve">ubolewa nad faktem, że ESDZ nie przeprowadziła odpowiednich przeglądów realizacji umów o współpracy z państwami trzecimi, w tym oceny zgodności z ich warunkami i klauzulami dotyczącymi praw człowieka; podkreśla, że brak ten jest szczególnie widoczny w przypadku umowy o dialogu politycznym i współpracy (PDCA) między UE a Kubą, która dziesięć lat po jej podpisaniu zawiodła we wszystkich obszarach, od poszanowania praw człowieka, w tym przetrzymywania ponad tysiąca więźniów politycznych do końca 2025 r., po szkodliwy wpływ Hawany na bezpieczeństwo europejskie, w tym ścisłą </w:t>
            </w:r>
            <w:r w:rsidRPr="00B64DD1">
              <w:rPr>
                <w:b/>
                <w:i/>
              </w:rPr>
              <w:lastRenderedPageBreak/>
              <w:t>współpracę polityczną i wojskową z reżimami w Moskwie i Mińsku, co przejawia się w szczególności tym, że Kubańczycy stali się największą grupą najemników wspierających siły rosyjskie w ich agresji przeciwko Ukrainie, oraz ich udziałem w aktach sabotażu na terytorium UE, co ostatnio miało miejsce na Litwie; zauważa, że pomimo rażących naruszeń wielu postanowień umowy nie uruchomiono klauzul zawieszających ani wygasających, a środki finansowe UE nadal płyną na Kubę, gdzie reżim komunistyczny kontroluje całą gospodarkę, nadużywa tych środków i czerpie legitymację polityczną z trwającej współpracy w ramach PDCA; uważa, że takie reżimy nie mogą nadal korzystać z uprzywilejowanej współpracy z Unią Europejską, a pieniądze podatników UE nie mogą służyć takim reżimom; w związku z tym wzywa do uruchomienia art. 86 umowy i jej wypowiedzenia; wzywa Europejski Trybunał Obrachunkowy do pilnego zbadania wszelkiej pomocy udzielonej Kubie przez UE od 2016 r.;</w:t>
            </w:r>
          </w:p>
        </w:tc>
      </w:tr>
    </w:tbl>
    <w:p w14:paraId="09D58B7A"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6054830A" w14:textId="77777777" w:rsidR="00A82F4D" w:rsidRPr="00B64DD1" w:rsidRDefault="00A82F4D" w:rsidP="00A82F4D">
      <w:r w:rsidRPr="00B64DD1">
        <w:rPr>
          <w:rStyle w:val="HideTWBExt"/>
        </w:rPr>
        <w:t>&lt;/Amend&gt;</w:t>
      </w:r>
    </w:p>
    <w:p w14:paraId="1E24DE13"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96</w:t>
      </w:r>
      <w:r w:rsidRPr="00B64DD1">
        <w:rPr>
          <w:rStyle w:val="HideTWBExt"/>
          <w:b w:val="0"/>
        </w:rPr>
        <w:t>&lt;/NumAm&gt;</w:t>
      </w:r>
    </w:p>
    <w:p w14:paraId="07683ED2" w14:textId="77777777" w:rsidR="00A82F4D" w:rsidRPr="00B64DD1" w:rsidRDefault="00A82F4D" w:rsidP="00A82F4D">
      <w:pPr>
        <w:pStyle w:val="NormalBold"/>
      </w:pPr>
      <w:r w:rsidRPr="00B64DD1">
        <w:rPr>
          <w:rStyle w:val="HideTWBExt"/>
          <w:b w:val="0"/>
        </w:rPr>
        <w:t>&lt;RepeatBlock-By&gt;&lt;Members&gt;</w:t>
      </w:r>
      <w:proofErr w:type="spellStart"/>
      <w:r w:rsidRPr="00B64DD1">
        <w:t>Vlad</w:t>
      </w:r>
      <w:proofErr w:type="spellEnd"/>
      <w:r w:rsidRPr="00B64DD1">
        <w:t xml:space="preserve"> </w:t>
      </w:r>
      <w:proofErr w:type="spellStart"/>
      <w:r w:rsidRPr="00B64DD1">
        <w:t>Vasile-Voiculescu</w:t>
      </w:r>
      <w:proofErr w:type="spellEnd"/>
      <w:r w:rsidRPr="00B64DD1">
        <w:t xml:space="preserve">, Olivier </w:t>
      </w:r>
      <w:proofErr w:type="spellStart"/>
      <w:r w:rsidRPr="00B64DD1">
        <w:t>Chastel</w:t>
      </w:r>
      <w:proofErr w:type="spellEnd"/>
      <w:r w:rsidRPr="00B64DD1">
        <w:t xml:space="preserve">, </w:t>
      </w:r>
      <w:proofErr w:type="spellStart"/>
      <w:r w:rsidRPr="00B64DD1">
        <w:t>Gerben</w:t>
      </w:r>
      <w:proofErr w:type="spellEnd"/>
      <w:r w:rsidRPr="00B64DD1">
        <w:t xml:space="preserve">-Jan </w:t>
      </w:r>
      <w:proofErr w:type="spellStart"/>
      <w:r w:rsidRPr="00B64DD1">
        <w:t>Gerbrandy</w:t>
      </w:r>
      <w:proofErr w:type="spellEnd"/>
      <w:r w:rsidRPr="00B64DD1">
        <w:t xml:space="preserve">, </w:t>
      </w:r>
      <w:proofErr w:type="spellStart"/>
      <w:r w:rsidRPr="00B64DD1">
        <w:t>Gilles</w:t>
      </w:r>
      <w:proofErr w:type="spellEnd"/>
      <w:r w:rsidRPr="00B64DD1">
        <w:t xml:space="preserve"> </w:t>
      </w:r>
      <w:proofErr w:type="spellStart"/>
      <w:r w:rsidRPr="00B64DD1">
        <w:t>Boyer</w:t>
      </w:r>
      <w:proofErr w:type="spellEnd"/>
      <w:r w:rsidRPr="00B64DD1">
        <w:t xml:space="preserve">, Michal </w:t>
      </w:r>
      <w:proofErr w:type="spellStart"/>
      <w:r w:rsidRPr="00B64DD1">
        <w:t>Wiezik</w:t>
      </w:r>
      <w:proofErr w:type="spellEnd"/>
      <w:r w:rsidRPr="00B64DD1">
        <w:rPr>
          <w:rStyle w:val="HideTWBExt"/>
          <w:b w:val="0"/>
        </w:rPr>
        <w:t>&lt;/Members&gt;</w:t>
      </w:r>
    </w:p>
    <w:p w14:paraId="453EAF71" w14:textId="77777777" w:rsidR="00A82F4D" w:rsidRPr="00B64DD1" w:rsidRDefault="00A82F4D" w:rsidP="00A82F4D">
      <w:pPr>
        <w:pStyle w:val="NormalBold"/>
      </w:pPr>
      <w:r w:rsidRPr="00B64DD1">
        <w:rPr>
          <w:rStyle w:val="HideTWBExt"/>
          <w:b w:val="0"/>
        </w:rPr>
        <w:t>&lt;/RepeatBlock-By&gt;</w:t>
      </w:r>
    </w:p>
    <w:p w14:paraId="10DD61E3"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18010128" w14:textId="77777777" w:rsidR="00A82F4D" w:rsidRPr="00B64DD1" w:rsidRDefault="00A82F4D" w:rsidP="00A82F4D">
      <w:pPr>
        <w:pStyle w:val="NormalBold"/>
      </w:pPr>
      <w:r w:rsidRPr="00B64DD1">
        <w:rPr>
          <w:rStyle w:val="HideTWBExt"/>
          <w:b w:val="0"/>
        </w:rPr>
        <w:t>&lt;Article&gt;</w:t>
      </w:r>
      <w:r w:rsidRPr="00B64DD1">
        <w:t>Ustęp 53</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0F0F3747" w14:textId="77777777" w:rsidTr="00EA17FD">
        <w:trPr>
          <w:trHeight w:hRule="exact" w:val="240"/>
          <w:jc w:val="center"/>
        </w:trPr>
        <w:tc>
          <w:tcPr>
            <w:tcW w:w="9752" w:type="dxa"/>
            <w:gridSpan w:val="2"/>
            <w:tcBorders>
              <w:top w:val="nil"/>
              <w:left w:val="nil"/>
              <w:bottom w:val="nil"/>
              <w:right w:val="nil"/>
            </w:tcBorders>
          </w:tcPr>
          <w:p w14:paraId="79961E24" w14:textId="77777777" w:rsidR="00A82F4D" w:rsidRPr="00B64DD1" w:rsidRDefault="00A82F4D" w:rsidP="00EA17FD"/>
        </w:tc>
      </w:tr>
      <w:tr w:rsidR="00A82F4D" w:rsidRPr="00B64DD1" w14:paraId="100A4DDF" w14:textId="77777777" w:rsidTr="00EA17FD">
        <w:trPr>
          <w:trHeight w:val="240"/>
          <w:jc w:val="center"/>
        </w:trPr>
        <w:tc>
          <w:tcPr>
            <w:tcW w:w="4876" w:type="dxa"/>
            <w:tcBorders>
              <w:top w:val="nil"/>
              <w:left w:val="nil"/>
              <w:bottom w:val="nil"/>
              <w:right w:val="nil"/>
            </w:tcBorders>
          </w:tcPr>
          <w:p w14:paraId="55C85D5B"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02B25F9A" w14:textId="77777777" w:rsidR="00A82F4D" w:rsidRPr="00B64DD1" w:rsidRDefault="00A82F4D" w:rsidP="00EA17FD">
            <w:pPr>
              <w:pStyle w:val="AmColumnHeading"/>
            </w:pPr>
            <w:r w:rsidRPr="00B64DD1">
              <w:t>Poprawka</w:t>
            </w:r>
          </w:p>
        </w:tc>
      </w:tr>
      <w:tr w:rsidR="00A82F4D" w:rsidRPr="00B64DD1" w14:paraId="32B1F17C" w14:textId="77777777" w:rsidTr="00EA17FD">
        <w:trPr>
          <w:jc w:val="center"/>
        </w:trPr>
        <w:tc>
          <w:tcPr>
            <w:tcW w:w="4876" w:type="dxa"/>
            <w:tcBorders>
              <w:top w:val="nil"/>
              <w:left w:val="nil"/>
              <w:bottom w:val="nil"/>
              <w:right w:val="nil"/>
            </w:tcBorders>
          </w:tcPr>
          <w:p w14:paraId="765A1CF5" w14:textId="77777777" w:rsidR="00A82F4D" w:rsidRPr="00B64DD1" w:rsidRDefault="00A82F4D" w:rsidP="00EA17FD">
            <w:pPr>
              <w:pStyle w:val="Normal6a"/>
            </w:pPr>
            <w:r w:rsidRPr="00B64DD1">
              <w:t>53.</w:t>
            </w:r>
            <w:r w:rsidRPr="00B64DD1">
              <w:tab/>
              <w:t xml:space="preserve">zauważa, że wiceprzewodnicząca / wysoka przedstawicielka – działając w charakterze wiceprzewodniczącej Komisji – jest związana zasadami rejestru służącego przejrzystości; podkreśla, że chociaż ESDZ nie jest instytucją w rozumieniu art. 13 Traktatu o Unii Europejskiej i nie jest bezpośrednio zaangażowana w prawo Unii, odgrywa w </w:t>
            </w:r>
            <w:r w:rsidRPr="00B64DD1">
              <w:lastRenderedPageBreak/>
              <w:t xml:space="preserve">nim jednak ważną rolę w odniesieniu do decyzji dotyczących sankcji i negocjacji międzynarodowych umów handlowych, które mają znaczący wpływ regulacyjny; </w:t>
            </w:r>
            <w:r w:rsidRPr="00B64DD1">
              <w:rPr>
                <w:b/>
                <w:bCs/>
                <w:i/>
                <w:iCs/>
              </w:rPr>
              <w:t>zauważa, że niezwykle istotne byłoby, aby</w:t>
            </w:r>
            <w:r w:rsidRPr="00B64DD1">
              <w:t xml:space="preserve"> ESDZ </w:t>
            </w:r>
            <w:r w:rsidRPr="00B64DD1">
              <w:rPr>
                <w:b/>
                <w:bCs/>
                <w:i/>
                <w:iCs/>
              </w:rPr>
              <w:t>przyjęła środki</w:t>
            </w:r>
            <w:r w:rsidRPr="00B64DD1">
              <w:t xml:space="preserve"> na rzecz przejrzystości </w:t>
            </w:r>
            <w:r w:rsidRPr="00B64DD1">
              <w:rPr>
                <w:b/>
                <w:bCs/>
                <w:i/>
                <w:iCs/>
              </w:rPr>
              <w:t>i powiadomiła o nich zarząd</w:t>
            </w:r>
            <w:r w:rsidRPr="00B64DD1">
              <w:t xml:space="preserve"> rejestru służącego przejrzystości; na podstawie sprawozdania uzupełniającego z zadowoleniem zauważa, że wiceprzewodnicząca / wysoka przedstawicielka zainicjowała szerszą dyskusję na temat uwzględnienia tej kwestii w wymiarze zewnętrznym, a zalecenia mają zostać przedstawione do końca 2025 r.; zachęca ESDZ do informowania Parlamentu o postępach w tej sprawie;</w:t>
            </w:r>
          </w:p>
        </w:tc>
        <w:tc>
          <w:tcPr>
            <w:tcW w:w="4876" w:type="dxa"/>
            <w:tcBorders>
              <w:top w:val="nil"/>
              <w:left w:val="nil"/>
              <w:bottom w:val="nil"/>
              <w:right w:val="nil"/>
            </w:tcBorders>
          </w:tcPr>
          <w:p w14:paraId="7A15D5A4" w14:textId="77777777" w:rsidR="00A82F4D" w:rsidRPr="00B64DD1" w:rsidRDefault="00A82F4D" w:rsidP="00EA17FD">
            <w:pPr>
              <w:pStyle w:val="Normal6a"/>
            </w:pPr>
            <w:r w:rsidRPr="00B64DD1">
              <w:lastRenderedPageBreak/>
              <w:t>53.</w:t>
            </w:r>
            <w:r w:rsidRPr="00B64DD1">
              <w:tab/>
              <w:t xml:space="preserve">zauważa, że wiceprzewodnicząca / wysoka przedstawicielka – działając w charakterze wiceprzewodniczącej Komisji – jest związana zasadami rejestru służącego przejrzystości; podkreśla, że chociaż ESDZ nie jest instytucją w rozumieniu art. 13 Traktatu o Unii Europejskiej i nie jest bezpośrednio zaangażowana w prawo Unii, odgrywa w </w:t>
            </w:r>
            <w:r w:rsidRPr="00B64DD1">
              <w:lastRenderedPageBreak/>
              <w:t xml:space="preserve">nim jednak ważną rolę w odniesieniu do decyzji dotyczących sankcji i negocjacji międzynarodowych umów handlowych, które mają znaczący wpływ regulacyjny; </w:t>
            </w:r>
            <w:r w:rsidRPr="00B64DD1">
              <w:rPr>
                <w:b/>
                <w:bCs/>
                <w:i/>
                <w:iCs/>
              </w:rPr>
              <w:t>wzywa</w:t>
            </w:r>
            <w:r w:rsidRPr="00B64DD1">
              <w:t xml:space="preserve"> ESDZ </w:t>
            </w:r>
            <w:r w:rsidRPr="00B64DD1">
              <w:rPr>
                <w:b/>
                <w:bCs/>
                <w:i/>
                <w:iCs/>
              </w:rPr>
              <w:t>do przyjęcia wewnętrznych środków</w:t>
            </w:r>
            <w:r w:rsidRPr="00B64DD1">
              <w:t xml:space="preserve"> na rzecz przejrzystości </w:t>
            </w:r>
            <w:r w:rsidRPr="00B64DD1">
              <w:rPr>
                <w:b/>
                <w:bCs/>
                <w:i/>
                <w:iCs/>
              </w:rPr>
              <w:t>zgodnych ze standardami</w:t>
            </w:r>
            <w:r w:rsidRPr="00B64DD1">
              <w:t xml:space="preserve"> rejestru służącego przejrzystości</w:t>
            </w:r>
            <w:r w:rsidRPr="00B64DD1">
              <w:rPr>
                <w:b/>
                <w:bCs/>
                <w:i/>
                <w:iCs/>
              </w:rPr>
              <w:t>, w tym do proaktywnego publikowania informacji o spotkaniach wysokiego szczebla odpowiednich członków ścisłego kierownictwa, o ile nie zagraża to bezpieczeństwu dyplomacji ESDZ</w:t>
            </w:r>
            <w:r w:rsidRPr="00B64DD1">
              <w:t>; na podstawie sprawozdania uzupełniającego z zadowoleniem zauważa, że wiceprzewodnicząca / wysoka przedstawicielka zainicjowała szerszą dyskusję na temat uwzględnienia tej kwestii w wymiarze zewnętrznym, a zalecenia mają zostać przedstawione do końca 2025 r.; zachęca ESDZ do informowania Parlamentu o postępach w tej sprawie;</w:t>
            </w:r>
          </w:p>
        </w:tc>
      </w:tr>
    </w:tbl>
    <w:p w14:paraId="6F89F417"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1A661297" w14:textId="77777777" w:rsidR="00A82F4D" w:rsidRPr="00B64DD1" w:rsidRDefault="00A82F4D" w:rsidP="00A82F4D">
      <w:r w:rsidRPr="00B64DD1">
        <w:rPr>
          <w:rStyle w:val="HideTWBExt"/>
        </w:rPr>
        <w:t>&lt;/Amend&gt;</w:t>
      </w:r>
    </w:p>
    <w:p w14:paraId="20804B6B"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97</w:t>
      </w:r>
      <w:r w:rsidRPr="00B64DD1">
        <w:rPr>
          <w:rStyle w:val="HideTWBExt"/>
          <w:b w:val="0"/>
        </w:rPr>
        <w:t>&lt;/NumAm&gt;</w:t>
      </w:r>
    </w:p>
    <w:p w14:paraId="74DA0E87" w14:textId="77777777" w:rsidR="00A82F4D" w:rsidRPr="00B64DD1" w:rsidRDefault="00A82F4D" w:rsidP="00A82F4D">
      <w:pPr>
        <w:pStyle w:val="NormalBold"/>
      </w:pPr>
      <w:r w:rsidRPr="00B64DD1">
        <w:rPr>
          <w:rStyle w:val="HideTWBExt"/>
          <w:b w:val="0"/>
        </w:rPr>
        <w:t>&lt;RepeatBlock-By&gt;&lt;Members&gt;</w:t>
      </w:r>
      <w:proofErr w:type="spellStart"/>
      <w:r w:rsidRPr="00B64DD1">
        <w:t>Tamás</w:t>
      </w:r>
      <w:proofErr w:type="spellEnd"/>
      <w:r w:rsidRPr="00B64DD1">
        <w:t xml:space="preserve"> </w:t>
      </w:r>
      <w:proofErr w:type="spellStart"/>
      <w:r w:rsidRPr="00B64DD1">
        <w:t>Deutsch</w:t>
      </w:r>
      <w:proofErr w:type="spellEnd"/>
      <w:r w:rsidRPr="00B64DD1">
        <w:rPr>
          <w:rStyle w:val="HideTWBExt"/>
          <w:b w:val="0"/>
        </w:rPr>
        <w:t>&lt;/Members&gt;</w:t>
      </w:r>
    </w:p>
    <w:p w14:paraId="6C6C35E5" w14:textId="77777777" w:rsidR="00A82F4D" w:rsidRPr="00B64DD1" w:rsidRDefault="00A82F4D" w:rsidP="00A82F4D">
      <w:pPr>
        <w:pStyle w:val="NormalBold"/>
      </w:pPr>
      <w:r w:rsidRPr="00B64DD1">
        <w:rPr>
          <w:rStyle w:val="HideTWBExt"/>
          <w:b w:val="0"/>
        </w:rPr>
        <w:t>&lt;/RepeatBlock-By&gt;</w:t>
      </w:r>
    </w:p>
    <w:p w14:paraId="0E5C7EEA"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0D7DA011" w14:textId="77777777" w:rsidR="00A82F4D" w:rsidRPr="00B64DD1" w:rsidRDefault="00A82F4D" w:rsidP="00A82F4D">
      <w:pPr>
        <w:pStyle w:val="NormalBold"/>
      </w:pPr>
      <w:r w:rsidRPr="00B64DD1">
        <w:rPr>
          <w:rStyle w:val="HideTWBExt"/>
          <w:b w:val="0"/>
        </w:rPr>
        <w:t>&lt;Article&gt;</w:t>
      </w:r>
      <w:r w:rsidRPr="00B64DD1">
        <w:t>Ustęp 53 a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6A5EF4BE" w14:textId="77777777" w:rsidTr="00EA17FD">
        <w:trPr>
          <w:trHeight w:hRule="exact" w:val="240"/>
          <w:jc w:val="center"/>
        </w:trPr>
        <w:tc>
          <w:tcPr>
            <w:tcW w:w="9752" w:type="dxa"/>
            <w:gridSpan w:val="2"/>
            <w:tcBorders>
              <w:top w:val="nil"/>
              <w:left w:val="nil"/>
              <w:bottom w:val="nil"/>
              <w:right w:val="nil"/>
            </w:tcBorders>
          </w:tcPr>
          <w:p w14:paraId="2772637A" w14:textId="77777777" w:rsidR="00A82F4D" w:rsidRPr="00B64DD1" w:rsidRDefault="00A82F4D" w:rsidP="00EA17FD"/>
        </w:tc>
      </w:tr>
      <w:tr w:rsidR="00A82F4D" w:rsidRPr="00B64DD1" w14:paraId="1B9B7EDC" w14:textId="77777777" w:rsidTr="00EA17FD">
        <w:trPr>
          <w:trHeight w:val="240"/>
          <w:jc w:val="center"/>
        </w:trPr>
        <w:tc>
          <w:tcPr>
            <w:tcW w:w="4876" w:type="dxa"/>
            <w:tcBorders>
              <w:top w:val="nil"/>
              <w:left w:val="nil"/>
              <w:bottom w:val="nil"/>
              <w:right w:val="nil"/>
            </w:tcBorders>
          </w:tcPr>
          <w:p w14:paraId="57E00A6B"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48FC8C34" w14:textId="77777777" w:rsidR="00A82F4D" w:rsidRPr="00B64DD1" w:rsidRDefault="00A82F4D" w:rsidP="00EA17FD">
            <w:pPr>
              <w:pStyle w:val="AmColumnHeading"/>
            </w:pPr>
            <w:r w:rsidRPr="00B64DD1">
              <w:t>Poprawka</w:t>
            </w:r>
          </w:p>
        </w:tc>
      </w:tr>
      <w:tr w:rsidR="00A82F4D" w:rsidRPr="00B64DD1" w14:paraId="6876022E" w14:textId="77777777" w:rsidTr="00EA17FD">
        <w:trPr>
          <w:jc w:val="center"/>
        </w:trPr>
        <w:tc>
          <w:tcPr>
            <w:tcW w:w="4876" w:type="dxa"/>
            <w:tcBorders>
              <w:top w:val="nil"/>
              <w:left w:val="nil"/>
              <w:bottom w:val="nil"/>
              <w:right w:val="nil"/>
            </w:tcBorders>
          </w:tcPr>
          <w:p w14:paraId="375E7AD7" w14:textId="77777777" w:rsidR="00A82F4D" w:rsidRPr="00B64DD1" w:rsidRDefault="00A82F4D" w:rsidP="00EA17FD">
            <w:pPr>
              <w:pStyle w:val="Normal6a"/>
            </w:pPr>
          </w:p>
        </w:tc>
        <w:tc>
          <w:tcPr>
            <w:tcW w:w="4876" w:type="dxa"/>
            <w:tcBorders>
              <w:top w:val="nil"/>
              <w:left w:val="nil"/>
              <w:bottom w:val="nil"/>
              <w:right w:val="nil"/>
            </w:tcBorders>
          </w:tcPr>
          <w:p w14:paraId="3E9B576F" w14:textId="77777777" w:rsidR="00A82F4D" w:rsidRPr="00B64DD1" w:rsidRDefault="00A82F4D" w:rsidP="00EA17FD">
            <w:pPr>
              <w:pStyle w:val="Normal6a"/>
            </w:pPr>
            <w:r w:rsidRPr="00B64DD1">
              <w:rPr>
                <w:b/>
                <w:i/>
              </w:rPr>
              <w:t>53a.</w:t>
            </w:r>
            <w:r w:rsidRPr="00B64DD1">
              <w:tab/>
            </w:r>
            <w:r w:rsidRPr="00B64DD1">
              <w:rPr>
                <w:b/>
                <w:i/>
              </w:rPr>
              <w:t>przypomina, że Traktat o Unii Europejskiej stanowi, iż UE i jej instytucje szanują równość państw członkowskich wobec Traktatów, jak również ich tożsamość narodową, nierozerwalnie związaną z ich podstawowymi strukturami politycznymi i konstytucyjnymi, w tym w odniesieniu do samorządu regionalnego i lokalnego;</w:t>
            </w:r>
          </w:p>
        </w:tc>
      </w:tr>
    </w:tbl>
    <w:p w14:paraId="123E9C25"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06F8ED78" w14:textId="77777777" w:rsidR="00A82F4D" w:rsidRPr="00B64DD1" w:rsidRDefault="00A82F4D" w:rsidP="00A82F4D">
      <w:r w:rsidRPr="00B64DD1">
        <w:rPr>
          <w:rStyle w:val="HideTWBExt"/>
        </w:rPr>
        <w:t>&lt;/Amend&gt;</w:t>
      </w:r>
    </w:p>
    <w:p w14:paraId="3B7BDBD4" w14:textId="77777777" w:rsidR="00A82F4D" w:rsidRPr="00B64DD1" w:rsidRDefault="00A82F4D" w:rsidP="00A82F4D">
      <w:pPr>
        <w:pStyle w:val="AmNumberTabs"/>
      </w:pPr>
      <w:r w:rsidRPr="00B64DD1">
        <w:rPr>
          <w:rStyle w:val="HideTWBExt"/>
          <w:b w:val="0"/>
        </w:rPr>
        <w:lastRenderedPageBreak/>
        <w:t>&lt;Amend&gt;</w:t>
      </w:r>
      <w:r w:rsidRPr="00B64DD1">
        <w:t>Poprawka</w:t>
      </w:r>
      <w:r w:rsidRPr="00B64DD1">
        <w:tab/>
      </w:r>
      <w:r w:rsidRPr="00B64DD1">
        <w:tab/>
      </w:r>
      <w:r w:rsidRPr="00B64DD1">
        <w:rPr>
          <w:rStyle w:val="HideTWBExt"/>
          <w:b w:val="0"/>
        </w:rPr>
        <w:t>&lt;NumAm&gt;</w:t>
      </w:r>
      <w:r w:rsidRPr="00B64DD1">
        <w:t>98</w:t>
      </w:r>
      <w:r w:rsidRPr="00B64DD1">
        <w:rPr>
          <w:rStyle w:val="HideTWBExt"/>
          <w:b w:val="0"/>
        </w:rPr>
        <w:t>&lt;/NumAm&gt;</w:t>
      </w:r>
    </w:p>
    <w:p w14:paraId="19AD32A7" w14:textId="77777777" w:rsidR="00A82F4D" w:rsidRPr="00B64DD1" w:rsidRDefault="00A82F4D" w:rsidP="00A82F4D">
      <w:pPr>
        <w:pStyle w:val="NormalBold"/>
      </w:pPr>
      <w:r w:rsidRPr="00B64DD1">
        <w:rPr>
          <w:rStyle w:val="HideTWBExt"/>
          <w:b w:val="0"/>
        </w:rPr>
        <w:t>&lt;RepeatBlock-By&gt;&lt;Members&gt;</w:t>
      </w:r>
      <w:r w:rsidRPr="00B64DD1">
        <w:t xml:space="preserve">Damian </w:t>
      </w:r>
      <w:proofErr w:type="spellStart"/>
      <w:r w:rsidRPr="00B64DD1">
        <w:t>Boeselager</w:t>
      </w:r>
      <w:proofErr w:type="spellEnd"/>
      <w:r w:rsidRPr="00B64DD1">
        <w:rPr>
          <w:rStyle w:val="HideTWBExt"/>
          <w:b w:val="0"/>
        </w:rPr>
        <w:t>&lt;/Members&gt;</w:t>
      </w:r>
    </w:p>
    <w:p w14:paraId="247CF3F5" w14:textId="77777777" w:rsidR="00A82F4D" w:rsidRPr="00B64DD1" w:rsidRDefault="00A82F4D" w:rsidP="00A82F4D">
      <w:r w:rsidRPr="00B64DD1">
        <w:rPr>
          <w:rStyle w:val="HideTWBExt"/>
        </w:rPr>
        <w:t>&lt;AuNomDe&gt;</w:t>
      </w:r>
      <w:r w:rsidRPr="00B64DD1">
        <w:rPr>
          <w:rStyle w:val="HideTWBInt"/>
        </w:rPr>
        <w:t>{Verts/ALE}</w:t>
      </w:r>
      <w:r w:rsidRPr="00B64DD1">
        <w:t xml:space="preserve">w imieniu grupy </w:t>
      </w:r>
      <w:proofErr w:type="spellStart"/>
      <w:r w:rsidRPr="00B64DD1">
        <w:t>Verts</w:t>
      </w:r>
      <w:proofErr w:type="spellEnd"/>
      <w:r w:rsidRPr="00B64DD1">
        <w:t>/ALE</w:t>
      </w:r>
      <w:r w:rsidRPr="00B64DD1">
        <w:rPr>
          <w:rStyle w:val="HideTWBExt"/>
        </w:rPr>
        <w:t>&lt;/AuNomDe&gt;</w:t>
      </w:r>
    </w:p>
    <w:p w14:paraId="68A7B5D3" w14:textId="77777777" w:rsidR="00A82F4D" w:rsidRPr="00B64DD1" w:rsidRDefault="00A82F4D" w:rsidP="00A82F4D">
      <w:pPr>
        <w:pStyle w:val="NormalBold"/>
      </w:pPr>
      <w:r w:rsidRPr="00B64DD1">
        <w:rPr>
          <w:rStyle w:val="HideTWBExt"/>
          <w:b w:val="0"/>
        </w:rPr>
        <w:t>&lt;/RepeatBlock-By&gt;</w:t>
      </w:r>
    </w:p>
    <w:p w14:paraId="04F745DC"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1D3FB31C" w14:textId="77777777" w:rsidR="00A82F4D" w:rsidRPr="00B64DD1" w:rsidRDefault="00A82F4D" w:rsidP="00A82F4D">
      <w:pPr>
        <w:pStyle w:val="NormalBold"/>
      </w:pPr>
      <w:r w:rsidRPr="00B64DD1">
        <w:rPr>
          <w:rStyle w:val="HideTWBExt"/>
          <w:b w:val="0"/>
        </w:rPr>
        <w:t>&lt;Article&gt;</w:t>
      </w:r>
      <w:r w:rsidRPr="00B64DD1">
        <w:t>Ustęp 54</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7EF57C84" w14:textId="77777777" w:rsidTr="00EA17FD">
        <w:trPr>
          <w:trHeight w:hRule="exact" w:val="240"/>
          <w:jc w:val="center"/>
        </w:trPr>
        <w:tc>
          <w:tcPr>
            <w:tcW w:w="9752" w:type="dxa"/>
            <w:gridSpan w:val="2"/>
            <w:tcBorders>
              <w:top w:val="nil"/>
              <w:left w:val="nil"/>
              <w:bottom w:val="nil"/>
              <w:right w:val="nil"/>
            </w:tcBorders>
          </w:tcPr>
          <w:p w14:paraId="2FC6F6C4" w14:textId="77777777" w:rsidR="00A82F4D" w:rsidRPr="00B64DD1" w:rsidRDefault="00A82F4D" w:rsidP="00EA17FD"/>
        </w:tc>
      </w:tr>
      <w:tr w:rsidR="00A82F4D" w:rsidRPr="00B64DD1" w14:paraId="2183DF0A" w14:textId="77777777" w:rsidTr="00EA17FD">
        <w:trPr>
          <w:trHeight w:val="240"/>
          <w:jc w:val="center"/>
        </w:trPr>
        <w:tc>
          <w:tcPr>
            <w:tcW w:w="4876" w:type="dxa"/>
            <w:tcBorders>
              <w:top w:val="nil"/>
              <w:left w:val="nil"/>
              <w:bottom w:val="nil"/>
              <w:right w:val="nil"/>
            </w:tcBorders>
          </w:tcPr>
          <w:p w14:paraId="2AB6C073"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4001D637" w14:textId="77777777" w:rsidR="00A82F4D" w:rsidRPr="00B64DD1" w:rsidRDefault="00A82F4D" w:rsidP="00EA17FD">
            <w:pPr>
              <w:pStyle w:val="AmColumnHeading"/>
            </w:pPr>
            <w:r w:rsidRPr="00B64DD1">
              <w:t>Poprawka</w:t>
            </w:r>
          </w:p>
        </w:tc>
      </w:tr>
      <w:tr w:rsidR="00A82F4D" w:rsidRPr="00B64DD1" w14:paraId="268D01A5" w14:textId="77777777" w:rsidTr="00EA17FD">
        <w:trPr>
          <w:jc w:val="center"/>
        </w:trPr>
        <w:tc>
          <w:tcPr>
            <w:tcW w:w="4876" w:type="dxa"/>
            <w:tcBorders>
              <w:top w:val="nil"/>
              <w:left w:val="nil"/>
              <w:bottom w:val="nil"/>
              <w:right w:val="nil"/>
            </w:tcBorders>
          </w:tcPr>
          <w:p w14:paraId="5B103B0D" w14:textId="77777777" w:rsidR="00A82F4D" w:rsidRPr="00B64DD1" w:rsidRDefault="00A82F4D" w:rsidP="00EA17FD">
            <w:pPr>
              <w:pStyle w:val="Normal6a"/>
            </w:pPr>
            <w:r w:rsidRPr="00B64DD1">
              <w:t>54.</w:t>
            </w:r>
            <w:r w:rsidRPr="00B64DD1">
              <w:tab/>
              <w:t xml:space="preserve">zauważa, że podczas wysłuchania członkowie komisji CONT wyrazili obawy dotyczące korzystania z czatu w aplikacji </w:t>
            </w:r>
            <w:proofErr w:type="spellStart"/>
            <w:r w:rsidRPr="00B64DD1">
              <w:t>Signal</w:t>
            </w:r>
            <w:proofErr w:type="spellEnd"/>
            <w:r w:rsidRPr="00B64DD1">
              <w:t xml:space="preserve"> przez wiceprzewodniczącą / wysoką przedstawicielkę do komunikowania się z ministrami spraw zagranicznych państw członkowskich; zwraca uwagę, że obawy te wiązały się z brakiem przejrzystości oraz ryzykiem potencjalnych działań szpiegowskich; na podstawie odpowiedzi ESDZ na pytania zawarte w drugim kwestionariuszu zauważa, że wskazany czat w aplikacji </w:t>
            </w:r>
            <w:proofErr w:type="spellStart"/>
            <w:r w:rsidRPr="00B64DD1">
              <w:t>Signal</w:t>
            </w:r>
            <w:proofErr w:type="spellEnd"/>
            <w:r w:rsidRPr="00B64DD1">
              <w:t xml:space="preserve"> jest dostępny wyłącznie dla ministrów spraw zagranicznych państw członkowskich i służy jedynie do nieformalnej wymiany informacji, koordynacji spotkań lub przekazywania aktualizacji, nigdy zaś nie jest wykorzystywany jako narzędzie podejmowania decyzji, natomiast merytoryczne dyskusje i formułowanie stanowisk politycznych odbywają się w ramach właściwych struktur Rady;</w:t>
            </w:r>
          </w:p>
        </w:tc>
        <w:tc>
          <w:tcPr>
            <w:tcW w:w="4876" w:type="dxa"/>
            <w:tcBorders>
              <w:top w:val="nil"/>
              <w:left w:val="nil"/>
              <w:bottom w:val="nil"/>
              <w:right w:val="nil"/>
            </w:tcBorders>
          </w:tcPr>
          <w:p w14:paraId="18B65950" w14:textId="77777777" w:rsidR="00A82F4D" w:rsidRPr="00B64DD1" w:rsidRDefault="00A82F4D" w:rsidP="00EA17FD">
            <w:pPr>
              <w:pStyle w:val="Normal6a"/>
            </w:pPr>
            <w:r w:rsidRPr="00B64DD1">
              <w:t>54.</w:t>
            </w:r>
            <w:r w:rsidRPr="00B64DD1">
              <w:tab/>
              <w:t xml:space="preserve">zauważa, że podczas wysłuchania członkowie komisji CONT wyrazili obawy dotyczące korzystania z czatu w aplikacji </w:t>
            </w:r>
            <w:proofErr w:type="spellStart"/>
            <w:r w:rsidRPr="00B64DD1">
              <w:t>Signal</w:t>
            </w:r>
            <w:proofErr w:type="spellEnd"/>
            <w:r w:rsidRPr="00B64DD1">
              <w:t xml:space="preserve"> przez wiceprzewodniczącą / wysoką przedstawicielkę do komunikowania się z ministrami spraw zagranicznych państw członkowskich; zwraca uwagę, że obawy te wiązały się z brakiem przejrzystości oraz ryzykiem potencjalnych działań szpiegowskich; na podstawie odpowiedzi ESDZ na pytania zawarte w drugim kwestionariuszu zauważa, że wskazany czat w aplikacji </w:t>
            </w:r>
            <w:proofErr w:type="spellStart"/>
            <w:r w:rsidRPr="00B64DD1">
              <w:t>Signal</w:t>
            </w:r>
            <w:proofErr w:type="spellEnd"/>
            <w:r w:rsidRPr="00B64DD1">
              <w:t xml:space="preserve"> jest dostępny wyłącznie dla ministrów spraw zagranicznych państw członkowskich i służy jedynie do nieformalnej wymiany informacji, koordynacji spotkań lub przekazywania aktualizacji, nigdy zaś nie jest wykorzystywany jako narzędzie podejmowania decyzji, natomiast merytoryczne dyskusje i formułowanie stanowisk politycznych odbywają się w ramach właściwych struktur Rady; </w:t>
            </w:r>
            <w:r w:rsidRPr="00B64DD1">
              <w:rPr>
                <w:b/>
                <w:i/>
              </w:rPr>
              <w:t xml:space="preserve">przypomina, że nawet nieformalne narzędzia komunikacji cyfrowej wykorzystywane na szczeblu politycznym powinny być uzupełnione jasnymi wytycznymi dotyczącymi </w:t>
            </w:r>
            <w:proofErr w:type="spellStart"/>
            <w:r w:rsidRPr="00B64DD1">
              <w:rPr>
                <w:b/>
                <w:i/>
              </w:rPr>
              <w:t>cyberbezpieczeństwa</w:t>
            </w:r>
            <w:proofErr w:type="spellEnd"/>
            <w:r w:rsidRPr="00B64DD1">
              <w:rPr>
                <w:b/>
                <w:i/>
              </w:rPr>
              <w:t>, przechowywania dokumentacji i pamięci instytucjonalnej, aby zapewnić przejrzystość, rozliczalność i integralność procesu decyzyjnego Unii;</w:t>
            </w:r>
          </w:p>
        </w:tc>
      </w:tr>
    </w:tbl>
    <w:p w14:paraId="0A84D788"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254D45EA" w14:textId="77777777" w:rsidR="00A82F4D" w:rsidRPr="00B64DD1" w:rsidRDefault="00A82F4D" w:rsidP="00A82F4D">
      <w:r w:rsidRPr="00B64DD1">
        <w:rPr>
          <w:rStyle w:val="HideTWBExt"/>
        </w:rPr>
        <w:t>&lt;/Amend&gt;</w:t>
      </w:r>
    </w:p>
    <w:p w14:paraId="5C22EC56"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99</w:t>
      </w:r>
      <w:r w:rsidRPr="00B64DD1">
        <w:rPr>
          <w:rStyle w:val="HideTWBExt"/>
          <w:b w:val="0"/>
        </w:rPr>
        <w:t>&lt;/NumAm&gt;</w:t>
      </w:r>
    </w:p>
    <w:p w14:paraId="42D180CD" w14:textId="77777777" w:rsidR="00A82F4D" w:rsidRPr="00B64DD1" w:rsidRDefault="00A82F4D" w:rsidP="00A82F4D">
      <w:pPr>
        <w:pStyle w:val="NormalBold"/>
      </w:pPr>
      <w:r w:rsidRPr="00B64DD1">
        <w:rPr>
          <w:rStyle w:val="HideTWBExt"/>
          <w:b w:val="0"/>
        </w:rPr>
        <w:t>&lt;RepeatBlock-By&gt;&lt;Members&gt;</w:t>
      </w:r>
      <w:proofErr w:type="spellStart"/>
      <w:r w:rsidRPr="00B64DD1">
        <w:t>Tamás</w:t>
      </w:r>
      <w:proofErr w:type="spellEnd"/>
      <w:r w:rsidRPr="00B64DD1">
        <w:t xml:space="preserve"> </w:t>
      </w:r>
      <w:proofErr w:type="spellStart"/>
      <w:r w:rsidRPr="00B64DD1">
        <w:t>Deutsch</w:t>
      </w:r>
      <w:proofErr w:type="spellEnd"/>
      <w:r w:rsidRPr="00B64DD1">
        <w:rPr>
          <w:rStyle w:val="HideTWBExt"/>
          <w:b w:val="0"/>
        </w:rPr>
        <w:t>&lt;/Members&gt;</w:t>
      </w:r>
    </w:p>
    <w:p w14:paraId="7A46FEFA" w14:textId="77777777" w:rsidR="00A82F4D" w:rsidRPr="00B64DD1" w:rsidRDefault="00A82F4D" w:rsidP="00A82F4D">
      <w:pPr>
        <w:pStyle w:val="NormalBold"/>
      </w:pPr>
      <w:r w:rsidRPr="00B64DD1">
        <w:rPr>
          <w:rStyle w:val="HideTWBExt"/>
          <w:b w:val="0"/>
        </w:rPr>
        <w:t>&lt;/RepeatBlock-By&gt;</w:t>
      </w:r>
    </w:p>
    <w:p w14:paraId="10B0BA1B" w14:textId="77777777" w:rsidR="00A82F4D" w:rsidRPr="00B64DD1" w:rsidRDefault="00A82F4D" w:rsidP="00A82F4D">
      <w:pPr>
        <w:pStyle w:val="NormalBold"/>
      </w:pPr>
      <w:r w:rsidRPr="00B64DD1">
        <w:rPr>
          <w:rStyle w:val="HideTWBExt"/>
          <w:b w:val="0"/>
        </w:rPr>
        <w:lastRenderedPageBreak/>
        <w:t>&lt;DocAmend&gt;</w:t>
      </w:r>
      <w:r w:rsidRPr="00B64DD1">
        <w:t>Projekt rezolucji</w:t>
      </w:r>
      <w:r w:rsidRPr="00B64DD1">
        <w:rPr>
          <w:rStyle w:val="HideTWBExt"/>
          <w:b w:val="0"/>
        </w:rPr>
        <w:t>&lt;/DocAmend&gt;</w:t>
      </w:r>
    </w:p>
    <w:p w14:paraId="66E045E5" w14:textId="77777777" w:rsidR="00A82F4D" w:rsidRPr="00B64DD1" w:rsidRDefault="00A82F4D" w:rsidP="00A82F4D">
      <w:pPr>
        <w:pStyle w:val="NormalBold"/>
      </w:pPr>
      <w:r w:rsidRPr="00B64DD1">
        <w:rPr>
          <w:rStyle w:val="HideTWBExt"/>
          <w:b w:val="0"/>
        </w:rPr>
        <w:t>&lt;Article&gt;</w:t>
      </w:r>
      <w:r w:rsidRPr="00B64DD1">
        <w:t>Ustęp 54 a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509F64CF" w14:textId="77777777" w:rsidTr="00EA17FD">
        <w:trPr>
          <w:trHeight w:hRule="exact" w:val="240"/>
          <w:jc w:val="center"/>
        </w:trPr>
        <w:tc>
          <w:tcPr>
            <w:tcW w:w="9752" w:type="dxa"/>
            <w:gridSpan w:val="2"/>
            <w:tcBorders>
              <w:top w:val="nil"/>
              <w:left w:val="nil"/>
              <w:bottom w:val="nil"/>
              <w:right w:val="nil"/>
            </w:tcBorders>
          </w:tcPr>
          <w:p w14:paraId="44E642D9" w14:textId="77777777" w:rsidR="00A82F4D" w:rsidRPr="00B64DD1" w:rsidRDefault="00A82F4D" w:rsidP="00EA17FD"/>
        </w:tc>
      </w:tr>
      <w:tr w:rsidR="00A82F4D" w:rsidRPr="00B64DD1" w14:paraId="229F17CF" w14:textId="77777777" w:rsidTr="00EA17FD">
        <w:trPr>
          <w:trHeight w:val="240"/>
          <w:jc w:val="center"/>
        </w:trPr>
        <w:tc>
          <w:tcPr>
            <w:tcW w:w="4876" w:type="dxa"/>
            <w:tcBorders>
              <w:top w:val="nil"/>
              <w:left w:val="nil"/>
              <w:bottom w:val="nil"/>
              <w:right w:val="nil"/>
            </w:tcBorders>
          </w:tcPr>
          <w:p w14:paraId="0DEB3B35"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144B2A36" w14:textId="77777777" w:rsidR="00A82F4D" w:rsidRPr="00B64DD1" w:rsidRDefault="00A82F4D" w:rsidP="00EA17FD">
            <w:pPr>
              <w:pStyle w:val="AmColumnHeading"/>
            </w:pPr>
            <w:r w:rsidRPr="00B64DD1">
              <w:t>Poprawka</w:t>
            </w:r>
          </w:p>
        </w:tc>
      </w:tr>
      <w:tr w:rsidR="00A82F4D" w:rsidRPr="00B64DD1" w14:paraId="07EC0A11" w14:textId="77777777" w:rsidTr="00EA17FD">
        <w:trPr>
          <w:jc w:val="center"/>
        </w:trPr>
        <w:tc>
          <w:tcPr>
            <w:tcW w:w="4876" w:type="dxa"/>
            <w:tcBorders>
              <w:top w:val="nil"/>
              <w:left w:val="nil"/>
              <w:bottom w:val="nil"/>
              <w:right w:val="nil"/>
            </w:tcBorders>
          </w:tcPr>
          <w:p w14:paraId="4C6130E6" w14:textId="77777777" w:rsidR="00A82F4D" w:rsidRPr="00B64DD1" w:rsidRDefault="00A82F4D" w:rsidP="00EA17FD">
            <w:pPr>
              <w:pStyle w:val="Normal6a"/>
            </w:pPr>
          </w:p>
        </w:tc>
        <w:tc>
          <w:tcPr>
            <w:tcW w:w="4876" w:type="dxa"/>
            <w:tcBorders>
              <w:top w:val="nil"/>
              <w:left w:val="nil"/>
              <w:bottom w:val="nil"/>
              <w:right w:val="nil"/>
            </w:tcBorders>
          </w:tcPr>
          <w:p w14:paraId="479DB315" w14:textId="77777777" w:rsidR="00A82F4D" w:rsidRPr="00B64DD1" w:rsidRDefault="00A82F4D" w:rsidP="00EA17FD">
            <w:pPr>
              <w:pStyle w:val="Normal6a"/>
            </w:pPr>
            <w:r w:rsidRPr="00B64DD1">
              <w:rPr>
                <w:b/>
                <w:i/>
              </w:rPr>
              <w:t>54a.</w:t>
            </w:r>
            <w:r w:rsidRPr="00B64DD1">
              <w:tab/>
            </w:r>
            <w:r w:rsidRPr="00B64DD1">
              <w:rPr>
                <w:b/>
                <w:i/>
              </w:rPr>
              <w:t>Wzywa ESDZ do wyciągnięcia lekcji i wniosków na temat własnych przepisów i procedur wewnętrznych, z uwzględnieniem przeprowadzonego we wrześniu 2023 r. przeglądu Regulaminu Parlamentu i kodeksu postępowania, zaleca jednak, aby instytucja przedstawiła kolejne i ulepszone metody zwalczania nadużyć finansowych i pełnej ochrony interesów finansowych UE;</w:t>
            </w:r>
          </w:p>
        </w:tc>
      </w:tr>
    </w:tbl>
    <w:p w14:paraId="054AF510"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27A813D9" w14:textId="77777777" w:rsidR="00A82F4D" w:rsidRPr="00B64DD1" w:rsidRDefault="00A82F4D" w:rsidP="00A82F4D">
      <w:r w:rsidRPr="00B64DD1">
        <w:rPr>
          <w:rStyle w:val="HideTWBExt"/>
        </w:rPr>
        <w:t>&lt;/Amend&gt;</w:t>
      </w:r>
    </w:p>
    <w:p w14:paraId="72C39EE0"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100</w:t>
      </w:r>
      <w:r w:rsidRPr="00B64DD1">
        <w:rPr>
          <w:rStyle w:val="HideTWBExt"/>
          <w:b w:val="0"/>
        </w:rPr>
        <w:t>&lt;/NumAm&gt;</w:t>
      </w:r>
    </w:p>
    <w:p w14:paraId="55B2E1FF" w14:textId="77777777" w:rsidR="00A82F4D" w:rsidRPr="00B64DD1" w:rsidRDefault="00A82F4D" w:rsidP="00A82F4D">
      <w:pPr>
        <w:pStyle w:val="NormalBold"/>
      </w:pPr>
      <w:r w:rsidRPr="00B64DD1">
        <w:rPr>
          <w:rStyle w:val="HideTWBExt"/>
          <w:b w:val="0"/>
        </w:rPr>
        <w:t>&lt;RepeatBlock-By&gt;&lt;Members&gt;</w:t>
      </w:r>
      <w:r w:rsidRPr="00B64DD1">
        <w:t xml:space="preserve">Damian </w:t>
      </w:r>
      <w:proofErr w:type="spellStart"/>
      <w:r w:rsidRPr="00B64DD1">
        <w:t>Boeselager</w:t>
      </w:r>
      <w:proofErr w:type="spellEnd"/>
      <w:r w:rsidRPr="00B64DD1">
        <w:rPr>
          <w:rStyle w:val="HideTWBExt"/>
          <w:b w:val="0"/>
        </w:rPr>
        <w:t>&lt;/Members&gt;</w:t>
      </w:r>
    </w:p>
    <w:p w14:paraId="4A94DFC2" w14:textId="77777777" w:rsidR="00A82F4D" w:rsidRPr="00B64DD1" w:rsidRDefault="00A82F4D" w:rsidP="00A82F4D">
      <w:r w:rsidRPr="00B64DD1">
        <w:rPr>
          <w:rStyle w:val="HideTWBExt"/>
        </w:rPr>
        <w:t>&lt;AuNomDe&gt;</w:t>
      </w:r>
      <w:r w:rsidRPr="00B64DD1">
        <w:rPr>
          <w:rStyle w:val="HideTWBInt"/>
        </w:rPr>
        <w:t>{Verts/ALE}</w:t>
      </w:r>
      <w:r w:rsidRPr="00B64DD1">
        <w:t xml:space="preserve">w imieniu grupy </w:t>
      </w:r>
      <w:proofErr w:type="spellStart"/>
      <w:r w:rsidRPr="00B64DD1">
        <w:t>Verts</w:t>
      </w:r>
      <w:proofErr w:type="spellEnd"/>
      <w:r w:rsidRPr="00B64DD1">
        <w:t>/ALE</w:t>
      </w:r>
      <w:r w:rsidRPr="00B64DD1">
        <w:rPr>
          <w:rStyle w:val="HideTWBExt"/>
        </w:rPr>
        <w:t>&lt;/AuNomDe&gt;</w:t>
      </w:r>
    </w:p>
    <w:p w14:paraId="4C58F370" w14:textId="77777777" w:rsidR="00A82F4D" w:rsidRPr="00B64DD1" w:rsidRDefault="00A82F4D" w:rsidP="00A82F4D">
      <w:pPr>
        <w:pStyle w:val="NormalBold"/>
      </w:pPr>
      <w:r w:rsidRPr="00B64DD1">
        <w:rPr>
          <w:rStyle w:val="HideTWBExt"/>
          <w:b w:val="0"/>
        </w:rPr>
        <w:t>&lt;/RepeatBlock-By&gt;</w:t>
      </w:r>
    </w:p>
    <w:p w14:paraId="0B7FE0FD"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43E70075" w14:textId="77777777" w:rsidR="00A82F4D" w:rsidRPr="00B64DD1" w:rsidRDefault="00A82F4D" w:rsidP="00A82F4D">
      <w:pPr>
        <w:pStyle w:val="NormalBold"/>
      </w:pPr>
      <w:r w:rsidRPr="00B64DD1">
        <w:rPr>
          <w:rStyle w:val="HideTWBExt"/>
          <w:b w:val="0"/>
        </w:rPr>
        <w:t>&lt;Article&gt;</w:t>
      </w:r>
      <w:r w:rsidRPr="00B64DD1">
        <w:t>Ustęp 56 a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54678C1F" w14:textId="77777777" w:rsidTr="00EA17FD">
        <w:trPr>
          <w:trHeight w:hRule="exact" w:val="240"/>
          <w:jc w:val="center"/>
        </w:trPr>
        <w:tc>
          <w:tcPr>
            <w:tcW w:w="9752" w:type="dxa"/>
            <w:gridSpan w:val="2"/>
            <w:tcBorders>
              <w:top w:val="nil"/>
              <w:left w:val="nil"/>
              <w:bottom w:val="nil"/>
              <w:right w:val="nil"/>
            </w:tcBorders>
          </w:tcPr>
          <w:p w14:paraId="10096B56" w14:textId="77777777" w:rsidR="00A82F4D" w:rsidRPr="00B64DD1" w:rsidRDefault="00A82F4D" w:rsidP="00EA17FD"/>
        </w:tc>
      </w:tr>
      <w:tr w:rsidR="00A82F4D" w:rsidRPr="00B64DD1" w14:paraId="50F3F4D2" w14:textId="77777777" w:rsidTr="00EA17FD">
        <w:trPr>
          <w:trHeight w:val="240"/>
          <w:jc w:val="center"/>
        </w:trPr>
        <w:tc>
          <w:tcPr>
            <w:tcW w:w="4876" w:type="dxa"/>
            <w:tcBorders>
              <w:top w:val="nil"/>
              <w:left w:val="nil"/>
              <w:bottom w:val="nil"/>
              <w:right w:val="nil"/>
            </w:tcBorders>
          </w:tcPr>
          <w:p w14:paraId="23775ED9"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357E7FA7" w14:textId="77777777" w:rsidR="00A82F4D" w:rsidRPr="00B64DD1" w:rsidRDefault="00A82F4D" w:rsidP="00EA17FD">
            <w:pPr>
              <w:pStyle w:val="AmColumnHeading"/>
            </w:pPr>
            <w:r w:rsidRPr="00B64DD1">
              <w:t>Poprawka</w:t>
            </w:r>
          </w:p>
        </w:tc>
      </w:tr>
      <w:tr w:rsidR="00A82F4D" w:rsidRPr="00B64DD1" w14:paraId="03677567" w14:textId="77777777" w:rsidTr="00EA17FD">
        <w:trPr>
          <w:jc w:val="center"/>
        </w:trPr>
        <w:tc>
          <w:tcPr>
            <w:tcW w:w="4876" w:type="dxa"/>
            <w:tcBorders>
              <w:top w:val="nil"/>
              <w:left w:val="nil"/>
              <w:bottom w:val="nil"/>
              <w:right w:val="nil"/>
            </w:tcBorders>
          </w:tcPr>
          <w:p w14:paraId="3A03FD3F" w14:textId="77777777" w:rsidR="00A82F4D" w:rsidRPr="00B64DD1" w:rsidRDefault="00A82F4D" w:rsidP="00EA17FD">
            <w:pPr>
              <w:pStyle w:val="Normal6a"/>
            </w:pPr>
          </w:p>
        </w:tc>
        <w:tc>
          <w:tcPr>
            <w:tcW w:w="4876" w:type="dxa"/>
            <w:tcBorders>
              <w:top w:val="nil"/>
              <w:left w:val="nil"/>
              <w:bottom w:val="nil"/>
              <w:right w:val="nil"/>
            </w:tcBorders>
          </w:tcPr>
          <w:p w14:paraId="46173560" w14:textId="77777777" w:rsidR="00A82F4D" w:rsidRPr="00B64DD1" w:rsidRDefault="00A82F4D" w:rsidP="00EA17FD">
            <w:pPr>
              <w:pStyle w:val="Normal6a"/>
            </w:pPr>
            <w:r w:rsidRPr="00B64DD1">
              <w:rPr>
                <w:b/>
                <w:i/>
              </w:rPr>
              <w:t>56a.</w:t>
            </w:r>
            <w:r w:rsidRPr="00B64DD1">
              <w:tab/>
            </w:r>
            <w:r w:rsidRPr="00B64DD1">
              <w:rPr>
                <w:b/>
                <w:i/>
              </w:rPr>
              <w:t>podkreśla, że wdrażaniu narzędzi sztucznej inteligencji w działaniach zewnętrznych muszą towarzyszyć rygorystyczne zabezpieczenia w zakresie ochrony danych, praw podstawowych, przejrzystości i sprawowania nadzoru rzez człowieka, w tym w delegaturach Unii i we współpracy z partnerami z państw trzecich; wzywa do regularnego składania Parlamentowi sprawozdań z realizacji strategii ESDZ w zakresie sztucznej inteligencji;</w:t>
            </w:r>
          </w:p>
        </w:tc>
      </w:tr>
    </w:tbl>
    <w:p w14:paraId="330F9582"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77E772B1" w14:textId="77777777" w:rsidR="00A82F4D" w:rsidRPr="00B64DD1" w:rsidRDefault="00A82F4D" w:rsidP="00A82F4D">
      <w:r w:rsidRPr="00B64DD1">
        <w:rPr>
          <w:rStyle w:val="HideTWBExt"/>
        </w:rPr>
        <w:t>&lt;/Amend&gt;</w:t>
      </w:r>
    </w:p>
    <w:p w14:paraId="30D141C0"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101</w:t>
      </w:r>
      <w:r w:rsidRPr="00B64DD1">
        <w:rPr>
          <w:rStyle w:val="HideTWBExt"/>
          <w:b w:val="0"/>
        </w:rPr>
        <w:t>&lt;/NumAm&gt;</w:t>
      </w:r>
    </w:p>
    <w:p w14:paraId="66D4358B" w14:textId="77777777" w:rsidR="00A82F4D" w:rsidRPr="00B64DD1" w:rsidRDefault="00A82F4D" w:rsidP="00A82F4D">
      <w:pPr>
        <w:pStyle w:val="NormalBold"/>
      </w:pPr>
      <w:r w:rsidRPr="00B64DD1">
        <w:rPr>
          <w:rStyle w:val="HideTWBExt"/>
          <w:b w:val="0"/>
        </w:rPr>
        <w:t>&lt;RepeatBlock-By&gt;&lt;Members&gt;</w:t>
      </w:r>
      <w:proofErr w:type="spellStart"/>
      <w:r w:rsidRPr="00B64DD1">
        <w:t>Vlad</w:t>
      </w:r>
      <w:proofErr w:type="spellEnd"/>
      <w:r w:rsidRPr="00B64DD1">
        <w:t xml:space="preserve"> </w:t>
      </w:r>
      <w:proofErr w:type="spellStart"/>
      <w:r w:rsidRPr="00B64DD1">
        <w:t>Vasile-Voiculescu</w:t>
      </w:r>
      <w:proofErr w:type="spellEnd"/>
      <w:r w:rsidRPr="00B64DD1">
        <w:t xml:space="preserve">, Olivier </w:t>
      </w:r>
      <w:proofErr w:type="spellStart"/>
      <w:r w:rsidRPr="00B64DD1">
        <w:t>Chastel</w:t>
      </w:r>
      <w:proofErr w:type="spellEnd"/>
      <w:r w:rsidRPr="00B64DD1">
        <w:t xml:space="preserve">, </w:t>
      </w:r>
      <w:proofErr w:type="spellStart"/>
      <w:r w:rsidRPr="00B64DD1">
        <w:t>Gerben</w:t>
      </w:r>
      <w:proofErr w:type="spellEnd"/>
      <w:r w:rsidRPr="00B64DD1">
        <w:t xml:space="preserve">-Jan </w:t>
      </w:r>
      <w:proofErr w:type="spellStart"/>
      <w:r w:rsidRPr="00B64DD1">
        <w:t>Gerbrandy</w:t>
      </w:r>
      <w:proofErr w:type="spellEnd"/>
      <w:r w:rsidRPr="00B64DD1">
        <w:t xml:space="preserve">, </w:t>
      </w:r>
      <w:proofErr w:type="spellStart"/>
      <w:r w:rsidRPr="00B64DD1">
        <w:t>Gilles</w:t>
      </w:r>
      <w:proofErr w:type="spellEnd"/>
      <w:r w:rsidRPr="00B64DD1">
        <w:t xml:space="preserve"> </w:t>
      </w:r>
      <w:proofErr w:type="spellStart"/>
      <w:r w:rsidRPr="00B64DD1">
        <w:t>Boyer</w:t>
      </w:r>
      <w:proofErr w:type="spellEnd"/>
      <w:r w:rsidRPr="00B64DD1">
        <w:t xml:space="preserve">, Michal </w:t>
      </w:r>
      <w:proofErr w:type="spellStart"/>
      <w:r w:rsidRPr="00B64DD1">
        <w:t>Wiezik</w:t>
      </w:r>
      <w:proofErr w:type="spellEnd"/>
      <w:r w:rsidRPr="00B64DD1">
        <w:rPr>
          <w:rStyle w:val="HideTWBExt"/>
          <w:b w:val="0"/>
        </w:rPr>
        <w:t>&lt;/Members&gt;</w:t>
      </w:r>
    </w:p>
    <w:p w14:paraId="76170AAE" w14:textId="77777777" w:rsidR="00A82F4D" w:rsidRPr="00B64DD1" w:rsidRDefault="00A82F4D" w:rsidP="00A82F4D">
      <w:pPr>
        <w:pStyle w:val="NormalBold"/>
      </w:pPr>
      <w:r w:rsidRPr="00B64DD1">
        <w:rPr>
          <w:rStyle w:val="HideTWBExt"/>
          <w:b w:val="0"/>
        </w:rPr>
        <w:lastRenderedPageBreak/>
        <w:t>&lt;/RepeatBlock-By&gt;</w:t>
      </w:r>
    </w:p>
    <w:p w14:paraId="6D01B8B5"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7617EF90" w14:textId="77777777" w:rsidR="00A82F4D" w:rsidRPr="00B64DD1" w:rsidRDefault="00A82F4D" w:rsidP="00A82F4D">
      <w:pPr>
        <w:pStyle w:val="NormalBold"/>
      </w:pPr>
      <w:r w:rsidRPr="00B64DD1">
        <w:rPr>
          <w:rStyle w:val="HideTWBExt"/>
          <w:b w:val="0"/>
        </w:rPr>
        <w:t>&lt;Article&gt;</w:t>
      </w:r>
      <w:r w:rsidRPr="00B64DD1">
        <w:t>Ustęp 57</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4AB5A96E" w14:textId="77777777" w:rsidTr="00EA17FD">
        <w:trPr>
          <w:trHeight w:hRule="exact" w:val="240"/>
          <w:jc w:val="center"/>
        </w:trPr>
        <w:tc>
          <w:tcPr>
            <w:tcW w:w="9752" w:type="dxa"/>
            <w:gridSpan w:val="2"/>
            <w:tcBorders>
              <w:top w:val="nil"/>
              <w:left w:val="nil"/>
              <w:bottom w:val="nil"/>
              <w:right w:val="nil"/>
            </w:tcBorders>
          </w:tcPr>
          <w:p w14:paraId="0F4E523D" w14:textId="77777777" w:rsidR="00A82F4D" w:rsidRPr="00B64DD1" w:rsidRDefault="00A82F4D" w:rsidP="00EA17FD"/>
        </w:tc>
      </w:tr>
      <w:tr w:rsidR="00A82F4D" w:rsidRPr="00B64DD1" w14:paraId="665A50DF" w14:textId="77777777" w:rsidTr="00EA17FD">
        <w:trPr>
          <w:trHeight w:val="240"/>
          <w:jc w:val="center"/>
        </w:trPr>
        <w:tc>
          <w:tcPr>
            <w:tcW w:w="4876" w:type="dxa"/>
            <w:tcBorders>
              <w:top w:val="nil"/>
              <w:left w:val="nil"/>
              <w:bottom w:val="nil"/>
              <w:right w:val="nil"/>
            </w:tcBorders>
          </w:tcPr>
          <w:p w14:paraId="3631AE70"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2AFDD17C" w14:textId="77777777" w:rsidR="00A82F4D" w:rsidRPr="00B64DD1" w:rsidRDefault="00A82F4D" w:rsidP="00EA17FD">
            <w:pPr>
              <w:pStyle w:val="AmColumnHeading"/>
            </w:pPr>
            <w:r w:rsidRPr="00B64DD1">
              <w:t>Poprawka</w:t>
            </w:r>
          </w:p>
        </w:tc>
      </w:tr>
      <w:tr w:rsidR="00A82F4D" w:rsidRPr="00B64DD1" w14:paraId="6901513A" w14:textId="77777777" w:rsidTr="00EA17FD">
        <w:trPr>
          <w:jc w:val="center"/>
        </w:trPr>
        <w:tc>
          <w:tcPr>
            <w:tcW w:w="4876" w:type="dxa"/>
            <w:tcBorders>
              <w:top w:val="nil"/>
              <w:left w:val="nil"/>
              <w:bottom w:val="nil"/>
              <w:right w:val="nil"/>
            </w:tcBorders>
          </w:tcPr>
          <w:p w14:paraId="31DD5826" w14:textId="77777777" w:rsidR="00A82F4D" w:rsidRPr="00B64DD1" w:rsidRDefault="00A82F4D" w:rsidP="00EA17FD">
            <w:pPr>
              <w:pStyle w:val="Normal6a"/>
            </w:pPr>
            <w:r w:rsidRPr="00B64DD1">
              <w:t>57.</w:t>
            </w:r>
            <w:r w:rsidRPr="00B64DD1">
              <w:tab/>
              <w:t xml:space="preserve">wyraża uznanie dla ESDZ za działania służące zwiększeniu gotowości w zakresie </w:t>
            </w:r>
            <w:proofErr w:type="spellStart"/>
            <w:r w:rsidRPr="00B64DD1">
              <w:t>cyberbezpieczeństwa</w:t>
            </w:r>
            <w:proofErr w:type="spellEnd"/>
            <w:r w:rsidRPr="00B64DD1">
              <w:t xml:space="preserve">, w tym za regularne briefingi bezpieczeństwa obejmujące szeroką grupę pracowników i podmiotów stowarzyszonych, a także za szkolenia organizowane na wniosek różnych grup użytkowników, w tym regionalnych urzędników ds. bezpieczeństwa oraz koordynatorów ds. bezpieczeństwa w delegaturach Unii, jak również za ćwiczenia </w:t>
            </w:r>
            <w:proofErr w:type="spellStart"/>
            <w:r w:rsidRPr="00B64DD1">
              <w:t>phishingowe</w:t>
            </w:r>
            <w:proofErr w:type="spellEnd"/>
            <w:r w:rsidRPr="00B64DD1">
              <w:t xml:space="preserve">; </w:t>
            </w:r>
            <w:r w:rsidRPr="00B64DD1">
              <w:rPr>
                <w:b/>
                <w:bCs/>
                <w:i/>
                <w:iCs/>
              </w:rPr>
              <w:t>oczekuje wprowadzenia</w:t>
            </w:r>
            <w:r w:rsidRPr="00B64DD1">
              <w:t xml:space="preserve"> obowiązkowych szkoleń z zakresu </w:t>
            </w:r>
            <w:proofErr w:type="spellStart"/>
            <w:r w:rsidRPr="00B64DD1">
              <w:t>cyberbezpieczeństwa</w:t>
            </w:r>
            <w:proofErr w:type="spellEnd"/>
            <w:r w:rsidRPr="00B64DD1">
              <w:t xml:space="preserve"> dla wszystkich pracowników ESDZ; na podstawie kwestionariusza z zadowoleniem zauważa, że ESDZ dysponuje narzędziami – takimi jak centrum monitorowania bezpieczeństwa ESDZ – umożliwiającymi monitorowanie zagrożeń </w:t>
            </w:r>
            <w:proofErr w:type="spellStart"/>
            <w:r w:rsidRPr="00B64DD1">
              <w:t>cyberbezpieczeństwa</w:t>
            </w:r>
            <w:proofErr w:type="spellEnd"/>
            <w:r w:rsidRPr="00B64DD1">
              <w:t xml:space="preserve"> oraz identyfikowanie luk w zabezpieczeniach w czasie rzeczywistym;</w:t>
            </w:r>
          </w:p>
        </w:tc>
        <w:tc>
          <w:tcPr>
            <w:tcW w:w="4876" w:type="dxa"/>
            <w:tcBorders>
              <w:top w:val="nil"/>
              <w:left w:val="nil"/>
              <w:bottom w:val="nil"/>
              <w:right w:val="nil"/>
            </w:tcBorders>
          </w:tcPr>
          <w:p w14:paraId="138B7B2E" w14:textId="77777777" w:rsidR="00A82F4D" w:rsidRPr="00B64DD1" w:rsidRDefault="00A82F4D" w:rsidP="00EA17FD">
            <w:pPr>
              <w:pStyle w:val="Normal6a"/>
            </w:pPr>
            <w:r w:rsidRPr="00B64DD1">
              <w:t>57.</w:t>
            </w:r>
            <w:r w:rsidRPr="00B64DD1">
              <w:tab/>
              <w:t xml:space="preserve">wyraża uznanie dla ESDZ za działania służące zwiększeniu gotowości w zakresie </w:t>
            </w:r>
            <w:proofErr w:type="spellStart"/>
            <w:r w:rsidRPr="00B64DD1">
              <w:t>cyberbezpieczeństwa</w:t>
            </w:r>
            <w:proofErr w:type="spellEnd"/>
            <w:r w:rsidRPr="00B64DD1">
              <w:t xml:space="preserve">, w tym za regularne briefingi bezpieczeństwa obejmujące szeroką grupę pracowników i podmiotów stowarzyszonych, a także za szkolenia organizowane na wniosek różnych grup użytkowników, w tym regionalnych urzędników ds. bezpieczeństwa oraz koordynatorów ds. bezpieczeństwa w delegaturach Unii, jak również za ćwiczenia </w:t>
            </w:r>
            <w:proofErr w:type="spellStart"/>
            <w:r w:rsidRPr="00B64DD1">
              <w:t>phishingowe</w:t>
            </w:r>
            <w:proofErr w:type="spellEnd"/>
            <w:r w:rsidRPr="00B64DD1">
              <w:t xml:space="preserve">; </w:t>
            </w:r>
            <w:r w:rsidRPr="00B64DD1">
              <w:rPr>
                <w:b/>
                <w:bCs/>
                <w:i/>
                <w:iCs/>
              </w:rPr>
              <w:t xml:space="preserve">wzywa ESDZ do zapewnienia regularnych </w:t>
            </w:r>
            <w:r w:rsidRPr="00B64DD1">
              <w:t xml:space="preserve">obowiązkowych szkoleń z zakresu </w:t>
            </w:r>
            <w:proofErr w:type="spellStart"/>
            <w:r w:rsidRPr="00B64DD1">
              <w:t>cyberbezpieczeństwa</w:t>
            </w:r>
            <w:proofErr w:type="spellEnd"/>
            <w:r w:rsidRPr="00B64DD1">
              <w:t xml:space="preserve"> dla wszystkich pracowników ESDZ; na podstawie kwestionariusza z zadowoleniem zauważa, że ESDZ dysponuje narzędziami – takimi jak centrum monitorowania bezpieczeństwa ESDZ – umożliwiającymi monitorowanie zagrożeń </w:t>
            </w:r>
            <w:proofErr w:type="spellStart"/>
            <w:r w:rsidRPr="00B64DD1">
              <w:t>cyberbezpieczeństwa</w:t>
            </w:r>
            <w:proofErr w:type="spellEnd"/>
            <w:r w:rsidRPr="00B64DD1">
              <w:t xml:space="preserve"> oraz identyfikowanie luk w zabezpieczeniach w czasie rzeczywistym;</w:t>
            </w:r>
          </w:p>
        </w:tc>
      </w:tr>
    </w:tbl>
    <w:p w14:paraId="7295FCC7"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7F0F4EE8" w14:textId="77777777" w:rsidR="00A82F4D" w:rsidRPr="00B64DD1" w:rsidRDefault="00A82F4D" w:rsidP="00A82F4D">
      <w:r w:rsidRPr="00B64DD1">
        <w:rPr>
          <w:rStyle w:val="HideTWBExt"/>
        </w:rPr>
        <w:t>&lt;/Amend&gt;</w:t>
      </w:r>
    </w:p>
    <w:p w14:paraId="68073E58"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102</w:t>
      </w:r>
      <w:r w:rsidRPr="00B64DD1">
        <w:rPr>
          <w:rStyle w:val="HideTWBExt"/>
          <w:b w:val="0"/>
        </w:rPr>
        <w:t>&lt;/NumAm&gt;</w:t>
      </w:r>
    </w:p>
    <w:p w14:paraId="78EFB797" w14:textId="77777777" w:rsidR="00A82F4D" w:rsidRPr="00B64DD1" w:rsidRDefault="00A82F4D" w:rsidP="00A82F4D">
      <w:pPr>
        <w:pStyle w:val="NormalBold"/>
      </w:pPr>
      <w:r w:rsidRPr="00B64DD1">
        <w:rPr>
          <w:rStyle w:val="HideTWBExt"/>
          <w:b w:val="0"/>
        </w:rPr>
        <w:t>&lt;RepeatBlock-By&gt;&lt;Members&gt;</w:t>
      </w:r>
      <w:proofErr w:type="spellStart"/>
      <w:r w:rsidRPr="00B64DD1">
        <w:t>Şerban</w:t>
      </w:r>
      <w:proofErr w:type="spellEnd"/>
      <w:r w:rsidRPr="00B64DD1">
        <w:t xml:space="preserve"> </w:t>
      </w:r>
      <w:proofErr w:type="spellStart"/>
      <w:r w:rsidRPr="00B64DD1">
        <w:t>Dimitrie</w:t>
      </w:r>
      <w:proofErr w:type="spellEnd"/>
      <w:r w:rsidRPr="00B64DD1">
        <w:t xml:space="preserve"> </w:t>
      </w:r>
      <w:proofErr w:type="spellStart"/>
      <w:r w:rsidRPr="00B64DD1">
        <w:t>Sturdza</w:t>
      </w:r>
      <w:proofErr w:type="spellEnd"/>
      <w:r w:rsidRPr="00B64DD1">
        <w:rPr>
          <w:rStyle w:val="HideTWBExt"/>
          <w:b w:val="0"/>
        </w:rPr>
        <w:t>&lt;/Members&gt;</w:t>
      </w:r>
    </w:p>
    <w:p w14:paraId="1F632534" w14:textId="77777777" w:rsidR="00A82F4D" w:rsidRPr="00B64DD1" w:rsidRDefault="00A82F4D" w:rsidP="00A82F4D">
      <w:pPr>
        <w:pStyle w:val="NormalBold"/>
      </w:pPr>
      <w:r w:rsidRPr="00B64DD1">
        <w:rPr>
          <w:rStyle w:val="HideTWBExt"/>
          <w:b w:val="0"/>
        </w:rPr>
        <w:t>&lt;/RepeatBlock-By&gt;</w:t>
      </w:r>
    </w:p>
    <w:p w14:paraId="3996ED6B"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6E1EFE2E" w14:textId="77777777" w:rsidR="00A82F4D" w:rsidRPr="00B64DD1" w:rsidRDefault="00A82F4D" w:rsidP="00A82F4D">
      <w:pPr>
        <w:pStyle w:val="NormalBold"/>
      </w:pPr>
      <w:r w:rsidRPr="00B64DD1">
        <w:rPr>
          <w:rStyle w:val="HideTWBExt"/>
          <w:b w:val="0"/>
        </w:rPr>
        <w:t>&lt;Article&gt;</w:t>
      </w:r>
      <w:r w:rsidRPr="00B64DD1">
        <w:t>Ustęp 58</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3DDB333D" w14:textId="77777777" w:rsidTr="00EA17FD">
        <w:trPr>
          <w:trHeight w:hRule="exact" w:val="240"/>
          <w:jc w:val="center"/>
        </w:trPr>
        <w:tc>
          <w:tcPr>
            <w:tcW w:w="9752" w:type="dxa"/>
            <w:gridSpan w:val="2"/>
            <w:tcBorders>
              <w:top w:val="nil"/>
              <w:left w:val="nil"/>
              <w:bottom w:val="nil"/>
              <w:right w:val="nil"/>
            </w:tcBorders>
          </w:tcPr>
          <w:p w14:paraId="360A2286" w14:textId="77777777" w:rsidR="00A82F4D" w:rsidRPr="00B64DD1" w:rsidRDefault="00A82F4D" w:rsidP="00EA17FD"/>
        </w:tc>
      </w:tr>
      <w:tr w:rsidR="00A82F4D" w:rsidRPr="00B64DD1" w14:paraId="3513949D" w14:textId="77777777" w:rsidTr="00EA17FD">
        <w:trPr>
          <w:trHeight w:val="240"/>
          <w:jc w:val="center"/>
        </w:trPr>
        <w:tc>
          <w:tcPr>
            <w:tcW w:w="4876" w:type="dxa"/>
            <w:tcBorders>
              <w:top w:val="nil"/>
              <w:left w:val="nil"/>
              <w:bottom w:val="nil"/>
              <w:right w:val="nil"/>
            </w:tcBorders>
          </w:tcPr>
          <w:p w14:paraId="1D498CB8"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29A8355A" w14:textId="77777777" w:rsidR="00A82F4D" w:rsidRPr="00B64DD1" w:rsidRDefault="00A82F4D" w:rsidP="00EA17FD">
            <w:pPr>
              <w:pStyle w:val="AmColumnHeading"/>
            </w:pPr>
            <w:r w:rsidRPr="00B64DD1">
              <w:t>Poprawka</w:t>
            </w:r>
          </w:p>
        </w:tc>
      </w:tr>
      <w:tr w:rsidR="00A82F4D" w:rsidRPr="00B64DD1" w14:paraId="7F3D015D" w14:textId="77777777" w:rsidTr="00EA17FD">
        <w:trPr>
          <w:jc w:val="center"/>
        </w:trPr>
        <w:tc>
          <w:tcPr>
            <w:tcW w:w="4876" w:type="dxa"/>
            <w:tcBorders>
              <w:top w:val="nil"/>
              <w:left w:val="nil"/>
              <w:bottom w:val="nil"/>
              <w:right w:val="nil"/>
            </w:tcBorders>
          </w:tcPr>
          <w:p w14:paraId="4B39197C" w14:textId="77777777" w:rsidR="00A82F4D" w:rsidRPr="00B64DD1" w:rsidRDefault="00A82F4D" w:rsidP="00EA17FD">
            <w:pPr>
              <w:pStyle w:val="Normal6a"/>
            </w:pPr>
            <w:r w:rsidRPr="00B64DD1">
              <w:t>58.</w:t>
            </w:r>
            <w:r w:rsidRPr="00B64DD1">
              <w:tab/>
              <w:t xml:space="preserve">wyraża uznanie dla ESDZ za narzędzia i systemy cyfrowe wykorzystywane w zwalczaniu zagranicznych manipulacji informacjami i ingerencji w informacje (FIMI), takie jak ośrodek wymiany i analizy informacji </w:t>
            </w:r>
            <w:r w:rsidRPr="00B64DD1">
              <w:lastRenderedPageBreak/>
              <w:t>dotyczących FIMI czy system szybkiego ostrzegania; na podstawie kwestionariusza zwraca ponadto uwagę na uruchomienie kursu e-uczenia się dotyczącego przeciwdziałania dezinformacji, dostępnego dla wszystkich instytucji Unii, oraz ukończenie podręcznika wspólnej polityki bezpieczeństwa i obrony (</w:t>
            </w:r>
            <w:proofErr w:type="spellStart"/>
            <w:r w:rsidRPr="00B64DD1">
              <w:t>WPBiO</w:t>
            </w:r>
            <w:proofErr w:type="spellEnd"/>
            <w:r w:rsidRPr="00B64DD1">
              <w:t xml:space="preserve">) na temat dezinformacji, opracowanego w celu wsparcia personelu terenowego w ramach wojskowych i cywilnych misji Unii; </w:t>
            </w:r>
            <w:r w:rsidRPr="00B64DD1">
              <w:rPr>
                <w:b/>
                <w:bCs/>
                <w:i/>
                <w:iCs/>
              </w:rPr>
              <w:t>zauważa</w:t>
            </w:r>
            <w:r w:rsidRPr="00B64DD1">
              <w:t xml:space="preserve"> trwający rozwój inicjatywy informacyjnej </w:t>
            </w:r>
            <w:proofErr w:type="spellStart"/>
            <w:r w:rsidRPr="00B64DD1">
              <w:t>EUvsDisinfo</w:t>
            </w:r>
            <w:proofErr w:type="spellEnd"/>
            <w:r w:rsidRPr="00B64DD1">
              <w:t>;</w:t>
            </w:r>
          </w:p>
        </w:tc>
        <w:tc>
          <w:tcPr>
            <w:tcW w:w="4876" w:type="dxa"/>
            <w:tcBorders>
              <w:top w:val="nil"/>
              <w:left w:val="nil"/>
              <w:bottom w:val="nil"/>
              <w:right w:val="nil"/>
            </w:tcBorders>
          </w:tcPr>
          <w:p w14:paraId="68938AB4" w14:textId="77777777" w:rsidR="00A82F4D" w:rsidRPr="00B64DD1" w:rsidRDefault="00A82F4D" w:rsidP="00EA17FD">
            <w:pPr>
              <w:pStyle w:val="Normal6a"/>
            </w:pPr>
            <w:r w:rsidRPr="00B64DD1">
              <w:lastRenderedPageBreak/>
              <w:t>58.</w:t>
            </w:r>
            <w:r w:rsidRPr="00B64DD1">
              <w:tab/>
              <w:t xml:space="preserve">wyraża uznanie dla ESDZ za narzędzia i systemy cyfrowe wykorzystywane w zwalczaniu zagranicznych manipulacji informacjami i ingerencji w informacje (FIMI), takie jak ośrodek wymiany i analizy informacji </w:t>
            </w:r>
            <w:r w:rsidRPr="00B64DD1">
              <w:lastRenderedPageBreak/>
              <w:t>dotyczących FIMI czy system szybkiego ostrzegania; na podstawie kwestionariusza zwraca ponadto uwagę na uruchomienie kursu e-uczenia się dotyczącego przeciwdziałania dezinformacji, dostępnego dla wszystkich instytucji Unii, oraz ukończenie podręcznika wspólnej polityki bezpieczeństwa i obrony (</w:t>
            </w:r>
            <w:proofErr w:type="spellStart"/>
            <w:r w:rsidRPr="00B64DD1">
              <w:t>WPBiO</w:t>
            </w:r>
            <w:proofErr w:type="spellEnd"/>
            <w:r w:rsidRPr="00B64DD1">
              <w:t xml:space="preserve">) na temat dezinformacji, opracowanego w celu wsparcia personelu terenowego w ramach wojskowych i cywilnych misji Unii; </w:t>
            </w:r>
            <w:r w:rsidRPr="00B64DD1">
              <w:rPr>
                <w:b/>
                <w:bCs/>
                <w:i/>
                <w:iCs/>
              </w:rPr>
              <w:t>z zadowoleniem przyjmuje</w:t>
            </w:r>
            <w:r w:rsidRPr="00B64DD1">
              <w:t xml:space="preserve"> trwający rozwój inicjatywy informacyjnej </w:t>
            </w:r>
            <w:proofErr w:type="spellStart"/>
            <w:r w:rsidRPr="00B64DD1">
              <w:t>EUvsDisinfo</w:t>
            </w:r>
            <w:proofErr w:type="spellEnd"/>
            <w:r w:rsidRPr="00B64DD1">
              <w:t xml:space="preserve"> </w:t>
            </w:r>
            <w:r w:rsidRPr="00B64DD1">
              <w:rPr>
                <w:b/>
                <w:bCs/>
                <w:i/>
                <w:iCs/>
              </w:rPr>
              <w:t>i podkreśla, jak ważna jest dalsza współpraca z państwami członkowskimi UE w celu skuteczniejszego zwalczania zagrożeń hybrydowych w terenie</w:t>
            </w:r>
            <w:r w:rsidRPr="00B64DD1">
              <w:t>;</w:t>
            </w:r>
          </w:p>
        </w:tc>
      </w:tr>
    </w:tbl>
    <w:p w14:paraId="626A5527"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2451A97D" w14:textId="77777777" w:rsidR="00A82F4D" w:rsidRPr="00B64DD1" w:rsidRDefault="00A82F4D" w:rsidP="00A82F4D">
      <w:r w:rsidRPr="00B64DD1">
        <w:rPr>
          <w:rStyle w:val="HideTWBExt"/>
        </w:rPr>
        <w:t>&lt;/Amend&gt;</w:t>
      </w:r>
    </w:p>
    <w:p w14:paraId="196D3E71"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103</w:t>
      </w:r>
      <w:r w:rsidRPr="00B64DD1">
        <w:rPr>
          <w:rStyle w:val="HideTWBExt"/>
          <w:b w:val="0"/>
        </w:rPr>
        <w:t>&lt;/NumAm&gt;</w:t>
      </w:r>
    </w:p>
    <w:p w14:paraId="0F012DDA" w14:textId="77777777" w:rsidR="00A82F4D" w:rsidRPr="00B64DD1" w:rsidRDefault="00A82F4D" w:rsidP="00A82F4D">
      <w:pPr>
        <w:pStyle w:val="NormalBold"/>
      </w:pPr>
      <w:r w:rsidRPr="00B64DD1">
        <w:rPr>
          <w:rStyle w:val="HideTWBExt"/>
          <w:b w:val="0"/>
        </w:rPr>
        <w:t>&lt;RepeatBlock-By&gt;&lt;Members&gt;</w:t>
      </w:r>
      <w:proofErr w:type="spellStart"/>
      <w:r w:rsidRPr="00B64DD1">
        <w:t>Pasquale</w:t>
      </w:r>
      <w:proofErr w:type="spellEnd"/>
      <w:r w:rsidRPr="00B64DD1">
        <w:t xml:space="preserve"> </w:t>
      </w:r>
      <w:proofErr w:type="spellStart"/>
      <w:r w:rsidRPr="00B64DD1">
        <w:t>Tridico</w:t>
      </w:r>
      <w:proofErr w:type="spellEnd"/>
      <w:r w:rsidRPr="00B64DD1">
        <w:rPr>
          <w:rStyle w:val="HideTWBExt"/>
          <w:b w:val="0"/>
        </w:rPr>
        <w:t>&lt;/Members&gt;</w:t>
      </w:r>
    </w:p>
    <w:p w14:paraId="3B48AB89" w14:textId="77777777" w:rsidR="00A82F4D" w:rsidRPr="00B64DD1" w:rsidRDefault="00A82F4D" w:rsidP="00A82F4D">
      <w:pPr>
        <w:pStyle w:val="NormalBold"/>
      </w:pPr>
      <w:r w:rsidRPr="00B64DD1">
        <w:rPr>
          <w:rStyle w:val="HideTWBExt"/>
          <w:b w:val="0"/>
        </w:rPr>
        <w:t>&lt;/RepeatBlock-By&gt;</w:t>
      </w:r>
    </w:p>
    <w:p w14:paraId="6DE9681B"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2E4BBCA2" w14:textId="77777777" w:rsidR="00A82F4D" w:rsidRPr="00B64DD1" w:rsidRDefault="00A82F4D" w:rsidP="00A82F4D">
      <w:pPr>
        <w:pStyle w:val="NormalBold"/>
      </w:pPr>
      <w:r w:rsidRPr="00B64DD1">
        <w:rPr>
          <w:rStyle w:val="HideTWBExt"/>
          <w:b w:val="0"/>
        </w:rPr>
        <w:t>&lt;Article&gt;</w:t>
      </w:r>
      <w:r w:rsidRPr="00B64DD1">
        <w:t>Ustęp 59</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02530C38" w14:textId="77777777" w:rsidTr="00EA17FD">
        <w:trPr>
          <w:trHeight w:hRule="exact" w:val="240"/>
          <w:jc w:val="center"/>
        </w:trPr>
        <w:tc>
          <w:tcPr>
            <w:tcW w:w="9752" w:type="dxa"/>
            <w:gridSpan w:val="2"/>
            <w:tcBorders>
              <w:top w:val="nil"/>
              <w:left w:val="nil"/>
              <w:bottom w:val="nil"/>
              <w:right w:val="nil"/>
            </w:tcBorders>
          </w:tcPr>
          <w:p w14:paraId="2A907130" w14:textId="77777777" w:rsidR="00A82F4D" w:rsidRPr="00B64DD1" w:rsidRDefault="00A82F4D" w:rsidP="00EA17FD"/>
        </w:tc>
      </w:tr>
      <w:tr w:rsidR="00A82F4D" w:rsidRPr="00B64DD1" w14:paraId="104AD359" w14:textId="77777777" w:rsidTr="00EA17FD">
        <w:trPr>
          <w:trHeight w:val="240"/>
          <w:jc w:val="center"/>
        </w:trPr>
        <w:tc>
          <w:tcPr>
            <w:tcW w:w="4876" w:type="dxa"/>
            <w:tcBorders>
              <w:top w:val="nil"/>
              <w:left w:val="nil"/>
              <w:bottom w:val="nil"/>
              <w:right w:val="nil"/>
            </w:tcBorders>
          </w:tcPr>
          <w:p w14:paraId="47086249"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27AF6F3A" w14:textId="77777777" w:rsidR="00A82F4D" w:rsidRPr="00B64DD1" w:rsidRDefault="00A82F4D" w:rsidP="00EA17FD">
            <w:pPr>
              <w:pStyle w:val="AmColumnHeading"/>
            </w:pPr>
            <w:r w:rsidRPr="00B64DD1">
              <w:t>Poprawka</w:t>
            </w:r>
          </w:p>
        </w:tc>
      </w:tr>
      <w:tr w:rsidR="00A82F4D" w:rsidRPr="00B64DD1" w14:paraId="27046C90" w14:textId="77777777" w:rsidTr="00EA17FD">
        <w:trPr>
          <w:jc w:val="center"/>
        </w:trPr>
        <w:tc>
          <w:tcPr>
            <w:tcW w:w="4876" w:type="dxa"/>
            <w:tcBorders>
              <w:top w:val="nil"/>
              <w:left w:val="nil"/>
              <w:bottom w:val="nil"/>
              <w:right w:val="nil"/>
            </w:tcBorders>
          </w:tcPr>
          <w:p w14:paraId="219AB78E" w14:textId="77777777" w:rsidR="00A82F4D" w:rsidRPr="00B64DD1" w:rsidRDefault="00A82F4D" w:rsidP="00EA17FD">
            <w:pPr>
              <w:pStyle w:val="Normal6a"/>
            </w:pPr>
            <w:r w:rsidRPr="00B64DD1">
              <w:t>59.</w:t>
            </w:r>
            <w:r w:rsidRPr="00B64DD1">
              <w:tab/>
              <w:t xml:space="preserve">na podstawie kwestionariusza oraz sprawozdania ESDZ za 2024 r. zauważa, że ESDZ wykryła ok. 27 000 alertów, z czego 348 wymagało dalszej analizy; zwraca uwagę, że 57 z nich potwierdzono jako </w:t>
            </w:r>
            <w:r w:rsidRPr="00B64DD1">
              <w:rPr>
                <w:b/>
                <w:bCs/>
                <w:i/>
                <w:iCs/>
              </w:rPr>
              <w:t>ataki</w:t>
            </w:r>
            <w:r w:rsidRPr="00B64DD1">
              <w:t>, a pięć miało istotny wpływ na działalność ESDZ; z zadowoleniem odnotowuje, że ESDZ zidentyfikowała taktyki, techniki i procedury stosowane przez atakujących oraz wykorzystała tę analizę do wzmocnienia środków przeciwdziałania; zwraca się o wyjaśnienie, w jakim zakresie ataki te wpłynęły na działalność instytucji;</w:t>
            </w:r>
          </w:p>
        </w:tc>
        <w:tc>
          <w:tcPr>
            <w:tcW w:w="4876" w:type="dxa"/>
            <w:tcBorders>
              <w:top w:val="nil"/>
              <w:left w:val="nil"/>
              <w:bottom w:val="nil"/>
              <w:right w:val="nil"/>
            </w:tcBorders>
          </w:tcPr>
          <w:p w14:paraId="47807B3B" w14:textId="77777777" w:rsidR="00A82F4D" w:rsidRPr="00B64DD1" w:rsidRDefault="00A82F4D" w:rsidP="00EA17FD">
            <w:pPr>
              <w:pStyle w:val="Normal6a"/>
            </w:pPr>
            <w:r w:rsidRPr="00B64DD1">
              <w:t>59.</w:t>
            </w:r>
            <w:r w:rsidRPr="00B64DD1">
              <w:tab/>
              <w:t xml:space="preserve">na podstawie kwestionariusza oraz sprawozdania ESDZ za 2024 r. zauważa, że ESDZ wykryła ok. 27 000 alertów, z czego 348 wymagało dalszej analizy; zwraca uwagę, że 57 z nich potwierdzono jako </w:t>
            </w:r>
            <w:r w:rsidRPr="00B64DD1">
              <w:rPr>
                <w:b/>
                <w:bCs/>
                <w:i/>
                <w:iCs/>
              </w:rPr>
              <w:t>cyberataki</w:t>
            </w:r>
            <w:r w:rsidRPr="00B64DD1">
              <w:t>, a pięć miało istotny wpływ na działalność ESDZ; z zadowoleniem odnotowuje, że ESDZ zidentyfikowała taktyki, techniki i procedury stosowane przez atakujących oraz wykorzystała tę analizę do wzmocnienia środków przeciwdziałania; zwraca się o wyjaśnienie, w jakim zakresie ataki te wpłynęły na działalność instytucji;</w:t>
            </w:r>
          </w:p>
        </w:tc>
      </w:tr>
    </w:tbl>
    <w:p w14:paraId="6FC599E4"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0AADA7E8" w14:textId="77777777" w:rsidR="00A82F4D" w:rsidRPr="00B64DD1" w:rsidRDefault="00A82F4D" w:rsidP="00A82F4D">
      <w:r w:rsidRPr="00B64DD1">
        <w:rPr>
          <w:rStyle w:val="HideTWBExt"/>
        </w:rPr>
        <w:t>&lt;/Amend&gt;</w:t>
      </w:r>
    </w:p>
    <w:p w14:paraId="7A589B58" w14:textId="77777777" w:rsidR="00A82F4D" w:rsidRPr="00B64DD1" w:rsidRDefault="00A82F4D" w:rsidP="00A82F4D">
      <w:pPr>
        <w:pStyle w:val="AmNumberTabs"/>
      </w:pPr>
      <w:r w:rsidRPr="00B64DD1">
        <w:rPr>
          <w:rStyle w:val="HideTWBExt"/>
          <w:b w:val="0"/>
        </w:rPr>
        <w:lastRenderedPageBreak/>
        <w:t>&lt;Amend&gt;</w:t>
      </w:r>
      <w:r w:rsidRPr="00B64DD1">
        <w:t>Poprawka</w:t>
      </w:r>
      <w:r w:rsidRPr="00B64DD1">
        <w:tab/>
      </w:r>
      <w:r w:rsidRPr="00B64DD1">
        <w:tab/>
      </w:r>
      <w:r w:rsidRPr="00B64DD1">
        <w:rPr>
          <w:rStyle w:val="HideTWBExt"/>
          <w:b w:val="0"/>
        </w:rPr>
        <w:t>&lt;NumAm&gt;</w:t>
      </w:r>
      <w:r w:rsidRPr="00B64DD1">
        <w:t>104</w:t>
      </w:r>
      <w:r w:rsidRPr="00B64DD1">
        <w:rPr>
          <w:rStyle w:val="HideTWBExt"/>
          <w:b w:val="0"/>
        </w:rPr>
        <w:t>&lt;/NumAm&gt;</w:t>
      </w:r>
    </w:p>
    <w:p w14:paraId="344C81F2" w14:textId="77777777" w:rsidR="00A82F4D" w:rsidRPr="00B64DD1" w:rsidRDefault="00A82F4D" w:rsidP="00A82F4D">
      <w:pPr>
        <w:pStyle w:val="NormalBold"/>
      </w:pPr>
      <w:r w:rsidRPr="00B64DD1">
        <w:rPr>
          <w:rStyle w:val="HideTWBExt"/>
          <w:b w:val="0"/>
        </w:rPr>
        <w:t>&lt;RepeatBlock-By&gt;&lt;Members&gt;</w:t>
      </w:r>
      <w:proofErr w:type="spellStart"/>
      <w:r w:rsidRPr="00B64DD1">
        <w:t>Ondřej</w:t>
      </w:r>
      <w:proofErr w:type="spellEnd"/>
      <w:r w:rsidRPr="00B64DD1">
        <w:t xml:space="preserve"> Knotek, Virginie </w:t>
      </w:r>
      <w:proofErr w:type="spellStart"/>
      <w:r w:rsidRPr="00B64DD1">
        <w:t>Joron</w:t>
      </w:r>
      <w:proofErr w:type="spellEnd"/>
      <w:r w:rsidRPr="00B64DD1">
        <w:t xml:space="preserve">, </w:t>
      </w:r>
      <w:proofErr w:type="spellStart"/>
      <w:r w:rsidRPr="00B64DD1">
        <w:t>Tamás</w:t>
      </w:r>
      <w:proofErr w:type="spellEnd"/>
      <w:r w:rsidRPr="00B64DD1">
        <w:t xml:space="preserve"> </w:t>
      </w:r>
      <w:proofErr w:type="spellStart"/>
      <w:r w:rsidRPr="00B64DD1">
        <w:t>Deutsch</w:t>
      </w:r>
      <w:proofErr w:type="spellEnd"/>
      <w:r w:rsidRPr="00B64DD1">
        <w:rPr>
          <w:rStyle w:val="HideTWBExt"/>
          <w:b w:val="0"/>
        </w:rPr>
        <w:t>&lt;/Members&gt;</w:t>
      </w:r>
    </w:p>
    <w:p w14:paraId="7621E7DE" w14:textId="77777777" w:rsidR="00A82F4D" w:rsidRPr="00B64DD1" w:rsidRDefault="00A82F4D" w:rsidP="00A82F4D">
      <w:pPr>
        <w:pStyle w:val="NormalBold"/>
      </w:pPr>
      <w:r w:rsidRPr="00B64DD1">
        <w:rPr>
          <w:rStyle w:val="HideTWBExt"/>
          <w:b w:val="0"/>
        </w:rPr>
        <w:t>&lt;/RepeatBlock-By&gt;</w:t>
      </w:r>
    </w:p>
    <w:p w14:paraId="0DC93061"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7A51AF1C" w14:textId="77777777" w:rsidR="00A82F4D" w:rsidRPr="00B64DD1" w:rsidRDefault="00A82F4D" w:rsidP="00A82F4D">
      <w:pPr>
        <w:pStyle w:val="NormalBold"/>
      </w:pPr>
      <w:r w:rsidRPr="00B64DD1">
        <w:rPr>
          <w:rStyle w:val="HideTWBExt"/>
          <w:b w:val="0"/>
        </w:rPr>
        <w:t>&lt;Article&gt;</w:t>
      </w:r>
      <w:r w:rsidRPr="00B64DD1">
        <w:t>Ustęp 60 a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64CE8035" w14:textId="77777777" w:rsidTr="00EA17FD">
        <w:trPr>
          <w:trHeight w:hRule="exact" w:val="240"/>
          <w:jc w:val="center"/>
        </w:trPr>
        <w:tc>
          <w:tcPr>
            <w:tcW w:w="9752" w:type="dxa"/>
            <w:gridSpan w:val="2"/>
            <w:tcBorders>
              <w:top w:val="nil"/>
              <w:left w:val="nil"/>
              <w:bottom w:val="nil"/>
              <w:right w:val="nil"/>
            </w:tcBorders>
          </w:tcPr>
          <w:p w14:paraId="2AB7B604" w14:textId="77777777" w:rsidR="00A82F4D" w:rsidRPr="00B64DD1" w:rsidRDefault="00A82F4D" w:rsidP="00EA17FD"/>
        </w:tc>
      </w:tr>
      <w:tr w:rsidR="00A82F4D" w:rsidRPr="00B64DD1" w14:paraId="04923BD7" w14:textId="77777777" w:rsidTr="00EA17FD">
        <w:trPr>
          <w:trHeight w:val="240"/>
          <w:jc w:val="center"/>
        </w:trPr>
        <w:tc>
          <w:tcPr>
            <w:tcW w:w="4876" w:type="dxa"/>
            <w:tcBorders>
              <w:top w:val="nil"/>
              <w:left w:val="nil"/>
              <w:bottom w:val="nil"/>
              <w:right w:val="nil"/>
            </w:tcBorders>
          </w:tcPr>
          <w:p w14:paraId="61195967"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2487B0B1" w14:textId="77777777" w:rsidR="00A82F4D" w:rsidRPr="00B64DD1" w:rsidRDefault="00A82F4D" w:rsidP="00EA17FD">
            <w:pPr>
              <w:pStyle w:val="AmColumnHeading"/>
            </w:pPr>
            <w:r w:rsidRPr="00B64DD1">
              <w:t>Poprawka</w:t>
            </w:r>
          </w:p>
        </w:tc>
      </w:tr>
      <w:tr w:rsidR="00A82F4D" w:rsidRPr="00B64DD1" w14:paraId="7B880580" w14:textId="77777777" w:rsidTr="00EA17FD">
        <w:trPr>
          <w:jc w:val="center"/>
        </w:trPr>
        <w:tc>
          <w:tcPr>
            <w:tcW w:w="4876" w:type="dxa"/>
            <w:tcBorders>
              <w:top w:val="nil"/>
              <w:left w:val="nil"/>
              <w:bottom w:val="nil"/>
              <w:right w:val="nil"/>
            </w:tcBorders>
          </w:tcPr>
          <w:p w14:paraId="790E49CB" w14:textId="77777777" w:rsidR="00A82F4D" w:rsidRPr="00B64DD1" w:rsidRDefault="00A82F4D" w:rsidP="00EA17FD">
            <w:pPr>
              <w:pStyle w:val="Normal6a"/>
            </w:pPr>
          </w:p>
        </w:tc>
        <w:tc>
          <w:tcPr>
            <w:tcW w:w="4876" w:type="dxa"/>
            <w:tcBorders>
              <w:top w:val="nil"/>
              <w:left w:val="nil"/>
              <w:bottom w:val="nil"/>
              <w:right w:val="nil"/>
            </w:tcBorders>
          </w:tcPr>
          <w:p w14:paraId="3431F4C5" w14:textId="77777777" w:rsidR="00A82F4D" w:rsidRPr="00B64DD1" w:rsidRDefault="00A82F4D" w:rsidP="00EA17FD">
            <w:pPr>
              <w:pStyle w:val="Normal6a"/>
            </w:pPr>
            <w:r w:rsidRPr="00B64DD1">
              <w:rPr>
                <w:b/>
                <w:i/>
              </w:rPr>
              <w:t>60a.</w:t>
            </w:r>
            <w:r w:rsidRPr="00B64DD1">
              <w:tab/>
            </w:r>
            <w:r w:rsidRPr="00B64DD1">
              <w:rPr>
                <w:b/>
                <w:i/>
              </w:rPr>
              <w:t>zauważa, że ESDZ zarządza prawie 328 misjami dyplomatycznymi i biurami na całym świecie, a w 2024 r. przeznaczono ponad 61 mln EUR na budynki i związane z nimi koszty; ubolewa, że postępy w przyspieszaniu polityki kolokacji z innymi służbami Unii i państwami członkowskimi są powolne; przypomina, że kolokacja jest sprawdzonym instrumentem służącym do łączenia zasobów, obniżania kosztów operacyjnych i generowania krótkoterminowych oszczędności budżetowych, przy jednoczesnym wzmocnieniu koordynacji w terenie; wzywa ESDZ, aby bardziej systematycznie wykorzystywała kolokację wszędzie tam, gdzie jest to możliwe;</w:t>
            </w:r>
          </w:p>
        </w:tc>
      </w:tr>
    </w:tbl>
    <w:p w14:paraId="2C47FAD5"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606E969E" w14:textId="77777777" w:rsidR="00A82F4D" w:rsidRPr="00B64DD1" w:rsidRDefault="00A82F4D" w:rsidP="00A82F4D">
      <w:r w:rsidRPr="00B64DD1">
        <w:rPr>
          <w:rStyle w:val="HideTWBExt"/>
        </w:rPr>
        <w:t>&lt;/Amend&gt;</w:t>
      </w:r>
    </w:p>
    <w:p w14:paraId="48FD6580"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105</w:t>
      </w:r>
      <w:r w:rsidRPr="00B64DD1">
        <w:rPr>
          <w:rStyle w:val="HideTWBExt"/>
          <w:b w:val="0"/>
        </w:rPr>
        <w:t>&lt;/NumAm&gt;</w:t>
      </w:r>
    </w:p>
    <w:p w14:paraId="3C2BC2B5" w14:textId="77777777" w:rsidR="00A82F4D" w:rsidRPr="00B64DD1" w:rsidRDefault="00A82F4D" w:rsidP="00A82F4D">
      <w:pPr>
        <w:pStyle w:val="NormalBold"/>
      </w:pPr>
      <w:r w:rsidRPr="00B64DD1">
        <w:rPr>
          <w:rStyle w:val="HideTWBExt"/>
          <w:b w:val="0"/>
        </w:rPr>
        <w:t>&lt;RepeatBlock-By&gt;&lt;Members&gt;</w:t>
      </w:r>
      <w:r w:rsidRPr="00B64DD1">
        <w:t xml:space="preserve">Dick </w:t>
      </w:r>
      <w:proofErr w:type="spellStart"/>
      <w:r w:rsidRPr="00B64DD1">
        <w:t>Erixon</w:t>
      </w:r>
      <w:proofErr w:type="spellEnd"/>
      <w:r w:rsidRPr="00B64DD1">
        <w:rPr>
          <w:rStyle w:val="HideTWBExt"/>
          <w:b w:val="0"/>
        </w:rPr>
        <w:t>&lt;/Members&gt;</w:t>
      </w:r>
    </w:p>
    <w:p w14:paraId="75D9601C" w14:textId="77777777" w:rsidR="00A82F4D" w:rsidRPr="00B64DD1" w:rsidRDefault="00A82F4D" w:rsidP="00A82F4D">
      <w:pPr>
        <w:pStyle w:val="NormalBold"/>
      </w:pPr>
      <w:r w:rsidRPr="00B64DD1">
        <w:rPr>
          <w:rStyle w:val="HideTWBExt"/>
          <w:b w:val="0"/>
        </w:rPr>
        <w:t>&lt;/RepeatBlock-By&gt;</w:t>
      </w:r>
    </w:p>
    <w:p w14:paraId="2F490184"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1ECBFBCC" w14:textId="77777777" w:rsidR="00A82F4D" w:rsidRPr="00B64DD1" w:rsidRDefault="00A82F4D" w:rsidP="00A82F4D">
      <w:pPr>
        <w:pStyle w:val="NormalBold"/>
      </w:pPr>
      <w:r w:rsidRPr="00B64DD1">
        <w:rPr>
          <w:rStyle w:val="HideTWBExt"/>
          <w:b w:val="0"/>
        </w:rPr>
        <w:t>&lt;Article&gt;</w:t>
      </w:r>
      <w:r w:rsidRPr="00B64DD1">
        <w:t>Ustęp 61</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748FEDA2" w14:textId="77777777" w:rsidTr="00EA17FD">
        <w:trPr>
          <w:trHeight w:hRule="exact" w:val="240"/>
          <w:jc w:val="center"/>
        </w:trPr>
        <w:tc>
          <w:tcPr>
            <w:tcW w:w="9752" w:type="dxa"/>
            <w:gridSpan w:val="2"/>
            <w:tcBorders>
              <w:top w:val="nil"/>
              <w:left w:val="nil"/>
              <w:bottom w:val="nil"/>
              <w:right w:val="nil"/>
            </w:tcBorders>
          </w:tcPr>
          <w:p w14:paraId="12878898" w14:textId="77777777" w:rsidR="00A82F4D" w:rsidRPr="00B64DD1" w:rsidRDefault="00A82F4D" w:rsidP="00EA17FD"/>
        </w:tc>
      </w:tr>
      <w:tr w:rsidR="00A82F4D" w:rsidRPr="00B64DD1" w14:paraId="185376AF" w14:textId="77777777" w:rsidTr="00EA17FD">
        <w:trPr>
          <w:trHeight w:val="240"/>
          <w:jc w:val="center"/>
        </w:trPr>
        <w:tc>
          <w:tcPr>
            <w:tcW w:w="4876" w:type="dxa"/>
            <w:tcBorders>
              <w:top w:val="nil"/>
              <w:left w:val="nil"/>
              <w:bottom w:val="nil"/>
              <w:right w:val="nil"/>
            </w:tcBorders>
          </w:tcPr>
          <w:p w14:paraId="509C4574"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162158AC" w14:textId="77777777" w:rsidR="00A82F4D" w:rsidRPr="00B64DD1" w:rsidRDefault="00A82F4D" w:rsidP="00EA17FD">
            <w:pPr>
              <w:pStyle w:val="AmColumnHeading"/>
            </w:pPr>
            <w:r w:rsidRPr="00B64DD1">
              <w:t>Poprawka</w:t>
            </w:r>
          </w:p>
        </w:tc>
      </w:tr>
      <w:tr w:rsidR="00A82F4D" w:rsidRPr="00B64DD1" w14:paraId="4660622E" w14:textId="77777777" w:rsidTr="00EA17FD">
        <w:trPr>
          <w:jc w:val="center"/>
        </w:trPr>
        <w:tc>
          <w:tcPr>
            <w:tcW w:w="4876" w:type="dxa"/>
            <w:tcBorders>
              <w:top w:val="nil"/>
              <w:left w:val="nil"/>
              <w:bottom w:val="nil"/>
              <w:right w:val="nil"/>
            </w:tcBorders>
          </w:tcPr>
          <w:p w14:paraId="54FCD3E4" w14:textId="77777777" w:rsidR="00A82F4D" w:rsidRPr="00B64DD1" w:rsidRDefault="00A82F4D" w:rsidP="00EA17FD">
            <w:pPr>
              <w:pStyle w:val="Normal6a"/>
            </w:pPr>
            <w:r w:rsidRPr="00B64DD1">
              <w:t>61.</w:t>
            </w:r>
            <w:r w:rsidRPr="00B64DD1">
              <w:tab/>
            </w:r>
            <w:r w:rsidRPr="00B64DD1">
              <w:rPr>
                <w:b/>
                <w:bCs/>
                <w:i/>
                <w:iCs/>
              </w:rPr>
              <w:t>zauważa</w:t>
            </w:r>
            <w:r w:rsidRPr="00B64DD1">
              <w:t xml:space="preserve">, że ESDZ ponownie potwierdziła swoje zaangażowanie w utrzymanie sieci 145 delegatur Unii </w:t>
            </w:r>
            <w:r w:rsidRPr="00B64DD1">
              <w:rPr>
                <w:b/>
                <w:bCs/>
                <w:i/>
                <w:iCs/>
              </w:rPr>
              <w:t>oraz we wzmacnianie zasady „jedna delegatura”</w:t>
            </w:r>
            <w:r w:rsidRPr="00B64DD1">
              <w:t xml:space="preserve">; </w:t>
            </w:r>
            <w:r w:rsidRPr="00B64DD1">
              <w:rPr>
                <w:b/>
                <w:i/>
              </w:rPr>
              <w:t xml:space="preserve">zwraca uwagę, że trwająca modernizacja ma na celu poprawę efektywności i dostosowanie sieci do priorytetów Unii przy jednoczesnym uwzględnieniu ograniczeń budżetowych; podkreśla, że dopóki sytuacja finansowa </w:t>
            </w:r>
            <w:r w:rsidRPr="00B64DD1">
              <w:rPr>
                <w:b/>
                <w:i/>
              </w:rPr>
              <w:lastRenderedPageBreak/>
              <w:t>nie poprawi się, będą kontynuowane rygorystyczne środki oszczędnościowe, rozmowy z Komisją w sprawie podziału kosztów oraz ukierunkowane wzmocnienie kluczowych delegatur Unii; wyraża pewne obawy w związku z planem zmniejszenia skali działania niektórych delegatur Unii i redukcji zatrudnienia w ramach odejścia od pierwotnego ukierunkowania na pomoc rozwojową i współpracę gospodarczą w stronę określonych interesów strategicznych, co wydaje się działać na niekorzyść południowego sąsiedztwa; wzywa ESDZ do utrzymania kluczowej roli i strategicznego priorytetu w regionie Morza Śródziemnego na podstawie kompleksowej oceny geopolitycznych wyzwań stojących przed Unią;</w:t>
            </w:r>
          </w:p>
        </w:tc>
        <w:tc>
          <w:tcPr>
            <w:tcW w:w="4876" w:type="dxa"/>
            <w:tcBorders>
              <w:top w:val="nil"/>
              <w:left w:val="nil"/>
              <w:bottom w:val="nil"/>
              <w:right w:val="nil"/>
            </w:tcBorders>
          </w:tcPr>
          <w:p w14:paraId="0259B423" w14:textId="77777777" w:rsidR="00A82F4D" w:rsidRPr="00B64DD1" w:rsidRDefault="00A82F4D" w:rsidP="00EA17FD">
            <w:pPr>
              <w:pStyle w:val="Normal6a"/>
            </w:pPr>
            <w:r w:rsidRPr="00B64DD1">
              <w:lastRenderedPageBreak/>
              <w:t>61.</w:t>
            </w:r>
            <w:r w:rsidRPr="00B64DD1">
              <w:tab/>
            </w:r>
            <w:r w:rsidRPr="00B64DD1">
              <w:rPr>
                <w:b/>
                <w:bCs/>
                <w:i/>
                <w:iCs/>
              </w:rPr>
              <w:t>ubolewa</w:t>
            </w:r>
            <w:r w:rsidRPr="00B64DD1">
              <w:t>, że ESDZ ponownie potwierdziła swoje zaangażowanie w utrzymanie sieci 145 delegatur Unii;</w:t>
            </w:r>
          </w:p>
        </w:tc>
      </w:tr>
    </w:tbl>
    <w:p w14:paraId="7AA352C8"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66ABABDB" w14:textId="77777777" w:rsidR="00A82F4D" w:rsidRPr="00B64DD1" w:rsidRDefault="00A82F4D" w:rsidP="00A82F4D">
      <w:r w:rsidRPr="00B64DD1">
        <w:rPr>
          <w:rStyle w:val="HideTWBExt"/>
        </w:rPr>
        <w:t>&lt;/Amend&gt;</w:t>
      </w:r>
    </w:p>
    <w:p w14:paraId="736E07E0"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106</w:t>
      </w:r>
      <w:r w:rsidRPr="00B64DD1">
        <w:rPr>
          <w:rStyle w:val="HideTWBExt"/>
          <w:b w:val="0"/>
        </w:rPr>
        <w:t>&lt;/NumAm&gt;</w:t>
      </w:r>
    </w:p>
    <w:p w14:paraId="5F311EC0" w14:textId="77777777" w:rsidR="00A82F4D" w:rsidRPr="00B64DD1" w:rsidRDefault="00A82F4D" w:rsidP="00A82F4D">
      <w:pPr>
        <w:pStyle w:val="NormalBold"/>
      </w:pPr>
      <w:r w:rsidRPr="00B64DD1">
        <w:rPr>
          <w:rStyle w:val="HideTWBExt"/>
          <w:b w:val="0"/>
        </w:rPr>
        <w:t>&lt;RepeatBlock-By&gt;&lt;Members&gt;</w:t>
      </w:r>
      <w:r w:rsidRPr="00B64DD1">
        <w:t xml:space="preserve">José </w:t>
      </w:r>
      <w:proofErr w:type="spellStart"/>
      <w:r w:rsidRPr="00B64DD1">
        <w:t>Cepeda</w:t>
      </w:r>
      <w:proofErr w:type="spellEnd"/>
      <w:r w:rsidRPr="00B64DD1">
        <w:t xml:space="preserve">, </w:t>
      </w:r>
      <w:proofErr w:type="spellStart"/>
      <w:r w:rsidRPr="00B64DD1">
        <w:t>Nacho</w:t>
      </w:r>
      <w:proofErr w:type="spellEnd"/>
      <w:r w:rsidRPr="00B64DD1">
        <w:t xml:space="preserve"> </w:t>
      </w:r>
      <w:proofErr w:type="spellStart"/>
      <w:r w:rsidRPr="00B64DD1">
        <w:t>Sánchez</w:t>
      </w:r>
      <w:proofErr w:type="spellEnd"/>
      <w:r w:rsidRPr="00B64DD1">
        <w:t xml:space="preserve"> Amor</w:t>
      </w:r>
      <w:r w:rsidRPr="00B64DD1">
        <w:rPr>
          <w:rStyle w:val="HideTWBExt"/>
          <w:b w:val="0"/>
        </w:rPr>
        <w:t>&lt;/Members&gt;</w:t>
      </w:r>
    </w:p>
    <w:p w14:paraId="7A7587AF" w14:textId="77777777" w:rsidR="00A82F4D" w:rsidRPr="00B64DD1" w:rsidRDefault="00A82F4D" w:rsidP="00A82F4D">
      <w:pPr>
        <w:pStyle w:val="NormalBold"/>
      </w:pPr>
      <w:r w:rsidRPr="00B64DD1">
        <w:rPr>
          <w:rStyle w:val="HideTWBExt"/>
          <w:b w:val="0"/>
        </w:rPr>
        <w:t>&lt;/RepeatBlock-By&gt;</w:t>
      </w:r>
    </w:p>
    <w:p w14:paraId="09E33FE9"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6E178085" w14:textId="77777777" w:rsidR="00A82F4D" w:rsidRPr="00B64DD1" w:rsidRDefault="00A82F4D" w:rsidP="00A82F4D">
      <w:pPr>
        <w:pStyle w:val="NormalBold"/>
      </w:pPr>
      <w:r w:rsidRPr="00B64DD1">
        <w:rPr>
          <w:rStyle w:val="HideTWBExt"/>
          <w:b w:val="0"/>
        </w:rPr>
        <w:t>&lt;Article&gt;</w:t>
      </w:r>
      <w:r w:rsidRPr="00B64DD1">
        <w:t>Ustęp 61</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1F8A823E" w14:textId="77777777" w:rsidTr="00EA17FD">
        <w:trPr>
          <w:trHeight w:hRule="exact" w:val="240"/>
          <w:jc w:val="center"/>
        </w:trPr>
        <w:tc>
          <w:tcPr>
            <w:tcW w:w="9752" w:type="dxa"/>
            <w:gridSpan w:val="2"/>
            <w:tcBorders>
              <w:top w:val="nil"/>
              <w:left w:val="nil"/>
              <w:bottom w:val="nil"/>
              <w:right w:val="nil"/>
            </w:tcBorders>
          </w:tcPr>
          <w:p w14:paraId="16AA54F9" w14:textId="77777777" w:rsidR="00A82F4D" w:rsidRPr="00B64DD1" w:rsidRDefault="00A82F4D" w:rsidP="00EA17FD"/>
        </w:tc>
      </w:tr>
      <w:tr w:rsidR="00A82F4D" w:rsidRPr="00B64DD1" w14:paraId="7169CBDB" w14:textId="77777777" w:rsidTr="00EA17FD">
        <w:trPr>
          <w:trHeight w:val="240"/>
          <w:jc w:val="center"/>
        </w:trPr>
        <w:tc>
          <w:tcPr>
            <w:tcW w:w="4876" w:type="dxa"/>
            <w:tcBorders>
              <w:top w:val="nil"/>
              <w:left w:val="nil"/>
              <w:bottom w:val="nil"/>
              <w:right w:val="nil"/>
            </w:tcBorders>
          </w:tcPr>
          <w:p w14:paraId="1FB33754"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395E4AD6" w14:textId="77777777" w:rsidR="00A82F4D" w:rsidRPr="00B64DD1" w:rsidRDefault="00A82F4D" w:rsidP="00EA17FD">
            <w:pPr>
              <w:pStyle w:val="AmColumnHeading"/>
            </w:pPr>
            <w:r w:rsidRPr="00B64DD1">
              <w:t>Poprawka</w:t>
            </w:r>
          </w:p>
        </w:tc>
      </w:tr>
      <w:tr w:rsidR="00A82F4D" w:rsidRPr="00B64DD1" w14:paraId="57D152B8" w14:textId="77777777" w:rsidTr="00EA17FD">
        <w:trPr>
          <w:jc w:val="center"/>
        </w:trPr>
        <w:tc>
          <w:tcPr>
            <w:tcW w:w="4876" w:type="dxa"/>
            <w:tcBorders>
              <w:top w:val="nil"/>
              <w:left w:val="nil"/>
              <w:bottom w:val="nil"/>
              <w:right w:val="nil"/>
            </w:tcBorders>
          </w:tcPr>
          <w:p w14:paraId="02BE81C8" w14:textId="77777777" w:rsidR="00A82F4D" w:rsidRPr="00B64DD1" w:rsidRDefault="00A82F4D" w:rsidP="00EA17FD">
            <w:pPr>
              <w:pStyle w:val="Normal6a"/>
            </w:pPr>
            <w:r w:rsidRPr="00B64DD1">
              <w:t>61.</w:t>
            </w:r>
            <w:r w:rsidRPr="00B64DD1">
              <w:tab/>
            </w:r>
            <w:r w:rsidRPr="00B64DD1">
              <w:rPr>
                <w:b/>
                <w:bCs/>
                <w:i/>
                <w:iCs/>
              </w:rPr>
              <w:t>zauważa</w:t>
            </w:r>
            <w:r w:rsidRPr="00B64DD1">
              <w:t xml:space="preserve">, że ESDZ ponownie potwierdziła swoje zaangażowanie w utrzymanie sieci 145 delegatur Unii oraz we wzmacnianie zasady „jedna delegatura”; zwraca uwagę, że trwająca modernizacja ma na celu poprawę efektywności i dostosowanie sieci do priorytetów Unii przy jednoczesnym uwzględnieniu ograniczeń budżetowych; podkreśla, że dopóki sytuacja finansowa nie poprawi się, będą kontynuowane rygorystyczne środki oszczędnościowe, rozmowy z Komisją w sprawie podziału kosztów oraz ukierunkowane wzmocnienie kluczowych delegatur Unii; wyraża </w:t>
            </w:r>
            <w:r w:rsidRPr="00B64DD1">
              <w:rPr>
                <w:b/>
                <w:bCs/>
                <w:i/>
                <w:iCs/>
              </w:rPr>
              <w:t>pewne</w:t>
            </w:r>
            <w:r w:rsidRPr="00B64DD1">
              <w:t xml:space="preserve"> obawy w związku z planem </w:t>
            </w:r>
            <w:r w:rsidRPr="00B64DD1">
              <w:rPr>
                <w:b/>
                <w:bCs/>
                <w:i/>
                <w:iCs/>
              </w:rPr>
              <w:t>zmniejszenia</w:t>
            </w:r>
            <w:r w:rsidRPr="00B64DD1">
              <w:t xml:space="preserve"> skali działania niektórych delegatur Unii i </w:t>
            </w:r>
            <w:r w:rsidRPr="00B64DD1">
              <w:rPr>
                <w:b/>
                <w:bCs/>
                <w:i/>
                <w:iCs/>
              </w:rPr>
              <w:lastRenderedPageBreak/>
              <w:t>redukcji</w:t>
            </w:r>
            <w:r w:rsidRPr="00B64DD1">
              <w:t xml:space="preserve"> zatrudnienia w ramach odejścia od pierwotnego ukierunkowania na pomoc rozwojową i współpracę gospodarczą w stronę określonych interesów strategicznych</w:t>
            </w:r>
            <w:r w:rsidRPr="00B64DD1">
              <w:rPr>
                <w:b/>
                <w:bCs/>
                <w:i/>
                <w:iCs/>
              </w:rPr>
              <w:t>, co wydaje się działać na niekorzyść południowego sąsiedztwa</w:t>
            </w:r>
            <w:r w:rsidRPr="00B64DD1">
              <w:t>; wzywa ESDZ do utrzymania kluczowej roli i strategicznego priorytetu w regionie Morza Śródziemnego na podstawie kompleksowej oceny geopolitycznych wyzwań stojących przed Unią;</w:t>
            </w:r>
          </w:p>
        </w:tc>
        <w:tc>
          <w:tcPr>
            <w:tcW w:w="4876" w:type="dxa"/>
            <w:tcBorders>
              <w:top w:val="nil"/>
              <w:left w:val="nil"/>
              <w:bottom w:val="nil"/>
              <w:right w:val="nil"/>
            </w:tcBorders>
          </w:tcPr>
          <w:p w14:paraId="61857473" w14:textId="77777777" w:rsidR="00A82F4D" w:rsidRPr="00B64DD1" w:rsidRDefault="00A82F4D" w:rsidP="00EA17FD">
            <w:pPr>
              <w:pStyle w:val="Normal6a"/>
            </w:pPr>
            <w:r w:rsidRPr="00B64DD1">
              <w:lastRenderedPageBreak/>
              <w:t>61.</w:t>
            </w:r>
            <w:r w:rsidRPr="00B64DD1">
              <w:tab/>
            </w:r>
            <w:r w:rsidRPr="00B64DD1">
              <w:rPr>
                <w:b/>
                <w:bCs/>
                <w:i/>
                <w:iCs/>
              </w:rPr>
              <w:t>z zadowoleniem przyjmuje fakt</w:t>
            </w:r>
            <w:r w:rsidRPr="00B64DD1">
              <w:t xml:space="preserve">, że ESDZ ponownie potwierdziła swoje zaangażowanie w utrzymanie sieci 145 delegatur Unii oraz we wzmacnianie zasady „jedna delegatura”; zwraca uwagę, że trwająca modernizacja ma na celu poprawę efektywności i dostosowanie sieci do priorytetów Unii przy jednoczesnym uwzględnieniu ograniczeń budżetowych; podkreśla, że dopóki sytuacja finansowa nie poprawi się, będą kontynuowane rygorystyczne środki oszczędnościowe, rozmowy z Komisją w sprawie podziału kosztów oraz ukierunkowane wzmocnienie kluczowych delegatur Unii; wyraża obawy w związku z planem </w:t>
            </w:r>
            <w:r w:rsidRPr="00B64DD1">
              <w:rPr>
                <w:b/>
                <w:bCs/>
                <w:i/>
                <w:iCs/>
              </w:rPr>
              <w:t xml:space="preserve">wprowadzenia nowych rozróżnień pod względem </w:t>
            </w:r>
            <w:r w:rsidRPr="00B64DD1">
              <w:rPr>
                <w:b/>
                <w:bCs/>
                <w:i/>
                <w:iCs/>
              </w:rPr>
              <w:lastRenderedPageBreak/>
              <w:t>kategorii i zasobów między delegaturami;</w:t>
            </w:r>
            <w:r w:rsidRPr="00B64DD1">
              <w:rPr>
                <w:b/>
                <w:i/>
              </w:rPr>
              <w:t xml:space="preserve"> </w:t>
            </w:r>
            <w:r w:rsidRPr="00B64DD1">
              <w:rPr>
                <w:b/>
                <w:bCs/>
                <w:i/>
                <w:iCs/>
              </w:rPr>
              <w:t>ubolewa, że zmniejszenie</w:t>
            </w:r>
            <w:r w:rsidRPr="00B64DD1">
              <w:t xml:space="preserve"> skali działania niektórych delegatur Unii i </w:t>
            </w:r>
            <w:r w:rsidRPr="00B64DD1">
              <w:rPr>
                <w:b/>
                <w:bCs/>
                <w:i/>
                <w:iCs/>
              </w:rPr>
              <w:t>redukcja</w:t>
            </w:r>
            <w:r w:rsidRPr="00B64DD1">
              <w:t xml:space="preserve"> zatrudnienia w ramach odejścia od pierwotnego ukierunkowania na pomoc rozwojową i współpracę gospodarczą w stronę określonych interesów strategicznych </w:t>
            </w:r>
            <w:r w:rsidRPr="00B64DD1">
              <w:rPr>
                <w:b/>
                <w:bCs/>
                <w:i/>
                <w:iCs/>
              </w:rPr>
              <w:t>może zagrozić działalności operacyjnej i obecności UE w państwach trzecich oraz utrudnić ESDZ wypełnianie jej mandatu i obronę wartości Unii, ze szczególnym uwzględnieniem stosunków UE z globalnym Południem i południowym sąsiedztwem</w:t>
            </w:r>
            <w:r w:rsidRPr="00B64DD1">
              <w:t>; wzywa ESDZ do utrzymania kluczowej roli i strategicznego priorytetu w regionie Morza Śródziemnego na podstawie kompleksowej oceny geopolitycznych wyzwań stojących przed Unią;</w:t>
            </w:r>
          </w:p>
        </w:tc>
      </w:tr>
    </w:tbl>
    <w:p w14:paraId="145F3FC1"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251D7999" w14:textId="77777777" w:rsidR="00A82F4D" w:rsidRPr="00B64DD1" w:rsidRDefault="00A82F4D" w:rsidP="00A82F4D">
      <w:r w:rsidRPr="00B64DD1">
        <w:rPr>
          <w:rStyle w:val="HideTWBExt"/>
        </w:rPr>
        <w:t>&lt;/Amend&gt;</w:t>
      </w:r>
    </w:p>
    <w:p w14:paraId="6F7D83F1"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107</w:t>
      </w:r>
      <w:r w:rsidRPr="00B64DD1">
        <w:rPr>
          <w:rStyle w:val="HideTWBExt"/>
          <w:b w:val="0"/>
        </w:rPr>
        <w:t>&lt;/NumAm&gt;</w:t>
      </w:r>
    </w:p>
    <w:p w14:paraId="3D3BB906" w14:textId="77777777" w:rsidR="00A82F4D" w:rsidRPr="00B64DD1" w:rsidRDefault="00A82F4D" w:rsidP="00A82F4D">
      <w:pPr>
        <w:pStyle w:val="NormalBold"/>
      </w:pPr>
      <w:r w:rsidRPr="00B64DD1">
        <w:rPr>
          <w:rStyle w:val="HideTWBExt"/>
          <w:b w:val="0"/>
        </w:rPr>
        <w:t>&lt;RepeatBlock-By&gt;&lt;Members&gt;</w:t>
      </w:r>
      <w:proofErr w:type="spellStart"/>
      <w:r w:rsidRPr="00B64DD1">
        <w:t>Şerban</w:t>
      </w:r>
      <w:proofErr w:type="spellEnd"/>
      <w:r w:rsidRPr="00B64DD1">
        <w:t xml:space="preserve"> </w:t>
      </w:r>
      <w:proofErr w:type="spellStart"/>
      <w:r w:rsidRPr="00B64DD1">
        <w:t>Dimitrie</w:t>
      </w:r>
      <w:proofErr w:type="spellEnd"/>
      <w:r w:rsidRPr="00B64DD1">
        <w:t xml:space="preserve"> </w:t>
      </w:r>
      <w:proofErr w:type="spellStart"/>
      <w:r w:rsidRPr="00B64DD1">
        <w:t>Sturdza</w:t>
      </w:r>
      <w:proofErr w:type="spellEnd"/>
      <w:r w:rsidRPr="00B64DD1">
        <w:rPr>
          <w:rStyle w:val="HideTWBExt"/>
          <w:b w:val="0"/>
        </w:rPr>
        <w:t>&lt;/Members&gt;</w:t>
      </w:r>
    </w:p>
    <w:p w14:paraId="3735FA6A" w14:textId="77777777" w:rsidR="00A82F4D" w:rsidRPr="00B64DD1" w:rsidRDefault="00A82F4D" w:rsidP="00A82F4D">
      <w:pPr>
        <w:pStyle w:val="NormalBold"/>
      </w:pPr>
      <w:r w:rsidRPr="00B64DD1">
        <w:rPr>
          <w:rStyle w:val="HideTWBExt"/>
          <w:b w:val="0"/>
        </w:rPr>
        <w:t>&lt;/RepeatBlock-By&gt;</w:t>
      </w:r>
    </w:p>
    <w:p w14:paraId="2CD4892E"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709F66ED" w14:textId="77777777" w:rsidR="00A82F4D" w:rsidRPr="00B64DD1" w:rsidRDefault="00A82F4D" w:rsidP="00A82F4D">
      <w:pPr>
        <w:pStyle w:val="NormalBold"/>
      </w:pPr>
      <w:r w:rsidRPr="00B64DD1">
        <w:rPr>
          <w:rStyle w:val="HideTWBExt"/>
          <w:b w:val="0"/>
        </w:rPr>
        <w:t>&lt;Article&gt;</w:t>
      </w:r>
      <w:r w:rsidRPr="00B64DD1">
        <w:t>Ustęp 61</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6152ED59" w14:textId="77777777" w:rsidTr="00EA17FD">
        <w:trPr>
          <w:trHeight w:hRule="exact" w:val="240"/>
          <w:jc w:val="center"/>
        </w:trPr>
        <w:tc>
          <w:tcPr>
            <w:tcW w:w="9752" w:type="dxa"/>
            <w:gridSpan w:val="2"/>
            <w:tcBorders>
              <w:top w:val="nil"/>
              <w:left w:val="nil"/>
              <w:bottom w:val="nil"/>
              <w:right w:val="nil"/>
            </w:tcBorders>
          </w:tcPr>
          <w:p w14:paraId="2E3C7B4C" w14:textId="77777777" w:rsidR="00A82F4D" w:rsidRPr="00B64DD1" w:rsidRDefault="00A82F4D" w:rsidP="00EA17FD"/>
        </w:tc>
      </w:tr>
      <w:tr w:rsidR="00A82F4D" w:rsidRPr="00B64DD1" w14:paraId="73E27447" w14:textId="77777777" w:rsidTr="00EA17FD">
        <w:trPr>
          <w:trHeight w:val="240"/>
          <w:jc w:val="center"/>
        </w:trPr>
        <w:tc>
          <w:tcPr>
            <w:tcW w:w="4876" w:type="dxa"/>
            <w:tcBorders>
              <w:top w:val="nil"/>
              <w:left w:val="nil"/>
              <w:bottom w:val="nil"/>
              <w:right w:val="nil"/>
            </w:tcBorders>
          </w:tcPr>
          <w:p w14:paraId="456847E6"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4C9B10DB" w14:textId="77777777" w:rsidR="00A82F4D" w:rsidRPr="00B64DD1" w:rsidRDefault="00A82F4D" w:rsidP="00EA17FD">
            <w:pPr>
              <w:pStyle w:val="AmColumnHeading"/>
            </w:pPr>
            <w:r w:rsidRPr="00B64DD1">
              <w:t>Poprawka</w:t>
            </w:r>
          </w:p>
        </w:tc>
      </w:tr>
      <w:tr w:rsidR="00A82F4D" w:rsidRPr="00B64DD1" w14:paraId="4DC47133" w14:textId="77777777" w:rsidTr="00EA17FD">
        <w:trPr>
          <w:jc w:val="center"/>
        </w:trPr>
        <w:tc>
          <w:tcPr>
            <w:tcW w:w="4876" w:type="dxa"/>
            <w:tcBorders>
              <w:top w:val="nil"/>
              <w:left w:val="nil"/>
              <w:bottom w:val="nil"/>
              <w:right w:val="nil"/>
            </w:tcBorders>
          </w:tcPr>
          <w:p w14:paraId="5193B603" w14:textId="77777777" w:rsidR="00A82F4D" w:rsidRPr="00B64DD1" w:rsidRDefault="00A82F4D" w:rsidP="00EA17FD">
            <w:pPr>
              <w:pStyle w:val="Normal6a"/>
            </w:pPr>
            <w:r w:rsidRPr="00B64DD1">
              <w:t>61.</w:t>
            </w:r>
            <w:r w:rsidRPr="00B64DD1">
              <w:tab/>
              <w:t xml:space="preserve">zauważa, że ESDZ ponownie potwierdziła swoje zaangażowanie w utrzymanie sieci 145 delegatur Unii oraz we wzmacnianie zasady „jedna delegatura”; zwraca uwagę, że trwająca modernizacja ma na celu poprawę efektywności i dostosowanie sieci do priorytetów Unii przy jednoczesnym uwzględnieniu ograniczeń budżetowych; podkreśla, że dopóki sytuacja finansowa nie poprawi się, będą kontynuowane rygorystyczne środki oszczędnościowe, rozmowy z Komisją w sprawie podziału kosztów oraz ukierunkowane wzmocnienie kluczowych delegatur Unii; wyraża pewne obawy w związku z planem zmniejszenia skali działania niektórych delegatur Unii i </w:t>
            </w:r>
            <w:r w:rsidRPr="00B64DD1">
              <w:lastRenderedPageBreak/>
              <w:t>redukcji zatrudnienia w ramach odejścia od pierwotnego ukierunkowania na pomoc rozwojową i współpracę gospodarczą w stronę określonych interesów strategicznych, co wydaje się działać na niekorzyść południowego sąsiedztwa; wzywa ESDZ do utrzymania kluczowej roli i strategicznego priorytetu w regionie Morza Śródziemnego na podstawie kompleksowej oceny geopolitycznych wyzwań stojących przed Unią;</w:t>
            </w:r>
          </w:p>
        </w:tc>
        <w:tc>
          <w:tcPr>
            <w:tcW w:w="4876" w:type="dxa"/>
            <w:tcBorders>
              <w:top w:val="nil"/>
              <w:left w:val="nil"/>
              <w:bottom w:val="nil"/>
              <w:right w:val="nil"/>
            </w:tcBorders>
          </w:tcPr>
          <w:p w14:paraId="2ABA726C" w14:textId="77777777" w:rsidR="00A82F4D" w:rsidRPr="00B64DD1" w:rsidRDefault="00A82F4D" w:rsidP="00EA17FD">
            <w:pPr>
              <w:pStyle w:val="Normal6a"/>
            </w:pPr>
            <w:r w:rsidRPr="00B64DD1">
              <w:lastRenderedPageBreak/>
              <w:t>61.</w:t>
            </w:r>
            <w:r w:rsidRPr="00B64DD1">
              <w:tab/>
              <w:t xml:space="preserve">zauważa, że ESDZ ponownie potwierdziła swoje zaangażowanie w utrzymanie sieci 145 delegatur Unii oraz we wzmacnianie zasady „jedna delegatura”; zwraca uwagę, że trwająca modernizacja ma na celu poprawę efektywności i dostosowanie sieci do priorytetów Unii przy jednoczesnym uwzględnieniu ograniczeń budżetowych; podkreśla, że dopóki sytuacja finansowa nie poprawi się, będą kontynuowane rygorystyczne środki oszczędnościowe, rozmowy z Komisją w sprawie podziału kosztów oraz ukierunkowane wzmocnienie kluczowych delegatur Unii; wyraża pewne obawy w związku z planem zmniejszenia skali działania niektórych delegatur Unii i </w:t>
            </w:r>
            <w:r w:rsidRPr="00B64DD1">
              <w:lastRenderedPageBreak/>
              <w:t xml:space="preserve">redukcji zatrudnienia w ramach odejścia od pierwotnego ukierunkowania na pomoc rozwojową i współpracę gospodarczą w stronę określonych interesów strategicznych, co wydaje się działać na niekorzyść południowego sąsiedztwa; wzywa ESDZ do utrzymania kluczowej roli i strategicznego priorytetu w regionie Morza Śródziemnego na podstawie kompleksowej oceny geopolitycznych wyzwań stojących przed Unią; </w:t>
            </w:r>
            <w:r w:rsidRPr="00B64DD1">
              <w:rPr>
                <w:b/>
                <w:i/>
              </w:rPr>
              <w:t>podkreśla, że ESDZ musi utrzymać wysoki poziom zaangażowania w stosunkach z krajami sąsiadującymi na wschodzie, które są kluczowymi partnerami strategicznymi dla zapewnienia bezpieczeństwa, stabilności i odporności UE;</w:t>
            </w:r>
          </w:p>
        </w:tc>
      </w:tr>
    </w:tbl>
    <w:p w14:paraId="043794D0"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63549686" w14:textId="77777777" w:rsidR="00A82F4D" w:rsidRPr="00B64DD1" w:rsidRDefault="00A82F4D" w:rsidP="00A82F4D">
      <w:r w:rsidRPr="00B64DD1">
        <w:rPr>
          <w:rStyle w:val="HideTWBExt"/>
        </w:rPr>
        <w:t>&lt;/Amend&gt;</w:t>
      </w:r>
    </w:p>
    <w:p w14:paraId="51F943C9"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108</w:t>
      </w:r>
      <w:r w:rsidRPr="00B64DD1">
        <w:rPr>
          <w:rStyle w:val="HideTWBExt"/>
          <w:b w:val="0"/>
        </w:rPr>
        <w:t>&lt;/NumAm&gt;</w:t>
      </w:r>
    </w:p>
    <w:p w14:paraId="62AA54BA" w14:textId="77777777" w:rsidR="00A82F4D" w:rsidRPr="00B64DD1" w:rsidRDefault="00A82F4D" w:rsidP="00A82F4D">
      <w:pPr>
        <w:pStyle w:val="NormalBold"/>
      </w:pPr>
      <w:r w:rsidRPr="00B64DD1">
        <w:rPr>
          <w:rStyle w:val="HideTWBExt"/>
          <w:b w:val="0"/>
        </w:rPr>
        <w:t>&lt;RepeatBlock-By&gt;&lt;Members&gt;</w:t>
      </w:r>
      <w:proofErr w:type="spellStart"/>
      <w:r w:rsidRPr="00B64DD1">
        <w:t>Şerban</w:t>
      </w:r>
      <w:proofErr w:type="spellEnd"/>
      <w:r w:rsidRPr="00B64DD1">
        <w:t xml:space="preserve"> </w:t>
      </w:r>
      <w:proofErr w:type="spellStart"/>
      <w:r w:rsidRPr="00B64DD1">
        <w:t>Dimitrie</w:t>
      </w:r>
      <w:proofErr w:type="spellEnd"/>
      <w:r w:rsidRPr="00B64DD1">
        <w:t xml:space="preserve"> </w:t>
      </w:r>
      <w:proofErr w:type="spellStart"/>
      <w:r w:rsidRPr="00B64DD1">
        <w:t>Sturdza</w:t>
      </w:r>
      <w:proofErr w:type="spellEnd"/>
      <w:r w:rsidRPr="00B64DD1">
        <w:rPr>
          <w:rStyle w:val="HideTWBExt"/>
          <w:b w:val="0"/>
        </w:rPr>
        <w:t>&lt;/Members&gt;</w:t>
      </w:r>
    </w:p>
    <w:p w14:paraId="3B815430" w14:textId="77777777" w:rsidR="00A82F4D" w:rsidRPr="00B64DD1" w:rsidRDefault="00A82F4D" w:rsidP="00A82F4D">
      <w:pPr>
        <w:pStyle w:val="NormalBold"/>
      </w:pPr>
      <w:r w:rsidRPr="00B64DD1">
        <w:rPr>
          <w:rStyle w:val="HideTWBExt"/>
          <w:b w:val="0"/>
        </w:rPr>
        <w:t>&lt;/RepeatBlock-By&gt;</w:t>
      </w:r>
    </w:p>
    <w:p w14:paraId="6B878F80"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4A990814" w14:textId="77777777" w:rsidR="00A82F4D" w:rsidRPr="00B64DD1" w:rsidRDefault="00A82F4D" w:rsidP="00A82F4D">
      <w:pPr>
        <w:pStyle w:val="NormalBold"/>
      </w:pPr>
      <w:r w:rsidRPr="00B64DD1">
        <w:rPr>
          <w:rStyle w:val="HideTWBExt"/>
          <w:b w:val="0"/>
        </w:rPr>
        <w:t>&lt;Article&gt;</w:t>
      </w:r>
      <w:r w:rsidRPr="00B64DD1">
        <w:t>Ustęp 62 a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4D2F5077" w14:textId="77777777" w:rsidTr="00EA17FD">
        <w:trPr>
          <w:trHeight w:hRule="exact" w:val="240"/>
          <w:jc w:val="center"/>
        </w:trPr>
        <w:tc>
          <w:tcPr>
            <w:tcW w:w="9752" w:type="dxa"/>
            <w:gridSpan w:val="2"/>
            <w:tcBorders>
              <w:top w:val="nil"/>
              <w:left w:val="nil"/>
              <w:bottom w:val="nil"/>
              <w:right w:val="nil"/>
            </w:tcBorders>
          </w:tcPr>
          <w:p w14:paraId="6BD7B45D" w14:textId="77777777" w:rsidR="00A82F4D" w:rsidRPr="00B64DD1" w:rsidRDefault="00A82F4D" w:rsidP="00EA17FD"/>
        </w:tc>
      </w:tr>
      <w:tr w:rsidR="00A82F4D" w:rsidRPr="00B64DD1" w14:paraId="4C3BCE03" w14:textId="77777777" w:rsidTr="00EA17FD">
        <w:trPr>
          <w:trHeight w:val="240"/>
          <w:jc w:val="center"/>
        </w:trPr>
        <w:tc>
          <w:tcPr>
            <w:tcW w:w="4876" w:type="dxa"/>
            <w:tcBorders>
              <w:top w:val="nil"/>
              <w:left w:val="nil"/>
              <w:bottom w:val="nil"/>
              <w:right w:val="nil"/>
            </w:tcBorders>
          </w:tcPr>
          <w:p w14:paraId="2B2EC8A9"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3CD4D6A8" w14:textId="77777777" w:rsidR="00A82F4D" w:rsidRPr="00B64DD1" w:rsidRDefault="00A82F4D" w:rsidP="00EA17FD">
            <w:pPr>
              <w:pStyle w:val="AmColumnHeading"/>
            </w:pPr>
            <w:r w:rsidRPr="00B64DD1">
              <w:t>Poprawka</w:t>
            </w:r>
          </w:p>
        </w:tc>
      </w:tr>
      <w:tr w:rsidR="00A82F4D" w:rsidRPr="00B64DD1" w14:paraId="4F5184B1" w14:textId="77777777" w:rsidTr="00EA17FD">
        <w:trPr>
          <w:jc w:val="center"/>
        </w:trPr>
        <w:tc>
          <w:tcPr>
            <w:tcW w:w="4876" w:type="dxa"/>
            <w:tcBorders>
              <w:top w:val="nil"/>
              <w:left w:val="nil"/>
              <w:bottom w:val="nil"/>
              <w:right w:val="nil"/>
            </w:tcBorders>
          </w:tcPr>
          <w:p w14:paraId="2D5B20E8" w14:textId="77777777" w:rsidR="00A82F4D" w:rsidRPr="00B64DD1" w:rsidRDefault="00A82F4D" w:rsidP="00EA17FD">
            <w:pPr>
              <w:pStyle w:val="Normal6a"/>
            </w:pPr>
          </w:p>
        </w:tc>
        <w:tc>
          <w:tcPr>
            <w:tcW w:w="4876" w:type="dxa"/>
            <w:tcBorders>
              <w:top w:val="nil"/>
              <w:left w:val="nil"/>
              <w:bottom w:val="nil"/>
              <w:right w:val="nil"/>
            </w:tcBorders>
          </w:tcPr>
          <w:p w14:paraId="1C0A39A1" w14:textId="77777777" w:rsidR="00A82F4D" w:rsidRPr="00B64DD1" w:rsidRDefault="00A82F4D" w:rsidP="00EA17FD">
            <w:pPr>
              <w:pStyle w:val="Normal6a"/>
            </w:pPr>
            <w:r w:rsidRPr="00B64DD1">
              <w:rPr>
                <w:b/>
                <w:i/>
              </w:rPr>
              <w:t>62a.</w:t>
            </w:r>
            <w:r w:rsidRPr="00B64DD1">
              <w:tab/>
            </w:r>
            <w:r w:rsidRPr="00B64DD1">
              <w:rPr>
                <w:b/>
                <w:i/>
              </w:rPr>
              <w:t>apeluje do ESDZ o wzmocnienie praktycznych mechanizmów koordynacji z misjami dyplomatycznymi państw członkowskich w państwach trzecich, w tym poprzez wspólne usługi, wspólne rozwiązania logistyczne i lepszą wymianę informacji, aby zmaksymalizować efektywność i zapewnić optymalne wykorzystanie zasobów unijnych i krajowych;</w:t>
            </w:r>
          </w:p>
        </w:tc>
      </w:tr>
    </w:tbl>
    <w:p w14:paraId="055C64C7"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4492DE0A" w14:textId="77777777" w:rsidR="00A82F4D" w:rsidRPr="00B64DD1" w:rsidRDefault="00A82F4D" w:rsidP="00A82F4D">
      <w:r w:rsidRPr="00B64DD1">
        <w:rPr>
          <w:rStyle w:val="HideTWBExt"/>
        </w:rPr>
        <w:t>&lt;/Amend&gt;</w:t>
      </w:r>
    </w:p>
    <w:p w14:paraId="4726FE71"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109</w:t>
      </w:r>
      <w:r w:rsidRPr="00B64DD1">
        <w:rPr>
          <w:rStyle w:val="HideTWBExt"/>
          <w:b w:val="0"/>
        </w:rPr>
        <w:t>&lt;/NumAm&gt;</w:t>
      </w:r>
    </w:p>
    <w:p w14:paraId="3DFC066C" w14:textId="77777777" w:rsidR="00A82F4D" w:rsidRPr="00B64DD1" w:rsidRDefault="00A82F4D" w:rsidP="00A82F4D">
      <w:pPr>
        <w:pStyle w:val="NormalBold"/>
      </w:pPr>
      <w:r w:rsidRPr="00B64DD1">
        <w:rPr>
          <w:rStyle w:val="HideTWBExt"/>
          <w:b w:val="0"/>
        </w:rPr>
        <w:t>&lt;RepeatBlock-By&gt;&lt;Members&gt;</w:t>
      </w:r>
      <w:proofErr w:type="spellStart"/>
      <w:r w:rsidRPr="00B64DD1">
        <w:t>Ondřej</w:t>
      </w:r>
      <w:proofErr w:type="spellEnd"/>
      <w:r w:rsidRPr="00B64DD1">
        <w:t xml:space="preserve"> Knotek, Virginie </w:t>
      </w:r>
      <w:proofErr w:type="spellStart"/>
      <w:r w:rsidRPr="00B64DD1">
        <w:t>Joron</w:t>
      </w:r>
      <w:proofErr w:type="spellEnd"/>
      <w:r w:rsidRPr="00B64DD1">
        <w:t xml:space="preserve">, </w:t>
      </w:r>
      <w:proofErr w:type="spellStart"/>
      <w:r w:rsidRPr="00B64DD1">
        <w:t>Tamás</w:t>
      </w:r>
      <w:proofErr w:type="spellEnd"/>
      <w:r w:rsidRPr="00B64DD1">
        <w:t xml:space="preserve"> </w:t>
      </w:r>
      <w:proofErr w:type="spellStart"/>
      <w:r w:rsidRPr="00B64DD1">
        <w:t>Deutsch</w:t>
      </w:r>
      <w:proofErr w:type="spellEnd"/>
      <w:r w:rsidRPr="00B64DD1">
        <w:rPr>
          <w:rStyle w:val="HideTWBExt"/>
          <w:b w:val="0"/>
        </w:rPr>
        <w:t>&lt;/Members&gt;</w:t>
      </w:r>
    </w:p>
    <w:p w14:paraId="088F411E" w14:textId="77777777" w:rsidR="00A82F4D" w:rsidRPr="00B64DD1" w:rsidRDefault="00A82F4D" w:rsidP="00A82F4D">
      <w:pPr>
        <w:pStyle w:val="NormalBold"/>
      </w:pPr>
      <w:r w:rsidRPr="00B64DD1">
        <w:rPr>
          <w:rStyle w:val="HideTWBExt"/>
          <w:b w:val="0"/>
        </w:rPr>
        <w:t>&lt;/RepeatBlock-By&gt;</w:t>
      </w:r>
    </w:p>
    <w:p w14:paraId="7AC1D43E"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78F83F23" w14:textId="77777777" w:rsidR="00A82F4D" w:rsidRPr="00B64DD1" w:rsidRDefault="00A82F4D" w:rsidP="00A82F4D">
      <w:pPr>
        <w:pStyle w:val="NormalBold"/>
      </w:pPr>
      <w:r w:rsidRPr="00B64DD1">
        <w:rPr>
          <w:rStyle w:val="HideTWBExt"/>
          <w:b w:val="0"/>
        </w:rPr>
        <w:lastRenderedPageBreak/>
        <w:t>&lt;Article&gt;</w:t>
      </w:r>
      <w:r w:rsidRPr="00B64DD1">
        <w:t>Ustęp 73 a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687C8599" w14:textId="77777777" w:rsidTr="00EA17FD">
        <w:trPr>
          <w:trHeight w:hRule="exact" w:val="240"/>
          <w:jc w:val="center"/>
        </w:trPr>
        <w:tc>
          <w:tcPr>
            <w:tcW w:w="9752" w:type="dxa"/>
            <w:gridSpan w:val="2"/>
            <w:tcBorders>
              <w:top w:val="nil"/>
              <w:left w:val="nil"/>
              <w:bottom w:val="nil"/>
              <w:right w:val="nil"/>
            </w:tcBorders>
          </w:tcPr>
          <w:p w14:paraId="669B2237" w14:textId="77777777" w:rsidR="00A82F4D" w:rsidRPr="00B64DD1" w:rsidRDefault="00A82F4D" w:rsidP="00EA17FD"/>
        </w:tc>
      </w:tr>
      <w:tr w:rsidR="00A82F4D" w:rsidRPr="00B64DD1" w14:paraId="28503A3C" w14:textId="77777777" w:rsidTr="00EA17FD">
        <w:trPr>
          <w:trHeight w:val="240"/>
          <w:jc w:val="center"/>
        </w:trPr>
        <w:tc>
          <w:tcPr>
            <w:tcW w:w="4876" w:type="dxa"/>
            <w:tcBorders>
              <w:top w:val="nil"/>
              <w:left w:val="nil"/>
              <w:bottom w:val="nil"/>
              <w:right w:val="nil"/>
            </w:tcBorders>
          </w:tcPr>
          <w:p w14:paraId="0C1E34D3"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7DDD27E3" w14:textId="77777777" w:rsidR="00A82F4D" w:rsidRPr="00B64DD1" w:rsidRDefault="00A82F4D" w:rsidP="00EA17FD">
            <w:pPr>
              <w:pStyle w:val="AmColumnHeading"/>
            </w:pPr>
            <w:r w:rsidRPr="00B64DD1">
              <w:t>Poprawka</w:t>
            </w:r>
          </w:p>
        </w:tc>
      </w:tr>
      <w:tr w:rsidR="00A82F4D" w:rsidRPr="00B64DD1" w14:paraId="63F4EE87" w14:textId="77777777" w:rsidTr="00EA17FD">
        <w:trPr>
          <w:jc w:val="center"/>
        </w:trPr>
        <w:tc>
          <w:tcPr>
            <w:tcW w:w="4876" w:type="dxa"/>
            <w:tcBorders>
              <w:top w:val="nil"/>
              <w:left w:val="nil"/>
              <w:bottom w:val="nil"/>
              <w:right w:val="nil"/>
            </w:tcBorders>
          </w:tcPr>
          <w:p w14:paraId="28D6D28F" w14:textId="77777777" w:rsidR="00A82F4D" w:rsidRPr="00B64DD1" w:rsidRDefault="00A82F4D" w:rsidP="00EA17FD">
            <w:pPr>
              <w:pStyle w:val="Normal6a"/>
            </w:pPr>
          </w:p>
        </w:tc>
        <w:tc>
          <w:tcPr>
            <w:tcW w:w="4876" w:type="dxa"/>
            <w:tcBorders>
              <w:top w:val="nil"/>
              <w:left w:val="nil"/>
              <w:bottom w:val="nil"/>
              <w:right w:val="nil"/>
            </w:tcBorders>
          </w:tcPr>
          <w:p w14:paraId="54588BB8" w14:textId="77777777" w:rsidR="00A82F4D" w:rsidRPr="00B64DD1" w:rsidRDefault="00A82F4D" w:rsidP="00EA17FD">
            <w:pPr>
              <w:pStyle w:val="Normal6a"/>
            </w:pPr>
            <w:r w:rsidRPr="00B64DD1">
              <w:rPr>
                <w:b/>
                <w:i/>
              </w:rPr>
              <w:t>73a.</w:t>
            </w:r>
            <w:r w:rsidRPr="00B64DD1">
              <w:tab/>
            </w:r>
            <w:r w:rsidRPr="00B64DD1">
              <w:rPr>
                <w:b/>
                <w:i/>
              </w:rPr>
              <w:t>przypomina, że zgodnie z traktatami działania zewnętrzne Unii i Europejska Służba Działań Zewnętrznych służą wspieraniu, koordynowaniu i uzupełnianiu działań dyplomatycznych państw członkowskich; podkreśla, jak ważna jest ścisła współpraca w celu uniknięcia nieefektywności;</w:t>
            </w:r>
          </w:p>
        </w:tc>
      </w:tr>
    </w:tbl>
    <w:p w14:paraId="466FA555"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4426841F" w14:textId="77777777" w:rsidR="00A82F4D" w:rsidRPr="00B64DD1" w:rsidRDefault="00A82F4D" w:rsidP="00A82F4D">
      <w:r w:rsidRPr="00B64DD1">
        <w:rPr>
          <w:rStyle w:val="HideTWBExt"/>
        </w:rPr>
        <w:t>&lt;/Amend&gt;</w:t>
      </w:r>
    </w:p>
    <w:p w14:paraId="78843864"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110</w:t>
      </w:r>
      <w:r w:rsidRPr="00B64DD1">
        <w:rPr>
          <w:rStyle w:val="HideTWBExt"/>
          <w:b w:val="0"/>
        </w:rPr>
        <w:t>&lt;/NumAm&gt;</w:t>
      </w:r>
    </w:p>
    <w:p w14:paraId="03745788" w14:textId="77777777" w:rsidR="00A82F4D" w:rsidRPr="00B64DD1" w:rsidRDefault="00A82F4D" w:rsidP="00A82F4D">
      <w:pPr>
        <w:pStyle w:val="NormalBold"/>
      </w:pPr>
      <w:r w:rsidRPr="00B64DD1">
        <w:rPr>
          <w:rStyle w:val="HideTWBExt"/>
          <w:b w:val="0"/>
        </w:rPr>
        <w:t>&lt;RepeatBlock-By&gt;&lt;Members&gt;</w:t>
      </w:r>
      <w:proofErr w:type="spellStart"/>
      <w:r w:rsidRPr="00B64DD1">
        <w:t>Pasquale</w:t>
      </w:r>
      <w:proofErr w:type="spellEnd"/>
      <w:r w:rsidRPr="00B64DD1">
        <w:t xml:space="preserve"> </w:t>
      </w:r>
      <w:proofErr w:type="spellStart"/>
      <w:r w:rsidRPr="00B64DD1">
        <w:t>Tridico</w:t>
      </w:r>
      <w:proofErr w:type="spellEnd"/>
      <w:r w:rsidRPr="00B64DD1">
        <w:rPr>
          <w:rStyle w:val="HideTWBExt"/>
          <w:b w:val="0"/>
        </w:rPr>
        <w:t>&lt;/Members&gt;</w:t>
      </w:r>
    </w:p>
    <w:p w14:paraId="214EB1FB" w14:textId="77777777" w:rsidR="00A82F4D" w:rsidRPr="00B64DD1" w:rsidRDefault="00A82F4D" w:rsidP="00A82F4D">
      <w:pPr>
        <w:pStyle w:val="NormalBold"/>
      </w:pPr>
      <w:r w:rsidRPr="00B64DD1">
        <w:rPr>
          <w:rStyle w:val="HideTWBExt"/>
          <w:b w:val="0"/>
        </w:rPr>
        <w:t>&lt;/RepeatBlock-By&gt;</w:t>
      </w:r>
    </w:p>
    <w:p w14:paraId="630EBF27"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47C81442" w14:textId="77777777" w:rsidR="00A82F4D" w:rsidRPr="00B64DD1" w:rsidRDefault="00A82F4D" w:rsidP="00A82F4D">
      <w:pPr>
        <w:pStyle w:val="NormalBold"/>
      </w:pPr>
      <w:r w:rsidRPr="00B64DD1">
        <w:rPr>
          <w:rStyle w:val="HideTWBExt"/>
          <w:b w:val="0"/>
        </w:rPr>
        <w:t>&lt;Article&gt;</w:t>
      </w:r>
      <w:r w:rsidRPr="00B64DD1">
        <w:t>Ustęp 74</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512D6289" w14:textId="77777777" w:rsidTr="00EA17FD">
        <w:trPr>
          <w:trHeight w:hRule="exact" w:val="240"/>
          <w:jc w:val="center"/>
        </w:trPr>
        <w:tc>
          <w:tcPr>
            <w:tcW w:w="9752" w:type="dxa"/>
            <w:gridSpan w:val="2"/>
            <w:tcBorders>
              <w:top w:val="nil"/>
              <w:left w:val="nil"/>
              <w:bottom w:val="nil"/>
              <w:right w:val="nil"/>
            </w:tcBorders>
          </w:tcPr>
          <w:p w14:paraId="61BE00B1" w14:textId="77777777" w:rsidR="00A82F4D" w:rsidRPr="00B64DD1" w:rsidRDefault="00A82F4D" w:rsidP="00EA17FD"/>
        </w:tc>
      </w:tr>
      <w:tr w:rsidR="00A82F4D" w:rsidRPr="00B64DD1" w14:paraId="366242CB" w14:textId="77777777" w:rsidTr="00EA17FD">
        <w:trPr>
          <w:trHeight w:val="240"/>
          <w:jc w:val="center"/>
        </w:trPr>
        <w:tc>
          <w:tcPr>
            <w:tcW w:w="4876" w:type="dxa"/>
            <w:tcBorders>
              <w:top w:val="nil"/>
              <w:left w:val="nil"/>
              <w:bottom w:val="nil"/>
              <w:right w:val="nil"/>
            </w:tcBorders>
          </w:tcPr>
          <w:p w14:paraId="552A129C"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4A18D9A4" w14:textId="77777777" w:rsidR="00A82F4D" w:rsidRPr="00B64DD1" w:rsidRDefault="00A82F4D" w:rsidP="00EA17FD">
            <w:pPr>
              <w:pStyle w:val="AmColumnHeading"/>
            </w:pPr>
            <w:r w:rsidRPr="00B64DD1">
              <w:t>Poprawka</w:t>
            </w:r>
          </w:p>
        </w:tc>
      </w:tr>
      <w:tr w:rsidR="00A82F4D" w:rsidRPr="00B64DD1" w14:paraId="7CAAB0DA" w14:textId="77777777" w:rsidTr="00EA17FD">
        <w:trPr>
          <w:jc w:val="center"/>
        </w:trPr>
        <w:tc>
          <w:tcPr>
            <w:tcW w:w="4876" w:type="dxa"/>
            <w:tcBorders>
              <w:top w:val="nil"/>
              <w:left w:val="nil"/>
              <w:bottom w:val="nil"/>
              <w:right w:val="nil"/>
            </w:tcBorders>
          </w:tcPr>
          <w:p w14:paraId="72A933E5" w14:textId="77777777" w:rsidR="00A82F4D" w:rsidRPr="00B64DD1" w:rsidRDefault="00A82F4D" w:rsidP="00EA17FD">
            <w:pPr>
              <w:pStyle w:val="Normal6a"/>
            </w:pPr>
            <w:r w:rsidRPr="00B64DD1">
              <w:t>74.</w:t>
            </w:r>
            <w:r w:rsidRPr="00B64DD1">
              <w:tab/>
              <w:t xml:space="preserve">z zadowoleniem przyjmuje fakt, że działania komunikacyjne ESDZ są koordynowane i harmonizowane z innymi instytucjami za pośrednictwem sieci dyrektorów ds. komunikacji UE, platform międzyinstytucjonalnych z Parlamentem i Komisją oraz podgrupy RELEX ds. ochrony dziedzictwa kulturowego i </w:t>
            </w:r>
            <w:r w:rsidRPr="00B64DD1">
              <w:rPr>
                <w:b/>
                <w:bCs/>
                <w:i/>
                <w:iCs/>
              </w:rPr>
              <w:t>wewnętrznych</w:t>
            </w:r>
            <w:r w:rsidRPr="00B64DD1">
              <w:t xml:space="preserve"> relacji kulturalnych;</w:t>
            </w:r>
          </w:p>
        </w:tc>
        <w:tc>
          <w:tcPr>
            <w:tcW w:w="4876" w:type="dxa"/>
            <w:tcBorders>
              <w:top w:val="nil"/>
              <w:left w:val="nil"/>
              <w:bottom w:val="nil"/>
              <w:right w:val="nil"/>
            </w:tcBorders>
          </w:tcPr>
          <w:p w14:paraId="6038C356" w14:textId="77777777" w:rsidR="00A82F4D" w:rsidRPr="00B64DD1" w:rsidRDefault="00A82F4D" w:rsidP="00EA17FD">
            <w:pPr>
              <w:pStyle w:val="Normal6a"/>
            </w:pPr>
            <w:r w:rsidRPr="00B64DD1">
              <w:t>74.</w:t>
            </w:r>
            <w:r w:rsidRPr="00B64DD1">
              <w:tab/>
              <w:t xml:space="preserve">z zadowoleniem przyjmuje fakt, że działania komunikacyjne ESDZ są koordynowane i harmonizowane z innymi instytucjami za pośrednictwem sieci dyrektorów ds. komunikacji UE, platform międzyinstytucjonalnych z Parlamentem i Komisją oraz podgrupy RELEX ds. ochrony dziedzictwa kulturowego i </w:t>
            </w:r>
            <w:r w:rsidRPr="00B64DD1">
              <w:rPr>
                <w:b/>
                <w:bCs/>
                <w:i/>
                <w:iCs/>
              </w:rPr>
              <w:t>międzynarodowych</w:t>
            </w:r>
            <w:r w:rsidRPr="00B64DD1">
              <w:t xml:space="preserve"> relacji kulturalnych;</w:t>
            </w:r>
          </w:p>
        </w:tc>
      </w:tr>
    </w:tbl>
    <w:p w14:paraId="3B4F89A4"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75602886" w14:textId="77777777" w:rsidR="00A82F4D" w:rsidRPr="00B64DD1" w:rsidRDefault="00A82F4D" w:rsidP="00A82F4D">
      <w:r w:rsidRPr="00B64DD1">
        <w:rPr>
          <w:rStyle w:val="HideTWBExt"/>
        </w:rPr>
        <w:t>&lt;/Amend&gt;</w:t>
      </w:r>
    </w:p>
    <w:p w14:paraId="7B5BF64F"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111</w:t>
      </w:r>
      <w:r w:rsidRPr="00B64DD1">
        <w:rPr>
          <w:rStyle w:val="HideTWBExt"/>
          <w:b w:val="0"/>
        </w:rPr>
        <w:t>&lt;/NumAm&gt;</w:t>
      </w:r>
    </w:p>
    <w:p w14:paraId="12052000" w14:textId="77777777" w:rsidR="00A82F4D" w:rsidRPr="00B64DD1" w:rsidRDefault="00A82F4D" w:rsidP="00A82F4D">
      <w:pPr>
        <w:pStyle w:val="NormalBold"/>
      </w:pPr>
      <w:r w:rsidRPr="00B64DD1">
        <w:rPr>
          <w:rStyle w:val="HideTWBExt"/>
          <w:b w:val="0"/>
        </w:rPr>
        <w:t>&lt;RepeatBlock-By&gt;&lt;Members&gt;</w:t>
      </w:r>
      <w:proofErr w:type="spellStart"/>
      <w:r w:rsidRPr="00B64DD1">
        <w:t>Andrey</w:t>
      </w:r>
      <w:proofErr w:type="spellEnd"/>
      <w:r w:rsidRPr="00B64DD1">
        <w:t xml:space="preserve"> </w:t>
      </w:r>
      <w:proofErr w:type="spellStart"/>
      <w:r w:rsidRPr="00B64DD1">
        <w:t>Kovatchev</w:t>
      </w:r>
      <w:proofErr w:type="spellEnd"/>
      <w:r w:rsidRPr="00B64DD1">
        <w:rPr>
          <w:rStyle w:val="HideTWBExt"/>
          <w:b w:val="0"/>
        </w:rPr>
        <w:t>&lt;/Members&gt;</w:t>
      </w:r>
    </w:p>
    <w:p w14:paraId="69A957AB" w14:textId="77777777" w:rsidR="00A82F4D" w:rsidRPr="00B64DD1" w:rsidRDefault="00A82F4D" w:rsidP="00A82F4D">
      <w:pPr>
        <w:pStyle w:val="NormalBold"/>
      </w:pPr>
      <w:r w:rsidRPr="00B64DD1">
        <w:rPr>
          <w:rStyle w:val="HideTWBExt"/>
          <w:b w:val="0"/>
        </w:rPr>
        <w:t>&lt;/RepeatBlock-By&gt;</w:t>
      </w:r>
    </w:p>
    <w:p w14:paraId="209539C1"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17D5538B" w14:textId="77777777" w:rsidR="00A82F4D" w:rsidRPr="00B64DD1" w:rsidRDefault="00A82F4D" w:rsidP="00A82F4D">
      <w:pPr>
        <w:pStyle w:val="NormalBold"/>
      </w:pPr>
      <w:r w:rsidRPr="00B64DD1">
        <w:rPr>
          <w:rStyle w:val="HideTWBExt"/>
          <w:b w:val="0"/>
        </w:rPr>
        <w:t>&lt;Article&gt;</w:t>
      </w:r>
      <w:r w:rsidRPr="00B64DD1">
        <w:t>Ustęp 77</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1396A7F7" w14:textId="77777777" w:rsidTr="00EA17FD">
        <w:trPr>
          <w:trHeight w:hRule="exact" w:val="240"/>
          <w:jc w:val="center"/>
        </w:trPr>
        <w:tc>
          <w:tcPr>
            <w:tcW w:w="9752" w:type="dxa"/>
            <w:gridSpan w:val="2"/>
            <w:tcBorders>
              <w:top w:val="nil"/>
              <w:left w:val="nil"/>
              <w:bottom w:val="nil"/>
              <w:right w:val="nil"/>
            </w:tcBorders>
          </w:tcPr>
          <w:p w14:paraId="6DF2B856" w14:textId="77777777" w:rsidR="00A82F4D" w:rsidRPr="00B64DD1" w:rsidRDefault="00A82F4D" w:rsidP="00EA17FD"/>
        </w:tc>
      </w:tr>
      <w:tr w:rsidR="00A82F4D" w:rsidRPr="00B64DD1" w14:paraId="664AE9FF" w14:textId="77777777" w:rsidTr="00EA17FD">
        <w:trPr>
          <w:trHeight w:val="240"/>
          <w:jc w:val="center"/>
        </w:trPr>
        <w:tc>
          <w:tcPr>
            <w:tcW w:w="4876" w:type="dxa"/>
            <w:tcBorders>
              <w:top w:val="nil"/>
              <w:left w:val="nil"/>
              <w:bottom w:val="nil"/>
              <w:right w:val="nil"/>
            </w:tcBorders>
          </w:tcPr>
          <w:p w14:paraId="15B677CA"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141E37AF" w14:textId="77777777" w:rsidR="00A82F4D" w:rsidRPr="00B64DD1" w:rsidRDefault="00A82F4D" w:rsidP="00EA17FD">
            <w:pPr>
              <w:pStyle w:val="AmColumnHeading"/>
            </w:pPr>
            <w:r w:rsidRPr="00B64DD1">
              <w:t>Poprawka</w:t>
            </w:r>
          </w:p>
        </w:tc>
      </w:tr>
      <w:tr w:rsidR="00A82F4D" w:rsidRPr="00B64DD1" w14:paraId="0F651121" w14:textId="77777777" w:rsidTr="00EA17FD">
        <w:trPr>
          <w:jc w:val="center"/>
        </w:trPr>
        <w:tc>
          <w:tcPr>
            <w:tcW w:w="4876" w:type="dxa"/>
            <w:tcBorders>
              <w:top w:val="nil"/>
              <w:left w:val="nil"/>
              <w:bottom w:val="nil"/>
              <w:right w:val="nil"/>
            </w:tcBorders>
          </w:tcPr>
          <w:p w14:paraId="62FFC908" w14:textId="77777777" w:rsidR="00A82F4D" w:rsidRPr="00B64DD1" w:rsidRDefault="00A82F4D" w:rsidP="00EA17FD">
            <w:pPr>
              <w:pStyle w:val="Normal6a"/>
            </w:pPr>
            <w:r w:rsidRPr="00B64DD1">
              <w:t>77.</w:t>
            </w:r>
            <w:r w:rsidRPr="00B64DD1">
              <w:tab/>
              <w:t xml:space="preserve">zachęca do kontynuowania procesu zwiększania komunikacji z obywatelami </w:t>
            </w:r>
            <w:r w:rsidRPr="00B64DD1">
              <w:lastRenderedPageBreak/>
              <w:t>państw trzecich na temat polityk Unii, a także do intensyfikacji działań koordynacyjnych na rzecz podnoszenia rozpoznawalności projektów finansowanych przez Unię, w szczególności w państwach kandydujących, aby przeciwdziałać próbom podejmowanym przez podmioty działające w złej wierze aktorów, których celem jest podważanie wysiłków Unii;</w:t>
            </w:r>
          </w:p>
        </w:tc>
        <w:tc>
          <w:tcPr>
            <w:tcW w:w="4876" w:type="dxa"/>
            <w:tcBorders>
              <w:top w:val="nil"/>
              <w:left w:val="nil"/>
              <w:bottom w:val="nil"/>
              <w:right w:val="nil"/>
            </w:tcBorders>
          </w:tcPr>
          <w:p w14:paraId="09D0193E" w14:textId="77777777" w:rsidR="00A82F4D" w:rsidRPr="00B64DD1" w:rsidRDefault="00A82F4D" w:rsidP="00EA17FD">
            <w:pPr>
              <w:pStyle w:val="Normal6a"/>
            </w:pPr>
            <w:r w:rsidRPr="00B64DD1">
              <w:lastRenderedPageBreak/>
              <w:t>77.</w:t>
            </w:r>
            <w:r w:rsidRPr="00B64DD1">
              <w:tab/>
              <w:t xml:space="preserve">zachęca do kontynuowania procesu zwiększania komunikacji z obywatelami </w:t>
            </w:r>
            <w:r w:rsidRPr="00B64DD1">
              <w:lastRenderedPageBreak/>
              <w:t xml:space="preserve">państw trzecich na temat polityk Unii, a także do intensyfikacji działań koordynacyjnych na rzecz podnoszenia rozpoznawalności projektów finansowanych przez Unię, w szczególności w państwach kandydujących, aby przeciwdziałać próbom podejmowanym przez podmioty działające w złej wierze aktorów, których celem jest podważanie wysiłków Unii; </w:t>
            </w:r>
            <w:r w:rsidRPr="00B64DD1">
              <w:rPr>
                <w:b/>
                <w:i/>
              </w:rPr>
              <w:t>ponownie wzywa Komisję do zapewnienia pełnej widoczności i świadomości społecznej w zakresie wsparcia i inwestycji UE w państwach trzecich poprzez wyraźne oznakowanie i umieszczenie flagi UE;</w:t>
            </w:r>
          </w:p>
        </w:tc>
      </w:tr>
    </w:tbl>
    <w:p w14:paraId="334EDBE8" w14:textId="77777777" w:rsidR="00A82F4D" w:rsidRPr="00B64DD1" w:rsidRDefault="00A82F4D" w:rsidP="00A82F4D">
      <w:pPr>
        <w:pStyle w:val="AmOrLang"/>
      </w:pPr>
      <w:r w:rsidRPr="00B64DD1">
        <w:lastRenderedPageBreak/>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7357209B" w14:textId="77777777" w:rsidR="00A82F4D" w:rsidRPr="00B64DD1" w:rsidRDefault="00A82F4D" w:rsidP="00A82F4D">
      <w:r w:rsidRPr="00B64DD1">
        <w:rPr>
          <w:rStyle w:val="HideTWBExt"/>
        </w:rPr>
        <w:t>&lt;/Amend&gt;</w:t>
      </w:r>
    </w:p>
    <w:p w14:paraId="71F4499D" w14:textId="77777777" w:rsidR="00A82F4D" w:rsidRPr="00B64DD1" w:rsidRDefault="00A82F4D" w:rsidP="00A82F4D">
      <w:pPr>
        <w:pStyle w:val="AmNumberTabs"/>
      </w:pPr>
      <w:r w:rsidRPr="00B64DD1">
        <w:rPr>
          <w:rStyle w:val="HideTWBExt"/>
          <w:b w:val="0"/>
        </w:rPr>
        <w:t>&lt;Amend&gt;</w:t>
      </w:r>
      <w:r w:rsidRPr="00B64DD1">
        <w:t>Poprawka</w:t>
      </w:r>
      <w:r w:rsidRPr="00B64DD1">
        <w:tab/>
      </w:r>
      <w:r w:rsidRPr="00B64DD1">
        <w:tab/>
      </w:r>
      <w:r w:rsidRPr="00B64DD1">
        <w:rPr>
          <w:rStyle w:val="HideTWBExt"/>
          <w:b w:val="0"/>
        </w:rPr>
        <w:t>&lt;NumAm&gt;</w:t>
      </w:r>
      <w:r w:rsidRPr="00B64DD1">
        <w:t>112</w:t>
      </w:r>
      <w:r w:rsidRPr="00B64DD1">
        <w:rPr>
          <w:rStyle w:val="HideTWBExt"/>
          <w:b w:val="0"/>
        </w:rPr>
        <w:t>&lt;/NumAm&gt;</w:t>
      </w:r>
    </w:p>
    <w:p w14:paraId="43B903C5" w14:textId="77777777" w:rsidR="00A82F4D" w:rsidRPr="00B64DD1" w:rsidRDefault="00A82F4D" w:rsidP="00A82F4D">
      <w:pPr>
        <w:pStyle w:val="NormalBold"/>
      </w:pPr>
      <w:r w:rsidRPr="00B64DD1">
        <w:rPr>
          <w:rStyle w:val="HideTWBExt"/>
          <w:b w:val="0"/>
        </w:rPr>
        <w:t>&lt;RepeatBlock-By&gt;&lt;Members&gt;</w:t>
      </w:r>
      <w:proofErr w:type="spellStart"/>
      <w:r w:rsidRPr="00B64DD1">
        <w:t>Pasquale</w:t>
      </w:r>
      <w:proofErr w:type="spellEnd"/>
      <w:r w:rsidRPr="00B64DD1">
        <w:t xml:space="preserve"> </w:t>
      </w:r>
      <w:proofErr w:type="spellStart"/>
      <w:r w:rsidRPr="00B64DD1">
        <w:t>Tridico</w:t>
      </w:r>
      <w:proofErr w:type="spellEnd"/>
      <w:r w:rsidRPr="00B64DD1">
        <w:rPr>
          <w:rStyle w:val="HideTWBExt"/>
          <w:b w:val="0"/>
        </w:rPr>
        <w:t>&lt;/Members&gt;</w:t>
      </w:r>
    </w:p>
    <w:p w14:paraId="2BD28099" w14:textId="77777777" w:rsidR="00A82F4D" w:rsidRPr="00B64DD1" w:rsidRDefault="00A82F4D" w:rsidP="00A82F4D">
      <w:pPr>
        <w:pStyle w:val="NormalBold"/>
      </w:pPr>
      <w:r w:rsidRPr="00B64DD1">
        <w:rPr>
          <w:rStyle w:val="HideTWBExt"/>
          <w:b w:val="0"/>
        </w:rPr>
        <w:t>&lt;/RepeatBlock-By&gt;</w:t>
      </w:r>
    </w:p>
    <w:p w14:paraId="459C33DD" w14:textId="77777777" w:rsidR="00A82F4D" w:rsidRPr="00B64DD1" w:rsidRDefault="00A82F4D" w:rsidP="00A82F4D">
      <w:pPr>
        <w:pStyle w:val="NormalBold"/>
      </w:pPr>
      <w:r w:rsidRPr="00B64DD1">
        <w:rPr>
          <w:rStyle w:val="HideTWBExt"/>
          <w:b w:val="0"/>
        </w:rPr>
        <w:t>&lt;DocAmend&gt;</w:t>
      </w:r>
      <w:r w:rsidRPr="00B64DD1">
        <w:t>Projekt rezolucji</w:t>
      </w:r>
      <w:r w:rsidRPr="00B64DD1">
        <w:rPr>
          <w:rStyle w:val="HideTWBExt"/>
          <w:b w:val="0"/>
        </w:rPr>
        <w:t>&lt;/DocAmend&gt;</w:t>
      </w:r>
    </w:p>
    <w:p w14:paraId="147E8DAA" w14:textId="77777777" w:rsidR="00A82F4D" w:rsidRPr="00B64DD1" w:rsidRDefault="00A82F4D" w:rsidP="00A82F4D">
      <w:pPr>
        <w:pStyle w:val="NormalBold"/>
      </w:pPr>
      <w:r w:rsidRPr="00B64DD1">
        <w:rPr>
          <w:rStyle w:val="HideTWBExt"/>
          <w:b w:val="0"/>
        </w:rPr>
        <w:t>&lt;Article&gt;</w:t>
      </w:r>
      <w:r w:rsidRPr="00B64DD1">
        <w:t>Ustęp 78 a (nowy)</w:t>
      </w:r>
      <w:r w:rsidRPr="00B64D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F4D" w:rsidRPr="00B64DD1" w14:paraId="5B3D3BC9" w14:textId="77777777" w:rsidTr="00EA17FD">
        <w:trPr>
          <w:trHeight w:hRule="exact" w:val="240"/>
          <w:jc w:val="center"/>
        </w:trPr>
        <w:tc>
          <w:tcPr>
            <w:tcW w:w="9752" w:type="dxa"/>
            <w:gridSpan w:val="2"/>
            <w:tcBorders>
              <w:top w:val="nil"/>
              <w:left w:val="nil"/>
              <w:bottom w:val="nil"/>
              <w:right w:val="nil"/>
            </w:tcBorders>
          </w:tcPr>
          <w:p w14:paraId="560D6735" w14:textId="77777777" w:rsidR="00A82F4D" w:rsidRPr="00B64DD1" w:rsidRDefault="00A82F4D" w:rsidP="00EA17FD"/>
        </w:tc>
      </w:tr>
      <w:tr w:rsidR="00A82F4D" w:rsidRPr="00B64DD1" w14:paraId="2111D97B" w14:textId="77777777" w:rsidTr="00EA17FD">
        <w:trPr>
          <w:trHeight w:val="240"/>
          <w:jc w:val="center"/>
        </w:trPr>
        <w:tc>
          <w:tcPr>
            <w:tcW w:w="4876" w:type="dxa"/>
            <w:tcBorders>
              <w:top w:val="nil"/>
              <w:left w:val="nil"/>
              <w:bottom w:val="nil"/>
              <w:right w:val="nil"/>
            </w:tcBorders>
          </w:tcPr>
          <w:p w14:paraId="572B7E90" w14:textId="77777777" w:rsidR="00A82F4D" w:rsidRPr="00B64DD1" w:rsidRDefault="00A82F4D" w:rsidP="00EA17FD">
            <w:pPr>
              <w:pStyle w:val="AmColumnHeading"/>
            </w:pPr>
            <w:r w:rsidRPr="00B64DD1">
              <w:t>Projekt rezolucji</w:t>
            </w:r>
          </w:p>
        </w:tc>
        <w:tc>
          <w:tcPr>
            <w:tcW w:w="4876" w:type="dxa"/>
            <w:tcBorders>
              <w:top w:val="nil"/>
              <w:left w:val="nil"/>
              <w:bottom w:val="nil"/>
              <w:right w:val="nil"/>
            </w:tcBorders>
          </w:tcPr>
          <w:p w14:paraId="3AA32D69" w14:textId="77777777" w:rsidR="00A82F4D" w:rsidRPr="00B64DD1" w:rsidRDefault="00A82F4D" w:rsidP="00EA17FD">
            <w:pPr>
              <w:pStyle w:val="AmColumnHeading"/>
            </w:pPr>
            <w:r w:rsidRPr="00B64DD1">
              <w:t>Poprawka</w:t>
            </w:r>
          </w:p>
        </w:tc>
      </w:tr>
      <w:tr w:rsidR="00A82F4D" w:rsidRPr="00B64DD1" w14:paraId="1561DC55" w14:textId="77777777" w:rsidTr="00EA17FD">
        <w:trPr>
          <w:jc w:val="center"/>
        </w:trPr>
        <w:tc>
          <w:tcPr>
            <w:tcW w:w="4876" w:type="dxa"/>
            <w:tcBorders>
              <w:top w:val="nil"/>
              <w:left w:val="nil"/>
              <w:bottom w:val="nil"/>
              <w:right w:val="nil"/>
            </w:tcBorders>
          </w:tcPr>
          <w:p w14:paraId="44D11056" w14:textId="77777777" w:rsidR="00A82F4D" w:rsidRPr="00B64DD1" w:rsidRDefault="00A82F4D" w:rsidP="00EA17FD">
            <w:pPr>
              <w:pStyle w:val="Normal6a"/>
            </w:pPr>
          </w:p>
        </w:tc>
        <w:tc>
          <w:tcPr>
            <w:tcW w:w="4876" w:type="dxa"/>
            <w:tcBorders>
              <w:top w:val="nil"/>
              <w:left w:val="nil"/>
              <w:bottom w:val="nil"/>
              <w:right w:val="nil"/>
            </w:tcBorders>
          </w:tcPr>
          <w:p w14:paraId="236C861D" w14:textId="77777777" w:rsidR="00A82F4D" w:rsidRPr="00B64DD1" w:rsidRDefault="00A82F4D" w:rsidP="00EA17FD">
            <w:pPr>
              <w:pStyle w:val="Normal6a"/>
            </w:pPr>
            <w:r w:rsidRPr="00B64DD1">
              <w:rPr>
                <w:b/>
                <w:i/>
              </w:rPr>
              <w:t>78a.</w:t>
            </w:r>
            <w:r w:rsidRPr="00B64DD1">
              <w:tab/>
            </w:r>
            <w:r w:rsidRPr="00B64DD1">
              <w:rPr>
                <w:b/>
                <w:i/>
              </w:rPr>
              <w:t xml:space="preserve">zauważa, że ESDZ dotarła poprzez swoją kampanię </w:t>
            </w:r>
            <w:proofErr w:type="spellStart"/>
            <w:r w:rsidRPr="00B64DD1">
              <w:rPr>
                <w:b/>
                <w:i/>
              </w:rPr>
              <w:t>EUvsDisinfo</w:t>
            </w:r>
            <w:proofErr w:type="spellEnd"/>
            <w:r w:rsidRPr="00B64DD1">
              <w:rPr>
                <w:b/>
                <w:i/>
              </w:rPr>
              <w:t xml:space="preserve"> do ponad 38 mln użytkowników i udokumentowała ponad 18 000 przypadków, wykazując skalę i systemowy charakter prokremlowskiej dezinformacji w 2024 r.; </w:t>
            </w:r>
          </w:p>
        </w:tc>
      </w:tr>
    </w:tbl>
    <w:p w14:paraId="664E5B87" w14:textId="77777777" w:rsidR="00A82F4D" w:rsidRPr="00B64DD1" w:rsidRDefault="00A82F4D" w:rsidP="00A82F4D">
      <w:pPr>
        <w:pStyle w:val="AmOrLang"/>
      </w:pPr>
      <w:r w:rsidRPr="00B64DD1">
        <w:t xml:space="preserve">Or. </w:t>
      </w:r>
      <w:r w:rsidRPr="00B64DD1">
        <w:rPr>
          <w:rStyle w:val="HideTWBExt"/>
        </w:rPr>
        <w:t>&lt;Original&gt;</w:t>
      </w:r>
      <w:r w:rsidRPr="00B64DD1">
        <w:rPr>
          <w:rStyle w:val="HideTWBInt"/>
        </w:rPr>
        <w:t>{EN}</w:t>
      </w:r>
      <w:r w:rsidRPr="00B64DD1">
        <w:t>en</w:t>
      </w:r>
      <w:r w:rsidRPr="00B64DD1">
        <w:rPr>
          <w:rStyle w:val="HideTWBExt"/>
        </w:rPr>
        <w:t>&lt;/Original&gt;</w:t>
      </w:r>
    </w:p>
    <w:p w14:paraId="671A4227" w14:textId="3ADB4B27" w:rsidR="00A82F4D" w:rsidRPr="00B64DD1" w:rsidRDefault="00A82F4D" w:rsidP="00A82F4D">
      <w:r w:rsidRPr="00B64DD1">
        <w:rPr>
          <w:rStyle w:val="HideTWBExt"/>
        </w:rPr>
        <w:t>&lt;/Amend&gt;&lt;/RepeatBlock-Amend&gt;</w:t>
      </w:r>
    </w:p>
    <w:p w14:paraId="3151D034" w14:textId="1FB3A23E" w:rsidR="00FE13AB" w:rsidRPr="00B64DD1" w:rsidRDefault="00FE13AB" w:rsidP="00A82F4D"/>
    <w:sectPr w:rsidR="00FE13AB" w:rsidRPr="00B64DD1" w:rsidSect="0031176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1F86FB" w14:textId="77777777" w:rsidR="00BA0139" w:rsidRPr="00CD4642" w:rsidRDefault="00BA0139">
      <w:r w:rsidRPr="00CD4642">
        <w:separator/>
      </w:r>
    </w:p>
  </w:endnote>
  <w:endnote w:type="continuationSeparator" w:id="0">
    <w:p w14:paraId="5A31DD19" w14:textId="77777777" w:rsidR="00BA0139" w:rsidRPr="00CD4642" w:rsidRDefault="00BA0139">
      <w:r w:rsidRPr="00CD46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AB2E4" w14:textId="77777777" w:rsidR="00311769" w:rsidRPr="00E535EB" w:rsidRDefault="00311769" w:rsidP="00311769">
    <w:pPr>
      <w:pStyle w:val="EPFooter"/>
      <w:rPr>
        <w:lang w:val="de-DE"/>
      </w:rPr>
    </w:pPr>
    <w:r w:rsidRPr="00E535EB">
      <w:rPr>
        <w:lang w:val="de-DE"/>
      </w:rPr>
      <w:t>PE</w:t>
    </w:r>
    <w:r w:rsidRPr="00E535EB">
      <w:rPr>
        <w:rStyle w:val="HideTWBExt"/>
        <w:lang w:val="de-DE"/>
      </w:rPr>
      <w:t>&lt;NoPE&gt;</w:t>
    </w:r>
    <w:r w:rsidRPr="00E535EB">
      <w:rPr>
        <w:lang w:val="de-DE"/>
      </w:rPr>
      <w:t>784.151</w:t>
    </w:r>
    <w:r w:rsidRPr="00E535EB">
      <w:rPr>
        <w:rStyle w:val="HideTWBExt"/>
        <w:lang w:val="de-DE"/>
      </w:rPr>
      <w:t>&lt;/NoPE&gt;&lt;Version&gt;</w:t>
    </w:r>
    <w:r w:rsidRPr="00E535EB">
      <w:rPr>
        <w:lang w:val="de-DE"/>
      </w:rPr>
      <w:t>v01-00</w:t>
    </w:r>
    <w:r w:rsidRPr="00E535EB">
      <w:rPr>
        <w:rStyle w:val="HideTWBExt"/>
        <w:lang w:val="de-DE"/>
      </w:rPr>
      <w:t>&lt;/Version&gt;</w:t>
    </w:r>
    <w:r w:rsidRPr="00E535EB">
      <w:rPr>
        <w:lang w:val="de-DE"/>
      </w:rPr>
      <w:tab/>
    </w:r>
    <w:r w:rsidRPr="00CD4642">
      <w:fldChar w:fldCharType="begin"/>
    </w:r>
    <w:r w:rsidRPr="00E535EB">
      <w:rPr>
        <w:lang w:val="de-DE"/>
      </w:rPr>
      <w:instrText xml:space="preserve"> PAGE  \* MERGEFORMAT </w:instrText>
    </w:r>
    <w:r w:rsidRPr="00CD4642">
      <w:fldChar w:fldCharType="separate"/>
    </w:r>
    <w:r w:rsidRPr="00E535EB">
      <w:rPr>
        <w:noProof/>
        <w:lang w:val="de-DE"/>
      </w:rPr>
      <w:t>2</w:t>
    </w:r>
    <w:r w:rsidRPr="00CD4642">
      <w:fldChar w:fldCharType="end"/>
    </w:r>
    <w:r w:rsidRPr="00E535EB">
      <w:rPr>
        <w:lang w:val="de-DE"/>
      </w:rPr>
      <w:t>/</w:t>
    </w:r>
    <w:r w:rsidR="00B64DD1">
      <w:fldChar w:fldCharType="begin"/>
    </w:r>
    <w:r w:rsidR="00B64DD1" w:rsidRPr="00E535EB">
      <w:rPr>
        <w:lang w:val="de-DE"/>
      </w:rPr>
      <w:instrText xml:space="preserve"> NUMPAGES  \* MERGEFORMAT </w:instrText>
    </w:r>
    <w:r w:rsidR="00B64DD1">
      <w:fldChar w:fldCharType="separate"/>
    </w:r>
    <w:r w:rsidRPr="00E535EB">
      <w:rPr>
        <w:noProof/>
        <w:lang w:val="de-DE"/>
      </w:rPr>
      <w:t>83</w:t>
    </w:r>
    <w:r w:rsidR="00B64DD1">
      <w:rPr>
        <w:noProof/>
      </w:rPr>
      <w:fldChar w:fldCharType="end"/>
    </w:r>
    <w:r w:rsidRPr="00E535EB">
      <w:rPr>
        <w:lang w:val="de-DE"/>
      </w:rPr>
      <w:tab/>
    </w:r>
    <w:r w:rsidRPr="00E535EB">
      <w:rPr>
        <w:rStyle w:val="HideTWBExt"/>
        <w:lang w:val="de-DE"/>
      </w:rPr>
      <w:t>&lt;PathFdR&gt;</w:t>
    </w:r>
    <w:r w:rsidRPr="00E535EB">
      <w:rPr>
        <w:lang w:val="de-DE"/>
      </w:rPr>
      <w:t>AM\1336297PL.docx</w:t>
    </w:r>
    <w:r w:rsidRPr="00E535EB">
      <w:rPr>
        <w:rStyle w:val="HideTWBExt"/>
        <w:lang w:val="de-DE"/>
      </w:rPr>
      <w:t>&lt;/PathFdR&gt;</w:t>
    </w:r>
  </w:p>
  <w:p w14:paraId="33EE1186" w14:textId="5B0442B8" w:rsidR="00FE13AB" w:rsidRPr="00CD4642" w:rsidRDefault="00311769" w:rsidP="00311769">
    <w:pPr>
      <w:pStyle w:val="EPFooter2"/>
    </w:pPr>
    <w:r w:rsidRPr="00CD4642">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012DA" w14:textId="77777777" w:rsidR="00311769" w:rsidRPr="00E535EB" w:rsidRDefault="00311769" w:rsidP="00311769">
    <w:pPr>
      <w:pStyle w:val="EPFooter"/>
      <w:rPr>
        <w:lang w:val="de-DE"/>
      </w:rPr>
    </w:pPr>
    <w:r w:rsidRPr="00E535EB">
      <w:rPr>
        <w:rStyle w:val="HideTWBExt"/>
        <w:lang w:val="de-DE"/>
      </w:rPr>
      <w:t>&lt;PathFdR&gt;</w:t>
    </w:r>
    <w:r w:rsidRPr="00E535EB">
      <w:rPr>
        <w:lang w:val="de-DE"/>
      </w:rPr>
      <w:t>AM\1336297PL.docx</w:t>
    </w:r>
    <w:r w:rsidRPr="00E535EB">
      <w:rPr>
        <w:rStyle w:val="HideTWBExt"/>
        <w:lang w:val="de-DE"/>
      </w:rPr>
      <w:t>&lt;/PathFdR&gt;</w:t>
    </w:r>
    <w:r w:rsidRPr="00E535EB">
      <w:rPr>
        <w:lang w:val="de-DE"/>
      </w:rPr>
      <w:tab/>
    </w:r>
    <w:r w:rsidRPr="00CD4642">
      <w:fldChar w:fldCharType="begin"/>
    </w:r>
    <w:r w:rsidRPr="00E535EB">
      <w:rPr>
        <w:lang w:val="de-DE"/>
      </w:rPr>
      <w:instrText xml:space="preserve"> PAGE  \* MERGEFORMAT </w:instrText>
    </w:r>
    <w:r w:rsidRPr="00CD4642">
      <w:fldChar w:fldCharType="separate"/>
    </w:r>
    <w:r w:rsidRPr="00E535EB">
      <w:rPr>
        <w:noProof/>
        <w:lang w:val="de-DE"/>
      </w:rPr>
      <w:t>3</w:t>
    </w:r>
    <w:r w:rsidRPr="00CD4642">
      <w:fldChar w:fldCharType="end"/>
    </w:r>
    <w:r w:rsidRPr="00E535EB">
      <w:rPr>
        <w:lang w:val="de-DE"/>
      </w:rPr>
      <w:t>/</w:t>
    </w:r>
    <w:r w:rsidR="00B64DD1">
      <w:fldChar w:fldCharType="begin"/>
    </w:r>
    <w:r w:rsidR="00B64DD1" w:rsidRPr="00E535EB">
      <w:rPr>
        <w:lang w:val="de-DE"/>
      </w:rPr>
      <w:instrText xml:space="preserve"> NUMPAGES  \* MERGEFORMAT </w:instrText>
    </w:r>
    <w:r w:rsidR="00B64DD1">
      <w:fldChar w:fldCharType="separate"/>
    </w:r>
    <w:r w:rsidRPr="00E535EB">
      <w:rPr>
        <w:noProof/>
        <w:lang w:val="de-DE"/>
      </w:rPr>
      <w:t>83</w:t>
    </w:r>
    <w:r w:rsidR="00B64DD1">
      <w:rPr>
        <w:noProof/>
      </w:rPr>
      <w:fldChar w:fldCharType="end"/>
    </w:r>
    <w:r w:rsidRPr="00E535EB">
      <w:rPr>
        <w:lang w:val="de-DE"/>
      </w:rPr>
      <w:tab/>
      <w:t>PE</w:t>
    </w:r>
    <w:r w:rsidRPr="00E535EB">
      <w:rPr>
        <w:rStyle w:val="HideTWBExt"/>
        <w:lang w:val="de-DE"/>
      </w:rPr>
      <w:t>&lt;NoPE&gt;</w:t>
    </w:r>
    <w:r w:rsidRPr="00E535EB">
      <w:rPr>
        <w:lang w:val="de-DE"/>
      </w:rPr>
      <w:t>784.151</w:t>
    </w:r>
    <w:r w:rsidRPr="00E535EB">
      <w:rPr>
        <w:rStyle w:val="HideTWBExt"/>
        <w:lang w:val="de-DE"/>
      </w:rPr>
      <w:t>&lt;/NoPE&gt;&lt;Version&gt;</w:t>
    </w:r>
    <w:r w:rsidRPr="00E535EB">
      <w:rPr>
        <w:lang w:val="de-DE"/>
      </w:rPr>
      <w:t>v01-00</w:t>
    </w:r>
    <w:r w:rsidRPr="00E535EB">
      <w:rPr>
        <w:rStyle w:val="HideTWBExt"/>
        <w:lang w:val="de-DE"/>
      </w:rPr>
      <w:t>&lt;/Version&gt;</w:t>
    </w:r>
  </w:p>
  <w:p w14:paraId="093B95DC" w14:textId="1A281048" w:rsidR="00FE13AB" w:rsidRPr="00CD4642" w:rsidRDefault="00311769" w:rsidP="00311769">
    <w:pPr>
      <w:pStyle w:val="EPFooter2"/>
    </w:pPr>
    <w:r w:rsidRPr="00E535EB">
      <w:rPr>
        <w:lang w:val="de-DE"/>
      </w:rPr>
      <w:tab/>
    </w:r>
    <w:r w:rsidRPr="00E535EB">
      <w:rPr>
        <w:lang w:val="de-DE"/>
      </w:rPr>
      <w:tab/>
    </w:r>
    <w:r w:rsidRPr="00CD4642">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1A9D8" w14:textId="77777777" w:rsidR="00311769" w:rsidRPr="00E535EB" w:rsidRDefault="00311769" w:rsidP="00311769">
    <w:pPr>
      <w:pStyle w:val="EPFooter"/>
      <w:rPr>
        <w:lang w:val="de-DE"/>
      </w:rPr>
    </w:pPr>
    <w:r w:rsidRPr="00E535EB">
      <w:rPr>
        <w:rStyle w:val="HideTWBExt"/>
        <w:lang w:val="de-DE"/>
      </w:rPr>
      <w:t>&lt;PathFdR&gt;</w:t>
    </w:r>
    <w:r w:rsidRPr="00E535EB">
      <w:rPr>
        <w:lang w:val="de-DE"/>
      </w:rPr>
      <w:t>AM\1336297PL.docx</w:t>
    </w:r>
    <w:r w:rsidRPr="00E535EB">
      <w:rPr>
        <w:rStyle w:val="HideTWBExt"/>
        <w:lang w:val="de-DE"/>
      </w:rPr>
      <w:t>&lt;/PathFdR&gt;</w:t>
    </w:r>
    <w:r w:rsidRPr="00E535EB">
      <w:rPr>
        <w:lang w:val="de-DE"/>
      </w:rPr>
      <w:tab/>
    </w:r>
    <w:r w:rsidRPr="00E535EB">
      <w:rPr>
        <w:lang w:val="de-DE"/>
      </w:rPr>
      <w:tab/>
      <w:t>PE</w:t>
    </w:r>
    <w:r w:rsidRPr="00E535EB">
      <w:rPr>
        <w:rStyle w:val="HideTWBExt"/>
        <w:lang w:val="de-DE"/>
      </w:rPr>
      <w:t>&lt;NoPE&gt;</w:t>
    </w:r>
    <w:r w:rsidRPr="00E535EB">
      <w:rPr>
        <w:lang w:val="de-DE"/>
      </w:rPr>
      <w:t>784.151</w:t>
    </w:r>
    <w:r w:rsidRPr="00E535EB">
      <w:rPr>
        <w:rStyle w:val="HideTWBExt"/>
        <w:lang w:val="de-DE"/>
      </w:rPr>
      <w:t>&lt;/NoPE&gt;&lt;Version&gt;</w:t>
    </w:r>
    <w:r w:rsidRPr="00E535EB">
      <w:rPr>
        <w:lang w:val="de-DE"/>
      </w:rPr>
      <w:t>v01-00</w:t>
    </w:r>
    <w:r w:rsidRPr="00E535EB">
      <w:rPr>
        <w:rStyle w:val="HideTWBExt"/>
        <w:lang w:val="de-DE"/>
      </w:rPr>
      <w:t>&lt;/Version&gt;</w:t>
    </w:r>
  </w:p>
  <w:p w14:paraId="375EF8B9" w14:textId="3F514B4A" w:rsidR="00FE13AB" w:rsidRPr="00CD4642" w:rsidRDefault="00311769" w:rsidP="00311769">
    <w:pPr>
      <w:pStyle w:val="EPFooter2"/>
    </w:pPr>
    <w:r w:rsidRPr="00CD4642">
      <w:t>PL</w:t>
    </w:r>
    <w:r w:rsidRPr="00CD4642">
      <w:tab/>
    </w:r>
    <w:r w:rsidRPr="00CD4642">
      <w:rPr>
        <w:b w:val="0"/>
        <w:i/>
        <w:color w:val="C0C0C0"/>
        <w:sz w:val="22"/>
      </w:rPr>
      <w:t>Zjednoczona w różnorodności</w:t>
    </w:r>
    <w:r w:rsidRPr="00CD4642">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DA28E" w14:textId="77777777" w:rsidR="00BA0139" w:rsidRPr="00CD4642" w:rsidRDefault="00BA0139">
      <w:r w:rsidRPr="00CD4642">
        <w:separator/>
      </w:r>
    </w:p>
  </w:footnote>
  <w:footnote w:type="continuationSeparator" w:id="0">
    <w:p w14:paraId="12EA82C3" w14:textId="77777777" w:rsidR="00BA0139" w:rsidRPr="00CD4642" w:rsidRDefault="00BA0139">
      <w:r w:rsidRPr="00CD464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1B79B" w14:textId="77777777" w:rsidR="00A82F4D" w:rsidRDefault="00A82F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F8716" w14:textId="77777777" w:rsidR="00A82F4D" w:rsidRDefault="00A82F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1FF78" w14:textId="77777777" w:rsidR="00A82F4D" w:rsidRDefault="00A82F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XTLANGUE" w:val="PL"/>
    <w:docVar w:name="TXTLANGUEMIN" w:val="pl"/>
    <w:docVar w:name="TXTNRPE" w:val="784.151"/>
    <w:docVar w:name="TXTPEorAP" w:val="PE"/>
    <w:docVar w:name="TXTROUTE" w:val="AM\1336297PL.docx"/>
    <w:docVar w:name="TXTVERSION" w:val="01-00"/>
  </w:docVars>
  <w:rsids>
    <w:rsidRoot w:val="00A77B3E"/>
    <w:rsid w:val="00052629"/>
    <w:rsid w:val="00311769"/>
    <w:rsid w:val="00811223"/>
    <w:rsid w:val="00A77B3E"/>
    <w:rsid w:val="00A82F4D"/>
    <w:rsid w:val="00B3194F"/>
    <w:rsid w:val="00B64DD1"/>
    <w:rsid w:val="00BA0139"/>
    <w:rsid w:val="00CA2A55"/>
    <w:rsid w:val="00CD4642"/>
    <w:rsid w:val="00E535EB"/>
    <w:rsid w:val="00E703C3"/>
    <w:rsid w:val="00FE13A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6A3A4ED"/>
  <w15:docId w15:val="{E3B8BA0D-2562-4D44-8B58-2DE2B5724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311769"/>
    <w:pPr>
      <w:tabs>
        <w:tab w:val="center" w:pos="4536"/>
        <w:tab w:val="right" w:pos="9072"/>
      </w:tabs>
    </w:pPr>
  </w:style>
  <w:style w:type="character" w:customStyle="1" w:styleId="HeaderChar">
    <w:name w:val="Header Char"/>
    <w:basedOn w:val="DefaultParagraphFont"/>
    <w:link w:val="Header"/>
    <w:rsid w:val="00311769"/>
    <w:rPr>
      <w:sz w:val="24"/>
      <w:szCs w:val="24"/>
    </w:rPr>
  </w:style>
  <w:style w:type="paragraph" w:customStyle="1" w:styleId="Normalny1">
    <w:name w:val="Normalny1"/>
    <w:basedOn w:val="EPName"/>
    <w:link w:val="NormalZnak"/>
    <w:rsid w:val="00311769"/>
    <w:rPr>
      <w:rFonts w:ascii="Times New Roman" w:hAnsi="Times New Roman" w:cs="Times New Roman"/>
      <w:sz w:val="24"/>
    </w:rPr>
  </w:style>
  <w:style w:type="character" w:customStyle="1" w:styleId="EPNameZnak">
    <w:name w:val="EPName Znak"/>
    <w:basedOn w:val="DefaultParagraphFont"/>
    <w:link w:val="EPName"/>
    <w:rsid w:val="00311769"/>
    <w:rPr>
      <w:rFonts w:ascii="Arial Narrow" w:eastAsia="Arial" w:hAnsi="Arial Narrow" w:cs="Arial"/>
      <w:b/>
      <w:sz w:val="32"/>
      <w:szCs w:val="24"/>
    </w:rPr>
  </w:style>
  <w:style w:type="character" w:customStyle="1" w:styleId="NormalZnak">
    <w:name w:val="Normal Znak"/>
    <w:basedOn w:val="EPNameZnak"/>
    <w:link w:val="Normalny1"/>
    <w:rsid w:val="00311769"/>
    <w:rPr>
      <w:rFonts w:ascii="Arial Narrow" w:eastAsia="Arial" w:hAnsi="Arial Narrow" w:cs="Arial"/>
      <w:b/>
      <w:sz w:val="24"/>
      <w:szCs w:val="24"/>
    </w:rPr>
  </w:style>
  <w:style w:type="paragraph" w:styleId="Footer">
    <w:name w:val="footer"/>
    <w:basedOn w:val="Normal"/>
    <w:link w:val="FooterChar"/>
    <w:rsid w:val="00E703C3"/>
    <w:pPr>
      <w:tabs>
        <w:tab w:val="center" w:pos="4513"/>
        <w:tab w:val="right" w:pos="9026"/>
      </w:tabs>
    </w:pPr>
  </w:style>
  <w:style w:type="character" w:customStyle="1" w:styleId="FooterChar">
    <w:name w:val="Footer Char"/>
    <w:basedOn w:val="DefaultParagraphFont"/>
    <w:link w:val="Footer"/>
    <w:rsid w:val="00E703C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92</Pages>
  <Words>21446</Words>
  <Characters>143864</Characters>
  <Application>Microsoft Office Word</Application>
  <DocSecurity>0</DocSecurity>
  <Lines>5492</Lines>
  <Paragraphs>990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2026-02-11T08:37:00Z</dcterms:created>
  <dcterms:modified xsi:type="dcterms:W3CDTF">2026-02-11T08:37:00Z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1336297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358818</vt:lpwstr>
  </property>
  <property fmtid="{D5CDD505-2E9C-101B-9397-08002B2CF9AE}" pid="7" name="dmxml.render.traceId">
    <vt:lpwstr>697ca72d770f4eba9df6077437ae2b17</vt:lpwstr>
  </property>
  <property fmtid="{D5CDD505-2E9C-101B-9397-08002B2CF9AE}" pid="8" name="FooterPath">
    <vt:lpwstr>AM\1336297PL.docx</vt:lpwstr>
  </property>
  <property fmtid="{D5CDD505-2E9C-101B-9397-08002B2CF9AE}" pid="9" name="PE Number">
    <vt:lpwstr>784.151</vt:lpwstr>
  </property>
  <property fmtid="{D5CDD505-2E9C-101B-9397-08002B2CF9AE}" pid="10" name="UID">
    <vt:lpwstr>eu.europa.europarl-DIN1-2026-0000020048_01.00-xm-01.00_text-xml</vt:lpwstr>
  </property>
  <property fmtid="{D5CDD505-2E9C-101B-9397-08002B2CF9AE}" pid="11" name="LastEdited with">
    <vt:lpwstr>10.0.1 Build [20250114]</vt:lpwstr>
  </property>
  <property fmtid="{D5CDD505-2E9C-101B-9397-08002B2CF9AE}" pid="12" name="Bookout">
    <vt:lpwstr>OK - 2026/02/11 09:37</vt:lpwstr>
  </property>
</Properties>
</file>