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Europaparlamentet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Budgetkontrollutskottet</w:t>
      </w:r>
      <w:r>
        <w:rPr>
          <w:rStyle w:val="HideTWBExt"/>
        </w:rPr>
        <w:t>&lt;/Commission&gt;</w:t>
      </w:r>
    </w:p>
    <w:p>
      <w:pPr>
        <w:pStyle w:val="LineBottom"/>
      </w:pPr>
      <w:r>
        <w:t xml:space="preserve"> </w:t>
      </w:r>
    </w:p>
    <w:p>
      <w:pPr>
        <w:pStyle w:val="CoverReference"/>
      </w:pPr>
      <w:r>
        <w:rPr>
          <w:rStyle w:val="HideTWBExt"/>
        </w:rPr>
        <w:t>&lt;RefProc&gt;</w:t>
      </w:r>
      <w:r>
        <w:t>2025/2150</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{30/01/2026}</w:t>
      </w:r>
      <w:r>
        <w:t>30.1.2026</w:t>
      </w:r>
      <w:r>
        <w:rPr>
          <w:rStyle w:val="HideTWBExt"/>
        </w:rPr>
        <w:t>&lt;/Date&gt;</w:t>
      </w:r>
    </w:p>
    <w:p>
      <w:pPr>
        <w:pStyle w:val="CoverDocType"/>
      </w:pPr>
      <w:r>
        <w:rPr>
          <w:rStyle w:val="HideTWBExt"/>
        </w:rPr>
        <w:t>&lt;TypeAM&gt;</w:t>
      </w:r>
      <w:r>
        <w:t>ÄNDRINGSFÖRSLAG</w:t>
      </w:r>
      <w:r>
        <w:rPr>
          <w:rStyle w:val="HideTWBExt"/>
        </w:rPr>
        <w:t>&lt;/TypeAM&gt;</w:t>
      </w:r>
    </w:p>
    <w:p>
      <w:pPr>
        <w:pStyle w:val="CoverDocType24a"/>
      </w:pPr>
      <w:r>
        <w:rPr>
          <w:rStyle w:val="HideTWBExt"/>
        </w:rPr>
        <w:t>&lt;RangeAM&gt;</w:t>
      </w:r>
      <w:r>
        <w:t>1</w:t>
      </w:r>
      <w:r>
        <w:t xml:space="preserve"> - </w:t>
      </w:r>
      <w:r>
        <w:t>112</w:t>
      </w:r>
      <w:r>
        <w:rPr>
          <w:rStyle w:val="HideTWBExt"/>
        </w:rPr>
        <w:t>&lt;/RangeAM&gt;</w:t>
      </w:r>
    </w:p>
    <w:p>
      <w:pPr>
        <w:pStyle w:val="CoverBold"/>
      </w:pPr>
      <w:r>
        <w:rPr>
          <w:rStyle w:val="HideTWBExt"/>
        </w:rPr>
        <w:t>&lt;TitreType&gt;</w:t>
      </w:r>
      <w:r>
        <w:t>Förslag till betänkande</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(PE778.061v01-00)</w:t>
      </w:r>
      <w:r>
        <w:rPr>
          <w:rStyle w:val="HideTWBExt"/>
        </w:rPr>
        <w:t>&lt;/DocRefPE&gt;</w:t>
      </w:r>
    </w:p>
    <w:p>
      <w:pPr>
        <w:pStyle w:val="CoverNormal"/>
      </w:pPr>
      <w:r>
        <w:rPr>
          <w:rStyle w:val="HideTWBExt"/>
        </w:rPr>
        <w:t>&lt;Titre&gt;</w:t>
      </w:r>
      <w:r>
        <w:t>Ansvarsfrihet 2024: EU:s allmänna budget – Europeiska utrikestjänsten</w:t>
      </w:r>
      <w:r>
        <w:rPr>
          <w:rStyle w:val="HideTWBExt"/>
        </w:rPr>
        <w:t>&lt;/Titre&gt;</w:t>
      </w:r>
    </w:p>
    <w:p>
      <w:pPr>
        <w:pStyle w:val="CoverNormal24a"/>
      </w:pPr>
      <w:r>
        <w:rPr>
          <w:rStyle w:val="HideTWBExt"/>
        </w:rPr>
        <w:t>&lt;DocRef&gt;</w:t>
      </w:r>
      <w:r>
        <w:t>(2025/2150(DEC))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Ändringsförslag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Skäl Ha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Effektiviteten och kostnadseffektiviteten i Europeiska unionens yttre åtgärder är beroende av en nära samordning med medlemsstaternas diplomatiska organ och nätverk, särskilt i tredjeländer där både utrikestjänsten och medlemsstaterna har en permanent närvaro, för att undvika dubbla strukturer och utgifter.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Europaparlamentet noterar att utrikestjänstens budget sorterar under rubrik 7 i den fleråriga budgetramen, ”Europeisk offentlig förvaltning”, som uppgick till 13,3 miljarder EUR 2024 (vilket motsvarar 6,9 % av unionens totala budget). Parlamentet noterar att den budget på cirka </w:t>
            </w:r>
            <w:r>
              <w:rPr>
                <w:b/>
                <w:i/>
              </w:rPr>
              <w:t>1 293</w:t>
            </w:r>
            <w:r>
              <w:t xml:space="preserve"> miljarder EUR som utrikestjänsten förvaltar motsvarar cirka 9,54 % av unionens totala administrativa utgifter under 2024.</w:t>
            </w:r>
          </w:p>
        </w:tc>
        <w:tc>
          <w:tcPr>
            <w:tcW w:w="4876" w:type="dxa"/>
            <w:tcBorders>
              <w:top w:val="nil"/>
              <w:left w:val="nil"/>
              <w:bottom w:val="nil"/>
              <w:right w:val="nil"/>
            </w:tcBorders>
          </w:tcPr>
          <w:p>
            <w:pPr>
              <w:pStyle w:val="Normal6a"/>
            </w:pPr>
            <w:r>
              <w:t>1.</w:t>
            </w:r>
            <w:r>
              <w:tab/>
            </w:r>
            <w:r>
              <w:t xml:space="preserve">Europaparlamentet noterar att utrikestjänstens budget sorterar under rubrik 7 i den fleråriga budgetramen, ”Europeisk offentlig förvaltning”, som uppgick till 13,3 miljarder EUR 2024 (vilket motsvarar 6,9 % av unionens totala budget). Parlamentet noterar att den budget på cirka </w:t>
            </w:r>
            <w:r>
              <w:rPr>
                <w:b/>
                <w:i/>
              </w:rPr>
              <w:t>1,239</w:t>
            </w:r>
            <w:r>
              <w:t xml:space="preserve"> miljarder EUR som utrikestjänsten förvaltar motsvarar cirka 9,54 % av unionens totala administrativa utgifter under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Europaparlamentet påminner om att unionsmedborgarna fortfarande står inför ett ökande skattetryck.</w:t>
            </w:r>
            <w:r>
              <w:t xml:space="preserve"> </w:t>
            </w:r>
            <w:r>
              <w:rPr>
                <w:b/>
                <w:i/>
              </w:rPr>
              <w:t>Parlamentet betonar därför att unionens institutioner måste iaktta största möjliga återhållsamhet och effektivitet när det gäller budgeten.</w:t>
            </w:r>
            <w:r>
              <w:t xml:space="preserve"> </w:t>
            </w:r>
            <w:r>
              <w:rPr>
                <w:b/>
                <w:i/>
              </w:rPr>
              <w:t>Parlamentet uppmanar utrikestjänsten att prioritera kostnadskontroll, undvika att i onödan öka byråkratin och se till att varje ökning av de administrativa utgifterna ger ett tydligt mervärde för medborgarna.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Europaparlamentet noterar att budgetgenomförandet av innevarande års åtagandebemyndiganden (efter överföringar) uppgick till 100 %, medan genomförandegraden för betalningar var 88,4 %, jämfört med 91,9 % 2023. Parlamentet noterar att den genomsnittliga betalningstiden var 13,43 dagar, men att 10,69 % av det totala antalet betalningar som gjordes 2024 (motsvarande totalt 57 357 324,68 EUR) utgjorde sena betalningar, vilket ledde till en dröjsmålsränta på 37 862,61 EUR 2024. Parlamentet uppmanar utrikestjänsten att fortsätta sina insatser för att öka antalet elektroniska betalningar och digitaliseringen av arbetsflödena, i synnerhet med avseende på elektroniska fakturor vid unionens delegationer.</w:t>
            </w:r>
          </w:p>
        </w:tc>
        <w:tc>
          <w:tcPr>
            <w:tcW w:w="4876" w:type="dxa"/>
            <w:tcBorders>
              <w:top w:val="nil"/>
              <w:left w:val="nil"/>
              <w:bottom w:val="nil"/>
              <w:right w:val="nil"/>
            </w:tcBorders>
          </w:tcPr>
          <w:p>
            <w:pPr>
              <w:pStyle w:val="Normal6a"/>
            </w:pPr>
            <w:r>
              <w:t>6.</w:t>
            </w:r>
            <w:r>
              <w:tab/>
            </w:r>
            <w:r>
              <w:t xml:space="preserve">Europaparlamentet noterar att budgetgenomförandet av innevarande års åtagandebemyndiganden (efter överföringar) uppgick till 100 %, medan genomförandegraden för betalningar var 88,4 %, jämfört med 91,9 % 2023. Parlamentet noterar att den genomsnittliga betalningstiden var 13,43 dagar, men att 10,69 % av det totala antalet betalningar som gjordes 2024 (motsvarande totalt 57 357 324,68 EUR) utgjorde sena betalningar, vilket ledde till en dröjsmålsränta på 37 862,61 EUR 2024. Parlamentet uppmanar utrikestjänsten att fortsätta sina insatser för att öka antalet elektroniska betalningar och digitaliseringen av arbetsflödena, i synnerhet med avseende på elektroniska fakturor vid unionens delegationer. </w:t>
            </w:r>
            <w:r>
              <w:rPr>
                <w:b/>
                <w:i/>
              </w:rPr>
              <w:t>Parlamentet uppmanar utrikestjänsten att fastställa årliga mål för att minska de sena betalningarna och kostnaderna på grund av dröjsmålsräntor och att standardisera arbetsflödena för genomgående e-fakturering och e-upphandling i delegationerna.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Europaparlamentet är djupt oroat över EU:s ökande skuldbörda och lånekostnader.</w:t>
            </w:r>
            <w:r>
              <w:t xml:space="preserve"> </w:t>
            </w:r>
            <w:r>
              <w:rPr>
                <w:b/>
                <w:i/>
              </w:rPr>
              <w:t>Parlamentet noterar att utestående lån som lånats av EU enligt Europeiska revisionsrättens årsrapport skulle kunna överstiga 900 miljarder EUR 2027, vilket är nästan tio gånger högre än 2020 innan återhämtningspaketet NextGenerationEU infördes.</w:t>
            </w:r>
            <w:r>
              <w:t xml:space="preserve"> </w:t>
            </w:r>
            <w:r>
              <w:rPr>
                <w:b/>
                <w:i/>
              </w:rPr>
              <w:t>Parlamentet varnar för att stigande lånekostnader utgör en risk för framtida budgetar och minskar det finanspolitiska utrymmet för nya prioriteringar.</w:t>
            </w:r>
            <w:r>
              <w:t xml:space="preserve"> </w:t>
            </w:r>
            <w:r>
              <w:rPr>
                <w:b/>
                <w:i/>
              </w:rPr>
              <w:t>Parlamentet insisterar därför på att detta aldrig tidigare skådade finanspolitiska tryck kräver en strikt strävan efter besparingar inom utrikestjänstens administrativa budget.</w:t>
            </w:r>
            <w:r>
              <w:t xml:space="preserve"> </w:t>
            </w:r>
            <w:r>
              <w:rPr>
                <w:b/>
                <w:i/>
              </w:rPr>
              <w:t>Parlamentet uppmanar utrikestjänsten att lägga fram en plan för strukturella kostnadsminskningar för att visa institutionellt ansvar i tider av hög offentlig skuldsättning.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noterar att utrikestjänsten stod inför flera utmaningar när det gäller genomförandet av budgeten för 2024 på grund av en kraftig inverkan av Rysslands anfallskrig mot Ukraina, inflationstryck, ogynnsamma växelkurser och taket på 2 % för icke lönerelaterade utgifter, vilket ledde till ett underskott på 33 miljoner EUR för unionens delegationer. Parlamentet noterar att utrikestjänsten tog itu med dessa utmaningar genom en blandning av strategiska besparingar och omfördelningar/budgetöverföringar. Parlamentet noterar att minskningarna främst påverkade budgetarna för tjänsteresor och representation, infrastruktur och säkerhet. Parlamentet erkänner behovet av att alla EU-institutioner förbättrar sin budgetförvaltning genom att även ta hänsyn till prisvolatilitet, särskilt inom energisektorn, när de ingår avtal med tjänsteleverantörer.</w:t>
            </w:r>
          </w:p>
        </w:tc>
        <w:tc>
          <w:tcPr>
            <w:tcW w:w="4876" w:type="dxa"/>
            <w:tcBorders>
              <w:top w:val="nil"/>
              <w:left w:val="nil"/>
              <w:bottom w:val="nil"/>
              <w:right w:val="nil"/>
            </w:tcBorders>
          </w:tcPr>
          <w:p>
            <w:pPr>
              <w:pStyle w:val="Normal6a"/>
            </w:pPr>
            <w:r>
              <w:t>8.</w:t>
            </w:r>
            <w:r>
              <w:tab/>
            </w:r>
            <w:r>
              <w:t xml:space="preserve">Europaparlamentet noterar att utrikestjänsten stod inför flera utmaningar när det gäller genomförandet av budgeten för 2024 på grund av en kraftig inverkan av Rysslands anfallskrig mot Ukraina, inflationstryck, ogynnsamma växelkurser och taket på 2 % för icke lönerelaterade utgifter, vilket ledde till ett underskott på 33 miljoner EUR för unionens delegationer. Parlamentet noterar </w:t>
            </w:r>
            <w:r>
              <w:rPr>
                <w:b/>
                <w:i/>
              </w:rPr>
              <w:t>med tillfredsställelse</w:t>
            </w:r>
            <w:r>
              <w:t xml:space="preserve"> att utrikestjänsten tog itu med dessa utmaningar genom en blandning av strategiska besparingar och omfördelningar/budgetöverföringar. Parlamentet noterar att minskningarna främst påverkade budgetarna för tjänsteresor och representation, infrastruktur och säkerhet. Parlamentet </w:t>
            </w:r>
            <w:r>
              <w:rPr>
                <w:b/>
                <w:i/>
              </w:rPr>
              <w:t>är bekymrat över att budgetbegränsningarna kan påverka utrikestjänstens aktsamhetsplikt gentemot sin personal, särskilt när det gäller underhållet av infrastrukturen och säkerhetsstandarderna vid delegationerna.</w:t>
            </w:r>
            <w:r>
              <w:t xml:space="preserve"> </w:t>
            </w:r>
            <w:r>
              <w:rPr>
                <w:b/>
                <w:i/>
              </w:rPr>
              <w:t>Parlamentet välkomnar paketet med korrigerande åtgärder, men upprepar sitt krav på en budget som är förenlig med utrikestjänstens behov och mål.</w:t>
            </w:r>
            <w:r>
              <w:t xml:space="preserve"> </w:t>
            </w:r>
            <w:r>
              <w:rPr>
                <w:b/>
                <w:i/>
              </w:rPr>
              <w:t>Parlamentet</w:t>
            </w:r>
            <w:r>
              <w:t xml:space="preserve"> erkänner behovet av att alla EU-institutioner förbättrar sin budgetförvaltning genom att även ta hänsyn till prisvolatilitet, särskilt inom energisektorn, när de ingår avtal med tjänsteleverantörer.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Europaparlamentet noterar att utrikestjänsten stod inför flera utmaningar när det gäller genomförandet av budgeten för 2024 på grund av en kraftig inverkan av Rysslands anfallskrig mot Ukraina, inflationstryck, ogynnsamma växelkurser och taket på 2 % för icke lönerelaterade utgifter, vilket ledde till ett underskott på 33 miljoner EUR för unionens delegationer. Parlamentet noterar att utrikestjänsten tog itu med dessa utmaningar genom en blandning av strategiska besparingar och omfördelningar/budgetöverföringar. Parlamentet noterar att minskningarna främst påverkade budgetarna för tjänsteresor och representation, infrastruktur och säkerhet. Parlamentet erkänner behovet av att alla EU-institutioner förbättrar sin budgetförvaltning genom att även ta hänsyn till prisvolatilitet, särskilt inom energisektorn, när de ingår avtal med tjänsteleverantörer.</w:t>
            </w:r>
          </w:p>
        </w:tc>
        <w:tc>
          <w:tcPr>
            <w:tcW w:w="4876" w:type="dxa"/>
            <w:tcBorders>
              <w:top w:val="nil"/>
              <w:left w:val="nil"/>
              <w:bottom w:val="nil"/>
              <w:right w:val="nil"/>
            </w:tcBorders>
          </w:tcPr>
          <w:p>
            <w:pPr>
              <w:pStyle w:val="Normal6a"/>
            </w:pPr>
            <w:r>
              <w:t>8.</w:t>
            </w:r>
            <w:r>
              <w:tab/>
            </w:r>
            <w:r>
              <w:t xml:space="preserve">Europaparlamentet noterar att utrikestjänsten stod inför flera utmaningar när det gäller genomförandet av budgeten för 2024 på grund av en kraftig inverkan av Rysslands </w:t>
            </w:r>
            <w:r>
              <w:rPr>
                <w:b/>
                <w:i/>
              </w:rPr>
              <w:t>olagliga</w:t>
            </w:r>
            <w:r>
              <w:t xml:space="preserve"> anfallskrig mot Ukraina, inflationstryck, ogynnsamma växelkurser och taket på 2 % för icke lönerelaterade utgifter, vilket ledde till ett underskott på 33 miljoner EUR </w:t>
            </w:r>
            <w:r>
              <w:rPr>
                <w:b/>
                <w:i/>
              </w:rPr>
              <w:t>för unionens delegationer, vilket i betydande utsträckning begränsade den operativa kapaciteten</w:t>
            </w:r>
            <w:r>
              <w:t xml:space="preserve"> för unionens delegationer. Parlamentet noterar att utrikestjänsten tog itu med dessa utmaningar genom en blandning av strategiska besparingar och omfördelningar/budgetöverföringar. Parlamentet noterar att minskningarna främst påverkade budgetarna för tjänsteresor och representation, infrastruktur och säkerhet. Parlamentet erkänner behovet av att alla EU-institutioner förbättrar sin budgetförvaltning genom att även ta hänsyn till prisvolatilitet, särskilt inom energisektorn, när de ingår avtal med tjänsteleverantörer.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konstaterar utifrån utfrågningen av vice ordföranden/den höga representanten vid sammanträdet i parlamentets budgetkontrollutskott (CONT) den 17 november 2025 (utfrågningen) att utrikestjänsten har ställts inför betydande budgetbegränsningar under de senaste åren, samtidigt som institutionen har fått ett alltmer omfattande uppdrag och ådragit sig ökade kostnader och behov för nätverket bestående av 145 delegationer. Parlamentet noterar utrikestjänstens uppfattning att det råder en obalans mellan uppgifter och resurser, vilket innebär en betydande utmaning för utrikestjänstens förmåga att fullt ut uppnå sina mål och effektivt stödja unionens utrikes- och säkerhetspolitiska agenda.</w:t>
            </w:r>
          </w:p>
        </w:tc>
        <w:tc>
          <w:tcPr>
            <w:tcW w:w="4876" w:type="dxa"/>
            <w:tcBorders>
              <w:top w:val="nil"/>
              <w:left w:val="nil"/>
              <w:bottom w:val="nil"/>
              <w:right w:val="nil"/>
            </w:tcBorders>
          </w:tcPr>
          <w:p>
            <w:pPr>
              <w:pStyle w:val="Normal6a"/>
            </w:pPr>
            <w:r>
              <w:t>9.</w:t>
            </w:r>
            <w:r>
              <w:tab/>
            </w:r>
            <w:r>
              <w:t xml:space="preserve">Europaparlamentet konstaterar utifrån utfrågningen av vice ordföranden/den höga representanten vid sammanträdet i parlamentets budgetkontrollutskott (CONT) den 17 november 2025 (utfrågningen) att utrikestjänsten har ställts inför betydande budgetbegränsningar under de senaste åren, samtidigt som institutionen har fått ett alltmer omfattande uppdrag och ådragit sig ökade kostnader och behov för nätverket bestående av 145 delegationer. Parlamentet noterar utrikestjänstens uppfattning att det råder en obalans mellan uppgifter och resurser, vilket innebär en betydande utmaning för utrikestjänstens förmåga att fullt ut uppnå sina mål och effektivt stödja unionens utrikes- och säkerhetspolitiska agenda. </w:t>
            </w:r>
            <w:r>
              <w:rPr>
                <w:b/>
                <w:i/>
              </w:rPr>
              <w:t>Parlamentet uppmanar utrikestjänsten att bättre närma sina strategiska ambitioner till de tillgängliga ekonomiska resurserna och prioritera åtgärder som ger ett tydligt mervärde för unionen och dess medborgare, samtidigt som man undviker verksamhet och projekt som riskerar att undergräva effektiviteten och personalens välbefinnande.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konstaterar utifrån utfrågningen av vice ordföranden/den höga representanten vid sammanträdet i parlamentets budgetkontrollutskott (CONT) den 17 november 2025 (utfrågningen) att utrikestjänsten har ställts inför betydande budgetbegränsningar under de senaste åren, samtidigt som institutionen har fått ett alltmer omfattande uppdrag och ådragit sig ökade kostnader och behov för nätverket bestående av 145 delegationer. Parlamentet noterar utrikestjänstens uppfattning att det råder en obalans mellan uppgifter och resurser, vilket innebär en betydande utmaning för utrikestjänstens förmåga att fullt ut uppnå sina mål och effektivt stödja unionens utrikes- och säkerhetspolitiska agenda.</w:t>
            </w:r>
          </w:p>
        </w:tc>
        <w:tc>
          <w:tcPr>
            <w:tcW w:w="4876" w:type="dxa"/>
            <w:tcBorders>
              <w:top w:val="nil"/>
              <w:left w:val="nil"/>
              <w:bottom w:val="nil"/>
              <w:right w:val="nil"/>
            </w:tcBorders>
          </w:tcPr>
          <w:p>
            <w:pPr>
              <w:pStyle w:val="Normal6a"/>
            </w:pPr>
            <w:r>
              <w:t>9.</w:t>
            </w:r>
            <w:r>
              <w:tab/>
            </w:r>
            <w:r>
              <w:t xml:space="preserve">Europaparlamentet konstaterar utifrån utfrågningen av vice ordföranden/den höga representanten vid sammanträdet i parlamentets budgetkontrollutskott (CONT) den 17 november 2025 (utfrågningen) att utrikestjänsten har ställts inför betydande budgetbegränsningar under de senaste åren, samtidigt som institutionen har fått ett alltmer omfattande uppdrag och ådragit sig ökade kostnader och behov för nätverket bestående av 145 delegationer. Parlamentet noterar utrikestjänstens uppfattning att det råder en obalans mellan uppgifter och resurser, vilket innebär en betydande utmaning för utrikestjänstens förmåga att fullt ut uppnå sina mål och effektivt stödja unionens utrikes- och säkerhetspolitiska agenda. </w:t>
            </w:r>
            <w:r>
              <w:rPr>
                <w:b/>
                <w:i/>
              </w:rPr>
              <w:t>Parlamentet uppmanar utrikestjänsten att snarast åtgärda personalbristen vid EU:s delegationer, särskilt på stationeringsorter med komplexa säkerhetsmässiga och geopolitiska utmaningar, och att stärka transparensen och ansvarsskyldigheten i rekryteringsprocesserna.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Europaparlamentet konstaterar utifrån utfrågningen av vice ordföranden/den höga representanten vid sammanträdet i parlamentets budgetkontrollutskott (CONT) den 17 november 2025 (utfrågningen) att utrikestjänsten har ställts inför betydande budgetbegränsningar under de senaste åren, samtidigt som institutionen har fått ett alltmer omfattande uppdrag och ådragit sig ökade kostnader och behov för nätverket bestående av 145 delegationer. Parlamentet noterar utrikestjänstens uppfattning att det råder en obalans mellan uppgifter och resurser, vilket innebär en betydande utmaning för utrikestjänstens förmåga att fullt ut uppnå sina mål och effektivt stödja unionens utrikes- och säkerhetspolitiska agenda.</w:t>
            </w:r>
          </w:p>
        </w:tc>
        <w:tc>
          <w:tcPr>
            <w:tcW w:w="4876" w:type="dxa"/>
            <w:tcBorders>
              <w:top w:val="nil"/>
              <w:left w:val="nil"/>
              <w:bottom w:val="nil"/>
              <w:right w:val="nil"/>
            </w:tcBorders>
          </w:tcPr>
          <w:p>
            <w:pPr>
              <w:pStyle w:val="Normal6a"/>
            </w:pPr>
            <w:r>
              <w:t>9.</w:t>
            </w:r>
            <w:r>
              <w:tab/>
            </w:r>
            <w:r>
              <w:t xml:space="preserve">Europaparlamentet konstaterar utifrån utfrågningen av vice ordföranden/den höga representanten vid sammanträdet i parlamentets budgetkontrollutskott (CONT) den 17 november 2025 (utfrågningen) att utrikestjänsten har ställts inför betydande budgetbegränsningar under de senaste åren, samtidigt som institutionen har fått ett alltmer omfattande uppdrag och ådragit sig ökade kostnader och behov för nätverket bestående av 145 delegationer. Parlamentet noterar utrikestjänstens uppfattning att det råder en obalans mellan uppgifter och resurser, vilket innebär en betydande utmaning för utrikestjänstens förmåga att fullt ut uppnå sina mål och effektivt stödja unionens utrikes- och säkerhetspolitiska agenda </w:t>
            </w:r>
            <w:r>
              <w:rPr>
                <w:b/>
                <w:i/>
              </w:rPr>
              <w:t>och undergräver unionens trovärdighet som global aktör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Europaparlamentet konstaterar utifrån utfrågningen av vice ordföranden/den höga representanten vid sammanträdet i parlamentets budgetkontrollutskott (CONT) den 17 november 2025 (utfrågningen) att utrikestjänsten har ställts inför betydande budgetbegränsningar under de senaste åren, samtidigt som institutionen har fått ett alltmer omfattande uppdrag och ådragit sig ökade kostnader och behov för nätverket bestående av 145 delegationer. Parlamentet </w:t>
            </w:r>
            <w:r>
              <w:rPr>
                <w:b/>
                <w:i/>
              </w:rPr>
              <w:t>noterar</w:t>
            </w:r>
            <w:r>
              <w:t xml:space="preserve"> utrikestjänstens uppfattning att det råder en obalans mellan uppgifter och resurser, vilket innebär en betydande utmaning för utrikestjänstens förmåga att fullt ut uppnå sina mål och effektivt stödja unionens utrikes- och säkerhetspolitiska agenda.</w:t>
            </w:r>
          </w:p>
        </w:tc>
        <w:tc>
          <w:tcPr>
            <w:tcW w:w="4876" w:type="dxa"/>
            <w:tcBorders>
              <w:top w:val="nil"/>
              <w:left w:val="nil"/>
              <w:bottom w:val="nil"/>
              <w:right w:val="nil"/>
            </w:tcBorders>
          </w:tcPr>
          <w:p>
            <w:pPr>
              <w:pStyle w:val="Normal6a"/>
            </w:pPr>
            <w:r>
              <w:t>9.</w:t>
            </w:r>
            <w:r>
              <w:tab/>
            </w:r>
            <w:r>
              <w:t xml:space="preserve">Europaparlamentet konstaterar utifrån utfrågningen av vice ordföranden/den höga representanten vid sammanträdet i parlamentets budgetkontrollutskott (CONT) den 17 november 2025 (utfrågningen) att utrikestjänsten har ställts inför betydande budgetbegränsningar under de senaste åren, samtidigt som institutionen har fått ett alltmer omfattande uppdrag och ådragit sig ökade kostnader och behov för nätverket bestående av 145 delegationer. Parlamentet </w:t>
            </w:r>
            <w:r>
              <w:rPr>
                <w:b/>
                <w:i/>
              </w:rPr>
              <w:t>stöder</w:t>
            </w:r>
            <w:r>
              <w:t xml:space="preserve"> utrikestjänstens uppfattning att det råder en obalans mellan uppgifter och resurser, vilket innebär en betydande utmaning för utrikestjänstens förmåga att fullt ut uppnå sina mål och effektivt stödja unionens utrikes- och säkerhetspolitiska agenda.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betonar att den nuvarande internationella situationen har gjort att unionens utrikespolitik blivit det främsta orosmomentet för EU:s medborgare, medlemsstater och institutioner.</w:t>
            </w:r>
            <w:r>
              <w:t xml:space="preserve"> </w:t>
            </w:r>
            <w:r>
              <w:rPr>
                <w:b/>
                <w:i/>
              </w:rPr>
              <w:t>Parlamentet understryker den centrala roll som utrikestjänsten och dess delegationer spelar i genomförandet av unionens utrikespolitik och i kampen mot utländsk informationsmanipulering och inblandning.</w:t>
            </w:r>
            <w:r>
              <w:t xml:space="preserve"> </w:t>
            </w:r>
            <w:r>
              <w:rPr>
                <w:b/>
                <w:i/>
              </w:rPr>
              <w:t>Parlamentet betonar utrikestjänstens betydelse för de 25–30 miljoner unionsmedborgare som bor utanför EU.</w:t>
            </w:r>
            <w:r>
              <w:t xml:space="preserve"> </w:t>
            </w:r>
            <w:r>
              <w:rPr>
                <w:b/>
                <w:i/>
              </w:rPr>
              <w:t>Parlamentet beklagar att underfinansieringen av utrikestjänsten inte hanteras strukturellt och måste hanteras genom att upprepade gånger vända sig till EU:s årliga budget.</w:t>
            </w:r>
            <w:r>
              <w:t xml:space="preserve"> </w:t>
            </w:r>
            <w:r>
              <w:rPr>
                <w:b/>
                <w:i/>
              </w:rPr>
              <w:t>Parlamentet är bekymrat över de negativa konsekvenserna för utrikestjänsten och resultaten av unionens utrikespolitik när det gäller förbindelserna med tredjeländer, särskilt på södra halvklotet, i en tid av snabba geopolitiska förändringar.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Europaparlamentet uppmanar Europeiska revisionsrätten att genomföra en omfattande effektivitetsrevision av utrikestjänsten för att utvärdera effektiviteten i dess verksamhet jämfört med OECD-ländernas diplomattjänster.</w:t>
            </w:r>
            <w:r>
              <w:t xml:space="preserve"> </w:t>
            </w:r>
            <w:r>
              <w:rPr>
                <w:b/>
                <w:i/>
              </w:rPr>
              <w:t>Parlamentet begär att man vid denna revision identifierar områden där utrikestjänsten tillför ett unikt och oersättligt mervärde och områden där dess verksamhet överlappar medlemsstaternas verksamhet.</w:t>
            </w:r>
            <w:r>
              <w:t xml:space="preserve"> </w:t>
            </w:r>
            <w:r>
              <w:rPr>
                <w:b/>
                <w:i/>
              </w:rPr>
              <w:t>Parlamentet uppmanar samtidigt utrikestjänsten att genomföra en kostnads-nyttoanalys av sitt globala nätverk och att prioritera resurser till delegationer i länder som tydligt bidrar till EU:s omedelbara intressen, såsom ekonomiskt välstånd, energitrygghet, gränsskydd och förebyggande av irreguljära migrationsströmmar.</w:t>
            </w:r>
            <w:r>
              <w:t xml:space="preserve"> </w:t>
            </w:r>
            <w:r>
              <w:rPr>
                <w:b/>
                <w:i/>
              </w:rPr>
              <w:t>Parlamentet insisterar på att det inrättas tydliga, mätbara resultatindikatorer för att visa att unionsmedborgarna får ”valuta för pengarna”, och begär att utrikestjänsten avbryter all verksamhet eller alla uppdrag som vid dessa bedömningar anses som ineffektiva eller överflödiga.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Europaparlamentet noterar vidare att investeringar i fastigheter och it-projekt sköts upp och att antalet praktikanter minskade under 2024. Parlamentet noterar utrikestjänstens uppfattning att dessa begränsningar i slutändan skulle kunna påverka unionens globala närvaro och personalsäkerhet. Parlamentet förväntar sig att de ytterligare 10 miljoner EUR som anslagits till utrikestjänsten för 2025 års budget kommer att bidra till att förbättra utrikestjänstens budgetgenomförande för att uppnå dess mål och undvika situationer där utrikestjänstens aktsamhetsplikt med avseende på personal som tjänstgör vid unionens delegationer skulle äventyras.</w:t>
            </w:r>
          </w:p>
        </w:tc>
        <w:tc>
          <w:tcPr>
            <w:tcW w:w="4876" w:type="dxa"/>
            <w:tcBorders>
              <w:top w:val="nil"/>
              <w:left w:val="nil"/>
              <w:bottom w:val="nil"/>
              <w:right w:val="nil"/>
            </w:tcBorders>
          </w:tcPr>
          <w:p>
            <w:pPr>
              <w:pStyle w:val="Normal6a"/>
            </w:pPr>
            <w:r>
              <w:t>10.</w:t>
            </w:r>
            <w:r>
              <w:tab/>
            </w:r>
            <w:r>
              <w:t xml:space="preserve">Europaparlamentet noterar vidare att investeringar i fastigheter och it-projekt sköts upp och att antalet praktikanter minskade under 2024. Parlamentet noterar utrikestjänstens uppfattning att dessa begränsningar i slutändan skulle kunna påverka unionens globala närvaro och personalsäkerhet. Parlamentet förväntar sig att de ytterligare 10 miljoner EUR som anslagits till utrikestjänsten för 2025 års budget kommer att bidra till att förbättra utrikestjänstens budgetgenomförande för att uppnå dess mål och undvika situationer där utrikestjänstens aktsamhetsplikt med avseende på personal som tjänstgör vid unionens delegationer skulle äventyras. </w:t>
            </w:r>
            <w:r>
              <w:rPr>
                <w:b/>
                <w:i/>
              </w:rPr>
              <w:t>Parlamentet uppmanar utrikestjänsten att lägga fram en plan med prioriterade investeringar för kritisk infrastruktur för it, cybersäkerhet och aktsamhetsplikten, inbegripet en kostnads-nyttoanalys och förväntade operativa effekter, för att undvika upprepade uppskjutanden som undergräver effektiviteten och personalsäkerheten.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Europaparlamentet noterar vidare att investeringar i fastigheter och it-projekt sköts upp och att antalet praktikanter minskade under 2024. Parlamentet </w:t>
            </w:r>
            <w:r>
              <w:rPr>
                <w:b/>
                <w:i/>
              </w:rPr>
              <w:t>noterar</w:t>
            </w:r>
            <w:r>
              <w:t xml:space="preserve"> utrikestjänstens </w:t>
            </w:r>
            <w:r>
              <w:rPr>
                <w:b/>
                <w:i/>
              </w:rPr>
              <w:t>uppfattning att dessa begränsningar i slutändan skulle kunna påverka unionens globala närvaro och</w:t>
            </w:r>
            <w:r>
              <w:t xml:space="preserve"> personalsäkerhet. Parlamentet förväntar sig att de ytterligare 10 miljoner EUR som anslagits till utrikestjänsten för 2025 års budget kommer att bidra till att förbättra utrikestjänstens budgetgenomförande för att uppnå dess mål </w:t>
            </w:r>
            <w:r>
              <w:rPr>
                <w:b/>
                <w:i/>
              </w:rPr>
              <w:t>och undvika situationer där utrikestjänstens aktsamhetsplikt med avseende på personal som tjänstgör vid unionens delegationer skulle äventyras</w:t>
            </w:r>
            <w:r>
              <w:t>.</w:t>
            </w:r>
          </w:p>
        </w:tc>
        <w:tc>
          <w:tcPr>
            <w:tcW w:w="4876" w:type="dxa"/>
            <w:tcBorders>
              <w:top w:val="nil"/>
              <w:left w:val="nil"/>
              <w:bottom w:val="nil"/>
              <w:right w:val="nil"/>
            </w:tcBorders>
          </w:tcPr>
          <w:p>
            <w:pPr>
              <w:pStyle w:val="Normal6a"/>
            </w:pPr>
            <w:r>
              <w:t>10.</w:t>
            </w:r>
            <w:r>
              <w:tab/>
            </w:r>
            <w:r>
              <w:t xml:space="preserve">Europaparlamentet noterar vidare att investeringar i fastigheter och it-projekt sköts upp och att antalet praktikanter minskade under 2024. Parlamentet </w:t>
            </w:r>
            <w:r>
              <w:rPr>
                <w:b/>
                <w:i/>
              </w:rPr>
              <w:t>varnar för att fortsatta uppskjutna investeringar och personalnedskärningar riskerar att undergräva</w:t>
            </w:r>
            <w:r>
              <w:t xml:space="preserve"> utrikestjänstens </w:t>
            </w:r>
            <w:r>
              <w:rPr>
                <w:b/>
                <w:i/>
              </w:rPr>
              <w:t>aktsamhetsplikt, särskilt när det gäller</w:t>
            </w:r>
            <w:r>
              <w:t xml:space="preserve"> personalsäkerhet</w:t>
            </w:r>
            <w:r>
              <w:rPr>
                <w:b/>
                <w:i/>
              </w:rPr>
              <w:t>, psykisk hälsa och säkerhet vid högriskstationeringar.</w:t>
            </w:r>
            <w:r>
              <w:t xml:space="preserve"> </w:t>
            </w:r>
            <w:r>
              <w:rPr>
                <w:b/>
                <w:i/>
              </w:rPr>
              <w:t>Parlamentet förväntar sig att framtida budgetbeslut prioriterar dessa skyldigheter</w:t>
            </w:r>
            <w:r>
              <w:t>. Parlamentet förväntar sig att de ytterligare 10 miljoner EUR som anslagits till utrikestjänsten för 2025 års budget kommer att bidra till att förbättra utrikestjänstens budgetgenomförande för att uppnå dess 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Europaparlamentet noterar att det finansiella taket för den europeiska fredsfaciliteten, förvaltad under ledning av vice ordföranden/den höga representanten, höjdes från 12 miljarder EUR 2023 till 17 miljarder EUR 2024. De ytterligare 5 miljarderna EUR är avsatta för militärt stöd till Ukraina. Parlamentet uppmanar utrikestjänsten att samarbeta med kommissionens generaldirektorat för utvidgning och det östra grannskapet (GD ENEST) för att säkerställa effektiv tillsyn och övervakning av de projekt som finansieras av den europeiska fredsfaciliteten.</w:t>
            </w:r>
          </w:p>
        </w:tc>
        <w:tc>
          <w:tcPr>
            <w:tcW w:w="4876" w:type="dxa"/>
            <w:tcBorders>
              <w:top w:val="nil"/>
              <w:left w:val="nil"/>
              <w:bottom w:val="nil"/>
              <w:right w:val="nil"/>
            </w:tcBorders>
          </w:tcPr>
          <w:p>
            <w:pPr>
              <w:pStyle w:val="Normal6a"/>
            </w:pPr>
            <w:r>
              <w:t>11.</w:t>
            </w:r>
            <w:r>
              <w:tab/>
            </w:r>
            <w:r>
              <w:t xml:space="preserve">Europaparlamentet noterar att det finansiella taket för den europeiska fredsfaciliteten, förvaltad under ledning av vice ordföranden/den höga representanten, höjdes från 12 miljarder EUR 2023 till 17 miljarder EUR 2024. De ytterligare 5 miljarderna EUR är avsatta för militärt stöd till Ukraina. Parlamentet uppmanar utrikestjänsten att samarbeta med kommissionens generaldirektorat för utvidgning och det östra grannskapet (GD ENEST) för att säkerställa effektiv tillsyn och övervakning av de projekt som finansieras av den europeiska fredsfaciliteten. </w:t>
            </w:r>
            <w:r>
              <w:rPr>
                <w:b/>
                <w:i/>
              </w:rPr>
              <w:t>Parlamentet erkänner den europeiska fredsfaciliteten som ett nödvändigt verktyg i en tid av geopolitisk konkurrens för att stärka EU:s roll som säkerhetsgarant, samtidigt som man verkar för ett mer robust och enhetligt europeiskt försvarssamarbete.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betonar att den betydande ökningen inom den europeiska fredsfaciliteten kräver ökad transparens och parlamentarisk tillsyn.</w:t>
            </w:r>
            <w:r>
              <w:t xml:space="preserve"> </w:t>
            </w:r>
            <w:r>
              <w:rPr>
                <w:b/>
                <w:i/>
              </w:rPr>
              <w:t>Parlamentet efterlyser regelbunden, strukturerad rapportering till den ansvarsfrihetsbeviljande myndigheten om riskhantering, övervakningsarrangemang och efterlevnad av unionens värden och internationell humanitär rätt.</w:t>
            </w:r>
            <w:r>
              <w:t xml:space="preserve"> </w:t>
            </w:r>
            <w:r>
              <w:rPr>
                <w:b/>
                <w:i/>
              </w:rPr>
              <w:t>Parlamentet kräver att bindande människorättsbedömningar införs för allt säkerhetsrelaterat och militärt bistånd som tillhandahålls inom ramen för den europeiska fredsfaciliteten.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Europaparlamentet påminner utrikestjänsten om revisionsrättens rekommendationer om att det är viktigt att fastställa strängare villkor i Ukraina för stöd, när man tillhandahåller institutionellt stöd till rättsliga myndigheter, brottsbekämpande myndigheter och åklagarmyndigheter, och att betona kriterierna för integritet och satsningar på reformer och, särskilt när det gäller kampen mot korruption i Ukraina, genom att fokusera på EU:s bidrag.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konstaterar utifrån utrikestjänstens svar på CONT-utskottets frågeformulär för ansvarsfriheten för 2024 (frågeformuläret) att utrikestjänsten, vid sitt huvudkontor och vid unionens delegationer, inledde totalt 71 upphandlingsförfaranden för kontrakt av högt värde, dvs. över tröskelvärdet i Europaparlamentets och rådets direktiv 2014/24/EU</w:t>
            </w:r>
            <w:r>
              <w:rPr>
                <w:vertAlign w:val="superscript"/>
              </w:rPr>
              <w:t>1</w:t>
            </w:r>
            <w:r>
              <w:t>på 143 000 EUR för varor och tjänster under 2024. Parlamentet noterar att 63 av dessa förfaranden var framgångsrika, 63 undertecknade kontrakt, medan 8 förfaranden inte var framgångsrika. Parlamentet noterar att förvaltningen av upphandlingsförfaranden för unionens delegationer i tredjeländer – i och med ikraftträdandet av den nya budgetförordningen den 29 september 2024 – har förenklats genom införandet av en separat uppsättning tak för kontrakt av mycket lågt, lågt och medelhögt värde, vilket innebär att man åtgärdar ett långvarigt problem rörande lokala aktörers begränsade kapacitet att uppfylla de komplexa kraven i unionens upphandlingsregler. Parlamentet förväntar sig att dessa förenklingar bättre tillgodoser både värdländernas och unionens delegationers behov när det gäller upphandlingsförfaranden. Parlamentet uppmanar utrikestjänsten att hålla den ansvarsfrihetsbeviljande myndigheten informerad om resultaten av genomförandet av de nya bestämmelserna i budgetförordningen.</w:t>
            </w:r>
          </w:p>
        </w:tc>
        <w:tc>
          <w:tcPr>
            <w:tcW w:w="4876" w:type="dxa"/>
            <w:tcBorders>
              <w:top w:val="nil"/>
              <w:left w:val="nil"/>
              <w:bottom w:val="nil"/>
              <w:right w:val="nil"/>
            </w:tcBorders>
          </w:tcPr>
          <w:p>
            <w:pPr>
              <w:pStyle w:val="Normal6a"/>
            </w:pPr>
            <w:r>
              <w:t>12.</w:t>
            </w:r>
            <w:r>
              <w:tab/>
            </w:r>
            <w:r>
              <w:t>Europaparlamentet konstaterar utifrån utrikestjänstens svar på CONT-utskottets frågeformulär för ansvarsfriheten för 2024 (frågeformuläret) att utrikestjänsten, vid sitt huvudkontor och vid unionens delegationer, inledde totalt 71 upphandlingsförfaranden för kontrakt av högt värde, dvs. över tröskelvärdet i Europaparlamentets och rådets direktiv 2014/24/EU</w:t>
            </w:r>
            <w:r>
              <w:rPr>
                <w:vertAlign w:val="superscript"/>
              </w:rPr>
              <w:t>1</w:t>
            </w:r>
            <w:r>
              <w:t xml:space="preserve"> på 143 000 EUR för varor och tjänster under 2024. Parlamentet noterar att 63 av dessa förfaranden var framgångsrika, 63 undertecknade kontrakt, medan 8 förfaranden inte var framgångsrika. Parlamentet noterar att förvaltningen av upphandlingsförfaranden för unionens delegationer i tredjeländer – i och med ikraftträdandet av den nya budgetförordningen den 29 september 2024 – har förenklats genom införandet av en separat uppsättning tak för kontrakt av mycket lågt, lågt och medelhögt värde, vilket innebär att man åtgärdar ett långvarigt problem rörande lokala aktörers begränsade kapacitet att uppfylla de komplexa kraven i unionens upphandlingsregler. Parlamentet förväntar sig att dessa förenklingar bättre tillgodoser både värdländernas och unionens delegationers behov när det gäller upphandlingsförfaranden. Parlamentet </w:t>
            </w:r>
            <w:r>
              <w:rPr>
                <w:b/>
                <w:i/>
              </w:rPr>
              <w:t>betonar att förenklingen av upphandlingsförfaranden i tredjeländer aldrig får leda till att EU:s upphandlingsstandarder sänks eller användas som motivering för minskad granskning, och att högsta standard för transparens, konkurrens och förebyggande av bedrägerier alltid måste upprätthållas.</w:t>
            </w:r>
            <w:r>
              <w:t xml:space="preserve"> </w:t>
            </w:r>
            <w:r>
              <w:rPr>
                <w:b/>
                <w:i/>
              </w:rPr>
              <w:t>Parlamentet</w:t>
            </w:r>
            <w:r>
              <w:t xml:space="preserve"> uppmanar utrikestjänsten att hålla den ansvarsfrihetsbeviljande myndigheten informerad om resultaten av genomförandet av de nya bestämmelserna i budgetförordningen.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Europaparlamentets och rådets direktiv 2014/24/EU av den 26 februari 2014 om offentlig upphandling och om upphävande av direktiv 2004/18/EG (EUT L 94, 28.3.2014, s. 65, ELI: http://data.europa.eu/eli/dir/2014/24/oj).</w:t>
            </w:r>
          </w:p>
        </w:tc>
        <w:tc>
          <w:tcPr>
            <w:tcW w:w="4876" w:type="dxa"/>
            <w:tcBorders>
              <w:top w:val="nil"/>
              <w:left w:val="nil"/>
              <w:bottom w:val="nil"/>
              <w:right w:val="nil"/>
            </w:tcBorders>
          </w:tcPr>
          <w:p>
            <w:pPr>
              <w:pStyle w:val="Normal6a"/>
            </w:pPr>
            <w:r>
              <w:rPr>
                <w:vertAlign w:val="superscript"/>
              </w:rPr>
              <w:t>1</w:t>
            </w:r>
            <w:r>
              <w:t xml:space="preserve"> </w:t>
            </w:r>
            <w:r>
              <w:t>Europaparlamentets och rådets direktiv 2014/24/EU av den 26 februari 2014 om offentlig upphandling och om upphävande av direktiv 2004/18/EG (EUT L 94, 28.3.2014, s.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Europaparlamentet konstaterar utifrån utrikestjänstens svar på CONT-utskottets frågeformulär för ansvarsfriheten för 2024 (frågeformuläret) att utrikestjänsten, vid sitt huvudkontor och vid unionens delegationer, inledde totalt 71 upphandlingsförfaranden för kontrakt av högt värde, dvs. över tröskelvärdet i Europaparlamentets och rådets direktiv 2014/24/EU</w:t>
            </w:r>
            <w:r>
              <w:rPr>
                <w:vertAlign w:val="superscript"/>
              </w:rPr>
              <w:t>1</w:t>
            </w:r>
            <w:r>
              <w:t>på 143 000 EUR för varor och tjänster under 2024. Parlamentet noterar att 63 av dessa förfaranden var framgångsrika, 63 undertecknade kontrakt, medan 8 förfaranden inte var framgångsrika. Parlamentet noterar att förvaltningen av upphandlingsförfaranden för unionens delegationer i tredjeländer – i och med ikraftträdandet av den nya budgetförordningen den 29 september 2024 – har förenklats genom införandet av en separat uppsättning tak för kontrakt av mycket lågt, lågt och medelhögt värde, vilket innebär att man åtgärdar ett långvarigt problem rörande lokala aktörers begränsade kapacitet att uppfylla de komplexa kraven i unionens upphandlingsregler. Parlamentet förväntar sig att dessa förenklingar bättre tillgodoser både värdländernas och unionens delegationers behov när det gäller upphandlingsförfaranden. Parlamentet uppmanar utrikestjänsten att hålla den ansvarsfrihetsbeviljande myndigheten informerad om resultaten av genomförandet av de nya bestämmelserna i budgetförordningen.</w:t>
            </w:r>
          </w:p>
        </w:tc>
        <w:tc>
          <w:tcPr>
            <w:tcW w:w="4876" w:type="dxa"/>
            <w:tcBorders>
              <w:top w:val="nil"/>
              <w:left w:val="nil"/>
              <w:bottom w:val="nil"/>
              <w:right w:val="nil"/>
            </w:tcBorders>
          </w:tcPr>
          <w:p>
            <w:pPr>
              <w:pStyle w:val="Normal6a"/>
            </w:pPr>
            <w:r>
              <w:t>12.</w:t>
            </w:r>
            <w:r>
              <w:tab/>
            </w:r>
            <w:r>
              <w:t>Europaparlamentet konstaterar utifrån utrikestjänstens svar på CONT-utskottets frågeformulär för ansvarsfriheten för 2024 (frågeformuläret) att utrikestjänsten, vid sitt huvudkontor och vid unionens delegationer, inledde totalt 71 upphandlingsförfaranden för kontrakt av högt värde, dvs. över tröskelvärdet i Europaparlamentets och rådets direktiv 2014/24/EU</w:t>
            </w:r>
            <w:r>
              <w:rPr>
                <w:vertAlign w:val="superscript"/>
              </w:rPr>
              <w:t>1</w:t>
            </w:r>
            <w:r>
              <w:t xml:space="preserve"> på 143 000 EUR för varor och tjänster under 2024. Parlamentet noterar att 63 av dessa förfaranden var framgångsrika, 63 undertecknade kontrakt, medan 8 förfaranden inte var framgångsrika. Parlamentet noterar att förvaltningen av upphandlingsförfaranden för unionens delegationer i tredjeländer – i och med ikraftträdandet av den nya budgetförordningen den 29 september 2024 – har förenklats genom införandet av en separat uppsättning tak för kontrakt av mycket lågt, lågt och medelhögt värde, vilket innebär att man åtgärdar ett långvarigt problem rörande lokala aktörers begränsade kapacitet att uppfylla de komplexa kraven i unionens upphandlingsregler. Parlamentet förväntar sig att dessa förenklingar bättre tillgodoser både värdländernas och unionens delegationers behov när det gäller upphandlingsförfaranden. Parlamentet uppmanar utrikestjänsten att hålla den ansvarsfrihetsbeviljande myndigheten informerad om resultaten av genomförandet av de nya bestämmelserna i budgetförordningen. </w:t>
            </w:r>
            <w:r>
              <w:rPr>
                <w:b/>
                <w:i/>
              </w:rPr>
              <w:t>Parlamentet understryker att förenklade upphandlingsregler i tredjeländer inte får leda till att transparensen, konkurrensen eller skyddsåtgärderna mot bedrägerier försvagas.</w:t>
            </w:r>
            <w:r>
              <w:t xml:space="preserve"> </w:t>
            </w:r>
            <w:r>
              <w:rPr>
                <w:b/>
                <w:i/>
              </w:rPr>
              <w:t>Parlamentet uppmanar utrikestjänsten att bedöma och rapportera om dessa förändringars inverkan på felprocentsatser och integritetsrisker.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Europaparlamentets och rådets direktiv 2014/24/EU av den 26 februari 2014 om offentlig upphandling och om upphävande av direktiv 2004/18/EG (EUT L 94, 28.3.2014, s. 65, ELI: http://data.europa.eu/eli/dir/2014/24/oj).</w:t>
            </w:r>
          </w:p>
        </w:tc>
        <w:tc>
          <w:tcPr>
            <w:tcW w:w="4876" w:type="dxa"/>
            <w:tcBorders>
              <w:top w:val="nil"/>
              <w:left w:val="nil"/>
              <w:bottom w:val="nil"/>
              <w:right w:val="nil"/>
            </w:tcBorders>
          </w:tcPr>
          <w:p>
            <w:pPr>
              <w:pStyle w:val="Normal6a"/>
            </w:pPr>
            <w:r>
              <w:rPr>
                <w:vertAlign w:val="superscript"/>
              </w:rPr>
              <w:t>1</w:t>
            </w:r>
            <w:r>
              <w:t xml:space="preserve"> </w:t>
            </w:r>
            <w:r>
              <w:t>Europaparlamentets och rådets direktiv 2014/24/EU av den 26 februari 2014 om offentlig upphandling och om upphävande av direktiv 2004/18/EG (EUT L 94, 28.3.2014, s. 65, ELI: http://data.europa.eu/eli/dir/2014/24/oj).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Europaparlamentet noterar att en särskild arbetsgrupp inrättades 2024 för att förbättra utrikestjänstens upphandlingsförfaranden både vid huvudkontoret och i delegationerna.</w:t>
            </w:r>
            <w:r>
              <w:t xml:space="preserve"> </w:t>
            </w:r>
            <w:r>
              <w:rPr>
                <w:b/>
                <w:i/>
              </w:rPr>
              <w:t>Parlamentet är medvetet om att avdelningen för internrevision genomförde ett rådgivande uppdrag under 2024 i syfte att tillhandahålla en oberoende översyn av upphandlingsprocessen, vars resultat för närvarande diskuteras med de ansvariga avdelningarna.</w:t>
            </w:r>
            <w:r>
              <w:t xml:space="preserve"> </w:t>
            </w:r>
            <w:r>
              <w:rPr>
                <w:b/>
                <w:i/>
              </w:rPr>
              <w:t>Parlamentet uppmanar utrikestjänsten att offentliggöra slutsatserna av denna översyn samt förteckningen över åtgärder som vidtagits för att möta de utmaningar som identifierats.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Europaparlamentet konstaterar utifrån frågeformuläret att budgeten för tjänsteresor uppgick till 21 582 843 EUR 2024, vilket innebär en ökning med cirka 2,33 % jämfört med 21 091 935 EUR (uppdaterad siffra) 2023. Parlamentet noterar att utrikestjänsten inte har någon separat budgetpost för vice ordförandens/den höga representantens tjänsteresor och resor och att vice ordförandens/den höga representantens kostnader för tjänsteresor och resor delas mellan utrikestjänsten och kommissionen beroende på uppdragets syfte. Parlamentet konstaterar dock utifrån utrikestjänstens uppföljningsrapport till parlamentets iakttagelser i resolutionen om ansvarsfrihet för 2023 (uppföljningsrapporten) att utrikestjänstens interna förvaltningssystem skiljer mellan vice ordförandens/den höga representantens tjänsteresor och medföljande kollegors resor inom ramen för ett särskilt anslag till den ordinarie budgetposten för tjänsteresor. Parlamentet konstaterar vidare utifrån frågeformuläret att varken den avgående vice ordföranden/höga representanten eller den nyutnämnda vice ordföranden/höga representanten genomförde några tjänsteresor som finansierades av utrikestjänsten under 2024. Parlamentet förstår av uppföljningsrapporten att vice ordförandens/den höga representantens konkurrerande åtaganden och en mycket snäv tidsplan, som ofta dikteras av den geopolitiska situationen, ibland gör det omöjligt för henne att flyga reguljärt eller använda andra transportmedel för att fullgöra sina yrkesmässiga skyldigheter. Parlamentet understryker samtidigt att ledarna för unionens institutioner bör föregå med gott exempel för allmänheten och medborgarna, särskilt när de använder unionens medel vid utförandet av sina uppgifter. Parlamentet betonar att flygalternativen bör väljas på grundval av kriterier för sund ekonomisk förvaltning, förutsatt att sådana alternativ finns tillgängliga och är i linje med sammanträdenas dagordning och plats. Parlamentet betonar att öppenhet och sund ekonomisk förvaltning vid användning av unionens offentliga medel måste förbli en central princip för alla unionens institutioner.</w:t>
            </w:r>
          </w:p>
        </w:tc>
        <w:tc>
          <w:tcPr>
            <w:tcW w:w="4876" w:type="dxa"/>
            <w:tcBorders>
              <w:top w:val="nil"/>
              <w:left w:val="nil"/>
              <w:bottom w:val="nil"/>
              <w:right w:val="nil"/>
            </w:tcBorders>
          </w:tcPr>
          <w:p>
            <w:pPr>
              <w:pStyle w:val="Normal6a"/>
            </w:pPr>
            <w:r>
              <w:t>14.</w:t>
            </w:r>
            <w:r>
              <w:tab/>
            </w:r>
            <w:r>
              <w:t xml:space="preserve">Europaparlamentet konstaterar utifrån frågeformuläret att budgeten för tjänsteresor uppgick till 21 582 843 EUR 2024, vilket innebär en ökning med cirka 2,33 % jämfört med 21 091 935 EUR (uppdaterad siffra) 2023. Parlamentet noterar att utrikestjänsten inte har någon separat budgetpost för vice ordförandens/den höga representantens tjänsteresor och resor och att vice ordförandens/den höga representantens kostnader för tjänsteresor och resor delas mellan utrikestjänsten och kommissionen beroende på uppdragets syfte. Parlamentet konstaterar dock utifrån utrikestjänstens uppföljningsrapport till parlamentets iakttagelser i resolutionen om ansvarsfrihet för 2023 (uppföljningsrapporten) att utrikestjänstens interna förvaltningssystem skiljer mellan vice ordförandens/den höga representantens tjänsteresor och medföljande kollegors resor inom ramen för ett särskilt anslag till den ordinarie budgetposten för tjänsteresor. Parlamentet konstaterar vidare utifrån frågeformuläret att varken den avgående vice ordföranden/höga representanten eller den nyutnämnda vice ordföranden/höga representanten genomförde några tjänsteresor som finansierades av utrikestjänsten under 2024. Parlamentet förstår av uppföljningsrapporten att vice ordförandens/den höga representantens konkurrerande åtaganden och en mycket snäv tidsplan, som ofta dikteras av den geopolitiska situationen, ibland gör det omöjligt för henne att flyga reguljärt eller använda andra transportmedel för att fullgöra sina yrkesmässiga skyldigheter. Parlamentet understryker samtidigt att ledarna för unionens institutioner bör föregå med gott exempel för allmänheten och medborgarna, särskilt när de använder unionens medel vid utförandet av sina uppgifter. Parlamentet betonar att flygalternativen bör väljas på grundval av kriterier för sund ekonomisk förvaltning, förutsatt att sådana alternativ finns tillgängliga och är i linje med sammanträdenas dagordning och plats. Parlamentet betonar att öppenhet och sund ekonomisk förvaltning vid användning av unionens offentliga medel måste förbli en central princip för alla unionens institutioner. </w:t>
            </w:r>
            <w:r>
              <w:rPr>
                <w:b/>
                <w:i/>
              </w:rPr>
              <w:t>Parlamentet uppmanar utrikestjänsten att systematiskt integrera miljöhänsyn i reseplaneringen, bland annat genom att prioritera resor med tåg och flyg i ekonomiklass där så är möjligt, och att rapportera till den ansvarsfrihetsbeviljande myndigheten om de framsteg som gjorts.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Europaparlamentet noterar att utrikestjänsten under 2024 fortsatt stod inför växande politiska och ekonomiska utmaningar samt utmaningar när det gäller mänskliga rättigheter och rättsstatsprincipen. Parlamentet noterar att Rysslands anfallskrig mot Ukraina och dess geopolitiska konsekvenser fortsatte att vara en central fråga under 2024. Parlamentet betonar i detta avseende vikten och behovet av att utrikestjänsten spelar en nyckelroll i uppbyggnaden av unionens strategiska oberoende, som bör värnas även genom kampen mot utländsk informationsmanipulering och inblandning samt desinformationskampanjer. Parlamentet noterar att utrikestjänsten under 2024 offentliggjorde sin andra rapport om hot om utländsk informationsmanipulering och inblandning, i vilken den redogjorde för 750 incidenter och avslöjade Operation False Façade (ett system för penningtvätt som drivs av Kremlvänliga enheter), använde systemet för snabb varning som en central samordningsmekanism för utländsk informationsmanipulering och inblandning i samband med skyddet av integriteten i valet till Europaparlamentet</w:t>
            </w:r>
            <w:r>
              <w:rPr>
                <w:b/>
                <w:i/>
              </w:rPr>
              <w:t>, offentliggjorde</w:t>
            </w:r>
            <w:r>
              <w:t xml:space="preserve"> en verktygslåda för att upptäcka identitetsbaserad utländsk informationsmanipulering och inblandning, </w:t>
            </w:r>
            <w:r>
              <w:rPr>
                <w:b/>
                <w:i/>
              </w:rPr>
              <w:t>anordnade</w:t>
            </w:r>
            <w:r>
              <w:t xml:space="preserve"> den årliga högnivåkonferensen om utländsk informationsmanipulering och inblandning, </w:t>
            </w:r>
            <w:r>
              <w:rPr>
                <w:b/>
                <w:i/>
              </w:rPr>
              <w:t>utvecklade</w:t>
            </w:r>
            <w:r>
              <w:t xml:space="preserve"> handboken om den gemensamma säkerhets- och försvarspolitiken (GSFP) för att stärka GSFP-uppdragens förmåga att upptäcka och reagera på attacker med utländsk informationsmanipulering och inblandning och </w:t>
            </w:r>
            <w:r>
              <w:rPr>
                <w:b/>
                <w:i/>
              </w:rPr>
              <w:t>bidrog</w:t>
            </w:r>
            <w:r>
              <w:t xml:space="preserve"> till att stärka mediernas motståndskraft vid evenemanget Connecting Media Communities i Kosovo, där 130 journalister och faktagranskare deltog. Parlamentet lovordar utrikestjänsten för dess kampanj EUvsDisinfo, som har analyserat och avslöjat Rysslands operationer inom ramen för utländsk informationsmanipulering och inblandning under 2024. Parlamentet noterar med oro att fallen av Kremlvänlig desinformation översteg 18 000 poster. Parlamentet noterar att vissa av unionens delegationer har en tjänsteman med ansvar för strategisk kommunikation som har till uppgift att analysera och ta itu med utländsk informationsmanipulering och inblandning, men att förmågor för underrättelseinsamling fortfarande är medlemsstaternas ansvar. Parlamentet lovordar utrikestjänsten för att ha inrättat informations- och analyscentralen avseende utländsk informationsmanipulering och inblandning i syfte att förbättra samarbetet och den gemensamma lägesuppfattningen. Parlamentet erkänner att dessa insatser, med stöd av en förstärkt budget för strategisk kommunikationskapacitet på 6,12 miljoner EUR 2024, säkerställde ett mer robust, samordnat och heltäckande unionsomfattande svar på hot om utländsk informationsmanipulering och inblandning. Parlamentet uppmuntrar till fortsatt utveckling och utvidgning av nätverket av ”försvarare mot utländsk informationsmanipulering och inblandning” genom kapacitetsuppbyggnadsinitiativ.</w:t>
            </w:r>
          </w:p>
        </w:tc>
        <w:tc>
          <w:tcPr>
            <w:tcW w:w="4876" w:type="dxa"/>
            <w:tcBorders>
              <w:top w:val="nil"/>
              <w:left w:val="nil"/>
              <w:bottom w:val="nil"/>
              <w:right w:val="nil"/>
            </w:tcBorders>
          </w:tcPr>
          <w:p>
            <w:pPr>
              <w:pStyle w:val="Normal6a"/>
            </w:pPr>
            <w:r>
              <w:t>15.</w:t>
            </w:r>
            <w:r>
              <w:tab/>
            </w:r>
            <w:r>
              <w:t xml:space="preserve">Europaparlamentet noterar att utrikestjänsten under 2024 fortsatt stod inför växande politiska och ekonomiska utmaningar samt utmaningar när det gäller mänskliga rättigheter och rättsstatsprincipen </w:t>
            </w:r>
            <w:r>
              <w:rPr>
                <w:b/>
                <w:i/>
              </w:rPr>
              <w:t>i en allt mer instabil geopolitisk miljö som kännetecknas av intensifierade hybridhot mot demokratiska system</w:t>
            </w:r>
            <w:r>
              <w:t xml:space="preserve">. Parlamentet noterar att Rysslands </w:t>
            </w:r>
            <w:r>
              <w:rPr>
                <w:b/>
                <w:i/>
              </w:rPr>
              <w:t>olagliga</w:t>
            </w:r>
            <w:r>
              <w:t xml:space="preserve"> anfallskrig mot Ukraina och dess geopolitiska konsekvenser fortsatte att vara en central fråga under 2024. Parlamentet betonar i detta avseende vikten och behovet av att utrikestjänsten spelar en </w:t>
            </w:r>
            <w:r>
              <w:rPr>
                <w:b/>
                <w:i/>
              </w:rPr>
              <w:t>central och förstärkt</w:t>
            </w:r>
            <w:r>
              <w:t xml:space="preserve"> nyckelroll i uppbyggnaden av unionens strategiska oberoende, </w:t>
            </w:r>
            <w:r>
              <w:rPr>
                <w:b/>
                <w:i/>
              </w:rPr>
              <w:t>resiliens och säkerhet,</w:t>
            </w:r>
            <w:r>
              <w:t xml:space="preserve"> som bör värnas även genom </w:t>
            </w:r>
            <w:r>
              <w:rPr>
                <w:b/>
                <w:i/>
              </w:rPr>
              <w:t>den systematiska och beslutsamma</w:t>
            </w:r>
            <w:r>
              <w:t xml:space="preserve"> kampen mot utländsk informationsmanipulering och inblandning samt desinformationskampanjer. Parlamentet noterar att utrikestjänsten under 2024 offentliggjorde sin andra rapport om hot om utländsk informationsmanipulering och inblandning, i vilken den redogjorde för 750 incidenter och avslöjade Operation False Façade (ett system för penningtvätt som drivs av Kremlvänliga enheter), </w:t>
            </w:r>
            <w:r>
              <w:rPr>
                <w:b/>
                <w:i/>
              </w:rPr>
              <w:t>vilket bidrog till offentlig attribuering av och strategisk medvetenhet om fientlig statsstödd inblandning.</w:t>
            </w:r>
            <w:r>
              <w:t xml:space="preserve"> </w:t>
            </w:r>
            <w:r>
              <w:rPr>
                <w:b/>
                <w:i/>
              </w:rPr>
              <w:t>Parlamentet</w:t>
            </w:r>
            <w:r>
              <w:t xml:space="preserve"> använde systemet för snabb varning som en central samordningsmekanism för utländsk informationsmanipulering och inblandning i samband med skyddet av integriteten i valet till Europaparlamentet</w:t>
            </w:r>
            <w:r>
              <w:rPr>
                <w:b/>
                <w:i/>
              </w:rPr>
              <w:t>. Parlamentet välkomnar offentliggörandet av</w:t>
            </w:r>
            <w:r>
              <w:t xml:space="preserve"> en verktygslåda för att upptäcka identitetsbaserad utländsk informationsmanipulering och inblandning, </w:t>
            </w:r>
            <w:r>
              <w:rPr>
                <w:b/>
                <w:i/>
              </w:rPr>
              <w:t>anordnandet av</w:t>
            </w:r>
            <w:r>
              <w:t xml:space="preserve"> den årliga högnivåkonferensen om utländsk informationsmanipulering och inblandning, </w:t>
            </w:r>
            <w:r>
              <w:rPr>
                <w:b/>
                <w:i/>
              </w:rPr>
              <w:t>utarbetandet av</w:t>
            </w:r>
            <w:r>
              <w:t xml:space="preserve"> handboken om den gemensamma säkerhets- och försvarspolitiken (GSFP) för att stärka GSFP-uppdragens förmåga att upptäcka och reagera på attacker med utländsk informationsmanipulering och inblandning och </w:t>
            </w:r>
            <w:r>
              <w:rPr>
                <w:b/>
                <w:i/>
              </w:rPr>
              <w:t>bidraget</w:t>
            </w:r>
            <w:r>
              <w:t xml:space="preserve"> till att stärka mediernas motståndskraft vid evenemanget Connecting Media Communities i Kosovo, där 130 journalister och faktagranskare deltog. Parlamentet lovordar </w:t>
            </w:r>
            <w:r>
              <w:rPr>
                <w:b/>
                <w:i/>
              </w:rPr>
              <w:t>helhjärtat</w:t>
            </w:r>
            <w:r>
              <w:t xml:space="preserve"> utrikestjänsten för dess kampanj EUvsDisinfo, som har analyserat och avslöjat Rysslands operationer inom ramen för utländsk informationsmanipulering och inblandning under 2024. Parlamentet noterar med oro att fallen av Kremlvänlig desinformation översteg 18 000 poster</w:t>
            </w:r>
            <w:r>
              <w:rPr>
                <w:b/>
                <w:i/>
              </w:rPr>
              <w:t>, vilket bekräftar det omfattande, ihållande och strategiska hot som i synnerhet Ryssland utgör, tillsammans med andra fientliga aktörer</w:t>
            </w:r>
            <w:r>
              <w:t xml:space="preserve">. Parlamentet noterar att vissa av unionens delegationer har en tjänsteman med ansvar för strategisk kommunikation som har till uppgift att analysera och ta itu med utländsk informationsmanipulering och inblandning, men att förmågor för underrättelseinsamling fortfarande är medlemsstaternas ansvar. Parlamentet </w:t>
            </w:r>
            <w:r>
              <w:rPr>
                <w:b/>
                <w:i/>
              </w:rPr>
              <w:t>betonar därför behovet av förstärkt samordning, strukturerat informationsutbyte och närmare samarbete med medlemsstaterna och betrodda partner, och</w:t>
            </w:r>
            <w:r>
              <w:t xml:space="preserve"> lovordar utrikestjänsten för att ha inrättat informations- och analyscentralen avseende utländsk informationsmanipulering och inblandning i syfte att förbättra samarbetet och den gemensamma lägesuppfattningen. Parlamentet erkänner att dessa insatser, med stöd av en förstärkt budget för strategisk kommunikationskapacitet på 6,12 miljoner EUR 2024, säkerställde ett mer robust, samordnat och heltäckande unionsomfattande svar på hot om utländsk informationsmanipulering och inblandning. Parlamentet </w:t>
            </w:r>
            <w:r>
              <w:rPr>
                <w:b/>
                <w:i/>
              </w:rPr>
              <w:t>understryker att varaktig och förutsägbar finansiering är avgörande för att säkerställa kontinuitet och effektivitet när det gäller att motverka hybridhot.</w:t>
            </w:r>
            <w:r>
              <w:t xml:space="preserve"> </w:t>
            </w:r>
            <w:r>
              <w:rPr>
                <w:b/>
                <w:i/>
              </w:rPr>
              <w:t>Parlamentet</w:t>
            </w:r>
            <w:r>
              <w:t xml:space="preserve"> uppmuntrar till fortsatt utveckling och utvidgning av nätverket av ”försvarare mot utländsk informationsmanipulering och inblandning” genom kapacitetsuppbyggnadsinitiativ.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Europaparlamentet noterar att utrikestjänsten under 2024 fortsatt stod inför växande politiska och ekonomiska utmaningar samt utmaningar när det gäller mänskliga rättigheter och rättsstatsprincipen. Parlamentet noterar att Rysslands anfallskrig mot Ukraina och dess geopolitiska konsekvenser fortsatte att vara en central fråga under 2024. Parlamentet betonar i detta avseende vikten och behovet av att utrikestjänsten spelar en nyckelroll i uppbyggnaden av unionens strategiska oberoende, som bör värnas även genom kampen mot utländsk informationsmanipulering och inblandning samt desinformationskampanjer. Parlamentet noterar att utrikestjänsten under 2024 offentliggjorde sin andra rapport om hot om utländsk informationsmanipulering och inblandning, i vilken den redogjorde för 750 incidenter och avslöjade Operation False Façade (ett system för penningtvätt som drivs av Kremlvänliga enheter), använde systemet för snabb varning som en central samordningsmekanism för utländsk informationsmanipulering och inblandning i samband med skyddet av integriteten i valet till Europaparlamentet, offentliggjorde en verktygslåda för att upptäcka identitetsbaserad utländsk informationsmanipulering och inblandning, anordnade den årliga högnivåkonferensen om utländsk informationsmanipulering och inblandning, utvecklade handboken om den gemensamma säkerhets- och försvarspolitiken (GSFP) för att stärka GSFP-uppdragens förmåga att upptäcka och reagera på attacker med utländsk informationsmanipulering och inblandning och bidrog till att stärka mediernas motståndskraft vid evenemanget Connecting Media Communities i Kosovo, där 130 journalister och faktagranskare deltog. Parlamentet lovordar utrikestjänsten för dess kampanj EUvsDisinfo, som har analyserat och avslöjat Rysslands operationer inom ramen för utländsk informationsmanipulering och inblandning under 2024. Parlamentet noterar med oro att fallen av Kremlvänlig desinformation översteg 18 000 poster. Parlamentet noterar att vissa av unionens delegationer har en tjänsteman med ansvar för strategisk kommunikation som har till uppgift att analysera och ta itu med utländsk informationsmanipulering och inblandning, men att förmågor för underrättelseinsamling fortfarande är medlemsstaternas ansvar. Parlamentet lovordar utrikestjänsten för att ha inrättat informations- och analyscentralen avseende utländsk informationsmanipulering och inblandning i syfte att förbättra samarbetet och den gemensamma lägesuppfattningen. Parlamentet erkänner att dessa insatser, med stöd av en förstärkt budget för strategisk kommunikationskapacitet på 6,12 miljoner EUR 2024, säkerställde ett mer robust, samordnat och heltäckande unionsomfattande svar på hot om utländsk informationsmanipulering och inblandning. Parlamentet uppmuntrar till fortsatt utveckling och utvidgning av nätverket av ”försvarare mot utländsk informationsmanipulering och inblandning” genom kapacitetsuppbyggnadsinitiativ.</w:t>
            </w:r>
          </w:p>
        </w:tc>
        <w:tc>
          <w:tcPr>
            <w:tcW w:w="4876" w:type="dxa"/>
            <w:tcBorders>
              <w:top w:val="nil"/>
              <w:left w:val="nil"/>
              <w:bottom w:val="nil"/>
              <w:right w:val="nil"/>
            </w:tcBorders>
          </w:tcPr>
          <w:p>
            <w:pPr>
              <w:pStyle w:val="Normal6a"/>
            </w:pPr>
            <w:r>
              <w:t>15.</w:t>
            </w:r>
            <w:r>
              <w:tab/>
            </w:r>
            <w:r>
              <w:t xml:space="preserve">Europaparlamentet noterar att utrikestjänsten under 2024 fortsatt stod inför växande politiska och ekonomiska utmaningar samt utmaningar när det gäller mänskliga rättigheter och rättsstatsprincipen. Parlamentet noterar att Rysslands anfallskrig mot Ukraina och dess geopolitiska konsekvenser fortsatte att vara en central fråga under 2024. Parlamentet betonar i detta avseende vikten och behovet av att utrikestjänsten spelar en nyckelroll i uppbyggnaden av unionens strategiska oberoende, som bör värnas även genom kampen mot utländsk informationsmanipulering och inblandning samt desinformationskampanjer. Parlamentet noterar att utrikestjänsten under 2024 offentliggjorde sin andra rapport om hot om utländsk informationsmanipulering och inblandning, i vilken den redogjorde för 750 incidenter och avslöjade Operation False Façade (ett system för penningtvätt som drivs av Kremlvänliga enheter), använde systemet för snabb varning som en central samordningsmekanism för utländsk informationsmanipulering och inblandning i samband med skyddet av integriteten i valet till Europaparlamentet, offentliggjorde en verktygslåda för att upptäcka identitetsbaserad utländsk informationsmanipulering och inblandning, anordnade den årliga högnivåkonferensen om utländsk informationsmanipulering och inblandning, utvecklade handboken om den gemensamma säkerhets- och försvarspolitiken (GSFP) för att stärka GSFP-uppdragens förmåga att upptäcka och reagera på attacker med utländsk informationsmanipulering och inblandning och bidrog till att stärka mediernas motståndskraft vid evenemanget Connecting Media Communities i Kosovo, där 130 journalister och faktagranskare deltog. Parlamentet lovordar utrikestjänsten för dess kampanj EUvsDisinfo, som har analyserat och avslöjat Rysslands operationer inom ramen för utländsk informationsmanipulering och inblandning under 2024. Parlamentet noterar med oro att fallen av Kremlvänlig desinformation översteg 18 000 poster. Parlamentet noterar att vissa av unionens delegationer har en tjänsteman med ansvar för strategisk kommunikation som har till uppgift att analysera och ta itu med utländsk informationsmanipulering och inblandning, men att förmågor för underrättelseinsamling fortfarande är medlemsstaternas ansvar. Parlamentet lovordar utrikestjänsten för att ha inrättat informations- och analyscentralen avseende utländsk informationsmanipulering och inblandning i syfte att förbättra samarbetet och den gemensamma lägesuppfattningen. Parlamentet erkänner att dessa insatser, med stöd av en förstärkt budget för strategisk kommunikationskapacitet på 6,12 miljoner EUR 2024, säkerställde ett mer robust, samordnat och heltäckande unionsomfattande svar på hot om utländsk informationsmanipulering och inblandning. Parlamentet uppmuntrar till fortsatt utveckling och utvidgning av nätverket av ”försvarare mot utländsk informationsmanipulering och inblandning” genom kapacitetsuppbyggnadsinitiativ. </w:t>
            </w:r>
            <w:r>
              <w:rPr>
                <w:b/>
                <w:i/>
              </w:rPr>
              <w:t>Parlamentet understryker därför behovet av att tillhandahålla tillräckliga resurser till utrikestjänstens avdelning för strategisk kommunikation och framsyn för att effektivt bekämpa EU-fientliga desinformationskampanjer och budskap som sprids strategiskt av auktoritära och illiberala regimer som försöker undergräva EU:s yttre åtgärder i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påminner om uppmaningarna i den strategiska kompassen och från Europaparlamentet om att stärka unionens underrättelseförmåga och situationsmedvetenhet.</w:t>
            </w:r>
            <w:r>
              <w:t xml:space="preserve"> </w:t>
            </w:r>
            <w:r>
              <w:rPr>
                <w:b/>
                <w:i/>
              </w:rPr>
              <w:t>Parlamentet understryker att unionens växande behov av analys och krishantering kräver en förstärkning av de resurser som tilldelas Europeiska unionens underrättelse- och lägescentral (EU Intcen) och utrikestjänstens krishanteringscentrum, för att säkerställa att de har tillräckliga förutsättningar för att fullgöra sina mandat i en alltmer komplex och krävande geopolitisk miljö.</w:t>
            </w:r>
            <w:r>
              <w:t xml:space="preserve"> </w:t>
            </w:r>
            <w:r>
              <w:rPr>
                <w:b/>
                <w:i/>
              </w:rPr>
              <w:t>Parlamentet understryker den centrala roll som EU Intcen spelar när det gäller att tillhandahålla integrerade analytiska bedömningar från alla källor till stöd för beslutsfattandet inom Gusp och GSFP, och betonar potentialen hos nätverket av EU-delegationer, utan att det påverkar medlemsstaternas befogenheter, som en viktig bidragande faktor till situationsmedvetenhet genom integrering av relevant information som redan finns tillgänglig på fältet.</w:t>
            </w:r>
            <w:r>
              <w:t xml:space="preserve"> </w:t>
            </w:r>
            <w:r>
              <w:rPr>
                <w:b/>
                <w:i/>
              </w:rPr>
              <w:t>Parlamentet anser att inrättandet av ett tydligare och mer synligt budgetanslag för EU Intcen skulle kunna underlätta ökad transparens, demokratisk kontroll och ansvarsskyldighet inom ansvarsfrihetsförfarandet.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välkomnar inrättandet av EU:s demokratiförsvar och av ett centrum för demokratisk resiliens som viktiga steg för att stärka EU:s kapacitet att motverka utländsk informationsmanipulering och inblandning.</w:t>
            </w:r>
            <w:r>
              <w:t xml:space="preserve"> </w:t>
            </w:r>
            <w:r>
              <w:rPr>
                <w:b/>
                <w:i/>
              </w:rPr>
              <w:t>Parlamentet välkomnar avsikten att utvidga det föreslagna europeiska demokratiförsvaret till anslutningsländerna och därigenom stärka deras förmåga att reagera på hot såsom utländsk informationsmanipulering och inblandning och desinformationskampanjer.</w:t>
            </w:r>
            <w:r>
              <w:t xml:space="preserve"> </w:t>
            </w:r>
            <w:r>
              <w:rPr>
                <w:b/>
                <w:i/>
              </w:rPr>
              <w:t>Parlamentet uppmanar kommissionen och utrikestjänsten att fördjupa samarbetet med sårbara utvidgningsländer kring informationsresiliens, cybersäkerhet och hybridhot.</w:t>
            </w:r>
            <w:r>
              <w:t xml:space="preserve"> </w:t>
            </w:r>
            <w:r>
              <w:rPr>
                <w:b/>
                <w:i/>
              </w:rPr>
              <w:t>Parlamentet uppmanar utrikestjänsten och EU:s delegationer i tredjeländer att ytterligare stärka sin respektive kapacitet att bekämpa och motverka desinformation och propaganda mot EU:s gemensamma utrikes- och säkerhetspolitik, bland annat genom att investera i kommunikationskampanjer för att bekämpa utländskt inflytande.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understryker behovet av tillräckliga resurser för Europeiska utrikestjänstens avdelning för strategisk kommunikation och framsyn för att motverka desinformation som härrör från auktoritära regimer, framför allt Kreml.</w:t>
            </w:r>
            <w:r>
              <w:t xml:space="preserve"> </w:t>
            </w:r>
            <w:r>
              <w:rPr>
                <w:b/>
                <w:i/>
              </w:rPr>
              <w:t>Parlamentet påminner om att aktörer med koppling till Ryssland i Moldavien och Ukraina har instrumentaliserat religion, inbegripet den ortodoxa kyrkan under Moskvapatriarkatet, för att undergräva den demokratiska resiliensen.</w:t>
            </w:r>
            <w:r>
              <w:t xml:space="preserve"> </w:t>
            </w:r>
            <w:r>
              <w:rPr>
                <w:b/>
                <w:i/>
              </w:rPr>
              <w:t>Parlamentet betonar vikten av att stärka EU:s trosbaserade diplomati inom ramen för dess yttre åtgärder och efterlyser en särskild budgetpost för utrikestjänsten för att stödja dialog, främja interreligiös tolerans och motverka geopolitiskt missbruk av religion.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 – led a (nytt)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Europaparlamentet påminner kommissionen om parlamentets uppmaning att på lämpligt sätt utrusta utrikestjänstens personal så att den kan inleda en dialog om religionsfrihet och göra den till ett centralt fokus för sina yttre åtgärder.</w:t>
            </w:r>
            <w:r>
              <w:rPr>
                <w:b/>
                <w:i/>
                <w:vertAlign w:val="superscript"/>
              </w:rPr>
              <w:t>1 a</w:t>
            </w:r>
            <w:r>
              <w:t xml:space="preserve"> </w:t>
            </w:r>
            <w:r>
              <w:rPr>
                <w:b/>
                <w:i/>
              </w:rPr>
              <w:t>Parlamentet uppmanar utrikestjänsten att agera prompt på denna uppmaning och att uppgradera sin beredskap till den nivå som krävs.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Resolution P10_TA (2025) 0086, punkt 83.</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Tamás Deutsch, Virginie Joron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uppmanar institutionen att bedöma hur Europeiska utrikestjänstens regelverk för att undvika korruption och bedrägerier har misslyckats, vilket har gjort det möjligt för tjänstemän vid institutionerna att under flera år aktivt delta i korruption och penningtvätt utan att upptäckas, även på de högsta nivåerna inom institutionernas förvaltning.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Europaparlamentet uppmanar utrikestjänsten att säkerställa att kapaciteten att motverka utländsk informationsmanipulering och inblandning är strukturellt förankrad och finansieras på ett hållbart sätt, bland annat genom särskild personal, utbildning och långsiktig planering utöver de årliga budgetcyklerna.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Europaparlamentet uppmanar vice ordföranden/den höga representanten att stärka EU:s uppdrag och insatser inom GSFP med tillräcklig personal, resurser och flexibla mandat för att effektivt reagera på säkerhetsutmaningar.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Europaparlamentet betonar vikten av att upprätthålla Europeiska unionens övervakningsuppdrag i Georgien för att övervaka situationen i de ockuperade territorierna och säkerställa tidig varning och rapportering.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15e.</w:t>
            </w:r>
            <w:r>
              <w:tab/>
            </w:r>
            <w:r>
              <w:rPr>
                <w:b/>
                <w:i/>
              </w:rPr>
              <w:t>Europaparlamentet uppmanar utrikestjänsten att, särskilt med tanke på den nuvarande geopolitiska situationen, upprätthålla sitt samarbete med Georgien till stöd för demokratiska reformer och landets europeiska perspektiv.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15d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Europaparlamentet betonar att ett viktigt instrument för att motverka utländsk informationsmanipulering och inblandning är inrättandet av en särskild enhet för trosbaserad diplomati inom utrikestjänsten, med uppgift att engagera religiösa samfund och trossamfund, främja interkulturell förståelse och stärka motståndskraften mot identitetsbaserad desinformation.</w:t>
            </w:r>
            <w:r>
              <w:t xml:space="preserve"> </w:t>
            </w:r>
            <w:r>
              <w:rPr>
                <w:b/>
                <w:i/>
              </w:rPr>
              <w:t>Parlamentet understryker att en sådan enhet skulle kunna stödja tidig upptäckt av utländsk informationsmanipulering och inblandning som riktar sig mot religiösa eller kulturella narrativ, stärka dialogen med religiösa aktörer och komplettera utrikestjänstens befintliga verktyg såsom systemet för snabb varning och kampanjen EUvsDisinfo, och därigenom bidra till ett mer robust och unionsomfattande svar på desinformationskampanjer.</w:t>
            </w:r>
            <w:r>
              <w:t xml:space="preserve"> </w:t>
            </w:r>
            <w:r>
              <w:rPr>
                <w:b/>
                <w:i/>
              </w:rPr>
              <w:t>Parlamentet påminner om att AFET-utskottets yttrande till budgetkontrollutskottet över ansvarsfrihet för genomförandet av Europeiska unionens allmänna budget för budgetåret 2023, avsnitt X – Europeiska utrikestjänsten</w:t>
            </w:r>
            <w:r>
              <w:rPr>
                <w:b/>
                <w:i/>
                <w:vertAlign w:val="superscript"/>
              </w:rPr>
              <w:t>1a</w:t>
            </w:r>
            <w:r>
              <w:rPr>
                <w:b/>
                <w:i/>
              </w:rPr>
              <w:t>, betonar att religions- och trosfrihet är ett grundläggande värde för unionen och uppmanar med kraft utrikestjänsten att systematiskt införliva trosdiplomati i sina åtgärder och erkänna religion som ett konstruktivt inslag i hanteringen av globala utmaningar och främjandet av fred, resiliens och social sammanhållning.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https://www.europarl.europa.eu/doceo/document/AFET-AD-765237_SV.pdf.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Europaparlamentet påminner om fördraget om Europeiska unionen, enligt vilket EU och dess institutioner har som mål att främja freden, sina värden och folkens välfärd, bevara freden, förebygga konflikter och stärka den internationella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Europaparlamentet uppmanar institutionen att engagera sig fullt ut och maximera sina ansträngningar med alla tillgängliga åtgärder och tillgångar för att främja fred och få ett slut på kriget i Ukraina så snart som möjligt, och att bevara freden och stärka den europeiska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Europaparlamentet påminner i detta avseende om att vårt stöd till mänskliga rättigheter, demokrati och utveckling i tredjeländer måste stärkas ytterligare genom den finansiella ram som instrumentet Europa i världen utgör.</w:t>
            </w:r>
            <w:r>
              <w:t xml:space="preserve"> </w:t>
            </w:r>
            <w:r>
              <w:rPr>
                <w:b/>
                <w:i/>
              </w:rPr>
              <w:t>Parlamentet betonar att bibehållandet av särskild finansiering för mänskliga rättigheter och demokrati samt en människorättsbaserad strategi och integrering av mänskliga rättigheter i vårt stöd till och våra partnerskap med tredjeländer kan bidra till att stärka unionens ställning globalt och innebära att unionens värden underbyggs.</w:t>
            </w:r>
            <w:r>
              <w:t xml:space="preserve"> </w:t>
            </w:r>
            <w:r>
              <w:rPr>
                <w:b/>
                <w:i/>
              </w:rPr>
              <w:t>Parlamentet understryker att resurserna till unionens digitala diplomati bör ökas ytterligare med tanke på den nuvarande situationen med snabba tekniska framsteg och geopolitisk konkurrens.</w:t>
            </w:r>
            <w:r>
              <w:t xml:space="preserve"> </w:t>
            </w:r>
            <w:r>
              <w:rPr>
                <w:b/>
                <w:i/>
              </w:rPr>
              <w:t>Parlamentet insisterar på att ”grön diplomati” och den gröna omställningen, som en av EU:s prioriteringar, bör stärkas gentemot tredjeländer genom EU:s yttre åtgärder.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Europaparlamentet påminner i detta avseende om att vårt stöd till mänskliga rättigheter, demokrati och utveckling i tredjeländer måste stärkas ytterligare genom den finansiella ram som instrumentet Europa i världen utgör. Parlamentet betonar att bibehållandet av särskild finansiering för mänskliga rättigheter och demokrati samt en människorättsbaserad strategi och integrering av mänskliga rättigheter i vårt stöd till och våra partnerskap med tredjeländer kan bidra till att stärka unionens ställning globalt och innebära att unionens värden underbyggs. Parlamentet understryker att resurserna till unionens digitala diplomati bör ökas ytterligare med tanke på den nuvarande situationen med snabba tekniska framsteg och geopolitisk konkurrens. Parlamentet insisterar på att ”grön diplomati” och den gröna omställningen, som en av EU:s prioriteringar, bör stärkas gentemot tredjeländer genom EU:s yttre åtgärder.</w:t>
            </w:r>
          </w:p>
        </w:tc>
        <w:tc>
          <w:tcPr>
            <w:tcW w:w="4876" w:type="dxa"/>
            <w:tcBorders>
              <w:top w:val="nil"/>
              <w:left w:val="nil"/>
              <w:bottom w:val="nil"/>
              <w:right w:val="nil"/>
            </w:tcBorders>
          </w:tcPr>
          <w:p>
            <w:pPr>
              <w:pStyle w:val="Normal6a"/>
            </w:pPr>
            <w:r>
              <w:t>17.</w:t>
            </w:r>
            <w:r>
              <w:tab/>
            </w:r>
            <w:r>
              <w:t>Europaparlamentet påminner i detta avseende om att vårt stöd till mänskliga rättigheter, demokrati och utveckling i tredjeländer måste stärkas ytterligare genom den finansiella ram som instrumentet Europa i världen utgör. Parlamentet betonar att bibehållandet av särskild finansiering för mänskliga rättigheter och demokrati samt en människorättsbaserad strategi och integrering av mänskliga rättigheter i vårt stöd till och våra partnerskap med tredjeländer kan bidra till att stärka unionens ställning globalt och innebära att unionens värden underbyggs. Parlamentet understryker att resurserna till unionens digitala diplomati bör ökas ytterligare med tanke på den nuvarande situationen med snabba tekniska framsteg och geopolitisk konkurrens</w:t>
            </w:r>
            <w:r>
              <w:rPr>
                <w:b/>
                <w:i/>
              </w:rPr>
              <w:t>, särskilt för att motverka digitalt auktoritärt styre, utländsk inblandning och missbruk av ny teknik</w:t>
            </w:r>
            <w:r>
              <w:t>. Parlamentet insisterar på att ”grön diplomati” och den gröna omställningen, som en av EU:s prioriteringar, bör stärkas gentemot tredjeländer genom EU:s yttre åtgärder</w:t>
            </w:r>
            <w:r>
              <w:rPr>
                <w:b/>
                <w:i/>
              </w:rPr>
              <w:t>, samtidigt som samstämmighet med partnerländernas konkurrenskraft, energitrygghet och ekonomiska resiliens säkerställs och oproportionerliga bördor som skulle kunna undergräva de strategiska partnerskapen undviks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Europaparlamentet påminner i detta avseende om att vårt stöd till mänskliga rättigheter, demokrati och utveckling i tredjeländer måste stärkas ytterligare genom den finansiella ram som instrumentet Europa i världen utgör. Parlamentet betonar att bibehållandet av särskild finansiering för mänskliga rättigheter och demokrati samt en människorättsbaserad strategi och integrering av mänskliga rättigheter i vårt stöd till och våra partnerskap med tredjeländer kan bidra till att stärka unionens ställning globalt och innebära att unionens värden underbyggs. Parlamentet understryker att resurserna till unionens digitala diplomati bör ökas ytterligare med tanke på den nuvarande situationen med snabba tekniska framsteg och geopolitisk konkurrens. Parlamentet insisterar på att ”grön diplomati” och den gröna omställningen, som en av EU:s prioriteringar, bör stärkas gentemot tredjeländer genom EU:s yttre åtgärder.</w:t>
            </w:r>
          </w:p>
        </w:tc>
        <w:tc>
          <w:tcPr>
            <w:tcW w:w="4876" w:type="dxa"/>
            <w:tcBorders>
              <w:top w:val="nil"/>
              <w:left w:val="nil"/>
              <w:bottom w:val="nil"/>
              <w:right w:val="nil"/>
            </w:tcBorders>
          </w:tcPr>
          <w:p>
            <w:pPr>
              <w:pStyle w:val="Normal6a"/>
            </w:pPr>
            <w:r>
              <w:t>17.</w:t>
            </w:r>
            <w:r>
              <w:tab/>
            </w:r>
            <w:r>
              <w:t xml:space="preserve">Europaparlamentet påminner i detta avseende om att vårt stöd till mänskliga rättigheter, demokrati och utveckling i tredjeländer måste stärkas ytterligare genom den finansiella ram som instrumentet Europa i världen utgör. Parlamentet betonar att bibehållandet av särskild finansiering för mänskliga rättigheter och demokrati samt en människorättsbaserad strategi och integrering av mänskliga rättigheter i vårt stöd till och våra partnerskap med tredjeländer kan bidra till att stärka unionens ställning globalt och innebära att unionens värden underbyggs. Parlamentet understryker att resurserna till unionens digitala diplomati bör ökas ytterligare med tanke på den nuvarande situationen med snabba tekniska framsteg och geopolitisk konkurrens. Parlamentet insisterar på att ”grön diplomati” och den gröna omställningen, som en av EU:s prioriteringar, bör stärkas gentemot tredjeländer genom EU:s yttre åtgärder. </w:t>
            </w:r>
            <w:r>
              <w:rPr>
                <w:b/>
                <w:i/>
              </w:rPr>
              <w:t>Parlamentet insisterar på att grön diplomati och den gröna omställningen måste backas upp av tillräckliga ekonomiska resurser och personalresurser inom utrikestjänsten och unionens delegationer och konsekvent integreras i politiska dialoger, partnerskap och externa utgifter, även i tredjeländer.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Europaparlamentet påminner i detta avseende om att vårt stöd till mänskliga rättigheter, demokrati och utveckling i tredjeländer måste stärkas ytterligare genom den finansiella ram som instrumentet Europa i världen utgör. Parlamentet betonar att bibehållandet av särskild finansiering för mänskliga rättigheter och demokrati samt en människorättsbaserad strategi och integrering av mänskliga rättigheter i vårt stöd till och våra partnerskap med tredjeländer kan bidra till att stärka unionens ställning globalt och innebära att unionens värden underbyggs. Parlamentet understryker att resurserna till unionens digitala diplomati bör ökas ytterligare med tanke på den nuvarande situationen med snabba tekniska framsteg och geopolitisk konkurrens. Parlamentet insisterar på att ”grön diplomati” och den gröna omställningen, som en av EU:s prioriteringar, bör stärkas gentemot tredjeländer genom EU:s yttre åtgärder.</w:t>
            </w:r>
          </w:p>
        </w:tc>
        <w:tc>
          <w:tcPr>
            <w:tcW w:w="4876" w:type="dxa"/>
            <w:tcBorders>
              <w:top w:val="nil"/>
              <w:left w:val="nil"/>
              <w:bottom w:val="nil"/>
              <w:right w:val="nil"/>
            </w:tcBorders>
          </w:tcPr>
          <w:p>
            <w:pPr>
              <w:pStyle w:val="Normal6a"/>
            </w:pPr>
            <w:r>
              <w:t>17.</w:t>
            </w:r>
            <w:r>
              <w:tab/>
            </w:r>
            <w:r>
              <w:t xml:space="preserve">Europaparlamentet påminner i detta avseende om att vårt stöd till mänskliga rättigheter, demokrati och utveckling i tredjeländer måste stärkas ytterligare genom den finansiella ram som instrumentet Europa i världen utgör. Parlamentet betonar att bibehållandet av särskild finansiering för mänskliga rättigheter och demokrati samt en människorättsbaserad strategi och integrering av mänskliga rättigheter i vårt stöd till och våra partnerskap med tredjeländer kan bidra till att stärka unionens ställning globalt och innebära att unionens värden underbyggs. Parlamentet </w:t>
            </w:r>
            <w:r>
              <w:rPr>
                <w:b/>
                <w:i/>
              </w:rPr>
              <w:t>uppmanar utrikestjänsten att systematiskt genomföra riskbedömningar av inskränkningar av civilsamhällets demokratiska utrymme i partnerländer och tredjeländer och säkerställa att finansieringen når oberoende aktörer i det civila samhället.</w:t>
            </w:r>
            <w:r>
              <w:t xml:space="preserve"> </w:t>
            </w:r>
            <w:r>
              <w:rPr>
                <w:b/>
                <w:i/>
              </w:rPr>
              <w:t>Parlamentet</w:t>
            </w:r>
            <w:r>
              <w:t xml:space="preserve"> understryker att resurserna till unionens digitala diplomati bör ökas ytterligare med tanke på den nuvarande situationen med snabba tekniska framsteg och geopolitisk konkurrens. Parlamentet insisterar på att ”grön diplomati” och den gröna omställningen, som en av EU:s prioriteringar, bör stärkas gentemot tredjeländer genom EU:s yttre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Europaparlamentet noterar med tillfredsställelse, utifrån uppföljningsrapporten, utrikestjänstens centrala roll och åtgärder när det gäller att främja fred och stabilitet i Mellanöstern, bland annat genom att efterlysa obehindrat tillträde och oavbruten distribution av humanitärt bistånd i stor skala, i linje med internationella humanitära principer. </w:t>
            </w:r>
            <w:r>
              <w:rPr>
                <w:b/>
                <w:i/>
              </w:rPr>
              <w:t>Parlamentet välkomnar i detta sammanhang den ståndpunkt som vice ordföranden/den höga representanten uttryckte vid utfrågningen, enligt vilken den som orsakar skada som en grundläggande princip också bör betala för den.</w:t>
            </w:r>
            <w:r>
              <w:t xml:space="preserve"> </w:t>
            </w:r>
            <w:r>
              <w:rPr>
                <w:b/>
                <w:i/>
              </w:rPr>
              <w:t>Parlamentet noterar att en uppskattning av skadorna inte är genomförbar så länge tillträde till Gaza inte är möjligt.</w:t>
            </w:r>
          </w:p>
        </w:tc>
        <w:tc>
          <w:tcPr>
            <w:tcW w:w="4876" w:type="dxa"/>
            <w:tcBorders>
              <w:top w:val="nil"/>
              <w:left w:val="nil"/>
              <w:bottom w:val="nil"/>
              <w:right w:val="nil"/>
            </w:tcBorders>
          </w:tcPr>
          <w:p>
            <w:pPr>
              <w:pStyle w:val="Normal6a"/>
            </w:pPr>
            <w:r>
              <w:t>18.</w:t>
            </w:r>
            <w:r>
              <w:tab/>
            </w:r>
            <w:r>
              <w:t>Europaparlamentet noterar med tillfredsställelse, utifrån uppföljningsrapporten, utrikestjänstens centrala roll och åtgärder när det gäller att främja fred och stabilitet i Mellanöstern, bland annat genom att efterlysa obehindrat tillträde och oavbruten distribution av humanitärt bistånd i stor skala, i linje med internationella humanitära principer.</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noterar med tillfredsställelse, utifrån uppföljningsrapporten, utrikestjänstens centrala roll och åtgärder när det gäller att främja fred och stabilitet i Mellanöstern, bland annat genom att efterlysa obehindrat tillträde och oavbruten distribution av humanitärt bistånd i stor skala, i linje med internationella humanitära principer. Parlamentet välkomnar i detta sammanhang den ståndpunkt som vice ordföranden/den höga representanten uttryckte vid utfrågningen, enligt vilken den som orsakar skada som en grundläggande princip också bör betala för den. Parlamentet noterar att en uppskattning av skadorna inte är genomförbar så länge tillträde till Gaza inte är möjligt.</w:t>
            </w:r>
          </w:p>
        </w:tc>
        <w:tc>
          <w:tcPr>
            <w:tcW w:w="4876" w:type="dxa"/>
            <w:tcBorders>
              <w:top w:val="nil"/>
              <w:left w:val="nil"/>
              <w:bottom w:val="nil"/>
              <w:right w:val="nil"/>
            </w:tcBorders>
          </w:tcPr>
          <w:p>
            <w:pPr>
              <w:pStyle w:val="Normal6a"/>
            </w:pPr>
            <w:r>
              <w:t>18.</w:t>
            </w:r>
            <w:r>
              <w:tab/>
            </w:r>
            <w:r>
              <w:t xml:space="preserve">Europaparlamentet noterar med tillfredsställelse, utifrån uppföljningsrapporten, utrikestjänstens centrala roll och åtgärder när det gäller att främja fred och stabilitet i Mellanöstern, bland annat genom att efterlysa obehindrat tillträde och oavbruten distribution av humanitärt bistånd i stor skala, i linje med internationella humanitära principer. Parlamentet </w:t>
            </w:r>
            <w:r>
              <w:rPr>
                <w:b/>
                <w:i/>
              </w:rPr>
              <w:t>noterar att unionen sedan början av krisen i Gaza har använt alla tillgängliga humanitära instrument för att lindra lidandet för palestinierna i Gaza och på Västbanken genom att tillhandahålla 450 miljoner EUR i humanitärt bistånd sedan oktober 2023, inbegripet ett inledande biståndspaket på 120 miljoner EUR för 2025; i det specifika fallet med unionens stöd i Palestina är de befintliga mekanismerna solida och fungerar väl, och inga bevis har hittills hittats för att pengar har avletts för oavsiktliga ändamål, vilket bekräftades vid den finansiella översyn av EU:s bistånd i Palestina som ägde rum i november 2023.</w:t>
            </w:r>
            <w:r>
              <w:t xml:space="preserve"> </w:t>
            </w:r>
            <w:r>
              <w:rPr>
                <w:b/>
                <w:i/>
              </w:rPr>
              <w:t>Parlamentet noterar vidare att kommissionen i april 2025 antog ett omfattande flerårigt program för Palestina till ett värde av upp till 1,6 miljarder EUR för 2025–2027 för att stödja ekonomisk återhämtning, resiliens och styrning på Västbanken, i östra Jerusalem och i Gaza, med upp till 620 miljoner EUR av denna finansiering i direkt ekonomiskt stöd till den palestinska myndigheten.</w:t>
            </w:r>
            <w:r>
              <w:t xml:space="preserve"> </w:t>
            </w:r>
            <w:r>
              <w:rPr>
                <w:b/>
                <w:i/>
              </w:rPr>
              <w:t>Parlamentet noterar att kommissionen i maj 2024 tillkännagav ett ekonomiskt stödpaket på 1 miljard EUR för att hjälpa Libanon att möta nationella och regionala utmaningar.</w:t>
            </w:r>
            <w:r>
              <w:t xml:space="preserve"> </w:t>
            </w:r>
            <w:r>
              <w:rPr>
                <w:b/>
                <w:i/>
              </w:rPr>
              <w:t>Parlamentet</w:t>
            </w:r>
            <w:r>
              <w:t xml:space="preserve"> välkomnar i detta sammanhang den ståndpunkt som vice ordföranden/den höga representanten uttryckte vid utfrågningen, enligt vilken den som orsakar skada som en grundläggande princip också bör betala för den. Parlamentet noterar att en uppskattning av skadorna inte är genomförbar så länge tillträde till Gaza inte är möjligt.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noterar med tillfredsställelse, utifrån uppföljningsrapporten, utrikestjänstens centrala roll och åtgärder när det gäller att främja fred och stabilitet i Mellanöstern, bland annat genom att efterlysa obehindrat tillträde och oavbruten distribution av humanitärt bistånd i stor skala, i linje med internationella humanitära principer. Parlamentet välkomnar i detta sammanhang den ståndpunkt som vice ordföranden/den höga representanten uttryckte vid utfrågningen, enligt vilken den som orsakar skada som en grundläggande princip också bör betala för den. Parlamentet noterar att en uppskattning av skadorna inte är genomförbar så länge tillträde till Gaza inte är möjligt.</w:t>
            </w:r>
          </w:p>
        </w:tc>
        <w:tc>
          <w:tcPr>
            <w:tcW w:w="4876" w:type="dxa"/>
            <w:tcBorders>
              <w:top w:val="nil"/>
              <w:left w:val="nil"/>
              <w:bottom w:val="nil"/>
              <w:right w:val="nil"/>
            </w:tcBorders>
          </w:tcPr>
          <w:p>
            <w:pPr>
              <w:pStyle w:val="Normal6a"/>
            </w:pPr>
            <w:r>
              <w:t>18.</w:t>
            </w:r>
            <w:r>
              <w:tab/>
            </w:r>
            <w:r>
              <w:t xml:space="preserve">Europaparlamentet noterar med tillfredsställelse, utifrån uppföljningsrapporten, utrikestjänstens centrala roll och åtgärder när det gäller att främja fred och stabilitet i Mellanöstern, bland annat genom att efterlysa obehindrat tillträde och oavbruten distribution av humanitärt bistånd i stor skala, i linje med internationella humanitära principer. Parlamentet välkomnar i detta sammanhang den ståndpunkt som vice ordföranden/den höga representanten uttryckte vid utfrågningen, enligt vilken den som orsakar skada som en grundläggande princip också bör betala för den. Parlamentet noterar att en uppskattning av skadorna inte är genomförbar så länge tillträde till Gaza inte är möjligt. </w:t>
            </w:r>
            <w:r>
              <w:rPr>
                <w:b/>
                <w:i/>
              </w:rPr>
              <w:t>Parlamentet understryker vikten av robusta mekanismer för övervakning och ansvarsutkrävande, inbegripet oberoende verifiering av skador och behov så snart tillträde tillåts.</w:t>
            </w:r>
            <w:r>
              <w:t xml:space="preserve"> </w:t>
            </w:r>
            <w:r>
              <w:rPr>
                <w:b/>
                <w:i/>
              </w:rPr>
              <w:t>Parlamentet uppmanar utrikestjänsten att fortsätta att använda alla tillgängliga instrument, inbegripet humanitära, diplomatiska, finansiella och restriktiva åtgärder när så är lämpligt för att upprätthålla den regelbaserade världsordningen och främja varaktig fred och säkerhet i regionen.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Europaparlamentet noterar med tillfredsställelse, utifrån uppföljningsrapporten, utrikestjänstens centrala roll och åtgärder när det gäller att främja fred och stabilitet i Mellanöstern, bland annat genom att efterlysa obehindrat tillträde och oavbruten distribution av humanitärt bistånd i stor skala, i linje med internationella humanitära principer. Parlamentet välkomnar i detta sammanhang den ståndpunkt som vice ordföranden/den höga representanten uttryckte vid utfrågningen, enligt vilken </w:t>
            </w:r>
            <w:r>
              <w:rPr>
                <w:b/>
                <w:i/>
              </w:rPr>
              <w:t>den som orsakar</w:t>
            </w:r>
            <w:r>
              <w:t xml:space="preserve"> skada som en grundläggande princip </w:t>
            </w:r>
            <w:r>
              <w:rPr>
                <w:b/>
                <w:i/>
              </w:rPr>
              <w:t>också bör betala för den</w:t>
            </w:r>
            <w:r>
              <w:t xml:space="preserve">. Parlamentet noterar att en </w:t>
            </w:r>
            <w:r>
              <w:rPr>
                <w:b/>
                <w:i/>
              </w:rPr>
              <w:t>uppskattning</w:t>
            </w:r>
            <w:r>
              <w:t xml:space="preserve"> av skadorna </w:t>
            </w:r>
            <w:r>
              <w:rPr>
                <w:b/>
                <w:i/>
              </w:rPr>
              <w:t>inte är genomförbar</w:t>
            </w:r>
            <w:r>
              <w:t xml:space="preserve"> så länge tillträde till Gaza inte är möjligt.</w:t>
            </w:r>
          </w:p>
        </w:tc>
        <w:tc>
          <w:tcPr>
            <w:tcW w:w="4876" w:type="dxa"/>
            <w:tcBorders>
              <w:top w:val="nil"/>
              <w:left w:val="nil"/>
              <w:bottom w:val="nil"/>
              <w:right w:val="nil"/>
            </w:tcBorders>
          </w:tcPr>
          <w:p>
            <w:pPr>
              <w:pStyle w:val="Normal6a"/>
            </w:pPr>
            <w:r>
              <w:t>18.</w:t>
            </w:r>
            <w:r>
              <w:tab/>
            </w:r>
            <w:r>
              <w:t xml:space="preserve">Europaparlamentet noterar med tillfredsställelse, utifrån uppföljningsrapporten, utrikestjänstens centrala roll och åtgärder när det gäller att främja fred och stabilitet i Mellanöstern, bland annat genom att efterlysa obehindrat tillträde och oavbruten distribution av humanitärt bistånd i stor skala, i linje med internationella humanitära principer. Parlamentet </w:t>
            </w:r>
            <w:r>
              <w:rPr>
                <w:b/>
                <w:i/>
              </w:rPr>
              <w:t>understryker att det humanitära biståndet måste tillhandahållas på ett säkert, effektivt och avpolitiserat sätt och att det inte får avledas eller missbrukas av terroristgrupper eller väpnade grupper.</w:t>
            </w:r>
            <w:r>
              <w:t xml:space="preserve"> </w:t>
            </w:r>
            <w:r>
              <w:rPr>
                <w:b/>
                <w:i/>
              </w:rPr>
              <w:t>Parlamentet</w:t>
            </w:r>
            <w:r>
              <w:t xml:space="preserve"> välkomnar i detta sammanhang den ståndpunkt som vice ordföranden/den höga representanten uttryckte vid utfrågningen, enligt vilken </w:t>
            </w:r>
            <w:r>
              <w:rPr>
                <w:b/>
                <w:i/>
              </w:rPr>
              <w:t>ansvarsskyldighet för</w:t>
            </w:r>
            <w:r>
              <w:t xml:space="preserve"> skada som en grundläggande princip </w:t>
            </w:r>
            <w:r>
              <w:rPr>
                <w:b/>
                <w:i/>
              </w:rPr>
              <w:t>bör hanteras i enlighet med folkrätten och etablerade rättsliga ramar</w:t>
            </w:r>
            <w:r>
              <w:t xml:space="preserve">. Parlamentet noterar att en </w:t>
            </w:r>
            <w:r>
              <w:rPr>
                <w:b/>
                <w:i/>
              </w:rPr>
              <w:t>heltäckande bedömning</w:t>
            </w:r>
            <w:r>
              <w:t xml:space="preserve"> av skadorna </w:t>
            </w:r>
            <w:r>
              <w:rPr>
                <w:b/>
                <w:i/>
              </w:rPr>
              <w:t>fortfarande är för tidigt</w:t>
            </w:r>
            <w:r>
              <w:t xml:space="preserve"> så länge tillträde till Gaza inte är möjligt. </w:t>
            </w:r>
            <w:r>
              <w:rPr>
                <w:b/>
                <w:i/>
              </w:rPr>
              <w:t>Parlamentet betonar vikten av tillförlitlig, oberoende och verifierbar information som grund för alla framtida utvärderingar.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Europaparlamentet noterar med tillfredsställelse, utifrån uppföljningsrapporten, utrikestjänstens centrala roll och åtgärder när det gäller att främja fred och stabilitet i Mellanöstern, bland annat genom att efterlysa obehindrat tillträde och oavbruten distribution av humanitärt bistånd i stor skala, i linje med internationella humanitära principer. Parlamentet välkomnar i detta sammanhang den ståndpunkt som vice ordföranden/den höga representanten uttryckte vid utfrågningen, enligt vilken den som orsakar skada som en grundläggande princip också bör betala för den. Parlamentet noterar att en uppskattning av skadorna inte är genomförbar så länge tillträde till Gaza inte är möjligt.</w:t>
            </w:r>
          </w:p>
        </w:tc>
        <w:tc>
          <w:tcPr>
            <w:tcW w:w="4876" w:type="dxa"/>
            <w:tcBorders>
              <w:top w:val="nil"/>
              <w:left w:val="nil"/>
              <w:bottom w:val="nil"/>
              <w:right w:val="nil"/>
            </w:tcBorders>
          </w:tcPr>
          <w:p>
            <w:pPr>
              <w:pStyle w:val="Normal6a"/>
            </w:pPr>
            <w:r>
              <w:t>18.</w:t>
            </w:r>
            <w:r>
              <w:tab/>
            </w:r>
            <w:r>
              <w:t xml:space="preserve">Europaparlamentet noterar med tillfredsställelse, utifrån uppföljningsrapporten, utrikestjänstens centrala roll och åtgärder när det gäller att främja fred och stabilitet i Mellanöstern, bland annat genom att efterlysa obehindrat tillträde och oavbruten distribution av humanitärt bistånd i stor skala, i linje med internationella humanitära principer. Parlamentet välkomnar i detta sammanhang den ståndpunkt som vice ordföranden/den höga representanten uttryckte vid utfrågningen, enligt vilken den som orsakar skada som en grundläggande princip också bör betala för den. Parlamentet noterar att en uppskattning av skadorna inte är genomförbar så länge tillträde till Gaza inte är möjligt. </w:t>
            </w:r>
            <w:r>
              <w:rPr>
                <w:b/>
                <w:i/>
              </w:rPr>
              <w:t>Parlamentet uttrycker stark oro över utrikestjänstens fortsatta stöd till UNRWA trots anklagelser om resursmissbruk och kopplingar mellan UNRWA:s personal och Hamas.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påminner om sin ståndpunkt om EU:s budget för 2026 och vikten av att stödja politiska, ekonomiska och sociala reformer i det södra grannskapet, inbegripet att ta itu med ökande humanitära behov.</w:t>
            </w:r>
            <w:r>
              <w:t xml:space="preserve"> </w:t>
            </w:r>
            <w:r>
              <w:rPr>
                <w:b/>
                <w:i/>
              </w:rPr>
              <w:t>Parlamentet påminner om att Europeiska utrikestjänsten ansvarar för att tillhandahålla politisk vägledning och strategisk tillsyn över unionens yttre åtgärder, medan kommissionen har fullt ansvar för förvaltningen, upphandlingen och utbetalningen av EU:s budgetmedel till genomförandepartner och internationella organisationer.</w:t>
            </w:r>
            <w:r>
              <w:t xml:space="preserve"> </w:t>
            </w:r>
            <w:r>
              <w:rPr>
                <w:b/>
                <w:i/>
              </w:rPr>
              <w:t>Parlamentet noterar FN:s svar på de anklagelser som riktats mot 19 av UNRWA:s 13 000 anställda i Gazaremsan för deras eventuella inblandning i terroristattackerna mot Israel den 7 oktober 2023, inbegripet den OIOS-utredning som genomfördes i samarbete med Israel och som ledde till uppsägning av nio anställda i tjänstens intresse, och de rekommendationer som utfärdades genom Colonna-översynen.</w:t>
            </w:r>
            <w:r>
              <w:t xml:space="preserve"> </w:t>
            </w:r>
            <w:r>
              <w:rPr>
                <w:b/>
                <w:i/>
              </w:rPr>
              <w:t>Parlamentet noterar Internationella domstolens rådgivande yttrande av den 22 oktober 2025, där det konstateras att den tillgängliga informationen är otillräcklig för att fastställa brist på neutralitet från UNRWA:s sida som organisation.</w:t>
            </w:r>
            <w:r>
              <w:t xml:space="preserve"> </w:t>
            </w:r>
            <w:r>
              <w:rPr>
                <w:b/>
                <w:i/>
              </w:rPr>
              <w:t>Parlamentet välkomnar kommissionens bedömning att UNRWA står fast vid sitt åtagande att genomföra Colonna-rekommendationerna och noterar att alla villkor som överenskommits med EU för fortsatt finansiering under 2024 har uppfyllts, inbegripet slutförandet av en revision av experter som utsetts av EU.</w:t>
            </w:r>
            <w:r>
              <w:t xml:space="preserve"> </w:t>
            </w:r>
            <w:r>
              <w:rPr>
                <w:b/>
                <w:i/>
              </w:rPr>
              <w:t>Parlamentet uppmuntrar i detta avseende kommissionens fortsatta engagemang och nära övervakning för att säkerställa fortsatt finansiering med garantier för neutralitet, transparens och ansvarsskyldighet.</w:t>
            </w:r>
            <w:r>
              <w:t xml:space="preserve"> </w:t>
            </w:r>
            <w:r>
              <w:rPr>
                <w:b/>
                <w:i/>
              </w:rPr>
              <w:t>Parlamentet noterar att UNRWA, i linje med internationell praxis för FN-organ som är verksamma inom utbildning, använder värdlandets läroplaner och lokalt utgivna läroböcker i sina skolor, som dock systematiskt granskas för att fånga upp eventuellt problematiskt innehåll.</w:t>
            </w:r>
            <w:r>
              <w:t xml:space="preserve"> </w:t>
            </w:r>
            <w:r>
              <w:rPr>
                <w:b/>
                <w:i/>
              </w:rPr>
              <w:t>Parlamentet noterar att unionen inte finansierar de palestinska läroböckerna.</w:t>
            </w:r>
            <w:r>
              <w:t xml:space="preserve"> </w:t>
            </w:r>
            <w:r>
              <w:rPr>
                <w:b/>
                <w:i/>
              </w:rPr>
              <w:t>Parlamentet välkomnar kommissionens samarbete med den palestinska myndigheten om en reform av läroplanerna och noterar de framsteg som gjorts när det gäller att anpassa läromedlen till Unescos standarder.</w:t>
            </w:r>
            <w:r>
              <w:t xml:space="preserve"> </w:t>
            </w:r>
            <w:r>
              <w:rPr>
                <w:b/>
                <w:i/>
              </w:rPr>
              <w:t>Parlamentet påminner om att den palestinska myndigheten måste avlägsna allt utbildningsmaterial och allt utbildningsinnehåll som inte följer Unescos standarder.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Europaparlamentet bekräftar att unionen inte finansierar de palestinska läroböckerna och att UNRWA, i linje med internationell praxis för FN-organ som är verksamma inom utbildning, använder värdlandets läroplaner och de lokalt utgivna läroböckerna i sina skolor.</w:t>
            </w:r>
            <w:r>
              <w:t xml:space="preserve"> </w:t>
            </w:r>
            <w:r>
              <w:rPr>
                <w:b/>
                <w:i/>
              </w:rPr>
              <w:t>Parlamentet välkomnar dock kommissionens samarbete med den palestinska myndigheten om en reform av läroplanerna på grundval av Unescos standarder.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uppmanar utrikestjänsten att arbeta i nära samarbete med kommissionen för att se till att den palestinska myndigheten snabbt avlägsnar allt utbildningsmaterial som inte uppfyller Unescos standarder för fred och tolerans.</w:t>
            </w:r>
            <w:r>
              <w:t xml:space="preserve"> </w:t>
            </w:r>
            <w:r>
              <w:rPr>
                <w:b/>
                <w:i/>
              </w:rPr>
              <w:t>Parlamentet insisterar på att ett villkor för EU-finansiering måste vara att hatpropaganda och uppvigling till våld tas bort från skolornas läroplaner.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uttrycker djup oro över anklagelserna om att anställda vid UNRWA i Gaza var involverade i de avskyvärda terroristattacker som Hamas utförde mot Israel den 7 oktober 2023.</w:t>
            </w:r>
            <w:r>
              <w:t xml:space="preserve"> </w:t>
            </w:r>
            <w:r>
              <w:rPr>
                <w:b/>
                <w:i/>
              </w:rPr>
              <w:t>Parlamentet uppmanar kommissionen och utrikestjänsten att se till att inga unionsmedel tilldelas enskilda personer eller organisationer som är kopplade till någon form av terroriströrelse eller någon annan rörelse som uttrycker extremistiska åsikter som direkt strider mot EU:s grundläggande värden.</w:t>
            </w:r>
            <w:r>
              <w:t xml:space="preserve"> </w:t>
            </w:r>
            <w:r>
              <w:rPr>
                <w:b/>
                <w:i/>
              </w:rPr>
              <w:t>Parlamentet påminner om vikten av att kommissionen och utrikestjänsten garanterar oberoende kontroller av UNRWA utförda av externa experter, revisionsrätten och erfarna internationella partner.</w:t>
            </w:r>
            <w:r>
              <w:t xml:space="preserve"> </w:t>
            </w:r>
            <w:r>
              <w:rPr>
                <w:b/>
                <w:i/>
              </w:rPr>
              <w:t>Parlamentet uppmanar utrikestjänsten att vid behov samarbeta med andra pålitliga partner i Gaza och de palestinska territorierna för att säkerställa fortsatta leveranser av humanitärt bistånd till den palestinska befolkningen.</w:t>
            </w:r>
            <w:r>
              <w:t xml:space="preserve"> </w:t>
            </w:r>
            <w:r>
              <w:rPr>
                <w:b/>
                <w:i/>
              </w:rPr>
              <w:t>Parlamentet välkomnar de åtaganden som nyligen gjorts för att få ett slut på kriget i Gaza och noterar den fredsplan i 20 punkter som föreslagits av den amerikanska regeringen.</w:t>
            </w:r>
            <w:r>
              <w:t xml:space="preserve"> </w:t>
            </w:r>
            <w:r>
              <w:rPr>
                <w:b/>
                <w:i/>
              </w:rPr>
              <w:t>Parlamentet uppmanar utrikestjänsten att samarbeta med fredsstyrelsen för att främja en rättvis, varaktig och hållbar fred i Gaza och i hela Mellanöstern.</w:t>
            </w:r>
            <w:r>
              <w:t xml:space="preserve"> </w:t>
            </w:r>
            <w:r>
              <w:rPr>
                <w:b/>
                <w:i/>
              </w:rPr>
              <w:t>Parlamentet välkomnar utnämningen av en hög representant för Gaza som ett steg mot förstärkt dialog och förtroendeskapande mellan alla berörda parter.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Europaparlamentet påminner om att utrikestjänsten ansvarar för att tillhandahålla politisk vägledning och strategisk tillsyn över unionens yttre åtgärder, medan kommissionen har fullt ansvar för förvaltningen, upphandlingen och utbetalningen av EU:s budgetmedel till genomförandepartner och internationella organisationer.</w:t>
            </w:r>
            <w:r>
              <w:t xml:space="preserve"> </w:t>
            </w:r>
            <w:r>
              <w:rPr>
                <w:b/>
                <w:i/>
              </w:rPr>
              <w:t>Parlamentet välkomnar i detta sammanhang kommissionens bedömning att UNRWA uppfyllde alla villkor som överenskommits med EU för fortsatt finansiering under 2024, inbegripet slutförandet av en revision av experter som utsetts av EU.</w:t>
            </w:r>
            <w:r>
              <w:t xml:space="preserve"> </w:t>
            </w:r>
            <w:r>
              <w:rPr>
                <w:b/>
                <w:i/>
              </w:rPr>
              <w:t>Parlamentet uppmuntrar i detta avseende kommissionens fortsatta engagemang och nära övervakning för att säkerställa fortsatt finansiering med garantier för neutralitet, transparens och ansvarsskyldighet.</w:t>
            </w:r>
            <w:r>
              <w:t xml:space="preserve"> </w:t>
            </w:r>
            <w:r>
              <w:rPr>
                <w:b/>
                <w:i/>
              </w:rPr>
              <w:t>Parlamentet betonar den centrala roll som UNRWA spelar när det gäller att tillhandahålla humanitärt bistånd till palestinska flyktingar, i linje med unionens mål att stödja politiska, ekonomiska och sociala reformer i det södra grannskapet, och upprepar sin uppmaning i sin resolution av den 20 januari 2026 om humanitärt stöd i en tid av polykriser.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Europaparlamentet påminner om att den palestinska myndigheten måste avlägsna allt utbildningsmaterial och allt utbildningsinnehåll som inte följer Unescos standarder, särskilt sådant som innehåller antisemitism enligt definitionen från den internationella alliansen till minne av förintelsen och dess klassificering som godkänts av unionen, uppvigling till våld, hatpropaganda och förhärligande av terrorism.</w:t>
            </w:r>
            <w:r>
              <w:t xml:space="preserve"> </w:t>
            </w:r>
            <w:r>
              <w:rPr>
                <w:b/>
                <w:i/>
              </w:rPr>
              <w:t>Parlamentet betonar att ekonomiskt stöd från unionen till den palestinska myndigheten på utbildningsområdet bör ges under förutsättning att läroböckernas innehåll är anpassat till Unescos standarder, att alla antisemitiska hänvisningar tas bort, och att exempel som uppmanar till hat och våld tas bort, vilket upprepade gånger efterfrågas i de resolutioner som åtföljer besluten om ansvarsfrihet.</w:t>
            </w:r>
            <w:r>
              <w:t xml:space="preserve"> </w:t>
            </w:r>
            <w:r>
              <w:rPr>
                <w:b/>
                <w:i/>
              </w:rPr>
              <w:t>Parlamentet påminner om slutsatserna i Georg Eckert-institutets rapport, som finansieras av unionen och som avslöjade en komplex bild av läroböckerna.</w:t>
            </w:r>
            <w:r>
              <w:t xml:space="preserve"> </w:t>
            </w:r>
            <w:r>
              <w:rPr>
                <w:b/>
                <w:i/>
              </w:rPr>
              <w:t>Parlamentet uppmanar utrikestjänsten att tillsammans med kommissionen se till att inga unionsmedel direkt eller indirekt anslås till utformning, undervisning eller exponering av sådant utbildningsmaterial till palestinska barn, inklusive det som tillhandahålls av FN-organisationer.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Europaparlamentet uttrycker oro över rapporten om misstänkta interna Hamas-dokument från 2018–2022 vilka ursprungligen hittades av den israeliska försvarsmakten (IDF) i Gazaremsan och senare fick sin säkerhetsskyddsklassificering hävd och spreds genom NGO Monitor, som påstås tyda på försök till infiltration och övervakning inom EU-finansierade humanitära projekt i Gazaremsan.</w:t>
            </w:r>
            <w:r>
              <w:t xml:space="preserve"> </w:t>
            </w:r>
            <w:r>
              <w:rPr>
                <w:b/>
                <w:i/>
              </w:rPr>
              <w:t>Parlamentet noterar att både de organisationer som nämns i rapporten och kommissionen starkt har avvisat påståendena och hävdat att de saknar underbyggda bevis.</w:t>
            </w:r>
            <w:r>
              <w:t xml:space="preserve"> </w:t>
            </w:r>
            <w:r>
              <w:rPr>
                <w:b/>
                <w:i/>
              </w:rPr>
              <w:t>Parlamentet påminner om att EU i enlighet med budgetförordningen har ett stabilt kontrollsystem, inbegripet dess system för tillbörlig aktsamhet, screening för terrorismbekämpning och personalkontroll, som åläggs alla genomförandepartner.</w:t>
            </w:r>
            <w:r>
              <w:t xml:space="preserve"> </w:t>
            </w:r>
            <w:r>
              <w:rPr>
                <w:b/>
                <w:i/>
              </w:rPr>
              <w:t>Parlamentet påminner om att kontrollmekanismerna, i mångt och mycket till följd av Europaparlamentets krav, har förstärkts ytterligare sedan 2023, blandat annat med särskilda revisioner, riskanalyser och ytterligare extern övervakning.</w:t>
            </w:r>
            <w:r>
              <w:t xml:space="preserve"> </w:t>
            </w:r>
            <w:r>
              <w:rPr>
                <w:b/>
                <w:i/>
              </w:rPr>
              <w:t>Parlamentet betonar att alla påståenden om missbruk av medel från EU:s skattebetalare noggrant bör kontrolleras och uppmanar eftertryckligen kommissionen att utreda alla påståenden om någon form av otillbörlig infiltration och otillbörligt inflytande inom EU-finansierade humanitära projekt i högriskområden och att dra in eller återkräva EU-finansiering om överträdelser bekräftas.</w:t>
            </w:r>
            <w:r>
              <w:t xml:space="preserve"> </w:t>
            </w:r>
            <w:r>
              <w:rPr>
                <w:b/>
                <w:i/>
              </w:rPr>
              <w:t>Parlamentet varnar för att desinformation och informationskrigföring för strategiska ändamål är vanligt förekommande i väpnade konflikter.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Europaparlamentet uttrycker djup oro över den senaste tidens rapporter, baserade på interna tidigare hemligstämplade Hamas-dokument, som tyder på systematisk infiltration och övervakning, ofta genom Hamas-anknutna så kallade garanter, av internationella icke-statliga organisationer som är verksamma i Gazaremsan, inbegripet organisationer som tar emot direkt EU-finansiering.</w:t>
            </w:r>
            <w:r>
              <w:t xml:space="preserve"> </w:t>
            </w:r>
            <w:r>
              <w:rPr>
                <w:b/>
                <w:i/>
              </w:rPr>
              <w:t>Parlamentet betonar att dessa avslöjanden medför allvarliga risker för att EU-skattebetalarnas medel indirekt kan ha avletts till förmån för en utpekad terroristorganisation, vilket undergräver integriteten i EU:s bistånd.</w:t>
            </w:r>
            <w:r>
              <w:t xml:space="preserve"> </w:t>
            </w:r>
            <w:r>
              <w:rPr>
                <w:b/>
                <w:i/>
              </w:rPr>
              <w:t>Parlamentet uppmanar eftertryckligen kommissionen att skyndsamt och grundligt utreda alla anklagelser om Hamas infiltration och otillbörliga inflytande inom EU-finansierade humanitära projekt i Gazaremsan och att dra in eller återkräva EU-finansiering om överträdelser bekräftas.</w:t>
            </w:r>
            <w:r>
              <w:t xml:space="preserve"> </w:t>
            </w:r>
            <w:r>
              <w:rPr>
                <w:b/>
                <w:i/>
              </w:rPr>
              <w:t>Parlamentet uppmanar kommissionen och utrikestjänsten att införa förstärkta mekanismer för prövning, tillbörlig aktsamhet och övervakning för icke-statliga organisationer som är verksamma i högriskområden såsom Gaza, i syfte att förhindra infiltration av terroristgrupper och garantera att EU-medel uteslutande används för legitima humanitära ändamål.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18c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Europaparlamentet noterar med oro att misstänkta interna Hamas-dokument som tyder på försök till infiltration inom EU-finansierade humanitära projekt i Gazaremsan lär ha hittats av IDF i området och spridits genom NGO Monitor.</w:t>
            </w:r>
            <w:r>
              <w:t xml:space="preserve"> </w:t>
            </w:r>
            <w:r>
              <w:rPr>
                <w:b/>
                <w:i/>
              </w:rPr>
              <w:t>Parlamentet noterar att påståendena har avvisats som ogrundade av kommissionen och de berörda organisationerna.</w:t>
            </w:r>
            <w:r>
              <w:t xml:space="preserve"> </w:t>
            </w:r>
            <w:r>
              <w:rPr>
                <w:b/>
                <w:i/>
              </w:rPr>
              <w:t>Parlamentet påminner om att EU har ett stabilt kontrollsystem som har förstärkts ytterligare sedan 2023.</w:t>
            </w:r>
            <w:r>
              <w:t xml:space="preserve"> </w:t>
            </w:r>
            <w:r>
              <w:rPr>
                <w:b/>
                <w:i/>
              </w:rPr>
              <w:t>Parlamentet varnar för riskerna med informationskrigföring för strategiska ändamål och uppmanar eftertryckligen kommissionen att bestyrka bevisen genom oberoende kontroll och sedan bedöma anklagelserna innan den vidtar lämpliga uppföljningsåtgärder.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noterar utifrån uppföljningsrapporten utrikestjänstens pågående insatser för att stödja dialogen om den politiska, ekonomiska och sociala situationen, rättsstatsprincipen och kampen mot korruption samt stärka demokratin och de mänskliga rättigheterna i olika länder. Parlamentet välkomnar att utrikestjänsten och unionens delegationer fortsätter att samarbeta med företrädare för nationella förvaltningar och institutioner, organisationer i det civila samhället, berörda parter som är specialiserade på demokratisk samhällsstyrning, mänskliga rättigheter, medier, arbetsmarknadens parter och internationella och regionala organisationer. Parlamentet noterar att stöd till människorättsförsvarare och kvinnliga människorättsförsvarare, inbegripet kvinnor från urfolk, är en av utrikestjänstens huvudprioriteringar i linje med unionens handlingsplan för mänskliga rättigheter och demokrati 2020–2027, och främjas genom en rad verksamheter, däribland politiska dialoger, politisk rapportering, offentlig diplomati, multilaterala forum och årliga rapporter om genomförandet av mänskliga rättigheter.</w:t>
            </w:r>
          </w:p>
        </w:tc>
        <w:tc>
          <w:tcPr>
            <w:tcW w:w="4876" w:type="dxa"/>
            <w:tcBorders>
              <w:top w:val="nil"/>
              <w:left w:val="nil"/>
              <w:bottom w:val="nil"/>
              <w:right w:val="nil"/>
            </w:tcBorders>
          </w:tcPr>
          <w:p>
            <w:pPr>
              <w:pStyle w:val="Normal6a"/>
            </w:pPr>
            <w:r>
              <w:t>19.</w:t>
            </w:r>
            <w:r>
              <w:tab/>
            </w:r>
            <w:r>
              <w:t xml:space="preserve">Europaparlamentet noterar utifrån uppföljningsrapporten utrikestjänstens pågående insatser för att stödja dialogen om den politiska, ekonomiska och sociala situationen, rättsstatsprincipen och kampen mot korruption samt stärka demokratin och de mänskliga rättigheterna i olika länder. Parlamentet välkomnar att utrikestjänsten och unionens delegationer fortsätter att samarbeta med företrädare för nationella förvaltningar och institutioner, organisationer i det civila samhället, berörda parter som är specialiserade på demokratisk samhällsstyrning, mänskliga rättigheter, medier, arbetsmarknadens parter och internationella och regionala organisationer. Parlamentet </w:t>
            </w:r>
            <w:r>
              <w:rPr>
                <w:b/>
                <w:i/>
              </w:rPr>
              <w:t>betonar dock att tredjeländers samarbete i fråga om migration, bland annat när det gäller att förhindra irreguljär migration, effektiv gränsförvaltning och återtagande av sina egna medborgare, måste vara ett centralt mål för unionens yttre åtgärder.</w:t>
            </w:r>
            <w:r>
              <w:t xml:space="preserve"> </w:t>
            </w:r>
            <w:r>
              <w:rPr>
                <w:b/>
                <w:i/>
              </w:rPr>
              <w:t>Parlamentet understryker att detta samarbete bör vara ett viktigt inslag i utvecklingen och genomförandet av partnerskap, politisk dialog och tilldelningen av EU-medel och incitament.</w:t>
            </w:r>
            <w:r>
              <w:t xml:space="preserve"> </w:t>
            </w:r>
            <w:r>
              <w:rPr>
                <w:b/>
                <w:i/>
              </w:rPr>
              <w:t>Parlamentet</w:t>
            </w:r>
            <w:r>
              <w:t xml:space="preserve"> noterar att stöd till människorättsförsvarare och kvinnliga människorättsförsvarare, inbegripet kvinnor från urfolk, är en av utrikestjänstens huvudprioriteringar i linje med unionens handlingsplan för mänskliga rättigheter och demokrati 2020–2027, och främjas genom en rad verksamheter, däribland politiska dialoger, politisk rapportering, offentlig diplomati, multilaterala forum och årliga rapporter om genomförandet av mänskliga rättigheter.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Europaparlamentet noterar utifrån uppföljningsrapporten utrikestjänstens pågående insatser för att stödja dialogen om den politiska, ekonomiska och sociala situationen, rättsstatsprincipen och kampen mot korruption samt stärka demokratin och de mänskliga rättigheterna i olika länder. Parlamentet välkomnar att utrikestjänsten och unionens delegationer fortsätter att samarbeta med företrädare för nationella förvaltningar och institutioner, organisationer i det civila samhället, berörda parter som är specialiserade på demokratisk samhällsstyrning, mänskliga rättigheter, medier, arbetsmarknadens parter och internationella och regionala organisationer. Parlamentet noterar att stöd till människorättsförsvarare och kvinnliga människorättsförsvarare, inbegripet kvinnor från urfolk, är en av utrikestjänstens huvudprioriteringar i linje med unionens handlingsplan för mänskliga rättigheter och demokrati 2020–2027, och främjas genom en rad verksamheter, däribland politiska dialoger, politisk rapportering, offentlig diplomati, multilaterala forum och årliga rapporter om genomförandet av mänskliga rättigheter.</w:t>
            </w:r>
          </w:p>
        </w:tc>
        <w:tc>
          <w:tcPr>
            <w:tcW w:w="4876" w:type="dxa"/>
            <w:tcBorders>
              <w:top w:val="nil"/>
              <w:left w:val="nil"/>
              <w:bottom w:val="nil"/>
              <w:right w:val="nil"/>
            </w:tcBorders>
          </w:tcPr>
          <w:p>
            <w:pPr>
              <w:pStyle w:val="Normal6a"/>
            </w:pPr>
            <w:r>
              <w:t>19.</w:t>
            </w:r>
            <w:r>
              <w:tab/>
            </w:r>
            <w:r>
              <w:t xml:space="preserve">Europaparlamentet noterar utifrån uppföljningsrapporten utrikestjänstens pågående insatser för att stödja dialogen om den politiska, ekonomiska och sociala situationen, rättsstatsprincipen och kampen mot korruption samt stärka demokratin och de mänskliga rättigheterna i olika länder. Parlamentet välkomnar att utrikestjänsten och unionens delegationer fortsätter att samarbeta med företrädare för nationella förvaltningar och institutioner, organisationer i det civila samhället, berörda parter som är specialiserade på demokratisk samhällsstyrning, mänskliga rättigheter, medier, arbetsmarknadens parter och internationella och regionala organisationer. Parlamentet noterar att stöd till människorättsförsvarare och kvinnliga människorättsförsvarare, inbegripet kvinnor från urfolk, är en av utrikestjänstens huvudprioriteringar i linje med unionens handlingsplan för mänskliga rättigheter och demokrati 2020–2027, och främjas genom en rad verksamheter, däribland politiska dialoger, politisk rapportering, offentlig diplomati, multilaterala forum och årliga rapporter om genomförandet av mänskliga rättigheter. </w:t>
            </w:r>
            <w:r>
              <w:rPr>
                <w:b/>
                <w:i/>
              </w:rPr>
              <w:t>Parlamentet uppmanar utrikestjänsten och unionens delegationer att stärka sitt utmärkta arbete med att tillhandahålla bistånd och logistiskt och tekniskt stöd till, och samarbete med, människorättsförsvarare, i linje med EU:s riktlinjer om människorättsförsvarare, med särskilt fokus på kvinnor.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Europaparlamentet beklagar djupt den fortsatta avsaknaden av en europeisk samordnare med uppgift att bekämpa kristofobi, trots att det finns särskilda samordnare för att bekämpa antisemitism och antimuslimskt hat.</w:t>
            </w:r>
            <w:r>
              <w:t xml:space="preserve"> </w:t>
            </w:r>
            <w:r>
              <w:rPr>
                <w:b/>
                <w:i/>
              </w:rPr>
              <w:t>Parlamentet konstaterar att denna institutionella obalans undergräver samstämdheten och trovärdigheten i EU:s strategi för skydd av religions- och trosfriheten.</w:t>
            </w:r>
            <w:r>
              <w:t xml:space="preserve"> </w:t>
            </w:r>
            <w:r>
              <w:rPr>
                <w:b/>
                <w:i/>
              </w:rPr>
              <w:t>Parlamentet påminner om att över 380 miljoner kristna världen över utsätts för diskriminering, förföljelse eller våldsamma attacker på grund av sin tro.</w:t>
            </w:r>
            <w:r>
              <w:t xml:space="preserve"> </w:t>
            </w:r>
            <w:r>
              <w:rPr>
                <w:b/>
                <w:i/>
              </w:rPr>
              <w:t>Parlamentet uppmanar kommissionen och utrikestjänsten att inom ramen för sina respektive befogenheter säkerställa lika stor politisk uppmärksamhet, samordning och ansvarsskyldighet när det gäller att ta itu med alla former av religiöst hat, inbegripet hat mot kristna, och att rapportera till parlamentet om de åtgärder som vidtagits och de resurser som anslagits i detta avseende.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19a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Europaparlamentet beklagar att unionen visserligen har utsett samordnare för bekämpning av antisemitism och islamofobi, men att det för närvarande inte finns någon motsvarande samordnare för att bekämpa diskriminering och hat mot kristna.</w:t>
            </w:r>
            <w:r>
              <w:t xml:space="preserve"> </w:t>
            </w:r>
            <w:r>
              <w:rPr>
                <w:b/>
                <w:i/>
              </w:rPr>
              <w:t>Parlamentet anser att denna avsaknad är diskriminerande och begär att lika stor uppmärksamhet ägnas åt alla former av religiös intolerans.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Europaparlamentet konstaterar utifrån frågeformuläret att tjänsten för verksamhetsstyrning, som inrättades 2023, spelar en viktig roll när det gäller att förbättra utrikestjänstens förvaltning genom att stödja utarbetandet av utrikestjänstens årliga förvaltningsplaner och årliga verksamhetsrapporter, stärka riskhanteringsprocesserna, ta itu med systemrelaterade verksamhetsfrågor vid unionens delegationer och genomföra konceptet One Delegation, som syftar till att minska fragmenteringen av förvaltningen och rapporteringen och dokumentera återkommande problem och bästa praxis vid både huvudkontoret och unionens delegation.</w:t>
            </w:r>
          </w:p>
        </w:tc>
        <w:tc>
          <w:tcPr>
            <w:tcW w:w="4876" w:type="dxa"/>
            <w:tcBorders>
              <w:top w:val="nil"/>
              <w:left w:val="nil"/>
              <w:bottom w:val="nil"/>
              <w:right w:val="nil"/>
            </w:tcBorders>
          </w:tcPr>
          <w:p>
            <w:pPr>
              <w:pStyle w:val="Normal6a"/>
            </w:pPr>
            <w:r>
              <w:t>20.</w:t>
            </w:r>
            <w:r>
              <w:tab/>
            </w:r>
            <w:r>
              <w:t xml:space="preserve">Europaparlamentet konstaterar utifrån frågeformuläret att tjänsten för verksamhetsstyrning, som inrättades 2023, spelar en viktig roll när det gäller att förbättra utrikestjänstens förvaltning genom att stödja utarbetandet av utrikestjänstens årliga förvaltningsplaner och årliga verksamhetsrapporter, stärka riskhanteringsprocesserna, ta itu med systemrelaterade verksamhetsfrågor vid unionens delegationer och genomföra konceptet One Delegation, som syftar till att minska fragmenteringen av förvaltningen och rapporteringen och dokumentera återkommande problem och bästa praxis vid både huvudkontoret och unionens delegation. </w:t>
            </w:r>
            <w:r>
              <w:rPr>
                <w:b/>
                <w:i/>
              </w:rPr>
              <w:t>Parlamentet uppmanar utrikestjänsten att snabbt ta itu med de brister i internkontrollerna och dokumenthanteringen som revisionsrätten lyft fram, i syfte att förbättra informationshanteringens integritet och säkerställa en konsekvent rapportering mellan EU:s delegationer.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Europaparlamentet noterar med tillfredsställelse utifrån uppföljningsrapporten och frågeformuläret de insatser som utrikestjänsten gjort för en feministisk diplomati, även om medlemsstaterna har den ledande rollen när det gäller att fastställa riktlinjerna för unionens yttre åtgärder.</w:t>
            </w:r>
            <w:r>
              <w:t xml:space="preserve"> </w:t>
            </w:r>
            <w:r>
              <w:rPr>
                <w:b/>
                <w:i/>
              </w:rPr>
              <w:t>Parlamentet välkomnar i synnerhet de åtgärder som vidtagits för att påskynda genomförandet av unionens åtaganden enligt den tredje handlingsplanen för jämställdhet.</w:t>
            </w:r>
            <w:r>
              <w:t xml:space="preserve"> </w:t>
            </w:r>
            <w:r>
              <w:rPr>
                <w:b/>
                <w:i/>
              </w:rPr>
              <w:t>Parlamentet noterar att unionens ambassadör för jämställdhet och mångfald deltog i insatser för att integrera ett jämställdhetsperspektiv i människorättsdialoger och viktiga multilaterala uttalanden och resolutioner.</w:t>
            </w:r>
            <w:r>
              <w:t xml:space="preserve"> </w:t>
            </w:r>
            <w:r>
              <w:rPr>
                <w:b/>
                <w:i/>
              </w:rPr>
              <w:t>Parlamentet noterar vidare att jämställdhetsmedvetet ledarskap fortsatte att vara ett centralt inslag i institutionaliseringen av jämställdhetsintegrering.</w:t>
            </w:r>
            <w:r>
              <w:t xml:space="preserve"> </w:t>
            </w:r>
            <w:r>
              <w:rPr>
                <w:b/>
                <w:i/>
              </w:rPr>
              <w:t>Parlamentet välkomnar i detta sammanhang utnämningen av kontaktpunkter för jämställdhetsfrågor i november 2024.</w:t>
            </w:r>
            <w:r>
              <w:t xml:space="preserve"> </w:t>
            </w:r>
            <w:r>
              <w:rPr>
                <w:b/>
                <w:i/>
              </w:rPr>
              <w:t>Parlamentet noterar att den tredje handlingsplanen för jämställdhet löper ut 2027, och riktar därför en bestämd uppmaning till utrikestjänsten att utveckla en mer ambitiös fjärde handlingsplan för jämställdhet som säkerställer en starkare koppling mellan å ena sidan kvinnors rättigheter och egenmakt och å andra sidan EU:s utrikes- och säkerhetspolitik och som är klar att genomföras från och med 2028.</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21a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Europaparlamentet påminner om att EU och dess institutioner enligt fördraget om Europeiska unionen ska främja solidaritet och jämställdhet mellan kvinnor och män.</w:t>
            </w:r>
            <w:r>
              <w:t xml:space="preserve"> </w:t>
            </w:r>
            <w:r>
              <w:rPr>
                <w:b/>
                <w:i/>
              </w:rPr>
              <w:t>Parlamentet uppmanar institutionen att avstå från att främja, sprida och stödja genus- och woke-ideologi samt att respektera fördraget och dess bestämmelser och medlemsstaternas nationella identiteter, som kommer till uttryck i deras grundläggande strukturer, historia, religion och traditioner.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Dick Erixon,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Europaparlamentet betonar att unionen inom ramen för unionens utrikespolitiska åtgärder måste öka finansieringen för att förstärka den särskilda budgetposten för jämställdhet och agendan för kvinnor, fred och säkerhet, i syfte att säkerställa konsekvent finansiering av initiativ som främjar jämställdhetsmedvetet ledarskap, skyddar kvinnors rättigheter och motverkar sexuellt och könsrelaterat våld i konfliktsituationer och efter konflikter.</w:t>
            </w:r>
            <w:r>
              <w:t xml:space="preserve"> </w:t>
            </w:r>
            <w:r>
              <w:rPr>
                <w:b/>
                <w:i/>
              </w:rPr>
              <w:t>Parlamentet betonar att sådan finansiering är avgörande för att stödja lokala civilsamhällesorganisationer, tillhandahålla stöd till överlevande och integrera jämställdhetsperspektivet i unionens diplomatiska insatser och säkerhetsinsatser.</w:t>
            </w:r>
          </w:p>
        </w:tc>
        <w:tc>
          <w:tcPr>
            <w:tcW w:w="4876" w:type="dxa"/>
            <w:tcBorders>
              <w:top w:val="nil"/>
              <w:left w:val="nil"/>
              <w:bottom w:val="nil"/>
              <w:right w:val="nil"/>
            </w:tcBorders>
          </w:tcPr>
          <w:p>
            <w:pPr>
              <w:pStyle w:val="Normal6a"/>
            </w:pPr>
            <w:r>
              <w:rPr>
                <w:b/>
                <w:i/>
              </w:rPr>
              <w:t>utgår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Europaparlamentet ser valobservatörsuppdrag som ett ändamålsenligt och effektivt utrikespolitiskt instrument som förblir centralt för EU:s politik och strategier för demokratistöd. Parlamentet konstaterar utifrån uppföljningsrapporten att utrikestjänsten inte har några utsikter att utvidga observatörsarbetet så att det kommer att omfatta kandidatländer och grannländer, eftersom dessa länder i tillräcklig utsträckning omfattas av de observatörsuppdrag som leds av OSSE:s kontor för demokratiska institutioner och mänskliga rättigheter, som använt en metod som liknar unionens och i många fall hämtar experter från samma reserv av yrkesverksamma. Parlamentet upprepar dock sin uppmaning till unionen att säkerställa tillräckliga resurser till unionens valobservatörsuppdrag.</w:t>
            </w:r>
          </w:p>
        </w:tc>
        <w:tc>
          <w:tcPr>
            <w:tcW w:w="4876" w:type="dxa"/>
            <w:tcBorders>
              <w:top w:val="nil"/>
              <w:left w:val="nil"/>
              <w:bottom w:val="nil"/>
              <w:right w:val="nil"/>
            </w:tcBorders>
          </w:tcPr>
          <w:p>
            <w:pPr>
              <w:pStyle w:val="Normal6a"/>
            </w:pPr>
            <w:r>
              <w:t>23.</w:t>
            </w:r>
            <w:r>
              <w:tab/>
            </w:r>
            <w:r>
              <w:t>Europaparlamentet ser valobservatörsuppdrag som ett ändamålsenligt och effektivt utrikespolitiskt instrument som förblir centralt för EU:s politik och strategier för demokratistöd. Parlamentet konstaterar utifrån uppföljningsrapporten att utrikestjänsten inte har några utsikter att utvidga observatörsarbetet så att det kommer att omfatta kandidatländer och grannländer, eftersom dessa länder i tillräcklig utsträckning omfattas av de observatörsuppdrag som leds av OSSE:s kontor för demokratiska institutioner och mänskliga rättigheter, som använt en metod som liknar unionens och i många fall hämtar experter från samma reserv av yrkesverksamma. Parlamentet upprepar dock sin uppmaning till unionen att säkerställa tillräckliga resurser</w:t>
            </w:r>
            <w:r>
              <w:rPr>
                <w:b/>
                <w:i/>
              </w:rPr>
              <w:t>, inbegripet expertis inom informationsintegritet online och risker för inblandning i valövervakningsmetoder,</w:t>
            </w:r>
            <w:r>
              <w:t xml:space="preserve"> till unionens valobservatörsuppdrag.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Europaparlamentet påminner om att parlamentet 2021 </w:t>
            </w:r>
            <w:r>
              <w:rPr>
                <w:b/>
                <w:i/>
              </w:rPr>
              <w:t>föreslog ett pilotprojekt,</w:t>
            </w:r>
            <w:r>
              <w:t xml:space="preserve"> Mot inrättandet av en europeisk diplomatakademi</w:t>
            </w:r>
            <w:r>
              <w:rPr>
                <w:b/>
                <w:i/>
              </w:rPr>
              <w:t>, i syfte att skapa en kritisk massa av europeiska diplomater som utbildats i unionens yttre förbindelser och säkerhet och en</w:t>
            </w:r>
            <w:r>
              <w:t xml:space="preserve"> europeisk diplomatisk kultur </w:t>
            </w:r>
            <w:r>
              <w:rPr>
                <w:b/>
                <w:i/>
              </w:rPr>
              <w:t>för att</w:t>
            </w:r>
            <w:r>
              <w:t xml:space="preserve"> stärka unionens </w:t>
            </w:r>
            <w:r>
              <w:rPr>
                <w:b/>
                <w:i/>
              </w:rPr>
              <w:t>roll som en effektiv utrikespolitisk aktör</w:t>
            </w:r>
            <w:r>
              <w:t xml:space="preserve">. Parlamentet noterar </w:t>
            </w:r>
            <w:r>
              <w:rPr>
                <w:b/>
                <w:i/>
              </w:rPr>
              <w:t>att 42 unga diplomater deltog i den första fasen av detta pilotprojekt, som omfattade läsåret 2022–2023, medan andra fasen, dvs. läsåret 2023–2024, omfattade 50 deltagare.</w:t>
            </w:r>
            <w:r>
              <w:t xml:space="preserve"> </w:t>
            </w:r>
            <w:r>
              <w:rPr>
                <w:b/>
                <w:i/>
              </w:rPr>
              <w:t>Parlamentet noterar att den andra fasen pågick under två identiska, fyra månader långa kursomgångar, följt av en månads utbildningsuppdrag vid utrikestjänstens huvudkontor i Bryssel.</w:t>
            </w:r>
            <w:r>
              <w:t xml:space="preserve"> </w:t>
            </w:r>
            <w:r>
              <w:rPr>
                <w:b/>
                <w:i/>
              </w:rPr>
              <w:t>Parlamentet noterar att kurser och utbildningsprogram genomfördes av ett akademiskt konsortium bestående av Europeiska högskolan i Belgien (Brygge) och Polen (Natolin).</w:t>
            </w:r>
            <w:r>
              <w:t xml:space="preserve"> </w:t>
            </w:r>
            <w:r>
              <w:rPr>
                <w:b/>
                <w:i/>
              </w:rPr>
              <w:t>Parlamentet konstaterar utifrån frågeformuläret att Europeiska högskolan, i enlighet med tjänsteavtalet EEAS/2022/OP/0168-2023, utarbetade en slutrapport med en bedömning av pilotprojektets andra fas.</w:t>
            </w:r>
            <w:r>
              <w:t xml:space="preserve"> </w:t>
            </w:r>
            <w:r>
              <w:rPr>
                <w:b/>
                <w:i/>
              </w:rPr>
              <w:t>Parlamentet</w:t>
            </w:r>
            <w:r>
              <w:t xml:space="preserve"> uppmanar utrikestjänsten att förse den ansvarsfrihetsbeviljande myndigheten med </w:t>
            </w:r>
            <w:r>
              <w:rPr>
                <w:b/>
                <w:i/>
              </w:rPr>
              <w:t>denna rapport.</w:t>
            </w:r>
            <w:r>
              <w:t xml:space="preserve"> </w:t>
            </w:r>
            <w:r>
              <w:rPr>
                <w:b/>
                <w:i/>
              </w:rPr>
              <w:t>Parlamentet noterar i utrikestjänstens rapport om årsredovisningen för åren 2022, 2023 och 2024,</w:t>
            </w:r>
            <w:r>
              <w:t xml:space="preserve"> när det gäller </w:t>
            </w:r>
            <w:r>
              <w:rPr>
                <w:b/>
                <w:i/>
              </w:rPr>
              <w:t>budgetgenomförandet för den europeiska diplomatakademins pilotfaser, att utrikestjänsten betalade ut 831 000 EUR 2022, 120 000 EUR 2023 och 862 000 EUR</w:t>
            </w:r>
            <w:r>
              <w:t xml:space="preserve"> 2024. </w:t>
            </w:r>
            <w:r>
              <w:rPr>
                <w:b/>
                <w:i/>
              </w:rPr>
              <w:t>Parlamentet uppmanar utrikestjänsten att inom ramen för förfarandet för beviljande av ansvarsfrihet förse parlamentet med kopior av all dokumentation om upphandlingsförfaranden som genomförts, kontrakt som undertecknats och utbetalningar som gjorts i samband med den första fasen och den andra fasen av pilotprojektet med den europeiska diplomatakademin.</w:t>
            </w:r>
          </w:p>
        </w:tc>
        <w:tc>
          <w:tcPr>
            <w:tcW w:w="4876" w:type="dxa"/>
            <w:tcBorders>
              <w:top w:val="nil"/>
              <w:left w:val="nil"/>
              <w:bottom w:val="nil"/>
              <w:right w:val="nil"/>
            </w:tcBorders>
          </w:tcPr>
          <w:p>
            <w:pPr>
              <w:pStyle w:val="Normal6a"/>
            </w:pPr>
            <w:r>
              <w:t>25.</w:t>
            </w:r>
            <w:r>
              <w:tab/>
            </w:r>
            <w:r>
              <w:t xml:space="preserve">Europaparlamentet påminner om att parlamentet 2021 </w:t>
            </w:r>
            <w:r>
              <w:rPr>
                <w:b/>
                <w:i/>
              </w:rPr>
              <w:t>inledde pilotprojektet ”</w:t>
            </w:r>
            <w:r>
              <w:t>Mot inrättandet av en europeisk diplomatakademi</w:t>
            </w:r>
            <w:r>
              <w:rPr>
                <w:b/>
                <w:i/>
              </w:rPr>
              <w:t>” för att främja en verkligt</w:t>
            </w:r>
            <w:r>
              <w:t xml:space="preserve"> europeisk diplomatisk kultur </w:t>
            </w:r>
            <w:r>
              <w:rPr>
                <w:b/>
                <w:i/>
              </w:rPr>
              <w:t>och</w:t>
            </w:r>
            <w:r>
              <w:t xml:space="preserve"> stärka unionens </w:t>
            </w:r>
            <w:r>
              <w:rPr>
                <w:b/>
                <w:i/>
              </w:rPr>
              <w:t>strategiska närvaro i hela världen</w:t>
            </w:r>
            <w:r>
              <w:t xml:space="preserve">. Parlamentet noterar </w:t>
            </w:r>
            <w:r>
              <w:rPr>
                <w:b/>
                <w:i/>
              </w:rPr>
              <w:t>det framgångsrika deltagandet i båda pilotfaserna och</w:t>
            </w:r>
            <w:r>
              <w:t xml:space="preserve"> uppmanar </w:t>
            </w:r>
            <w:r>
              <w:rPr>
                <w:b/>
                <w:i/>
              </w:rPr>
              <w:t>eftertryckligen</w:t>
            </w:r>
            <w:r>
              <w:t xml:space="preserve"> utrikestjänsten att förse den ansvarsfrihetsbeviljande myndigheten med </w:t>
            </w:r>
            <w:r>
              <w:rPr>
                <w:b/>
                <w:i/>
              </w:rPr>
              <w:t>den fullständiga utvärderingsrapporten och all tillhörande upphandlings- och kontraktsdokumentation, för att säkerställa full transparens</w:t>
            </w:r>
            <w:r>
              <w:t xml:space="preserve"> när det gäller </w:t>
            </w:r>
            <w:r>
              <w:rPr>
                <w:b/>
                <w:i/>
              </w:rPr>
              <w:t>de 1,8 miljoner EUR som spenderats under 2022–</w:t>
            </w:r>
            <w:r>
              <w:t>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Europaparlamentet noterar vidare att rådet den 21 maj 2024, på grundval av erfarenheterna från och den struktur som utvecklats under pilotfaserna, antog ett beslut om att inrätta en fullfjädrad europeisk diplomatakademi för fyra läsår från och med läsåret 2024–2025. </w:t>
            </w:r>
            <w:r>
              <w:rPr>
                <w:b/>
                <w:i/>
              </w:rPr>
              <w:t>Kurs- och utbildningsverksamheten har uppdragits åt Europeiska högskolan, medan</w:t>
            </w:r>
            <w:r>
              <w:t xml:space="preserve"> den europeiska diplomatakademin </w:t>
            </w:r>
            <w:r>
              <w:rPr>
                <w:b/>
                <w:i/>
              </w:rPr>
              <w:t>kommer att arbeta under ansvar av vice ordföranden/den höga representanten, som</w:t>
            </w:r>
            <w:r>
              <w:t xml:space="preserve"> kommer att </w:t>
            </w:r>
            <w:r>
              <w:rPr>
                <w:b/>
                <w:i/>
              </w:rPr>
              <w:t>vägledas</w:t>
            </w:r>
            <w:r>
              <w:t xml:space="preserve"> av en styrkommitté bestående av </w:t>
            </w:r>
            <w:r>
              <w:rPr>
                <w:b/>
                <w:i/>
              </w:rPr>
              <w:t>en</w:t>
            </w:r>
            <w:r>
              <w:t xml:space="preserve"> företrädare </w:t>
            </w:r>
            <w:r>
              <w:rPr>
                <w:b/>
                <w:i/>
              </w:rPr>
              <w:t>för varje enskild medlemsstat</w:t>
            </w:r>
            <w:r>
              <w:t xml:space="preserve">, </w:t>
            </w:r>
            <w:r>
              <w:rPr>
                <w:b/>
                <w:i/>
              </w:rPr>
              <w:t>utsedd av respektive medlemsstat, samt en företrädare för</w:t>
            </w:r>
            <w:r>
              <w:t xml:space="preserve"> parlamentet, rådet </w:t>
            </w:r>
            <w:r>
              <w:rPr>
                <w:b/>
                <w:i/>
              </w:rPr>
              <w:t>respektive</w:t>
            </w:r>
            <w:r>
              <w:t xml:space="preserve"> kommissionen. Parlamentet </w:t>
            </w:r>
            <w:r>
              <w:rPr>
                <w:b/>
                <w:i/>
              </w:rPr>
              <w:t>konstaterar utifrån detta beslut att ett planerat belopp på</w:t>
            </w:r>
            <w:r>
              <w:t xml:space="preserve"> 1,72 miljoner EUR </w:t>
            </w:r>
            <w:r>
              <w:rPr>
                <w:b/>
                <w:i/>
              </w:rPr>
              <w:t>ska täcka perioden den</w:t>
            </w:r>
            <w:r>
              <w:t xml:space="preserve"> 1 juli 2024–</w:t>
            </w:r>
            <w:r>
              <w:rPr>
                <w:b/>
                <w:i/>
              </w:rPr>
              <w:t>den</w:t>
            </w:r>
            <w:r>
              <w:t xml:space="preserve"> 30 juni 2025</w:t>
            </w:r>
            <w:r>
              <w:rPr>
                <w:b/>
                <w:i/>
              </w:rPr>
              <w:t>.</w:t>
            </w:r>
            <w:r>
              <w:t xml:space="preserve"> </w:t>
            </w:r>
            <w:r>
              <w:rPr>
                <w:b/>
                <w:i/>
              </w:rPr>
              <w:t>Förvaltningen av utgifterna i samband med den europeiska diplomatakademin övervakas av kommissionen genom tjänsten</w:t>
            </w:r>
            <w:r>
              <w:t xml:space="preserve"> för utrikespolitiska instrument.</w:t>
            </w:r>
          </w:p>
        </w:tc>
        <w:tc>
          <w:tcPr>
            <w:tcW w:w="4876" w:type="dxa"/>
            <w:tcBorders>
              <w:top w:val="nil"/>
              <w:left w:val="nil"/>
              <w:bottom w:val="nil"/>
              <w:right w:val="nil"/>
            </w:tcBorders>
          </w:tcPr>
          <w:p>
            <w:pPr>
              <w:pStyle w:val="Normal6a"/>
            </w:pPr>
            <w:r>
              <w:t>26.</w:t>
            </w:r>
            <w:r>
              <w:tab/>
            </w:r>
            <w:r>
              <w:t xml:space="preserve">Europaparlamentet noterar vidare att rådet den 21 maj 2024, på grundval av erfarenheterna från och den struktur som utvecklats under pilotfaserna, antog ett beslut om att inrätta en fullfjädrad europeisk diplomatakademi för fyra läsår från och med läsåret 2024–2025. </w:t>
            </w:r>
            <w:r>
              <w:rPr>
                <w:b/>
                <w:i/>
              </w:rPr>
              <w:t>Parlamentet understryker att inrättandet av</w:t>
            </w:r>
            <w:r>
              <w:t xml:space="preserve"> den europeiska diplomatakademin </w:t>
            </w:r>
            <w:r>
              <w:rPr>
                <w:b/>
                <w:i/>
              </w:rPr>
              <w:t>utgör ett strategiskt steg mot att stärka unionens diplomatiska kapacitet och utveckla en genuint europeisk diplomatisk kultur.</w:t>
            </w:r>
            <w:r>
              <w:t xml:space="preserve"> </w:t>
            </w:r>
            <w:r>
              <w:rPr>
                <w:b/>
                <w:i/>
              </w:rPr>
              <w:t>Parlamentet noterar att Europeiska högskolan har fått i uppdrag att genomföra utbildningsprogrammet, medan den övergripande styrningen</w:t>
            </w:r>
            <w:r>
              <w:t xml:space="preserve"> kommer att </w:t>
            </w:r>
            <w:r>
              <w:rPr>
                <w:b/>
                <w:i/>
              </w:rPr>
              <w:t>säkerställas</w:t>
            </w:r>
            <w:r>
              <w:t xml:space="preserve"> av en styrkommitté bestående av företrädare </w:t>
            </w:r>
            <w:r>
              <w:rPr>
                <w:b/>
                <w:i/>
              </w:rPr>
              <w:t>från samtliga medlemsstater</w:t>
            </w:r>
            <w:r>
              <w:t xml:space="preserve">, parlamentet, rådet </w:t>
            </w:r>
            <w:r>
              <w:rPr>
                <w:b/>
                <w:i/>
              </w:rPr>
              <w:t>och</w:t>
            </w:r>
            <w:r>
              <w:t xml:space="preserve"> kommissionen. Parlamentet </w:t>
            </w:r>
            <w:r>
              <w:rPr>
                <w:b/>
                <w:i/>
              </w:rPr>
              <w:t>noterar att</w:t>
            </w:r>
            <w:r>
              <w:t xml:space="preserve"> 1,72 miljoner EUR </w:t>
            </w:r>
            <w:r>
              <w:rPr>
                <w:b/>
                <w:i/>
              </w:rPr>
              <w:t>har anslagits för det första läsåret (</w:t>
            </w:r>
            <w:r>
              <w:t>1 juli 2024–30 juni 2025</w:t>
            </w:r>
            <w:r>
              <w:rPr>
                <w:b/>
                <w:i/>
              </w:rPr>
              <w:t>), med utgifter som förvaltas av kommissionens tjänst</w:t>
            </w:r>
            <w:r>
              <w:t xml:space="preserve"> för utrikespolitiska instrument.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Europaparlamentet noterar att utrikestjänsten, efter inrättandet av tjänsten för verksamhetsstyrning 2023, uppdaterade sin ram för intern kontroll 2024 för att återspegla den roll som den huvudansvarige för verksamhetsstyrningen spelar och införa en övervakningsmekanism för interna kontroller. Parlamentet konstaterar utifrån frågeformuläret att utrikestjänstens ram för intern kontroll är anpassad till kommissionens ram. Parlamentet noterar att utrikestjänsten, utöver den årliga standardbedömningen av sitt interna kontrollsystem, under 2024 genomförde en undersökning bland 167 uppgiftslämnare/anställda, var och en med ansvar som vidaredelegerad utanordnare. Resultaten av denna undersökning diskuteras på högsta ledningsnivå i utrikestjänstens interna kontrollkommitté. Parlamentet noterar att undersökningen belyste </w:t>
            </w:r>
            <w:r>
              <w:rPr>
                <w:b/>
                <w:i/>
              </w:rPr>
              <w:t>185</w:t>
            </w:r>
            <w:r>
              <w:t xml:space="preserve"> områden som behöver uppmärksammas, särskilt när det gäller de utmaningar som unionens delegationer står inför, till exempel medvetenhet om interna kontroller och riskhantering, rekrytering och bibehållande av kvalificerad personal och it-tjänster. Parlamentet välkomnar att utrikestjänsten utarbetade en handlingsplan för att åtgärda befintliga problem och proaktivt ta itu med potentiella risker. Parlamentet uppmanar utrikestjänsten att hålla den ansvarsbefrielsebeviljande myndigheten uppdaterad om dessa frågor.</w:t>
            </w:r>
          </w:p>
        </w:tc>
        <w:tc>
          <w:tcPr>
            <w:tcW w:w="4876" w:type="dxa"/>
            <w:tcBorders>
              <w:top w:val="nil"/>
              <w:left w:val="nil"/>
              <w:bottom w:val="nil"/>
              <w:right w:val="nil"/>
            </w:tcBorders>
          </w:tcPr>
          <w:p>
            <w:pPr>
              <w:pStyle w:val="Normal6a"/>
            </w:pPr>
            <w:r>
              <w:t>27.</w:t>
            </w:r>
            <w:r>
              <w:tab/>
            </w:r>
            <w:r>
              <w:t xml:space="preserve">Europaparlamentet noterar att utrikestjänsten, efter inrättandet av tjänsten för verksamhetsstyrning 2023, uppdaterade sin ram för intern kontroll 2024 för att återspegla den roll som den huvudansvarige för verksamhetsstyrningen spelar och införa en övervakningsmekanism för interna kontroller. Parlamentet konstaterar utifrån frågeformuläret att utrikestjänstens ram för intern kontroll är anpassad till kommissionens ram. Parlamentet noterar att utrikestjänsten, utöver den årliga standardbedömningen av sitt interna kontrollsystem, under 2024 genomförde en undersökning bland 167 uppgiftslämnare/anställda, var och en med ansvar som vidaredelegerad utanordnare. Resultaten av denna undersökning diskuteras på högsta ledningsnivå i utrikestjänstens interna kontrollkommitté. Parlamentet noterar att undersökningen belyste </w:t>
            </w:r>
            <w:r>
              <w:rPr>
                <w:b/>
                <w:i/>
              </w:rPr>
              <w:t>183</w:t>
            </w:r>
            <w:r>
              <w:t xml:space="preserve"> områden som behöver uppmärksammas, särskilt när det gäller de utmaningar som unionens delegationer står inför, till exempel medvetenhet om interna kontroller och riskhantering, rekrytering och bibehållande av kvalificerad personal och it-tjänster. Parlamentet välkomnar att utrikestjänsten utarbetade en handlingsplan för att åtgärda befintliga problem och proaktivt ta itu med potentiella risker. Parlamentet uppmanar utrikestjänsten att hålla den ansvarsbefrielsebeviljande myndigheten uppdaterad om dessa frågor.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Europaparlamentet noterar att utrikestjänsten hade totalt 2 902 anställda, däribland 1 268 tjänstemän, 442 tillfälligt anställda, 619 kontraktsanställda och 573 utstationerade nationella experter, jämfört med 2 812 anställda, däribland 1 245 tjänstemän, 450 tillfälligt anställda, 603 kontraktsanställda och 514 utstationerade nationella experter 2023. Parlamentet påminner om vikten av att erbjuda fast anställning för att behålla kompetens, upprätthålla kontinuitet och sörja för en produktiv arbetsmiljö.</w:t>
            </w:r>
          </w:p>
        </w:tc>
        <w:tc>
          <w:tcPr>
            <w:tcW w:w="4876" w:type="dxa"/>
            <w:tcBorders>
              <w:top w:val="nil"/>
              <w:left w:val="nil"/>
              <w:bottom w:val="nil"/>
              <w:right w:val="nil"/>
            </w:tcBorders>
          </w:tcPr>
          <w:p>
            <w:pPr>
              <w:pStyle w:val="Normal6a"/>
            </w:pPr>
            <w:r>
              <w:t>35.</w:t>
            </w:r>
            <w:r>
              <w:tab/>
            </w:r>
            <w:r>
              <w:t>Europaparlamentet noterar att utrikestjänsten</w:t>
            </w:r>
            <w:r>
              <w:rPr>
                <w:b/>
                <w:i/>
              </w:rPr>
              <w:t>, förutom lokalanställda,</w:t>
            </w:r>
            <w:r>
              <w:t xml:space="preserve"> hade totalt 2 902 anställda, däribland 1 268 tjänstemän, 442 tillfälligt anställda, 619 kontraktsanställda och 573 utstationerade nationella experter, jämfört med 2 812 anställda, däribland 1 245 tjänstemän, 450 tillfälligt anställda, 603 kontraktsanställda och 514 utstationerade nationella experter 2023. Parlamentet påminner om vikten av att erbjuda fast anställning för att behålla kompetens, upprätthålla kontinuitet och sörja för en produktiv arbetsmiljö.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Europaparlamentet konstaterar utifrån utrikestjänstens rapport för 2024 att av totalt 5 355 personer som arbetade vid utrikestjänsten arbetade 47 % vid utrikestjänstens huvudkontor och 53 % vid unionens delegationer i slutet av 2024, med 1 622 lokalanställda vid unionens delegationer. Parlamentet noterar att ledamöterna under utfrågningen uttryckte oro över den påstådda uppsägningen av lokalanställda vid vissa av unionens delegationer utan vederbörlig respekt för lokal arbetsrätt. Parlamentet noterar att CONT-utskottets ledamöter efter denna utfrågning lämnade in ytterligare skriftliga frågor. Parlamentet konstaterar utifrån utrikestjänstens svar på dessa frågor (det andra frågeformuläret) att kommissionsledamöternas projektgrupp för yttre åtgärder den 14 maj 2025 godkände ett projekt för modernisering av nätverket av unionens delegationer. Parlamentet noterar att genomförandet av detta projekt bland annat innebär en centralisering av ekonomi-, kontrakts- och revisionsfunktionerna för de sex unionsdelegationerna på västra Balkan vid GD ENEST:s huvudkontor samt en minskning av antalet anställda som arbetar med ekonomi och kontrakt vid dessa unionsdelegationer, på grundval av bedömningar utförda i samråd med juridiska rådgivare. Parlamentet noterar att utrikestjänsten, när det gäller uppsägningspaketet, hävdar att alla rättigheter enligt lokal rätt och unionens interna regler har respekterats, och att avgångspaket vid ekonomisk uppsägning är de mest gynnsamma av dem som föreskrivs i lokal rätt och unionsrätten, detta trots de farhågor som uttryckts av de lokalanställda i de berörda unionsdelegationerna. Parlamentet noterar vidare att utrikestjänsten i samarbete med kommissionen arbetar nära den lokala advokatbyrå som ger vägledning om eventuella lokala rättsliga krav och därmed säkerställer att genomförandet av uppsägningsprocessen sker i full överensstämmelse med tillämplig lokal arbetsrätt. Parlamentet uppmanar utrikestjänsten att säkerställa ett fullständigt samråd med företrädaren för de lokalanställda vid utformningen av uppsägningsplanen för lokalanställda. Parlamentet noterar med oro utifrån svaren i frågeformuläret att lokalanställda i ursprungslandet blir uppsagda om en unionsdelegation flyttas till ett annat land, till exempel i händelse av en evakuering (exempelvis om Sudans underkontor flyttar till Egypten), så att de berörda personerna lämnas utan skydd. Parlamentet uppmanar utrikestjänsten att hitta hållbara, säkra och trygga lösningar för lokalanställda som har arbetat lojalt vid unionens delegationer.</w:t>
            </w:r>
          </w:p>
        </w:tc>
        <w:tc>
          <w:tcPr>
            <w:tcW w:w="4876" w:type="dxa"/>
            <w:tcBorders>
              <w:top w:val="nil"/>
              <w:left w:val="nil"/>
              <w:bottom w:val="nil"/>
              <w:right w:val="nil"/>
            </w:tcBorders>
          </w:tcPr>
          <w:p>
            <w:pPr>
              <w:pStyle w:val="Normal6a"/>
            </w:pPr>
            <w:r>
              <w:rPr>
                <w:i/>
              </w:rPr>
              <w:t>(Berör inte den svenska versionen.)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Europaparlamentet uttrycker allvarlig oro över rapporterna om otillräcklig social dialog och inkludering av skyddade personalföreträdare bland lokalanställda som drabbats av uppsägningar vid vissa av unionens delegationer.</w:t>
            </w:r>
            <w:r>
              <w:t xml:space="preserve"> </w:t>
            </w:r>
            <w:r>
              <w:rPr>
                <w:b/>
                <w:i/>
              </w:rPr>
              <w:t>Parlamentet påminner om att respekt för lokal arbetsrätt, skyldigheter avseende den sociala dialogen och skydd av personalföreträdare är väsentliga inslag i en sund förvaltning och unionens trovärdighet som arbetsgivare.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36b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Europaparlamentet betonar att alla omstruktureringar, omlokaliseringar eller uppsägningar som påverkar lokalanställda måste föregås av meningsfulla samråd med personalföreträdare och åtföljas av konkreta åtgärder för att skydda lokalanställdas rättigheter, säkerhet och värdighet, särskilt i kris- eller evakueringssammanhang.</w:t>
            </w:r>
            <w:r>
              <w:t xml:space="preserve"> </w:t>
            </w:r>
            <w:r>
              <w:rPr>
                <w:b/>
                <w:i/>
              </w:rPr>
              <w:t>Parlamentet uppmanar utrikestjänsten att bedöma och rapportera till den ansvarsfrihetsbeviljande myndigheten om kostnadseffektiviteten i personalminskningarna jämfört med alternativa organisatoriska lösningar, inbegripet de långsiktiga ekonomiska, operativa och anseendemässiga konsekvenserna av uppsägningar som drabbar lokalanställda.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Europaparlamentet noterar att 46,60 % av all personal vid utrikestjänsten var kvinnor 2024 (jämfört med 46,80 % 2023). Parlamentet noterar, när det gäller kvinnlig representation och de tjänster som kvinnor innehade vid utrikestjänsten 2024, att 40 % var handläggare, 63,78 % assistenter, 73,25 % biträdande sekreterare, 56,70 % kontraktsanställda och 26,87 % utstationerade nationella experter. Parlamentet noterar med tillfredsställelse i utrikestjänstens rapport för 2024 institutionens insatser för att uppnå en ökad representation av kvinnor i ledande befattningar. Parlamentet noterar i detta sammanhang en uppåtgående trend när det gäller högre chefstjänster, med 37,30 % kvinnor 2024 (jämfört med 31 % 2023), men en liten minskning när det gäller mellanchefstjänster med 38,70 % kvinnor 2024 (jämfört med 40,40 % 2023). Parlamentet välkomnar en ökning från 35,50 % 2023 till 36,10 % 2024 när det gäller andelen kvinnor bland delegationscheferna.</w:t>
            </w:r>
          </w:p>
        </w:tc>
        <w:tc>
          <w:tcPr>
            <w:tcW w:w="4876" w:type="dxa"/>
            <w:tcBorders>
              <w:top w:val="nil"/>
              <w:left w:val="nil"/>
              <w:bottom w:val="nil"/>
              <w:right w:val="nil"/>
            </w:tcBorders>
          </w:tcPr>
          <w:p>
            <w:pPr>
              <w:pStyle w:val="Normal6a"/>
            </w:pPr>
            <w:r>
              <w:t>37.</w:t>
            </w:r>
            <w:r>
              <w:tab/>
            </w:r>
            <w:r>
              <w:t xml:space="preserve">Europaparlamentet noterar att 46,60 % av all personal vid utrikestjänsten var kvinnor 2024 (jämfört med 46,80 % 2023). Parlamentet noterar, när det gäller kvinnlig representation och de tjänster som kvinnor innehade vid utrikestjänsten 2024, att 40 % var handläggare, 63,78 % assistenter, 73,25 % biträdande sekreterare, 56,70 % kontraktsanställda och 26,87 % utstationerade nationella experter. Parlamentet noterar med tillfredsställelse i utrikestjänstens rapport för 2024 institutionens insatser för att uppnå en ökad representation av kvinnor i ledande befattningar. Parlamentet noterar i detta sammanhang en uppåtgående trend när det gäller högre chefstjänster, med 37,30 % kvinnor 2024 (jämfört med 31 % 2023), men en liten minskning när det gäller mellanchefstjänster med 38,70 % kvinnor 2024 (jämfört med 40,40 % 2023). Parlamentet välkomnar en ökning från 35,50 % 2023 till 36,10 % 2024 när det gäller andelen kvinnor bland delegationscheferna. </w:t>
            </w:r>
            <w:r>
              <w:rPr>
                <w:b/>
                <w:i/>
              </w:rPr>
              <w:t>Parlamentet välkomnar den gradvisa ökningen av antalet kvinnor i ledande befattningar inom utrikestjänsten, men noterar samtidigt att kvinnor fortfarande är underrepresenterade på AD-nivå och överrepresenterade på AST-nivå, och att en jämn könsfördelning på mellanchefsnivå och inom högre chefstjänster, både vid huvudkontoret och vid unionens delegationer, ännu inte har uppnåtts fullt ut.</w:t>
            </w:r>
            <w:r>
              <w:t xml:space="preserve"> </w:t>
            </w:r>
            <w:r>
              <w:rPr>
                <w:b/>
                <w:i/>
              </w:rPr>
              <w:t>Parlamentet betonar att lika möjligheter måste säkerställas för personalen inom institutionernas organ, men att spetskompetens och yrkesmässigt uppförande inom utrikestjänsten måste bevaras.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Europaparlamentet noterar i uppföljningsrapporten utrikestjänstens insatser för att få fram ytterligare ansökningar från det kön som är underrepresenterat. Parlamentet välkomnar i detta sammanhang anordnandet av fyra chefsutbildningar om jämställdhetsmedvetet ledarskap, som nådde ut till 80 % av utrikestjänstens högre chefer, och ett fullständigt fyramånadersprogram om jämställdhetsmedvetet ledarskap för </w:t>
            </w:r>
            <w:r>
              <w:rPr>
                <w:b/>
                <w:i/>
              </w:rPr>
              <w:t>18</w:t>
            </w:r>
            <w:r>
              <w:t xml:space="preserve"> chefer från unionens delegationer under 2024. Parlamentet noterar vidare att utrikestjänsten inrättade sitt nya nätverk av kontaktpunkter för jämställdhetsfrågor och inrättade en arbetsgrupp för Istanbulkonventionen, som 2024 lade fram en halvtidsrapport med en handlingsplan. Parlamentet noterar det arbete som EU:s ambassadör för jämställdhet och mångfald utfört för att integrera ett jämställdhetsperspektiv i människorättsdialoger och viktiga multilaterala uttalanden och resolutioner. Parlamentet uppmanar utrikestjänsten att fortsatt tillhandahålla uppdateringar om den senaste utvecklingen i samband med handlingsplanen för jämställdhet för 2021–2025 och de åtgärder som vidtagits för att ytterligare främja kvinnors deltagande i alla diplomatiska och politiska dialoger.</w:t>
            </w:r>
          </w:p>
        </w:tc>
        <w:tc>
          <w:tcPr>
            <w:tcW w:w="4876" w:type="dxa"/>
            <w:tcBorders>
              <w:top w:val="nil"/>
              <w:left w:val="nil"/>
              <w:bottom w:val="nil"/>
              <w:right w:val="nil"/>
            </w:tcBorders>
          </w:tcPr>
          <w:p>
            <w:pPr>
              <w:pStyle w:val="Normal6a"/>
            </w:pPr>
            <w:r>
              <w:t>38.</w:t>
            </w:r>
            <w:r>
              <w:tab/>
            </w:r>
            <w:r>
              <w:t xml:space="preserve">Europaparlamentet noterar i uppföljningsrapporten utrikestjänstens insatser för att få fram ytterligare ansökningar från det kön som är underrepresenterat. Parlamentet välkomnar i detta sammanhang anordnandet av fyra chefsutbildningar om jämställdhetsmedvetet ledarskap, som nådde ut till 80 % av utrikestjänstens högre chefer, och ett fullständigt </w:t>
            </w:r>
            <w:r>
              <w:rPr>
                <w:b/>
                <w:i/>
              </w:rPr>
              <w:t>29 timmar långt</w:t>
            </w:r>
            <w:r>
              <w:t xml:space="preserve"> fyramånadersprogram om jämställdhetsmedvetet ledarskap för </w:t>
            </w:r>
            <w:r>
              <w:rPr>
                <w:b/>
                <w:i/>
              </w:rPr>
              <w:t>13</w:t>
            </w:r>
            <w:r>
              <w:t xml:space="preserve"> chefer</w:t>
            </w:r>
            <w:r>
              <w:rPr>
                <w:b/>
                <w:i/>
              </w:rPr>
              <w:t>, varav fyra</w:t>
            </w:r>
            <w:r>
              <w:t xml:space="preserve"> från unionens delegationer under 2024. Parlamentet noterar vidare att utrikestjänsten inrättade sitt nya nätverk av kontaktpunkter för jämställdhetsfrågor och inrättade en arbetsgrupp för Istanbulkonventionen, som 2024 lade fram en halvtidsrapport med en handlingsplan. Parlamentet noterar det arbete som EU:s ambassadör för jämställdhet och mångfald utfört för att integrera ett jämställdhetsperspektiv i människorättsdialoger och viktiga multilaterala uttalanden och resolutioner. Parlamentet uppmanar utrikestjänsten att fortsatt tillhandahålla uppdateringar om den senaste utvecklingen i samband med handlingsplanen för jämställdhet för 2021–2025 och de åtgärder som vidtagits för att ytterligare främja kvinnors deltagande i alla diplomatiska och politiska dialoger.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Europaparlamentet noterar </w:t>
            </w:r>
            <w:r>
              <w:rPr>
                <w:b/>
                <w:i/>
              </w:rPr>
              <w:t>utrikestjänstens insatser för att skapa en diversifierad och representativ arbetsstyrka.</w:t>
            </w:r>
            <w:r>
              <w:t xml:space="preserve"> </w:t>
            </w:r>
            <w:r>
              <w:rPr>
                <w:b/>
                <w:i/>
              </w:rPr>
              <w:t>Parlamentet uppskattar att samtliga medlemsstater är representerade i utrikestjänstens personal</w:t>
            </w:r>
            <w:r>
              <w:t xml:space="preserve">. Parlamentet </w:t>
            </w:r>
            <w:r>
              <w:rPr>
                <w:b/>
                <w:i/>
              </w:rPr>
              <w:t>beklagar dock att vissa obalanser kvarstår och att vissa medlemsstater är överrepresenterade</w:t>
            </w:r>
            <w:r>
              <w:t xml:space="preserve">. Parlamentet </w:t>
            </w:r>
            <w:r>
              <w:rPr>
                <w:b/>
                <w:i/>
              </w:rPr>
              <w:t>noterar att tre medlemsstater i slutet av 2024 (en medlemsstat 2025) fortfarande inte hade någon unionsambassadör, medan ambassadörer från fem medlemsstater innehade 56 % av alla unionsambassadörstjänster (144), en ökning från 54 % 2023.</w:t>
            </w:r>
            <w:r>
              <w:t xml:space="preserve"> </w:t>
            </w:r>
            <w:r>
              <w:rPr>
                <w:b/>
                <w:i/>
              </w:rPr>
              <w:t>Parlamentet upprepar sin uppmaning till</w:t>
            </w:r>
            <w:r>
              <w:t xml:space="preserve"> utrikestjänsten att </w:t>
            </w:r>
            <w:r>
              <w:rPr>
                <w:b/>
                <w:i/>
              </w:rPr>
              <w:t>fortsätta att säkerställa en sund</w:t>
            </w:r>
            <w:r>
              <w:t xml:space="preserve"> geografisk balans </w:t>
            </w:r>
            <w:r>
              <w:rPr>
                <w:b/>
                <w:i/>
              </w:rPr>
              <w:t>inom hela sin organisation och på alla nivåer</w:t>
            </w:r>
            <w:r>
              <w:t xml:space="preserve">. Parlamentet </w:t>
            </w:r>
            <w:r>
              <w:rPr>
                <w:b/>
                <w:i/>
              </w:rPr>
              <w:t>uppmuntrar insatser för att identifiera presumtiv personal och stärka rekryteringsprocesserna i länder som för närvarande är</w:t>
            </w:r>
            <w:r>
              <w:t xml:space="preserve"> underrepresenterade.</w:t>
            </w:r>
          </w:p>
        </w:tc>
        <w:tc>
          <w:tcPr>
            <w:tcW w:w="4876" w:type="dxa"/>
            <w:tcBorders>
              <w:top w:val="nil"/>
              <w:left w:val="nil"/>
              <w:bottom w:val="nil"/>
              <w:right w:val="nil"/>
            </w:tcBorders>
          </w:tcPr>
          <w:p>
            <w:pPr>
              <w:pStyle w:val="Normal6a"/>
            </w:pPr>
            <w:r>
              <w:t>39.</w:t>
            </w:r>
            <w:r>
              <w:tab/>
            </w:r>
            <w:r>
              <w:t xml:space="preserve">Europaparlamentet noterar </w:t>
            </w:r>
            <w:r>
              <w:rPr>
                <w:b/>
                <w:i/>
              </w:rPr>
              <w:t>med oro den ihållande bristen på geografisk balans och regional mångfald inom utrikestjänsten, bland annat inom chefstjänster och centrala funktioner vid huvudkontoret</w:t>
            </w:r>
            <w:r>
              <w:t xml:space="preserve">. Parlamentet </w:t>
            </w:r>
            <w:r>
              <w:rPr>
                <w:b/>
                <w:i/>
              </w:rPr>
              <w:t>betonar att en EU-diplomattjänst måste återspegla unionens mångfald för att stärka legitimiteten, den lokala kunskapen och ändamålsenligheten</w:t>
            </w:r>
            <w:r>
              <w:t xml:space="preserve">. Parlamentet </w:t>
            </w:r>
            <w:r>
              <w:rPr>
                <w:b/>
                <w:i/>
              </w:rPr>
              <w:t>uppmanar</w:t>
            </w:r>
            <w:r>
              <w:t xml:space="preserve"> utrikestjänsten att </w:t>
            </w:r>
            <w:r>
              <w:rPr>
                <w:b/>
                <w:i/>
              </w:rPr>
              <w:t>anta en tidsbunden handlingsplan för</w:t>
            </w:r>
            <w:r>
              <w:t xml:space="preserve"> geografisk balans </w:t>
            </w:r>
            <w:r>
              <w:rPr>
                <w:b/>
                <w:i/>
              </w:rPr>
              <w:t>och mångfald</w:t>
            </w:r>
            <w:r>
              <w:t xml:space="preserve">. Parlamentet </w:t>
            </w:r>
            <w:r>
              <w:rPr>
                <w:b/>
                <w:i/>
              </w:rPr>
              <w:t>uppmanar utrikestjänsten att, i samarbete med Epso och de avdelningar inom kommissionen som ansvarar för rekrytering, öka de riktade informationskampanjerna i</w:t>
            </w:r>
            <w:r>
              <w:t xml:space="preserve"> underrepresenterade </w:t>
            </w:r>
            <w:r>
              <w:rPr>
                <w:b/>
                <w:i/>
              </w:rPr>
              <w:t>medlemsstater (inbegripet information om ”fokusländer” och rekryteringsevenemang), bredda tillflödet genom praktikplatser, Junior Professionals-program och strukturerade utstationeringar, och att göra det interna urvalet mer rättvist genom olika urvalskommittéer, transparenta kriterier och mentorskap/sponsring för underrepresenterade grupper</w:t>
            </w:r>
            <w:r>
              <w:t xml:space="preserve">. </w:t>
            </w:r>
            <w:r>
              <w:rPr>
                <w:b/>
                <w:i/>
              </w:rPr>
              <w:t>Parlamentet påminner om att rekryteringen måste förbli meritbaserad och i linje med EU-lagstiftningen.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Europaparlamentet noterar utrikestjänstens insatser för att skapa en diversifierad och representativ arbetsstyrka. Parlamentet uppskattar att samtliga medlemsstater är representerade i utrikestjänstens personal. Parlamentet beklagar dock att vissa obalanser kvarstår och att vissa medlemsstater är överrepresenterade. </w:t>
            </w:r>
            <w:r>
              <w:rPr>
                <w:b/>
                <w:i/>
              </w:rPr>
              <w:t>Parlamentet noterar att tre medlemsstater i slutet av 2024 (en medlemsstat 2025) fortfarande inte hade någon unionsambassadör, medan ambassadörer från fem medlemsstater innehade 56 % av alla unionsambassadörstjänster (144), en ökning från 54 % 2023.</w:t>
            </w:r>
            <w:r>
              <w:t xml:space="preserve"> </w:t>
            </w:r>
            <w:r>
              <w:rPr>
                <w:b/>
                <w:i/>
              </w:rPr>
              <w:t>Parlamentet upprepar sin uppmaning till utrikestjänsten att fortsätta att säkerställa en sund geografisk balans inom hela sin organisation och på alla nivåer.</w:t>
            </w:r>
            <w:r>
              <w:t xml:space="preserve"> </w:t>
            </w:r>
            <w:r>
              <w:rPr>
                <w:b/>
                <w:i/>
              </w:rPr>
              <w:t>Parlamentet uppmuntrar insatser för att identifiera presumtiv personal och stärka rekryteringsprocesserna i länder som för närvarande är underrepresenterade.</w:t>
            </w:r>
          </w:p>
        </w:tc>
        <w:tc>
          <w:tcPr>
            <w:tcW w:w="4876" w:type="dxa"/>
            <w:tcBorders>
              <w:top w:val="nil"/>
              <w:left w:val="nil"/>
              <w:bottom w:val="nil"/>
              <w:right w:val="nil"/>
            </w:tcBorders>
          </w:tcPr>
          <w:p>
            <w:pPr>
              <w:pStyle w:val="Normal6a"/>
            </w:pPr>
            <w:r>
              <w:t>39.</w:t>
            </w:r>
            <w:r>
              <w:tab/>
            </w:r>
            <w:r>
              <w:t>Europaparlamentet noterar utrikestjänstens insatser för att skapa en diversifierad och representativ arbetsstyrka. Parlamentet uppskattar att samtliga medlemsstater är representerade i utrikestjänstens personal. Parlamentet beklagar dock att vissa obalanser kvarstår och att vissa medlemsstater är överrepresenterade.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Parlamentet beklagar att analyser av utrikestjänstens sammansättning av nationaliteter visar på en ihållande underrepresentation av flera medlemsstater, särskilt från Central- och Östeuropa, inom AD-chefstjänster och delegationschefstjänster, trots deras betydande andel av EU:s befolkning.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Parlamentet noterar att tre medlemsstater i slutet av 2024 (en medlemsstat 2025) fortfarande inte hade någon unionsambassadör, medan ambassadörer från fem medlemsstater innehade 56 % av alla unionsambassadörstjänster (144), en ökning från 54 % 2023.</w:t>
            </w:r>
            <w:r>
              <w:t xml:space="preserve"> </w:t>
            </w:r>
            <w:r>
              <w:rPr>
                <w:b/>
                <w:i/>
              </w:rPr>
              <w:t>Parlamentet upprepar sin uppmaning till utrikestjänsten att fortsätta att säkerställa en sund geografisk balans inom hela sin organisation och på alla nivåer.</w:t>
            </w:r>
            <w:r>
              <w:t xml:space="preserve"> </w:t>
            </w:r>
            <w:r>
              <w:rPr>
                <w:b/>
                <w:i/>
              </w:rPr>
              <w:t>Parlamentet uppmuntrar insatser för att identifiera presumtiv personal och stärka rekryteringsprocesserna i länder som för närvarande är underrepresenterade.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Europaparlamentet noterar med tillfredsställelse de åtgärder som utrikestjänsten vidtog 2024 inom ramen för sin agenda för mångfald och inkludering för 2023–2025, i synnerhet riktade åtgärder för grupper som berörs av frågor med anknytning till kön, etnisk tillhörighet, funktionsnedsättning och ålder samt hbtqi+-grupper. Parlamentet noterar i detta sammanhang att utrikestjänsten införlivade frågor om mångfald och inkludering i utbildningen, tillhandahöll information till hbtqi+-personal om rättsliga och kulturella förutsättningar i utstationeringsländerna och ökade sina insatser för rekrytering i enlighet med principen om mångfald. Parlamentet lovordar vidare utrikestjänsten för att ha uppdaterat sin färdplan för åtgärder avseende funktionsnedsättning, genomfört en undersökning om funktionsnedsättningsfrågor, tagit fram faktablad om tillgänglighet för unionens delegationer, gjort en tillgänglighetsbedömning av sin webbplats och tillhandahållit ekonomiskt stöd för andra kostnader än läkarvårdskostnader till 26 anställda med barn med funktionsnedsättning.</w:t>
            </w:r>
          </w:p>
        </w:tc>
        <w:tc>
          <w:tcPr>
            <w:tcW w:w="4876" w:type="dxa"/>
            <w:tcBorders>
              <w:top w:val="nil"/>
              <w:left w:val="nil"/>
              <w:bottom w:val="nil"/>
              <w:right w:val="nil"/>
            </w:tcBorders>
          </w:tcPr>
          <w:p>
            <w:pPr>
              <w:pStyle w:val="Normal6a"/>
            </w:pPr>
            <w:r>
              <w:t>43.</w:t>
            </w:r>
            <w:r>
              <w:tab/>
            </w:r>
            <w:r>
              <w:t xml:space="preserve">Europaparlamentet noterar med tillfredsställelse de åtgärder som utrikestjänsten vidtog 2024 inom ramen för sin agenda för mångfald och inkludering för 2023–2025, i synnerhet riktade åtgärder för grupper som berörs av frågor med anknytning till kön, etnisk tillhörighet, funktionsnedsättning och ålder samt hbtqi+-grupper. Parlamentet noterar i detta sammanhang att utrikestjänsten införlivade frågor om mångfald och inkludering i utbildningen, tillhandahöll information till hbtqi+-personal om rättsliga och kulturella förutsättningar i utstationeringsländerna och ökade sina insatser för rekrytering i enlighet med principen om mångfald. Parlamentet lovordar vidare utrikestjänsten för att ha uppdaterat sin färdplan för åtgärder avseende funktionsnedsättning, genomfört en undersökning om funktionsnedsättningsfrågor, tagit fram faktablad om tillgänglighet för unionens delegationer, gjort en tillgänglighetsbedömning av sin webbplats och tillhandahållit ekonomiskt stöd för andra kostnader än läkarvårdskostnader till 26 anställda med barn med funktionsnedsättning. </w:t>
            </w:r>
            <w:r>
              <w:rPr>
                <w:b/>
                <w:i/>
              </w:rPr>
              <w:t>Parlamentet uppmanar utrikestjänsten att fortsätta att regelbundet utbilda personal i ledande och icke-ledande befattningar i frågor som rör mångfald, rättvisa, inkludering och tillhörighet.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Europaparlamentet konstaterar utifrån frågeformuläret att långtidssjukskrivning enligt den definition som kommissionens läkarmottagning tillämpar innebär frånvaro som överstiger 20 på varandra följande dagar. Parlamentet noterar att 323 anställda var långtidssjukskrivna med en genomsnittlig frånvaro på 83 dagar under 2023, medan detta under 2024 ökade till 338 anställda, med en minskad genomsnittlig frånvaro på 77 dagar. Parlamentet noterar vidare att en betydande andel av sjukskrivningarna var kopplade till psykiska hälsoproblem såsom depression och utbrändhet under 2024, även om det exakta antalet fall av utbrändhet är okänt. Parlamentet välkomnar kommissionens initiativ att utveckla en strategi för psykisk hälsa i syfte att tillhandahålla en strukturerad och hållbar ram för att ta itu med utmaningar avseende psykisk hälsa på arbetsplatsen, inbegripet förebyggande av utbrändhet och återintegrering på arbetsplatsen. Parlamentet uppmuntrar utrikestjänsten att också inrätta en formell mekanism för bedömning av arbetsbördan.</w:t>
            </w:r>
          </w:p>
        </w:tc>
        <w:tc>
          <w:tcPr>
            <w:tcW w:w="4876" w:type="dxa"/>
            <w:tcBorders>
              <w:top w:val="nil"/>
              <w:left w:val="nil"/>
              <w:bottom w:val="nil"/>
              <w:right w:val="nil"/>
            </w:tcBorders>
          </w:tcPr>
          <w:p>
            <w:pPr>
              <w:pStyle w:val="Normal6a"/>
            </w:pPr>
            <w:r>
              <w:t>45.</w:t>
            </w:r>
            <w:r>
              <w:tab/>
            </w:r>
            <w:r>
              <w:t xml:space="preserve">Europaparlamentet konstaterar utifrån frågeformuläret att långtidssjukskrivning enligt den definition som kommissionens läkarmottagning tillämpar innebär frånvaro som överstiger 20 på varandra följande dagar. Parlamentet noterar att 323 anställda var långtidssjukskrivna med en genomsnittlig frånvaro på 83 dagar under 2023, medan detta under 2024 ökade till 338 anställda, med en minskad genomsnittlig frånvaro på 77 dagar. Parlamentet noterar vidare att en betydande andel av sjukskrivningarna var kopplade till psykiska hälsoproblem såsom depression och utbrändhet under 2024, även om det exakta antalet fall av utbrändhet är okänt. Parlamentet välkomnar kommissionens initiativ att utveckla en strategi för psykisk hälsa i syfte att tillhandahålla en strukturerad och hållbar ram för att ta itu med utmaningar avseende psykisk hälsa på arbetsplatsen, inbegripet förebyggande av utbrändhet och återintegrering på arbetsplatsen. Parlamentet uppmuntrar utrikestjänsten att också inrätta en formell mekanism för bedömning av arbetsbördan. </w:t>
            </w:r>
            <w:r>
              <w:rPr>
                <w:b/>
                <w:i/>
              </w:rPr>
              <w:t>Parlamentet uppmanar utrikestjänsten att genomföra en periodisk bedömning av delegationernas arbetsbörda och personalbehov, kopplad till risknivå och utökning av mandatet, för att förhindra utbrändhet och förbättra bibehållandet av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Europaparlamentet noterar med oro Europeiska åklagarmyndighetens (Eppo) utredning som inleddes 2025 av ett potentiellt upphandlingsbedrägeri, korruption, intressekonflikter och brott mot tystnadsplikten, inbegripet starka misstankar om överträdelser av konkurrensreglerna i samband med utrikestjänstens kontraktstilldelning till Europeiska högskolan under perioden 2021–2022 i samband med ett anbudsförfarande för ett nio månader långt utbildningsprogram kopplat till genomförandet av ett pilotprojekt för inrättandet av den europeiska diplomatakademin. Parlamentet noterar att utredningen fokuserar på huruvida Europeiska högskolan och/eller deras företrädare informerades i förväg om urvalskriterierna för anbudsförfarandet och hade tillräckliga skäl att anta att de skulle tilldelas genomförandet av projektet, innan utrikestjänsten officiellt offentliggjorde meddelandet om upphandling. Parlamentet noterar vidare att den belgiska polisen till följd av räderna inom utrikestjänsten och Europeiska högskolan frihetsberövade och sedan frigav tre misstänkta i december 2025, dvs. en tidigare vice ordförande/hög representant, för närvarande rektor för Europeiska högskolan och direktör för den europeiska diplomatakademin, samt den nuvarande generaldirektören för kommissionens generaldirektorat för Mellanöstern, Nordafrika och Gulfstaterna, och en tidigare generalsekreterare för utrikestjänsten. Parlamentet begär att alla misstankar om bedrägeri vederbörligen utreds, med fullständigt samarbete från utrikestjänstens sida, och uppmanar utrikestjänsten att stärka sin ram mot bedrägerier i syfte att ge kraftfulla garantier för att sådana fall inte kommer att upprepas i framtiden. Parlamentet begär att den ansvarsfrihetsbeviljande myndigheten hålls informerad om utvecklingen framöver.</w:t>
            </w:r>
          </w:p>
        </w:tc>
        <w:tc>
          <w:tcPr>
            <w:tcW w:w="4876" w:type="dxa"/>
            <w:tcBorders>
              <w:top w:val="nil"/>
              <w:left w:val="nil"/>
              <w:bottom w:val="nil"/>
              <w:right w:val="nil"/>
            </w:tcBorders>
          </w:tcPr>
          <w:p>
            <w:pPr>
              <w:pStyle w:val="Normal6a"/>
            </w:pPr>
            <w:r>
              <w:t>47.</w:t>
            </w:r>
            <w:r>
              <w:tab/>
            </w:r>
            <w:r>
              <w:t xml:space="preserve">Europaparlamentet noterar med oro Europeiska åklagarmyndighetens (Eppo) utredning som inleddes 2025 av ett potentiellt upphandlingsbedrägeri, korruption, intressekonflikter och brott mot tystnadsplikten, inbegripet starka misstankar om överträdelser av konkurrensreglerna i samband med utrikestjänstens kontraktstilldelning till Europeiska högskolan under perioden 2021–2022 i samband med ett anbudsförfarande för ett nio månader långt utbildningsprogram kopplat till genomförandet av ett pilotprojekt för inrättandet av den europeiska diplomatakademin. Parlamentet noterar att utredningen fokuserar på huruvida Europeiska högskolan och/eller deras företrädare informerades i förväg om urvalskriterierna för anbudsförfarandet och hade tillräckliga skäl att anta att de skulle tilldelas genomförandet av projektet, innan utrikestjänsten officiellt offentliggjorde meddelandet om upphandling. Parlamentet noterar vidare att den belgiska polisen till följd av räderna inom utrikestjänsten och Europeiska högskolan frihetsberövade och sedan frigav tre misstänkta i december 2025, dvs. en tidigare vice ordförande/hög representant, för närvarande rektor för Europeiska högskolan och direktör för den europeiska diplomatakademin, samt den nuvarande generaldirektören för kommissionens generaldirektorat för Mellanöstern, Nordafrika och Gulfstaterna, och en tidigare generalsekreterare för utrikestjänsten. Parlamentet </w:t>
            </w:r>
            <w:r>
              <w:rPr>
                <w:b/>
                <w:i/>
              </w:rPr>
              <w:t>noterar med oro att rektorn för Europeiska högskolan och direktören för den europeiska diplomatakademin avgick i samband med den pågående utredningen av oriktigheter i samband med upphandling och den europeiska diplomatakademin.</w:t>
            </w:r>
            <w:r>
              <w:t xml:space="preserve"> </w:t>
            </w:r>
            <w:r>
              <w:rPr>
                <w:b/>
                <w:i/>
              </w:rPr>
              <w:t>Parlamentet betonar att inga slutsatser bör dras innan den rättsliga processen har avslutats.</w:t>
            </w:r>
            <w:r>
              <w:t xml:space="preserve"> </w:t>
            </w:r>
            <w:r>
              <w:rPr>
                <w:b/>
                <w:i/>
              </w:rPr>
              <w:t>Parlamentet understryker att den parlamentariska tillsynen måste förbli vaksam för att säkerställa integriteten i offentlig upphandling, efterlevnad av etiska standarder och skydd av EU:s resurser och anseende.</w:t>
            </w:r>
            <w:r>
              <w:t xml:space="preserve"> </w:t>
            </w:r>
            <w:r>
              <w:rPr>
                <w:b/>
                <w:i/>
              </w:rPr>
              <w:t>Parlamentet</w:t>
            </w:r>
            <w:r>
              <w:t xml:space="preserve"> begär att alla misstankar om bedrägeri vederbörligen utreds, med fullständigt samarbete från utrikestjänstens sida, och uppmanar utrikestjänsten att stärka sin ram mot bedrägerier i syfte att ge kraftfulla garantier för att sådana fall inte kommer att upprepas i framtiden. Parlamentet begär att den ansvarsfrihetsbeviljande myndigheten hålls informerad om utvecklingen framöver.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Ondřej Knotek, Virginie Joron, Julien Sanchez,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Europaparlamentet noterar med oro Europeiska åklagarmyndighetens (Eppo) utredning som inleddes 2025 av ett potentiellt upphandlingsbedrägeri, korruption, intressekonflikter och brott mot tystnadsplikten, inbegripet starka misstankar om överträdelser av konkurrensreglerna i samband med utrikestjänstens kontraktstilldelning till Europeiska högskolan under perioden 2021–2022 i samband med ett anbudsförfarande för ett nio månader långt utbildningsprogram kopplat till genomförandet av ett pilotprojekt för inrättandet av den europeiska diplomatakademin. Parlamentet noterar att utredningen fokuserar på huruvida Europeiska högskolan och/eller deras företrädare informerades i förväg om urvalskriterierna för anbudsförfarandet och hade tillräckliga skäl att anta att de skulle tilldelas genomförandet av projektet, innan utrikestjänsten officiellt offentliggjorde meddelandet om upphandling. Parlamentet noterar vidare att den belgiska polisen till följd av räderna inom utrikestjänsten och Europeiska högskolan frihetsberövade och sedan frigav tre misstänkta i december 2025, dvs. en tidigare vice ordförande/hög representant, för närvarande rektor för Europeiska högskolan och direktör för den europeiska diplomatakademin, samt den nuvarande generaldirektören för kommissionens generaldirektorat för Mellanöstern, Nordafrika och Gulfstaterna, och en tidigare generalsekreterare för utrikestjänsten. Parlamentet begär att alla misstankar om bedrägeri vederbörligen utreds, med fullständigt samarbete från utrikestjänstens sida, och uppmanar utrikestjänsten att stärka sin ram mot bedrägerier i syfte att ge kraftfulla garantier för att sådana fall inte kommer att upprepas i framtiden. Parlamentet begär att den ansvarsfrihetsbeviljande myndigheten hålls informerad om utvecklingen framöver.</w:t>
            </w:r>
          </w:p>
        </w:tc>
        <w:tc>
          <w:tcPr>
            <w:tcW w:w="4876" w:type="dxa"/>
            <w:tcBorders>
              <w:top w:val="nil"/>
              <w:left w:val="nil"/>
              <w:bottom w:val="nil"/>
              <w:right w:val="nil"/>
            </w:tcBorders>
          </w:tcPr>
          <w:p>
            <w:pPr>
              <w:pStyle w:val="Normal6a"/>
            </w:pPr>
            <w:r>
              <w:t>47.</w:t>
            </w:r>
            <w:r>
              <w:tab/>
            </w:r>
            <w:r>
              <w:t xml:space="preserve">Europaparlamentet noterar med oro Europeiska åklagarmyndighetens (Eppo) utredning som inleddes 2025 av ett potentiellt upphandlingsbedrägeri, korruption, intressekonflikter och brott mot tystnadsplikten, inbegripet starka misstankar om överträdelser av konkurrensreglerna i samband med utrikestjänstens kontraktstilldelning till Europeiska högskolan under perioden 2021–2022 i samband med ett anbudsförfarande för ett nio månader långt utbildningsprogram kopplat till genomförandet av ett pilotprojekt för inrättandet av den europeiska diplomatakademin. Parlamentet noterar att utredningen fokuserar på huruvida Europeiska högskolan och/eller deras företrädare informerades i förväg om urvalskriterierna för anbudsförfarandet och hade tillräckliga skäl att anta att de skulle tilldelas genomförandet av projektet, innan utrikestjänsten officiellt offentliggjorde meddelandet om upphandling. Parlamentet noterar vidare att den belgiska polisen till följd av räderna inom utrikestjänsten och Europeiska högskolan frihetsberövade och sedan frigav tre misstänkta i december 2025, dvs. en tidigare vice ordförande/hög representant, för närvarande rektor för Europeiska högskolan och direktör för den europeiska diplomatakademin, samt den nuvarande generaldirektören för kommissionens generaldirektorat för Mellanöstern, Nordafrika och Gulfstaterna, och en tidigare generalsekreterare för utrikestjänsten. Parlamentet </w:t>
            </w:r>
            <w:r>
              <w:rPr>
                <w:b/>
                <w:i/>
              </w:rPr>
              <w:t>understryker att detta fall utgör en allvarlig skandal som påverkar trovärdigheten i unionens yttre åtgärder och budgetstyrningen.</w:t>
            </w:r>
            <w:r>
              <w:t xml:space="preserve"> </w:t>
            </w:r>
            <w:r>
              <w:rPr>
                <w:b/>
                <w:i/>
              </w:rPr>
              <w:t>Parlamentet</w:t>
            </w:r>
            <w:r>
              <w:t xml:space="preserve"> begär att alla misstankar om bedrägeri vederbörligen utreds, med fullständigt samarbete från utrikestjänstens sida, och uppmanar utrikestjänsten att stärka sin ram mot bedrägerier i syfte att ge kraftfulla garantier för att sådana fall inte kommer att upprepas i framtiden. Parlamentet begär att den ansvarsfrihetsbeviljande myndigheten hålls informerad om utvecklingen framöver.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Europaparlamentet noterar med oro Europeiska åklagarmyndighetens (Eppo) utredning som inleddes 2025 av ett potentiellt upphandlingsbedrägeri, korruption, intressekonflikter och brott mot tystnadsplikten, inbegripet starka misstankar om överträdelser av konkurrensreglerna i samband med utrikestjänstens kontraktstilldelning till Europeiska högskolan under perioden 2021–2022 i samband med ett anbudsförfarande för ett nio månader långt utbildningsprogram kopplat till genomförandet av ett pilotprojekt för inrättandet av den europeiska diplomatakademin. Parlamentet noterar att utredningen fokuserar på huruvida Europeiska högskolan och/eller deras företrädare informerades i förväg om urvalskriterierna för anbudsförfarandet och hade tillräckliga skäl att anta att de skulle tilldelas genomförandet av projektet, innan utrikestjänsten officiellt offentliggjorde meddelandet om upphandling. Parlamentet noterar vidare att den belgiska polisen till följd av räderna inom utrikestjänsten och Europeiska högskolan frihetsberövade och sedan frigav tre misstänkta i december 2025, dvs. en tidigare vice ordförande/hög representant, för närvarande rektor för Europeiska högskolan och direktör för den europeiska diplomatakademin, samt den nuvarande generaldirektören för kommissionens generaldirektorat för Mellanöstern, Nordafrika och Gulfstaterna, och en tidigare generalsekreterare för utrikestjänsten. Parlamentet begär att alla misstankar om bedrägeri vederbörligen utreds, med fullständigt samarbete från utrikestjänstens sida, och uppmanar utrikestjänsten att stärka sin ram mot bedrägerier i syfte att ge kraftfulla garantier för att sådana fall inte kommer att upprepas i framtiden. Parlamentet begär att den ansvarsfrihetsbeviljande myndigheten hålls informerad om utvecklingen framöver.</w:t>
            </w:r>
          </w:p>
        </w:tc>
        <w:tc>
          <w:tcPr>
            <w:tcW w:w="4876" w:type="dxa"/>
            <w:tcBorders>
              <w:top w:val="nil"/>
              <w:left w:val="nil"/>
              <w:bottom w:val="nil"/>
              <w:right w:val="nil"/>
            </w:tcBorders>
          </w:tcPr>
          <w:p>
            <w:pPr>
              <w:pStyle w:val="Normal6a"/>
            </w:pPr>
            <w:r>
              <w:t>47.</w:t>
            </w:r>
            <w:r>
              <w:tab/>
            </w:r>
            <w:r>
              <w:t xml:space="preserve">Europaparlamentet noterar med oro Europeiska åklagarmyndighetens (Eppo) utredning som inleddes 2025 av ett potentiellt upphandlingsbedrägeri, korruption, intressekonflikter och brott mot tystnadsplikten, inbegripet starka misstankar om överträdelser av konkurrensreglerna i samband med utrikestjänstens kontraktstilldelning till Europeiska högskolan under perioden 2021–2022 i samband med ett anbudsförfarande för ett nio månader långt utbildningsprogram kopplat till genomförandet av ett pilotprojekt för inrättandet av den europeiska diplomatakademin. Parlamentet noterar att utredningen fokuserar på huruvida Europeiska högskolan och/eller deras företrädare informerades i förväg om urvalskriterierna för anbudsförfarandet och hade tillräckliga skäl att anta att de skulle tilldelas genomförandet av projektet, innan utrikestjänsten officiellt offentliggjorde meddelandet om upphandling. Parlamentet noterar vidare att den belgiska polisen till följd av räderna inom utrikestjänsten och Europeiska högskolan frihetsberövade och sedan frigav tre misstänkta i december 2025, dvs. en tidigare vice ordförande/hög representant, för närvarande rektor för Europeiska högskolan och direktör för den europeiska diplomatakademin, samt den nuvarande generaldirektören för kommissionens generaldirektorat för Mellanöstern, Nordafrika och Gulfstaterna, och en tidigare generalsekreterare för utrikestjänsten. Parlamentet begär att alla misstankar om bedrägeri vederbörligen utreds, med fullständigt samarbete från utrikestjänstens sida, och uppmanar utrikestjänsten att stärka </w:t>
            </w:r>
            <w:r>
              <w:rPr>
                <w:b/>
                <w:i/>
              </w:rPr>
              <w:t>styrningsramen och den etiska ramen, inbegripet genom att stärka</w:t>
            </w:r>
            <w:r>
              <w:t xml:space="preserve"> sin ram mot bedrägerier </w:t>
            </w:r>
            <w:r>
              <w:rPr>
                <w:b/>
                <w:i/>
              </w:rPr>
              <w:t>och svängdörrspolicy</w:t>
            </w:r>
            <w:r>
              <w:t xml:space="preserve"> i syfte att ge kraftfulla garantier för att sådana fall inte kommer att upprepas i framtiden. Parlamentet begär att den ansvarsfrihetsbeviljande myndigheten hålls informerad om utvecklingen framöver.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Europaparlamentet beklagar djupt att det pågår en utredning av påståendena om att den offentliga upphandling som Europeiska utrikestjänsten 2021–2022 riktade till högre utbildningsanstalter för att dessa skulle stå värd för den europeiska diplomatakademin kan ha riggats till förmån för Europeiska högskolan.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Europaparlamentet noterar att en sådan situation riskerar att undergräva förtroendet för EU-institutionerna, eftersom anklagelser om oriktigheter i samband med offentlig upphandling kan väcka tvivel om transparens, rättvisa och likabehandling av kandidater.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Joachim Stanisław Brudziński,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47c.</w:t>
            </w:r>
            <w:r>
              <w:tab/>
            </w:r>
            <w:r>
              <w:rPr>
                <w:b/>
                <w:i/>
              </w:rPr>
              <w:t>Europaparlamentet påpekar att utredningar av detta slag, även om de visar sig vara ogrundande, kan skada trovärdigheten i EU:s styrning och försvaga allmänhetens förtroende för en korrekt användning av EU-medel.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47e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47e.</w:t>
            </w:r>
            <w:r>
              <w:tab/>
            </w:r>
            <w:r>
              <w:rPr>
                <w:b/>
                <w:i/>
              </w:rPr>
              <w:t>Europaparlamentet anser att Eppos utredningar bör ge möjlighet att förbättra utrikestjänstens interna styrning och inte bör användas för att undergräva den europeiska diplomatakademins roll, vars mervärde måste erkännas fullt ut, särskilt med tanke på den konsekvent positiva återkoppling som mottagits från deltagare och medlemsstater.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Europaparlamentet anser att de färska straffrättsliga förfarandena och utredningarna gällande utrikestjänsten har visat att Europeiska unionens ekonomiska intressen inte var väl skyddade inom utrikestjänsten.</w:t>
            </w:r>
            <w:r>
              <w:t xml:space="preserve"> </w:t>
            </w:r>
            <w:r>
              <w:rPr>
                <w:b/>
                <w:i/>
              </w:rPr>
              <w:t>Parlamentet föreslår därför att beslutet att bevilja unionens höga representant för utrikes frågor och säkerhetspolitik ansvarsfrihet för budgetåret 2024 skjuts upp.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Europaparlamentet förstår av uppföljningsfrågorna att fakta som rör Eppos utredningar omfattas av strikta sekretessregler och inte kan lämnas ut i samband med ansvarsfrihetsförfarandet, men välkomnar att utrikestjänsten åtog sig att göra de relevanta handlingarna tillgängliga när förundersökningen har avslutats.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47c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47c.</w:t>
            </w:r>
            <w:r>
              <w:tab/>
            </w:r>
            <w:r>
              <w:rPr>
                <w:b/>
                <w:i/>
              </w:rPr>
              <w:t>Europaparlamentet noterar att enligt bidragsavtalet, genom vilket den europeiska diplomatakademin anförtros Europeiska högskolan, är Europeiska högskolan skyldig att lämna in en utgiftskontrollrapport tillsammans med sin slutrapport, som ska utarbetas av en extern revisor och inom kort läggas fram för 2024.</w:t>
            </w:r>
            <w:r>
              <w:t xml:space="preserve"> </w:t>
            </w:r>
            <w:r>
              <w:rPr>
                <w:b/>
                <w:i/>
              </w:rPr>
              <w:t>Parlamentet uppmanar utrikestjänsten att dela denna utvärdering med den myndighet som beviljar ansvarsfrihet för att säkerställa ansvarsskyldighet och transparens.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Europaparlamentet uppmanar utrikestjänsten att förse parlamentet med detaljerad information om genomförandet av internrevisionstjänstens upphandlingsrelaterade rekommendationer.</w:t>
            </w:r>
            <w:r>
              <w:t xml:space="preserve"> </w:t>
            </w:r>
            <w:r>
              <w:rPr>
                <w:b/>
                <w:i/>
              </w:rPr>
              <w:t>Parlamentet begär att utrikestjänsten offentliggör resultaten och rekommendationerna från den arbetsgrupp som inrättades 2024 för att stärka upphandlingsprocesserna, i syfte att möjliggöra offentlig granskning av deras genomförande och göra det möjligt för andra EU-institutioner att dra nytta av utrikestjänstens lärdomar när det gäller att förbättra upphandlingsförfarandena.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Dick Erixon, Şerban Dimitrie Sturdza,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Europaparlamentet uppmanar utrikestjänsten att genomföra en grundlig översyn av alla tidigare och pågående upphandlingsförfaranden och kontrakt med Europeiska högskolan, särskilt sådana som rör den europeiska diplomatakademin och som finansierats ur unionens budget.</w:t>
            </w:r>
            <w:r>
              <w:t xml:space="preserve"> </w:t>
            </w:r>
            <w:r>
              <w:rPr>
                <w:b/>
                <w:i/>
              </w:rPr>
              <w:t>Parlamentet uppmanar med kraft utrikestjänsten att strikt genomdriva reglerna om intressekonflikter och obligatoriska karensperioder för tjänstemän som övergår till enheter som har kontrakt med utrikestjänsten, för att säkerställa att inga sådana övergångar äventyrar upphandlingsförfarandenas integritet.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Europaparlamentet uppmanar utrikestjänsten att, utan att det påverkar pågående utredningar, dra systematiska lärdomar av detta fall, bland annat genom att se över upphandlingsstyrningen, förebyggandet av intressekonflikter och interna kontroller för utbildning och akademiska partnerskap, och att informera den ansvarsfrihetsbeviljande myndigheten om detta.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47b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47b.</w:t>
            </w:r>
            <w:r>
              <w:tab/>
            </w:r>
            <w:r>
              <w:rPr>
                <w:b/>
                <w:i/>
              </w:rPr>
              <w:t>Europaparlamentet noterar att utrikestjänsten i slutet av december 2025 inledde översynen av rådets beslut om inrättande av den europeiska diplomatakademin genom att inleda en oberoende extern utvärdering av den europeiska diplomatakademin och av Europeiska högskolans resultat när det gäller att genomföra den europeiska diplomatakademins utbildningsverksamhet.</w:t>
            </w:r>
            <w:r>
              <w:t xml:space="preserve"> </w:t>
            </w:r>
            <w:r>
              <w:rPr>
                <w:b/>
                <w:i/>
              </w:rPr>
              <w:t>Parlamentet förväntar sig att denna utvärdering är grundlig med tanke på de brister som identifierats och att den görs tillgänglig för den ansvarsfrihetsbeviljande myndigheten.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47d.</w:t>
            </w:r>
            <w:r>
              <w:tab/>
            </w:r>
            <w:r>
              <w:rPr>
                <w:b/>
                <w:i/>
              </w:rPr>
              <w:t>Europaparlamentet noterar beslutet från den europeiska diplomatakademins styrkommitté vid dess sammanträde den 18 december 2025 att begära att Europeiska högskolan säkerställer en transparent och konkurrensutsatt rekryteringsprocess, på grundval av offentliggörandet av ett meddelande om lediga tjänster, för utnämningen av en ny direktör för den europeiska diplomatakademin.</w:t>
            </w:r>
            <w:r>
              <w:t xml:space="preserve"> </w:t>
            </w:r>
            <w:r>
              <w:rPr>
                <w:b/>
                <w:i/>
              </w:rPr>
              <w:t>Parlamentet välkomnar att styrkommittén dessutom begärde att tjänsten som direktör för den europeiska diplomatakademin skulle hållas åtskild från tjänsten som rektor för Europeiska högskolan.</w:t>
            </w:r>
            <w:r>
              <w:t xml:space="preserve"> </w:t>
            </w:r>
            <w:r>
              <w:rPr>
                <w:b/>
                <w:i/>
              </w:rPr>
              <w:t>Parlamentet uppmanar styrkommittén att göra denna åtskillnad rättsligt bindande för alla framtida utnämningar.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47d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47d.</w:t>
            </w:r>
            <w:r>
              <w:tab/>
            </w:r>
            <w:r>
              <w:rPr>
                <w:b/>
                <w:i/>
              </w:rPr>
              <w:t>Europaparlamentet betonar att det finns ett akut behov av robusta skyddsåtgärder, tydliga förfaranden och effektiv tillsyn för att upprätthålla de högsta integritetsstandarderna på EU-nivå.</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47a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47a.</w:t>
            </w:r>
            <w:r>
              <w:tab/>
            </w:r>
            <w:r>
              <w:rPr>
                <w:b/>
                <w:i/>
              </w:rPr>
              <w:t>Europaparlamentet upprepar att transparens och sund ekonomisk förvaltning vid användningen av EU:s offentliga medel måste förbli en grundläggande princip för alla EU:s institutioner och organ, inbegripet utrikestjänsten, och att denna princip är en hörnsten för att upprätthålla medborgarnas förtroende för unionens yttre åtgärder.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Europaparlamentet konstaterar utifrån frågeformuläret att utrikestjänsten registrerade två fall av visselblåsning under 2024. Parlamentet noterar att båda fallen granskades av Olaf och avslutades utan rekommendationer, antingen efter utredning eller i urvalsskedet. Parlamentet konstaterar med tillfredsställelse utifrån utrikestjänstens rapport för 2024 att utrikestjänsten började arbeta med att utveckla sin egen policy för visselblåsare. Parlamentet begär att det hålls uppdaterat om framstegen med alla sådana initiativ.</w:t>
            </w:r>
          </w:p>
        </w:tc>
        <w:tc>
          <w:tcPr>
            <w:tcW w:w="4876" w:type="dxa"/>
            <w:tcBorders>
              <w:top w:val="nil"/>
              <w:left w:val="nil"/>
              <w:bottom w:val="nil"/>
              <w:right w:val="nil"/>
            </w:tcBorders>
          </w:tcPr>
          <w:p>
            <w:pPr>
              <w:pStyle w:val="Normal6a"/>
            </w:pPr>
            <w:r>
              <w:t>49.</w:t>
            </w:r>
            <w:r>
              <w:tab/>
            </w:r>
            <w:r>
              <w:t xml:space="preserve">Europaparlamentet konstaterar utifrån frågeformuläret att utrikestjänsten registrerade två fall av visselblåsning under 2024. Parlamentet noterar att båda fallen granskades av Olaf och avslutades utan rekommendationer, antingen efter utredning eller i urvalsskedet. Parlamentet konstaterar med tillfredsställelse utifrån utrikestjänstens rapport för 2024 att utrikestjänsten började arbeta med att utveckla sin egen policy för visselblåsare. Parlamentet begär att det hålls uppdaterat om framstegen med alla sådana initiativ. </w:t>
            </w:r>
            <w:r>
              <w:rPr>
                <w:b/>
                <w:i/>
              </w:rPr>
              <w:t>Parlamentet insisterar på att utrikestjänstens ram för visselblåsare ska omfatta konfidentiell rapportering, skydd mot repressalier för alla personalkategorier, inbegripet lokalanställda, och årlig anonymiserad rapportering om fall och resultat.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52a.</w:t>
            </w:r>
            <w:r>
              <w:tab/>
            </w:r>
            <w:r>
              <w:rPr>
                <w:b/>
                <w:i/>
              </w:rPr>
              <w:t>Europaparlamentet beklagar djupt att utrikestjänsten har underlåtit att genomföra ordentliga översyner av genomförandet av samarbetsavtal med tredjeländer, inbegripet bedömningen av efterlevnaden av villkor och människorättsklausuler i avtalen.</w:t>
            </w:r>
            <w:r>
              <w:t xml:space="preserve"> </w:t>
            </w:r>
            <w:r>
              <w:rPr>
                <w:b/>
                <w:i/>
              </w:rPr>
              <w:t>Parlamentet betonar att detta misslyckande är särskilt tydligt när det gäller avtalet om politisk dialog och samarbete med Kuba, som tio år efter undertecknandet har misslyckats på alla områden, från respekten för de mänskliga rättigheterna, inbegripet fängslandet av över tusen politiska fångar fram till slutet av 2025, till den kubanska regimens skadliga inverkan på europeisk säkerhet, inbegripet ett nära politiskt och militärt samarbete med regimerna i Moskva och Minsk, vilket särskilt framgår av det faktum att kubanerna har blivit den största gruppen legosoldater som stöder ryska styrkor i deras anfallskrig mot Ukraina och genom deras inblandning i sabotage på EU:s territorium, vilket nyligen visades i Litauen.</w:t>
            </w:r>
            <w:r>
              <w:t xml:space="preserve"> </w:t>
            </w:r>
            <w:r>
              <w:rPr>
                <w:b/>
                <w:i/>
              </w:rPr>
              <w:t>Parlamentet noterar att trots uppenbara kränkningar av många bestämmelser i avtalet har varken upphävande- eller uppsägningsklausulerna aktiverats, samtidigt som EU:s ekonomiska resurser har fortsatt att flöda till Kuba, där kommunistregimen kontrollerar hela ekonomin, missbrukar dessa medel och får politisk legitimitet från det pågående samarbetet inom ramen för avtalet om politisk dialog och samarbete.</w:t>
            </w:r>
            <w:r>
              <w:t xml:space="preserve"> </w:t>
            </w:r>
            <w:r>
              <w:rPr>
                <w:b/>
                <w:i/>
              </w:rPr>
              <w:t>Parlamentet anser att sådana regimer inte får fortsätta att gynnas av ett privilegierat samarbete med Europeiska unionen och att EU-skattebetalarnas pengar inte får gå till sådana regimer.</w:t>
            </w:r>
            <w:r>
              <w:t xml:space="preserve"> </w:t>
            </w:r>
            <w:r>
              <w:rPr>
                <w:b/>
                <w:i/>
              </w:rPr>
              <w:t>Parlamentet begär därför att artikel 86 i avtalet ska aktiveras och att avtalet ska upphävas.</w:t>
            </w:r>
            <w:r>
              <w:t xml:space="preserve"> </w:t>
            </w:r>
            <w:r>
              <w:rPr>
                <w:b/>
                <w:i/>
              </w:rPr>
              <w:t>Parlamentet uppmanar Europeiska revisionsrätten att snarast granska allt EU-stöd som beviljats Kuba sedan 2016.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 xml:space="preserve">Europaparlamentet noterar att vice ordföranden/den höga representanten i sin egenskap av vice ordförande för kommissionen är bunden av öppenhetsregistrets regler. Parlamentet betonar att även om utrikestjänsten inte är en institution i den mening som avses i artikel 13 i fördraget om Europeiska unionen och inte har någon direkt roll inom unionsrätten, spelar den dock en viktig roll inom unionsrätten när det gäller beslut om sanktioner och förhandlingar om internationella handelsavtal, vilka har en betydande reglerande verkan. Parlamentet </w:t>
            </w:r>
            <w:r>
              <w:rPr>
                <w:b/>
                <w:i/>
              </w:rPr>
              <w:t>konstaterar att det skulle vara av stor relevans för</w:t>
            </w:r>
            <w:r>
              <w:t xml:space="preserve"> utrikestjänsten </w:t>
            </w:r>
            <w:r>
              <w:rPr>
                <w:b/>
                <w:i/>
              </w:rPr>
              <w:t>om den kunde anta</w:t>
            </w:r>
            <w:r>
              <w:t xml:space="preserve"> transparensåtgärder </w:t>
            </w:r>
            <w:r>
              <w:rPr>
                <w:b/>
                <w:i/>
              </w:rPr>
              <w:t>och anmäla dem</w:t>
            </w:r>
            <w:r>
              <w:t xml:space="preserve"> till öppenhetsregistrets </w:t>
            </w:r>
            <w:r>
              <w:rPr>
                <w:b/>
                <w:i/>
              </w:rPr>
              <w:t>styrelse</w:t>
            </w:r>
            <w:r>
              <w:t>. Parlamentet konstaterar med tillfredsställelse utifrån uppföljningsrapporten att vice ordföranden/den höga representanten inledde en bredare diskussion om att ta itu med frågan i den externa dimensionen med rekommendationer som förväntades i slutet av 2025. Parlamentet uppmanar utrikestjänsten att hålla parlamentet uppdaterat om de framsteg som görs i denna fråga.</w:t>
            </w:r>
          </w:p>
        </w:tc>
        <w:tc>
          <w:tcPr>
            <w:tcW w:w="4876" w:type="dxa"/>
            <w:tcBorders>
              <w:top w:val="nil"/>
              <w:left w:val="nil"/>
              <w:bottom w:val="nil"/>
              <w:right w:val="nil"/>
            </w:tcBorders>
          </w:tcPr>
          <w:p>
            <w:pPr>
              <w:pStyle w:val="Normal6a"/>
            </w:pPr>
            <w:r>
              <w:t>53.</w:t>
            </w:r>
            <w:r>
              <w:tab/>
            </w:r>
            <w:r>
              <w:t xml:space="preserve">Europaparlamentet noterar att vice ordföranden/den höga representanten i sin egenskap av vice ordförande för kommissionen är bunden av öppenhetsregistrets regler. Parlamentet betonar att även om utrikestjänsten inte är en institution i den mening som avses i artikel 13 i fördraget om Europeiska unionen och inte har någon direkt roll inom unionsrätten, spelar den dock en viktig roll inom unionsrätten när det gäller beslut om sanktioner och förhandlingar om internationella handelsavtal, vilka har en betydande reglerande verkan. Parlamentet </w:t>
            </w:r>
            <w:r>
              <w:rPr>
                <w:b/>
                <w:i/>
              </w:rPr>
              <w:t>uppmanar</w:t>
            </w:r>
            <w:r>
              <w:t xml:space="preserve"> utrikestjänsten </w:t>
            </w:r>
            <w:r>
              <w:rPr>
                <w:b/>
                <w:i/>
              </w:rPr>
              <w:t>att anta interna</w:t>
            </w:r>
            <w:r>
              <w:t xml:space="preserve"> transparensåtgärder </w:t>
            </w:r>
            <w:r>
              <w:rPr>
                <w:b/>
                <w:i/>
              </w:rPr>
              <w:t>som är anpassade</w:t>
            </w:r>
            <w:r>
              <w:t xml:space="preserve"> till öppenhetsregistrets </w:t>
            </w:r>
            <w:r>
              <w:rPr>
                <w:b/>
                <w:i/>
              </w:rPr>
              <w:t>standarder, inbegripet proaktivt offentliggörande av möten på hög nivå med relevant högsta ledning när detta inte äventyrar säkerhetskänslig diplomati för utrikestjänsten</w:t>
            </w:r>
            <w:r>
              <w:t>. Parlamentet konstaterar med tillfredsställelse utifrån uppföljningsrapporten att vice ordföranden/den höga representanten inledde en bredare diskussion om att ta itu med frågan i den externa dimensionen med rekommendationer som förväntades i slutet av 2025. Parlamentet uppmanar utrikestjänsten att hålla parlamentet uppdaterat om de framsteg som görs i denna fråga.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Europaparlamentet påminner om att EU-fördraget föreskriver att EU och dess institutioner ska respektera medlemsstaternas likhet inför fördragen samt deras nationella identitet, som kommer till uttryck i deras politiska och konstitutionella grundstrukturer, inbegripet det regionala och lokala självstyret.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Europaparlamentet noterar att CONT-utskottets ledamöter under utfrågningen uttryckte oro över vice ordförandens/den höga representantens användning av en Signal-chatt för att kommunicera med medlemsstaternas utrikesministrar. Parlamentet noterar att sådana farhågor var kopplade till bristen på transparens och riskerna för eventuell spionverksamhet. Parlamentet konstaterar utifrån utrikestjänstens svar på det andra frågeformuläret att den berörda Signal-chatten är öppen uteslutande för medlemsstaternas utrikesministrar och endast för informella utbyten, samordning av möten och utbyte av uppdateringar, dvs. under inga omständigheter som ett beslutsverktyg – diskussioner i sak och utformningen av politiska ståndpunkter äger rum inom ramen för rådets relevanta strukturer.</w:t>
            </w:r>
          </w:p>
        </w:tc>
        <w:tc>
          <w:tcPr>
            <w:tcW w:w="4876" w:type="dxa"/>
            <w:tcBorders>
              <w:top w:val="nil"/>
              <w:left w:val="nil"/>
              <w:bottom w:val="nil"/>
              <w:right w:val="nil"/>
            </w:tcBorders>
          </w:tcPr>
          <w:p>
            <w:pPr>
              <w:pStyle w:val="Normal6a"/>
            </w:pPr>
            <w:r>
              <w:t>54.</w:t>
            </w:r>
            <w:r>
              <w:tab/>
            </w:r>
            <w:r>
              <w:t xml:space="preserve">Europaparlamentet noterar att CONT-utskottets ledamöter under utfrågningen uttryckte oro över vice ordförandens/den höga representantens användning av en Signal-chatt för att kommunicera med medlemsstaternas utrikesministrar. Parlamentet noterar att sådana farhågor var kopplade till bristen på transparens och riskerna för eventuell spionverksamhet. Parlamentet konstaterar utifrån utrikestjänstens svar på det andra frågeformuläret att den berörda Signal-chatten är öppen uteslutande för medlemsstaternas utrikesministrar och endast för informella utbyten, samordning av möten och utbyte av uppdateringar, dvs. under inga omständigheter som ett beslutsverktyg – diskussioner i sak och utformningen av politiska ståndpunkter äger rum inom ramen för rådets relevanta strukturer. </w:t>
            </w:r>
            <w:r>
              <w:rPr>
                <w:b/>
                <w:i/>
              </w:rPr>
              <w:t>Parlamentet påminner om att även informella digitala kommunikationsverktyg som används på politisk nivå bör åtföljas av tydlig vägledning om cybersäkerhet, registerhållning och institutionellt minne, i syfte att skydda transparensen, ansvarsskyldigheten och integriteten i unionens beslutsfattande.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54a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54a.</w:t>
            </w:r>
            <w:r>
              <w:tab/>
            </w:r>
            <w:r>
              <w:rPr>
                <w:b/>
                <w:i/>
              </w:rPr>
              <w:t>Europaparlamentet uppmanar utrikestjänsten att dra lärdom och slutsatser av sina egna interna regler och förfaranden, med beaktande av översynen av parlamentets arbetsordning och uppförandekod från september 2023, men rekommenderar utrikestjänsten att ta fram ytterligare och mer kraftfulla sätt att intensifiera kampen mot bedrägerier och fullt ut skydda EU:s ekonomiska intressen.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för Verts/ALE-gruppen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56a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56a.</w:t>
            </w:r>
            <w:r>
              <w:tab/>
            </w:r>
            <w:r>
              <w:rPr>
                <w:b/>
                <w:i/>
              </w:rPr>
              <w:t>Europaparlamentet betonar att införandet av verktyg för artificiell intelligens i yttre åtgärder måste åtföljas av strikta skyddsåtgärder för dataskydd, grundläggande rättigheter, transparens och mänsklig tillsyn, även i unionens delegationer och i samarbetet med partner i tredjeländer.</w:t>
            </w:r>
            <w:r>
              <w:t xml:space="preserve"> </w:t>
            </w:r>
            <w:r>
              <w:rPr>
                <w:b/>
                <w:i/>
              </w:rPr>
              <w:t>Parlamentet efterlyser regelbunden rapportering till parlamentet om genomförandet av utrikestjänstens strategi för artificiell intelligens.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Vlad Vasile-Voiculescu, Olivier Chastel, Gerben-Jan Gerbrandy, Gilles Boyer, Michal Wiezik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57.</w:t>
            </w:r>
            <w:r>
              <w:tab/>
            </w:r>
            <w:r>
              <w:t xml:space="preserve">Europaparlamentet lovordar utrikestjänsten för dess åtgärder för att förbättra cybersäkerhetsberedskapen genom regelbundna säkerhetsgenomgångar som omfattar ett brett spektrum av personal och associerade personer, tillsammans med utbildningstillfällen anordnade på begäran av olika användargrupper, inbegripet regionala säkerhetsansvariga och säkerhetssamordnare för unionens delegationer, samt nätfiskeövningar. Parlamentet </w:t>
            </w:r>
            <w:r>
              <w:rPr>
                <w:b/>
                <w:i/>
              </w:rPr>
              <w:t>ser fram emot införandet av</w:t>
            </w:r>
            <w:r>
              <w:t xml:space="preserve"> obligatorisk cybersäkerhetsutbildning för all personal vid utrikestjänsten. Parlamentet noterar med tillfredsställelse utifrån frågeformuläret de verktyg – exempelvis utrikestjänstens säkerhetscentrum – som utrikestjänsten är utrustad med för att i realtid övervaka cyberhot och identifiera sårbarheter vad gäller säkerheten.</w:t>
            </w:r>
          </w:p>
        </w:tc>
        <w:tc>
          <w:tcPr>
            <w:tcW w:w="4876" w:type="dxa"/>
            <w:tcBorders>
              <w:top w:val="nil"/>
              <w:left w:val="nil"/>
              <w:bottom w:val="nil"/>
              <w:right w:val="nil"/>
            </w:tcBorders>
          </w:tcPr>
          <w:p>
            <w:pPr>
              <w:pStyle w:val="Normal6a"/>
            </w:pPr>
            <w:r>
              <w:t>57.</w:t>
            </w:r>
            <w:r>
              <w:tab/>
            </w:r>
            <w:r>
              <w:t xml:space="preserve">Europaparlamentet lovordar utrikestjänsten för dess åtgärder för att förbättra cybersäkerhetsberedskapen genom regelbundna säkerhetsgenomgångar som omfattar ett brett spektrum av personal och associerade personer, tillsammans med utbildningstillfällen anordnade på begäran av olika användargrupper, inbegripet regionala säkerhetsansvariga och säkerhetssamordnare för unionens delegationer, samt nätfiskeövningar. Parlamentet </w:t>
            </w:r>
            <w:r>
              <w:rPr>
                <w:b/>
                <w:i/>
              </w:rPr>
              <w:t>uppmanar utrikestjänsten att tillhandahålla regelbunden</w:t>
            </w:r>
            <w:r>
              <w:t xml:space="preserve"> obligatorisk cybersäkerhetsutbildning för all personal vid utrikestjänsten. Parlamentet noterar med tillfredsställelse utifrån frågeformuläret de verktyg – exempelvis utrikestjänstens säkerhetscentrum – som utrikestjänsten är utrustad med för att i realtid övervaka cyberhot och identifiera sårbarheter vad gäller säkerheten.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58.</w:t>
            </w:r>
            <w:r>
              <w:tab/>
            </w:r>
            <w:r>
              <w:t xml:space="preserve">Europaparlamentet lovordar utrikestjänsten för de digitala verktyg och system som den använder i kampen mot utländsk informationsmanipulering och inblandning, till exempel informations- och analyscentralen avseende utländsk informationsmanipulering och inblandning och systemet för snabb varning. Parlamentet noterar vidare utifrån frågeformuläret lanseringen av en e-kurs om motverkande av desinformation, tillgänglig för alla EU-institutioner, och slutförandet av en GSFP-handbok om desinformation utformad för att stödja fältpersonal i unionens militära och civila uppdrag. </w:t>
            </w:r>
            <w:r>
              <w:rPr>
                <w:b/>
                <w:i/>
              </w:rPr>
              <w:t>Parlamentet noterar</w:t>
            </w:r>
            <w:r>
              <w:t xml:space="preserve"> den pågående utvecklingen av initiativet EUvsDisinfo för att öka medvetenheten.</w:t>
            </w:r>
          </w:p>
        </w:tc>
        <w:tc>
          <w:tcPr>
            <w:tcW w:w="4876" w:type="dxa"/>
            <w:tcBorders>
              <w:top w:val="nil"/>
              <w:left w:val="nil"/>
              <w:bottom w:val="nil"/>
              <w:right w:val="nil"/>
            </w:tcBorders>
          </w:tcPr>
          <w:p>
            <w:pPr>
              <w:pStyle w:val="Normal6a"/>
            </w:pPr>
            <w:r>
              <w:t>58.</w:t>
            </w:r>
            <w:r>
              <w:tab/>
            </w:r>
            <w:r>
              <w:t xml:space="preserve">Europaparlamentet lovordar utrikestjänsten för de digitala verktyg och system som den använder i kampen mot utländsk informationsmanipulering och inblandning, till exempel informations- och analyscentralen avseende utländsk informationsmanipulering och inblandning och systemet för snabb varning. Parlamentet noterar vidare utifrån frågeformuläret lanseringen av en e-kurs om motverkande av desinformation, tillgänglig för alla EU-institutioner, och slutförandet av en GSFP-handbok om desinformation utformad för att stödja fältpersonal i unionens militära och civila uppdrag. </w:t>
            </w:r>
            <w:r>
              <w:rPr>
                <w:b/>
                <w:i/>
              </w:rPr>
              <w:t>Europaparlamentet välkomnar</w:t>
            </w:r>
            <w:r>
              <w:t xml:space="preserve"> den pågående utvecklingen av initiativet EUvsDisinfo för att öka medvetenheten </w:t>
            </w:r>
            <w:r>
              <w:rPr>
                <w:b/>
                <w:i/>
              </w:rPr>
              <w:t>och betonar vikten av ytterligare samarbete med EU:s medlemsstater för att mer effektivt ta itu med hybridhot på plats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59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59.</w:t>
            </w:r>
            <w:r>
              <w:tab/>
            </w:r>
            <w:r>
              <w:t xml:space="preserve">Europaparlamentet konstaterar utifrån frågeformuläret och utrikestjänstens rapport för 2024 att utrikestjänsten upptäckte omkring </w:t>
            </w:r>
            <w:r>
              <w:rPr>
                <w:b/>
                <w:i/>
              </w:rPr>
              <w:t>27 000</w:t>
            </w:r>
            <w:r>
              <w:t xml:space="preserve"> varningar, varav 348 krävde ytterligare utredning. Parlamentet konstaterar att 57 av de sistnämnda bekräftades vara </w:t>
            </w:r>
            <w:r>
              <w:rPr>
                <w:b/>
                <w:i/>
              </w:rPr>
              <w:t>angrepp</w:t>
            </w:r>
            <w:r>
              <w:t xml:space="preserve"> och att 5 hade en betydande inverkan på utrikestjänstens insatser. Parlamentet noterar med tillfredsställelse att utrikestjänsten identifierade angriparnas taktik, teknik och förfaranden och använde denna analys för att stärka sina motåtgärder. Parlamentet begär ett förtydligande av i vilken utsträckning dessa angrepp påverkade institutionens verksamhet.</w:t>
            </w:r>
          </w:p>
        </w:tc>
        <w:tc>
          <w:tcPr>
            <w:tcW w:w="4876" w:type="dxa"/>
            <w:tcBorders>
              <w:top w:val="nil"/>
              <w:left w:val="nil"/>
              <w:bottom w:val="nil"/>
              <w:right w:val="nil"/>
            </w:tcBorders>
          </w:tcPr>
          <w:p>
            <w:pPr>
              <w:pStyle w:val="Normal6a"/>
            </w:pPr>
            <w:r>
              <w:t>59.</w:t>
            </w:r>
            <w:r>
              <w:tab/>
            </w:r>
            <w:r>
              <w:t xml:space="preserve">Europaparlamentet konstaterar utifrån frågeformuläret och utrikestjänstens rapport för 2024 att utrikestjänsten upptäckte omkring </w:t>
            </w:r>
            <w:r>
              <w:rPr>
                <w:b/>
                <w:i/>
              </w:rPr>
              <w:t>27 000</w:t>
            </w:r>
            <w:r>
              <w:t xml:space="preserve"> varningar, varav 348 krävde ytterligare utredning. Parlamentet konstaterar att 57 av de sistnämnda bekräftades vara </w:t>
            </w:r>
            <w:r>
              <w:rPr>
                <w:b/>
                <w:i/>
              </w:rPr>
              <w:t>cyberattacker</w:t>
            </w:r>
            <w:r>
              <w:t xml:space="preserve"> och att 5 hade en betydande inverkan på utrikestjänstens insatser. Parlamentet noterar med tillfredsställelse att utrikestjänsten identifierade angriparnas taktik, teknik och förfaranden och använde denna analys för att stärka sina motåtgärder. Parlamentet begär ett förtydligande av i vilken utsträckning dessa angrepp påverkade institutionens verksamhet.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60a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60a.</w:t>
            </w:r>
            <w:r>
              <w:tab/>
            </w:r>
            <w:r>
              <w:rPr>
                <w:b/>
                <w:i/>
              </w:rPr>
              <w:t>Europaparlamentet noterar att utrikestjänsten förvaltar nästan 328 diplomatiska beskickningar och kontor i hela världen och att åtaganden gjordes för mer än 61 miljoner EUR under 2024 för byggnader och därmed sammanhängande kostnader.</w:t>
            </w:r>
            <w:r>
              <w:t xml:space="preserve"> </w:t>
            </w:r>
            <w:r>
              <w:rPr>
                <w:b/>
                <w:i/>
              </w:rPr>
              <w:t>Parlamentet beklagar att framstegen med att påskynda politiken för samlokalisering med andra unionstjänster och medlemsstater har varit långsamma.</w:t>
            </w:r>
            <w:r>
              <w:t xml:space="preserve"> </w:t>
            </w:r>
            <w:r>
              <w:rPr>
                <w:b/>
                <w:i/>
              </w:rPr>
              <w:t>Parlamentet påminner om att samlokalisering är ett beprövat instrument för att slå samman resurser, minska driftskostnaderna och generera kortsiktiga budgetbesparingar, samtidigt som samordningen på plats stärks.</w:t>
            </w:r>
            <w:r>
              <w:t xml:space="preserve"> </w:t>
            </w:r>
            <w:r>
              <w:rPr>
                <w:b/>
                <w:i/>
              </w:rPr>
              <w:t>Parlamentet uppmanar utrikestjänsten att mer systematiskt använda sig av samlokalisering när så är möjligt.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Dick Erixon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rPr>
                <w:b/>
                <w:i/>
              </w:rPr>
              <w:t>Europaparlamentet noterar</w:t>
            </w:r>
            <w:r>
              <w:t xml:space="preserve"> att utrikestjänsten på nytt bekräftade sitt åtagande att bevara nätverket av 145 unionsdelegationer </w:t>
            </w:r>
            <w:r>
              <w:rPr>
                <w:b/>
                <w:i/>
              </w:rPr>
              <w:t>och stärka One Delegation-principen</w:t>
            </w:r>
            <w:r>
              <w:t xml:space="preserve">. </w:t>
            </w:r>
            <w:r>
              <w:rPr>
                <w:b/>
                <w:i/>
              </w:rPr>
              <w:t>Parlamentet konstaterar att den pågående moderniseringen syftar till att öka effektiviteten och anpassa nätverket till unionens prioriteringar samtidigt som man tar itu med budgetbegränsningarna.</w:t>
            </w:r>
            <w:r>
              <w:t xml:space="preserve"> </w:t>
            </w:r>
            <w:r>
              <w:rPr>
                <w:b/>
                <w:i/>
              </w:rPr>
              <w:t>Parlamentet understryker att strikta besparingsåtgärder, diskussioner om kostnadsdelning med kommissionen och en riktad förstärkning av viktiga unionsdelegationer kommer att fortsätta fram till dess att de finansiella villkoren förbättras.</w:t>
            </w:r>
            <w:r>
              <w:t xml:space="preserve"> </w:t>
            </w:r>
            <w:r>
              <w:rPr>
                <w:b/>
                <w:i/>
              </w:rPr>
              <w:t>Parlamentet uttrycker viss oro över planen att minska en del unionsdelegationers storlek och minska antalet tjänster i en övergång från det ursprungliga fokuset på utvecklingsbistånd och ekonomiskt samarbete till vissa strategiska intressen, vilket tycks missgynna det södra grannskapet.</w:t>
            </w:r>
            <w:r>
              <w:t xml:space="preserve"> </w:t>
            </w:r>
            <w:r>
              <w:rPr>
                <w:b/>
                <w:i/>
              </w:rPr>
              <w:t>Parlamentet uppmanar utrikestjänsten att behålla sin centrala roll och strategiska prioritering i Medelhavsområdet på grundval av en omfattande bedömning av unionens geopolitiska utmaningar.</w:t>
            </w:r>
          </w:p>
        </w:tc>
        <w:tc>
          <w:tcPr>
            <w:tcW w:w="4876" w:type="dxa"/>
            <w:tcBorders>
              <w:top w:val="nil"/>
              <w:left w:val="nil"/>
              <w:bottom w:val="nil"/>
              <w:right w:val="nil"/>
            </w:tcBorders>
          </w:tcPr>
          <w:p>
            <w:pPr>
              <w:pStyle w:val="Normal6a"/>
            </w:pPr>
            <w:r>
              <w:t>61.</w:t>
            </w:r>
            <w:r>
              <w:tab/>
            </w:r>
            <w:r>
              <w:rPr>
                <w:b/>
                <w:i/>
              </w:rPr>
              <w:t>Parlamentet beklagar</w:t>
            </w:r>
            <w:r>
              <w:t xml:space="preserve"> att utrikestjänsten på nytt bekräftade sitt åtagande att bevara nätverket av 145 unionsdelegationer.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José Cepeda, 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 xml:space="preserve">Europaparlamentet </w:t>
            </w:r>
            <w:r>
              <w:rPr>
                <w:b/>
                <w:i/>
              </w:rPr>
              <w:t>noterar</w:t>
            </w:r>
            <w:r>
              <w:t xml:space="preserve"> att utrikestjänsten på nytt bekräftade sitt åtagande att bevara nätverket av 145 unionsdelegationer och stärka One Delegation-principen. Parlamentet konstaterar att den pågående moderniseringen syftar till att öka effektiviteten och anpassa nätverket till unionens prioriteringar samtidigt som man tar itu med budgetbegränsningarna. Parlamentet understryker att strikta besparingsåtgärder, diskussioner om kostnadsdelning med kommissionen och en riktad förstärkning av viktiga unionsdelegationer kommer att fortsätta fram till dess att de finansiella villkoren förbättras. Parlamentet uttrycker </w:t>
            </w:r>
            <w:r>
              <w:rPr>
                <w:b/>
                <w:i/>
              </w:rPr>
              <w:t>viss</w:t>
            </w:r>
            <w:r>
              <w:t xml:space="preserve"> oro över planen att </w:t>
            </w:r>
            <w:r>
              <w:rPr>
                <w:b/>
                <w:i/>
              </w:rPr>
              <w:t>minska en del</w:t>
            </w:r>
            <w:r>
              <w:t xml:space="preserve"> unionsdelegationers storlek och </w:t>
            </w:r>
            <w:r>
              <w:rPr>
                <w:b/>
                <w:i/>
              </w:rPr>
              <w:t>minska antalet tjänster</w:t>
            </w:r>
            <w:r>
              <w:t xml:space="preserve"> i en övergång från det ursprungliga fokuset på utvecklingsbistånd och ekonomiskt samarbete till vissa strategiska intressen, </w:t>
            </w:r>
            <w:r>
              <w:rPr>
                <w:b/>
                <w:i/>
              </w:rPr>
              <w:t>vilket tycks missgynna</w:t>
            </w:r>
            <w:r>
              <w:t xml:space="preserve"> det södra grannskapet. Parlamentet uppmanar utrikestjänsten att behålla sin centrala roll och strategiska prioritering i Medelhavsområdet på grundval av en omfattande bedömning av unionens geopolitiska utmaningar.</w:t>
            </w:r>
          </w:p>
        </w:tc>
        <w:tc>
          <w:tcPr>
            <w:tcW w:w="4876" w:type="dxa"/>
            <w:tcBorders>
              <w:top w:val="nil"/>
              <w:left w:val="nil"/>
              <w:bottom w:val="nil"/>
              <w:right w:val="nil"/>
            </w:tcBorders>
          </w:tcPr>
          <w:p>
            <w:pPr>
              <w:pStyle w:val="Normal6a"/>
            </w:pPr>
            <w:r>
              <w:t>61.</w:t>
            </w:r>
            <w:r>
              <w:tab/>
            </w:r>
            <w:r>
              <w:t xml:space="preserve">Europaparlamentet </w:t>
            </w:r>
            <w:r>
              <w:rPr>
                <w:b/>
                <w:i/>
              </w:rPr>
              <w:t>välkomnar</w:t>
            </w:r>
            <w:r>
              <w:t xml:space="preserve"> att utrikestjänsten på nytt bekräftade sitt åtagande att bevara nätverket av 145 unionsdelegationer och stärka One Delegation-principen. Parlamentet konstaterar att den pågående moderniseringen syftar till att öka effektiviteten och anpassa nätverket till unionens prioriteringar samtidigt som man tar itu med budgetbegränsningarna. Parlamentet understryker att strikta besparingsåtgärder, diskussioner om kostnadsdelning med kommissionen och en riktad förstärkning av viktiga unionsdelegationer kommer att fortsätta fram till dess att de finansiella villkoren förbättras. Parlamentet uttrycker oro över planen att </w:t>
            </w:r>
            <w:r>
              <w:rPr>
                <w:b/>
                <w:i/>
              </w:rPr>
              <w:t>genomföra nya distinktioner i fråga om kategorier och resurser bland delegationerna.</w:t>
            </w:r>
            <w:r>
              <w:t xml:space="preserve"> </w:t>
            </w:r>
            <w:r>
              <w:rPr>
                <w:b/>
                <w:i/>
              </w:rPr>
              <w:t>Parlamentet beklagar djupt att en minskning av vissa</w:t>
            </w:r>
            <w:r>
              <w:t xml:space="preserve"> unionsdelegationers storlek och </w:t>
            </w:r>
            <w:r>
              <w:rPr>
                <w:b/>
                <w:i/>
              </w:rPr>
              <w:t>nedskärning av personal,</w:t>
            </w:r>
            <w:r>
              <w:t xml:space="preserve"> i en övergång från det ursprungliga fokuset på utvecklingsbistånd och ekonomiskt samarbete till vissa strategiska intressen, </w:t>
            </w:r>
            <w:r>
              <w:rPr>
                <w:b/>
                <w:i/>
              </w:rPr>
              <w:t>riskerar att undergräva EU:s operativa verksamhet och närvaro i tredjeländer och hämma utrikestjänstens förmåga att fullgöra sitt mandat och försvara unionens värden, med särskild inverkan på EU:s förbindelser med det globala Syd och</w:t>
            </w:r>
            <w:r>
              <w:t xml:space="preserve"> det södra grannskapet. Parlamentet uppmanar utrikestjänsten att behålla sin centrala roll och strategiska prioritering i Medelhavsområdet på grundval av en omfattande bedömning av unionens geopolitiska utmaningar.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61.</w:t>
            </w:r>
            <w:r>
              <w:tab/>
            </w:r>
            <w:r>
              <w:t>Europaparlamentet noterar att utrikestjänsten på nytt bekräftade sitt åtagande att bevara nätverket av 145 unionsdelegationer och stärka One Delegation-principen. Parlamentet konstaterar att den pågående moderniseringen syftar till att öka effektiviteten och anpassa nätverket till unionens prioriteringar samtidigt som man tar itu med budgetbegränsningarna. Parlamentet understryker att strikta besparingsåtgärder, diskussioner om kostnadsdelning med kommissionen och en riktad förstärkning av viktiga unionsdelegationer kommer att fortsätta fram till dess att de finansiella villkoren förbättras. Parlamentet uttrycker viss oro över planen att minska en del unionsdelegationers storlek och minska antalet tjänster i en övergång från det ursprungliga fokuset på utvecklingsbistånd och ekonomiskt samarbete till vissa strategiska intressen, vilket tycks missgynna det södra grannskapet. Parlamentet uppmanar utrikestjänsten att behålla sin centrala roll och strategiska prioritering i Medelhavsområdet på grundval av en omfattande bedömning av unionens geopolitiska utmaningar.</w:t>
            </w:r>
          </w:p>
        </w:tc>
        <w:tc>
          <w:tcPr>
            <w:tcW w:w="4876" w:type="dxa"/>
            <w:tcBorders>
              <w:top w:val="nil"/>
              <w:left w:val="nil"/>
              <w:bottom w:val="nil"/>
              <w:right w:val="nil"/>
            </w:tcBorders>
          </w:tcPr>
          <w:p>
            <w:pPr>
              <w:pStyle w:val="Normal6a"/>
            </w:pPr>
            <w:r>
              <w:t>61.</w:t>
            </w:r>
            <w:r>
              <w:tab/>
            </w:r>
            <w:r>
              <w:t xml:space="preserve">Europaparlamentet noterar att utrikestjänsten på nytt bekräftade sitt åtagande att bevara nätverket av 145 unionsdelegationer och stärka One Delegation-principen. Parlamentet konstaterar att den pågående moderniseringen syftar till att öka effektiviteten och anpassa nätverket till unionens prioriteringar samtidigt som man tar itu med budgetbegränsningarna. Parlamentet understryker att strikta besparingsåtgärder, diskussioner om kostnadsdelning med kommissionen och en riktad förstärkning av viktiga unionsdelegationer kommer att fortsätta fram till dess att de finansiella villkoren förbättras. Parlamentet uttrycker viss oro över planen att minska en del unionsdelegationers storlek och minska antalet tjänster i en övergång från det ursprungliga fokuset på utvecklingsbistånd och ekonomiskt samarbete till vissa strategiska intressen, vilket tycks missgynna det södra grannskapet. Parlamentet uppmanar utrikestjänsten att behålla sin centrala roll och strategiska prioritering i Medelhavsområdet på grundval av en omfattande bedömning av unionens geopolitiska utmaningar. </w:t>
            </w:r>
            <w:r>
              <w:rPr>
                <w:b/>
                <w:i/>
              </w:rPr>
              <w:t>Parlamentet betonar att utrikestjänsten måste upprätthålla en hög nivå av engagemang med de östra grannländerna, som är viktiga strategiska partner för EU:s säkerhet, stabilitet och motståndskraft.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62a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62a.</w:t>
            </w:r>
            <w:r>
              <w:tab/>
            </w:r>
            <w:r>
              <w:rPr>
                <w:b/>
                <w:i/>
              </w:rPr>
              <w:t>Europaparlamentet uppmanar utrikestjänsten att stärka de praktiska samordningsmekanismerna med medlemsstaternas diplomatiska beskickningar i tredjeländer, bland annat genom gemensamma tjänster, gemensamma logistiska arrangemang och förbättrat informationsutbyte, för att maximera effektiviteten och säkerställa en optimal användning av EU:s resurser och nationella resurser.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Ondřej Knotek,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73a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73a.</w:t>
            </w:r>
            <w:r>
              <w:tab/>
            </w:r>
            <w:r>
              <w:rPr>
                <w:b/>
                <w:i/>
              </w:rPr>
              <w:t>Europaparlamentet påminner om att unionens yttre åtgärder och utrikestjänsten i enlighet med fördragen är avsedda att stödja, samordna och komplettera medlemsstaternas diplomatiska åtgärder.</w:t>
            </w:r>
            <w:r>
              <w:t xml:space="preserve"> </w:t>
            </w:r>
            <w:r>
              <w:rPr>
                <w:b/>
                <w:i/>
              </w:rPr>
              <w:t>Parlamentet understryker vikten av ett nära samarbete för att undvika ineffektivitet.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74.</w:t>
            </w:r>
            <w:r>
              <w:tab/>
            </w:r>
            <w:r>
              <w:t xml:space="preserve">Europaparlamentet välkomnar att utrikestjänstens kommunikationsåtgärder samordnas och harmoniseras med andra institutioner genom nätverket för EU:s kommunikationsdirektörer, interinstitutionella plattformar med parlamentet och kommissionen samt Relex-undergruppen för skydd av kulturarvet och </w:t>
            </w:r>
            <w:r>
              <w:rPr>
                <w:b/>
                <w:i/>
              </w:rPr>
              <w:t>interna</w:t>
            </w:r>
            <w:r>
              <w:t xml:space="preserve"> kulturella förbindelser.</w:t>
            </w:r>
          </w:p>
        </w:tc>
        <w:tc>
          <w:tcPr>
            <w:tcW w:w="4876" w:type="dxa"/>
            <w:tcBorders>
              <w:top w:val="nil"/>
              <w:left w:val="nil"/>
              <w:bottom w:val="nil"/>
              <w:right w:val="nil"/>
            </w:tcBorders>
          </w:tcPr>
          <w:p>
            <w:pPr>
              <w:pStyle w:val="Normal6a"/>
            </w:pPr>
            <w:r>
              <w:t>74.</w:t>
            </w:r>
            <w:r>
              <w:tab/>
            </w:r>
            <w:r>
              <w:t xml:space="preserve">Europaparlamentet välkomnar att utrikestjänstens kommunikationsåtgärder samordnas och harmoniseras med andra institutioner genom nätverket för EU:s kommunikationsdirektörer, interinstitutionella plattformar med parlamentet och kommissionen samt Relex-undergruppen för skydd av kulturarvet och </w:t>
            </w:r>
            <w:r>
              <w:rPr>
                <w:b/>
                <w:i/>
              </w:rPr>
              <w:t>internationella</w:t>
            </w:r>
            <w:r>
              <w:t xml:space="preserve"> kulturella förbindelser.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77.</w:t>
            </w:r>
            <w:r>
              <w:tab/>
            </w:r>
            <w:r>
              <w:t>Europaparlamentet uppmuntrar till en fortsatt process för att öka kommunikationen med tredjelandsmedborgare om unionens politik samt ökade samordningsinsatser för att stärka profilen för unionsfinansierade projekt, i synnerhet i kandidatländer, i syfte att motverka försök från aktörer som handlar i ond tro att undergräva unionens insatser.</w:t>
            </w:r>
          </w:p>
        </w:tc>
        <w:tc>
          <w:tcPr>
            <w:tcW w:w="4876" w:type="dxa"/>
            <w:tcBorders>
              <w:top w:val="nil"/>
              <w:left w:val="nil"/>
              <w:bottom w:val="nil"/>
              <w:right w:val="nil"/>
            </w:tcBorders>
          </w:tcPr>
          <w:p>
            <w:pPr>
              <w:pStyle w:val="Normal6a"/>
            </w:pPr>
            <w:r>
              <w:t>77.</w:t>
            </w:r>
            <w:r>
              <w:tab/>
            </w:r>
            <w:r>
              <w:t xml:space="preserve">Europaparlamentet uppmuntrar till en fortsatt process för att öka kommunikationen med tredjelandsmedborgare om unionens politik samt ökade samordningsinsatser för att stärka profilen för unionsfinansierade projekt, i synnerhet i kandidatländer, i syfte att motverka försök från aktörer som handlar i ond tro att undergräva unionens insatser. </w:t>
            </w:r>
            <w:r>
              <w:rPr>
                <w:b/>
                <w:i/>
              </w:rPr>
              <w:t>Parlamentet upprepar dessutom sin uppmaning till kommissionen att säkerställa full synlighet och allmän medvetenhet om EU:s stöd och investeringar i tredjeländerna med tydliga skyltar och EU:s flagga.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Ändringsförslag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Förslag till resolution</w:t>
      </w:r>
      <w:r>
        <w:rPr>
          <w:rStyle w:val="HideTWBExt"/>
        </w:rPr>
        <w:t>&lt;/DocAmend&gt;</w:t>
      </w:r>
    </w:p>
    <w:p>
      <w:pPr>
        <w:pStyle w:val="NormalBold"/>
      </w:pPr>
      <w:r>
        <w:rPr>
          <w:rStyle w:val="HideTWBExt"/>
        </w:rPr>
        <w:t>&lt;Article&gt;</w:t>
      </w:r>
      <w:r>
        <w:t>Punkt 78a (ny)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Förslag till resolution</w:t>
            </w:r>
          </w:p>
        </w:tc>
        <w:tc>
          <w:tcPr>
            <w:tcW w:w="4876" w:type="dxa"/>
            <w:tcBorders>
              <w:top w:val="nil"/>
              <w:left w:val="nil"/>
              <w:bottom w:val="nil"/>
              <w:right w:val="nil"/>
            </w:tcBorders>
          </w:tcPr>
          <w:p>
            <w:pPr>
              <w:pStyle w:val="AmColumnHeading"/>
            </w:pPr>
            <w:r>
              <w:t>Ändringsförslag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78a.</w:t>
            </w:r>
            <w:r>
              <w:tab/>
            </w:r>
            <w:r>
              <w:rPr>
                <w:b/>
                <w:i/>
              </w:rPr>
              <w:t>Europaparlamentet noterar att utrikestjänsten genom sin kampanj EUvsDisinfo nådde ut till över 38 miljoner användare och dokumenterade mer än 18 000 fall, vilket visar på omfattningen och den systemiska karaktären hos Kremlvänlig desinformation under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90</w:t>
    </w:r>
    <w:r>
      <w:fldChar w:fldCharType="end"/>
    </w:r>
    <w:r>
      <w:t>/</w:t>
    </w:r>
    <w:r>
      <w:fldChar w:fldCharType="begin"/>
    </w:r>
    <w:r>
      <w:instrText xml:space="preserve"> NUMPAGES </w:instrText>
    </w:r>
    <w:r>
      <w:fldChar w:fldCharType="separate"/>
    </w:r>
    <w:r>
      <w:t>90</w:t>
    </w:r>
    <w:r>
      <w:fldChar w:fldCharType="end"/>
    </w:r>
    <w:r>
      <w:tab/>
    </w:r>
    <w:r>
      <w:rPr>
        <w:rStyle w:val="HideTWBExt"/>
      </w:rPr>
      <w:t>&lt;PathFdR&gt;</w:t>
    </w:r>
    <w:r>
      <w:t>AM\1336297SV.docx</w:t>
    </w:r>
    <w:r>
      <w:rPr>
        <w:rStyle w:val="HideTWBExt"/>
      </w:rPr>
      <w:t>&lt;/PathFdR&gt;</w:t>
    </w:r>
  </w:p>
  <w:p>
    <w:pPr>
      <w:pStyle w:val="EPFooter2"/>
    </w:pPr>
    <w:r>
      <w:t>SV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AM\1336297SV.docx</w:t>
    </w:r>
    <w:r>
      <w:rPr>
        <w:rStyle w:val="HideTWBExt"/>
      </w:rPr>
      <w:t>&lt;/PathFdR&gt;</w:t>
    </w:r>
    <w:r>
      <w:tab/>
    </w:r>
    <w:r>
      <w:fldChar w:fldCharType="begin"/>
    </w:r>
    <w:r>
      <w:instrText xml:space="preserve"> PAGE </w:instrText>
    </w:r>
    <w:r>
      <w:fldChar w:fldCharType="separate"/>
    </w:r>
    <w:r>
      <w:t>89</w:t>
    </w:r>
    <w:r>
      <w:fldChar w:fldCharType="end"/>
    </w:r>
    <w:r>
      <w:t>/</w:t>
    </w:r>
    <w:r>
      <w:fldChar w:fldCharType="begin"/>
    </w:r>
    <w:r>
      <w:instrText xml:space="preserve"> NUMPAGES </w:instrText>
    </w:r>
    <w:r>
      <w:fldChar w:fldCharType="separate"/>
    </w:r>
    <w:r>
      <w:t>90</w:t>
    </w:r>
    <w:r>
      <w:fldChar w:fldCharType="end"/>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ab/>
    </w:r>
    <w:r>
      <w:tab/>
    </w:r>
    <w:r>
      <w:t>SV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AM\1336297SV.docx</w:t>
    </w:r>
    <w:r>
      <w:rPr>
        <w:rStyle w:val="HideTWBExt"/>
      </w:rPr>
      <w:t>&lt;/PathFdR&gt;</w:t>
    </w:r>
    <w:r>
      <w:tab/>
    </w:r>
    <w:r>
      <w:tab/>
    </w:r>
    <w:r>
      <w:t>PE</w:t>
    </w:r>
    <w:r>
      <w:rPr>
        <w:rStyle w:val="HideTWBExt"/>
      </w:rPr>
      <w:t>&lt;NoPE&gt;</w:t>
    </w:r>
    <w:r>
      <w:t>784.151</w:t>
    </w:r>
    <w:r>
      <w:rPr>
        <w:rStyle w:val="HideTWBExt"/>
      </w:rPr>
      <w:t>&lt;/NoPE&gt;</w:t>
    </w:r>
    <w:r>
      <w:rPr>
        <w:rStyle w:val="HideTWBExt"/>
      </w:rPr>
      <w:t>&lt;Version&gt;</w:t>
    </w:r>
    <w:r>
      <w:t>v01-00</w:t>
    </w:r>
    <w:r>
      <w:rPr>
        <w:rStyle w:val="HideTWBExt"/>
      </w:rPr>
      <w:t>&lt;/Version&gt;</w:t>
    </w:r>
  </w:p>
  <w:p>
    <w:pPr>
      <w:pStyle w:val="EPFooter2"/>
    </w:pPr>
    <w:r>
      <w:t>SV</w:t>
    </w:r>
    <w:r>
      <w:tab/>
    </w:r>
    <w:r>
      <w:rPr>
        <w:rStyle w:val="EPFooter2Motto"/>
      </w:rPr>
      <w:t>Förenade i mångfalden</w:t>
    </w:r>
    <w:r>
      <w:tab/>
    </w:r>
    <w:r>
      <w:t>SV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90</Pages>
  <Words>21574</Words>
  <Characters>150769</Characters>
  <Application>Microsoft Office Word</Application>
  <DocSecurity>0</DocSecurity>
  <Lines>1</Lines>
  <Paragraphs>990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1336297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370043</vt:lpwstr>
  </property>
  <property fmtid="{D5CDD505-2E9C-101B-9397-08002B2CF9AE}" pid="7" name="dmxml.render.traceId">
    <vt:lpwstr>698b0bb7f1b27fa49a47d639591e3661</vt:lpwstr>
  </property>
  <property fmtid="{D5CDD505-2E9C-101B-9397-08002B2CF9AE}" pid="8" name="FooterPath">
    <vt:lpwstr>AM\1336297SV.docx</vt:lpwstr>
  </property>
  <property fmtid="{D5CDD505-2E9C-101B-9397-08002B2CF9AE}" pid="9" name="PE Number">
    <vt:lpwstr>784.151</vt:lpwstr>
  </property>
  <property fmtid="{D5CDD505-2E9C-101B-9397-08002B2CF9AE}" pid="10" name="UID">
    <vt:lpwstr>eu.europa.europarl-DIN1-2026-0000020048_01.00-sv-01.00_text-xml</vt:lpwstr>
  </property>
</Properties>
</file>