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Европейски парламент</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Комисия по бюджетен контрол</w:t>
      </w:r>
      <w:r>
        <w:rPr>
          <w:rStyle w:val="HideTWBExt"/>
        </w:rPr>
        <w:t>&lt;/Commission&gt;</w:t>
      </w:r>
    </w:p>
    <w:p>
      <w:pPr>
        <w:pStyle w:val="LineBottom"/>
      </w:pPr>
      <w:r>
        <w:t xml:space="preserve"> </w:t>
      </w:r>
    </w:p>
    <w:p>
      <w:pPr>
        <w:pStyle w:val="CoverReference"/>
      </w:pPr>
      <w:r>
        <w:rPr>
          <w:rStyle w:val="HideTWBExt"/>
        </w:rPr>
        <w:t>&lt;RefProc&gt;</w:t>
      </w:r>
      <w:r>
        <w:t>2025/2238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{03/02/2026}</w:t>
      </w:r>
      <w:r>
        <w:t>3.2.2026</w:t>
      </w:r>
      <w:r>
        <w:rPr>
          <w:rStyle w:val="HideTWBExt"/>
        </w:rPr>
        <w:t>&lt;/Date&gt;</w:t>
      </w:r>
    </w:p>
    <w:p>
      <w:pPr>
        <w:pStyle w:val="CoverDocType"/>
      </w:pPr>
      <w:r>
        <w:rPr>
          <w:rStyle w:val="HideTWBExt"/>
        </w:rPr>
        <w:t>&lt;TypeAM&gt;</w:t>
      </w:r>
      <w:r>
        <w:t>ИЗМЕНЕНИЯ</w:t>
      </w:r>
      <w:r>
        <w:rPr>
          <w:rStyle w:val="HideTWBExt"/>
        </w:rPr>
        <w:t>&lt;/TypeAM&gt;</w:t>
      </w:r>
    </w:p>
    <w:p>
      <w:pPr>
        <w:pStyle w:val="CoverDocType24a"/>
      </w:pPr>
      <w:r>
        <w:rPr>
          <w:rStyle w:val="HideTWBExt"/>
        </w:rPr>
        <w:t>&lt;RangeAM&gt;</w:t>
      </w:r>
      <w:r>
        <w:t>1</w:t>
      </w:r>
      <w:r>
        <w:t xml:space="preserve"> - </w:t>
      </w:r>
      <w:r>
        <w:t>171</w:t>
      </w:r>
      <w:r>
        <w:rPr>
          <w:rStyle w:val="HideTWBExt"/>
        </w:rPr>
        <w:t>&lt;/RangeAM&gt;</w:t>
      </w:r>
    </w:p>
    <w:p>
      <w:pPr>
        <w:pStyle w:val="CoverBold"/>
      </w:pPr>
      <w:r>
        <w:rPr>
          <w:rStyle w:val="HideTWBExt"/>
        </w:rPr>
        <w:t>&lt;TitreType&gt;</w:t>
      </w:r>
      <w:r>
        <w:t>Проект на доклад</w:t>
      </w:r>
      <w:r>
        <w:rPr>
          <w:rStyle w:val="HideTWBExt"/>
        </w:rPr>
        <w:t>&lt;/TitreType&gt;</w:t>
      </w:r>
    </w:p>
    <w:p>
      <w:pPr>
        <w:pStyle w:val="CoverBold"/>
      </w:pPr>
      <w:r>
        <w:rPr>
          <w:rStyle w:val="HideTWBExt"/>
        </w:rPr>
        <w:t>&lt;Rapporteur&gt;</w:t>
      </w:r>
      <w:r>
        <w:t>Жюлиен Санчез</w:t>
      </w:r>
      <w:r>
        <w:rPr>
          <w:rStyle w:val="HideTWBExt"/>
        </w:rPr>
        <w:t>&lt;/Rapporteur&gt;</w:t>
      </w:r>
    </w:p>
    <w:p>
      <w:pPr>
        <w:pStyle w:val="CoverNormal24a"/>
      </w:pPr>
      <w:r>
        <w:rPr>
          <w:rStyle w:val="HideTWBExt"/>
        </w:rPr>
        <w:t>&lt;DocRefPE&gt;</w:t>
      </w:r>
      <w:r>
        <w:t>(PE781.476v01-00)</w:t>
      </w:r>
      <w:r>
        <w:rPr>
          <w:rStyle w:val="HideTWBExt"/>
        </w:rPr>
        <w:t>&lt;/DocRefPE&gt;</w:t>
      </w:r>
    </w:p>
    <w:p>
      <w:pPr>
        <w:pStyle w:val="CoverNormal"/>
      </w:pPr>
      <w:r>
        <w:rPr>
          <w:rStyle w:val="HideTWBExt"/>
        </w:rPr>
        <w:t>&lt;Titre&gt;</w:t>
      </w:r>
      <w:r>
        <w:t>Защита на финансовите интереси на Съюза – борба с измамите – годишен доклад за 2024 г.</w:t>
      </w:r>
      <w:r>
        <w:rPr>
          <w:rStyle w:val="HideTWBExt"/>
        </w:rPr>
        <w:t>&lt;/Titre&gt;</w:t>
      </w:r>
    </w:p>
    <w:p>
      <w:pPr>
        <w:pStyle w:val="CoverNormal24a"/>
      </w:pPr>
      <w:r>
        <w:rPr>
          <w:rStyle w:val="HideTWBExt"/>
        </w:rPr>
        <w:t>&lt;DocRef&gt;</w:t>
      </w:r>
      <w:r>
        <w:t>(2025/2238(INI))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Изменение</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5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Регламент (EС) 2021/1060 на Европейския парламент и на Съвета от 24 юни 2021 г.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Pr>
                <w:b/>
                <w:i/>
                <w:vertAlign w:val="superscript"/>
              </w:rPr>
              <w:t>1a</w:t>
            </w:r>
            <w:r>
              <w:t xml:space="preserve"> </w:t>
            </w:r>
            <w:r>
              <w:rPr>
                <w:b/>
                <w:i/>
              </w:rPr>
              <w:t>(Регламент за общоприложимите разпоредби),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ОВ L 231, 30.6.2021 г., стр.</w:t>
            </w:r>
            <w:r>
              <w:t xml:space="preserve"> </w:t>
            </w:r>
            <w:r>
              <w:rPr>
                <w:b/>
                <w:i/>
              </w:rPr>
              <w:t>159, ELI:</w:t>
            </w:r>
            <w:r>
              <w:t xml:space="preserve"> </w:t>
            </w:r>
            <w:r>
              <w:rPr>
                <w:b/>
                <w:i/>
              </w:rPr>
              <w:t>http://data.europa.eu/eli/reg/2021/1060/oj.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Берт-Ян Ройсен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18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Специален доклад 22/2025 на Европейската сметна палата, озаглавен „Финансови корекции в политиката на сближаване — Сложна рамка и само едно решение, прието до момента от Комисията“,</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21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становището на комисията по бюджетен контрол на вниманието на Бюрото относно разпускането на политическата група „Идентичност и демокрация“ и окончателния финансов доклад за 2024 г. (CONT/10/03763)</w:t>
            </w:r>
            <w:r>
              <w:rPr>
                <w:b/>
                <w:i/>
                <w:vertAlign w:val="superscript"/>
              </w:rPr>
              <w:t>1в</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1в</w:t>
            </w:r>
            <w:r>
              <w:t xml:space="preserve"> </w:t>
            </w:r>
            <w:r>
              <w:rPr>
                <w:b/>
                <w:i/>
              </w:rPr>
              <w:t>Прието на 4 септември 2025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като има предвид, че доброто управление на ресурсите на ЕС, както на разходите, така и на приходите, и защитата на финансовите интереси на ЕС следва да бъдат ключови компоненти на всяка политика на ЕС, така че да се насърчава ефективното им прилагане, да се гарантира, че парите на данъкоплатците се </w:t>
            </w:r>
            <w:r>
              <w:rPr>
                <w:b/>
                <w:i/>
              </w:rPr>
              <w:t>използват правилно и</w:t>
            </w:r>
            <w:r>
              <w:t xml:space="preserve"> ефективно, и да се повишава доверието на гражданите в европейските институции;</w:t>
            </w:r>
          </w:p>
        </w:tc>
        <w:tc>
          <w:tcPr>
            <w:tcW w:w="4876" w:type="dxa"/>
            <w:tcBorders>
              <w:top w:val="nil"/>
              <w:left w:val="nil"/>
              <w:bottom w:val="nil"/>
              <w:right w:val="nil"/>
            </w:tcBorders>
          </w:tcPr>
          <w:p>
            <w:pPr>
              <w:pStyle w:val="Normal6a"/>
            </w:pPr>
            <w:r>
              <w:t>Б.</w:t>
            </w:r>
            <w:r>
              <w:tab/>
            </w:r>
            <w:r>
              <w:t xml:space="preserve">като има предвид, че доброто управление на ресурсите на ЕС, както на разходите, така и на приходите, и защитата на финансовите интереси на ЕС следва да бъдат ключови компоненти на всяка политика на ЕС, така че да се насърчава ефективното им прилагане, да се гарантира, че парите на данъкоплатците се </w:t>
            </w:r>
            <w:r>
              <w:rPr>
                <w:b/>
                <w:i/>
              </w:rPr>
              <w:t>изразходват</w:t>
            </w:r>
            <w:r>
              <w:t xml:space="preserve"> ефективно </w:t>
            </w:r>
            <w:r>
              <w:rPr>
                <w:b/>
                <w:i/>
              </w:rPr>
              <w:t>и прозрачно</w:t>
            </w:r>
            <w:r>
              <w:t>, и да се повишава доверието на гражданите в европейските институции;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като има предвид, че Съдът на ЕС установи и потвърди в множество решения ясната връзка между зачитането на принципите на правовата държава и ефективното изпълнение на бюджета на ЕС в съответствие с принципите на добро финансово управление и защита на финансовите интереси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Бб.</w:t>
            </w:r>
            <w:r>
              <w:tab/>
            </w:r>
            <w:r>
              <w:rPr>
                <w:b/>
                <w:i/>
              </w:rPr>
              <w:t>като има предвид, че Регламентът относно обвързаността с условия оправомощава ЕС да приема своевременно пропорционални финансови мерки за защита на финансовите си интереси, когато нарушенията на принципите на правовата държава в дадена държава членка засягат или има сериозна опасност да засегнат доброто финансово управление на бюджета на ЕС;</w:t>
            </w:r>
            <w:r>
              <w:t xml:space="preserve"> </w:t>
            </w:r>
            <w:r>
              <w:rPr>
                <w:b/>
                <w:i/>
              </w:rPr>
              <w:t>като има предвид, че регламентът беше приет като част от пакета за многогодишната финансова рамка (МФР) за периода 2021—2027 г. след дълги и трудни преговори между съзаконодателите, по-специално поради опитите на някои държави членки да обвържат преговорите по МФР с преговорите относно механизма на обвързаност с условия за спазване на принципите на правовата държава;</w:t>
            </w:r>
            <w:r>
              <w:t xml:space="preserve"> </w:t>
            </w:r>
            <w:r>
              <w:rPr>
                <w:b/>
                <w:i/>
              </w:rPr>
              <w:t>като има предвид, че той е задължителен за всички държави членки от влизането му в сила на 1 януари 2021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Ва.</w:t>
            </w:r>
            <w:r>
              <w:tab/>
            </w:r>
            <w:r>
              <w:rPr>
                <w:b/>
                <w:i/>
              </w:rPr>
              <w:t>като има предвид, че на 6 май 2025 г. Европейският парламент прие своята резолюция относно защитата на финансовите интереси на Съюза за 2023 г., в която призовава докладът относно ЗФИ да служи като инструмент за укрепване на управлението на архитектурата на ЕС за борба с измамите и за възприемане на по-цялостен подход;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като има предвид, че описанието и анализът в доклада относно ЗФИ на мерките, приети за борба с измамите и нередностите, следва да дават възможност за набелязване и изпълнение на по-целенасочени действия както на равнището на ЕС, така и на национално равнище;</w:t>
            </w:r>
          </w:p>
        </w:tc>
        <w:tc>
          <w:tcPr>
            <w:tcW w:w="4876" w:type="dxa"/>
            <w:tcBorders>
              <w:top w:val="nil"/>
              <w:left w:val="nil"/>
              <w:bottom w:val="nil"/>
              <w:right w:val="nil"/>
            </w:tcBorders>
          </w:tcPr>
          <w:p>
            <w:pPr>
              <w:pStyle w:val="Normal6a"/>
            </w:pPr>
            <w:r>
              <w:t>Г.</w:t>
            </w:r>
            <w:r>
              <w:tab/>
            </w:r>
            <w:r>
              <w:t xml:space="preserve">като има предвид, че описанието и анализът в доклада относно ЗФИ на мерките, приети за борба с измамите и нередностите, следва да дават възможност за набелязване и изпълнение на по-целенасочени действия както на равнището на ЕС, така и на национално равнище; </w:t>
            </w:r>
            <w:r>
              <w:rPr>
                <w:b/>
                <w:i/>
              </w:rPr>
              <w:t>като има предвид, че разкриването на свързани с измами нередности продължава да се подобрява в целия Съюз, но действията по събиране на вземанията остават неравномерни в някои държави членки;</w:t>
            </w:r>
            <w:r>
              <w:t xml:space="preserve"> </w:t>
            </w:r>
            <w:r>
              <w:rPr>
                <w:b/>
                <w:i/>
              </w:rPr>
              <w:t>като има предвид, че ефективната защита на финансовите интереси на Съюза изисква както всеобхватно откриване, така и последователни съдебни и административни последващи действия за предотвратяване, коригиране и възпиране на злоупотребата със средства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като има предвид, че защитата на финансовите интереси на ЕС трябва да бъде подкрепяна от анализ, основан на надеждни данни;</w:t>
            </w:r>
          </w:p>
        </w:tc>
        <w:tc>
          <w:tcPr>
            <w:tcW w:w="4876" w:type="dxa"/>
            <w:tcBorders>
              <w:top w:val="nil"/>
              <w:left w:val="nil"/>
              <w:bottom w:val="nil"/>
              <w:right w:val="nil"/>
            </w:tcBorders>
          </w:tcPr>
          <w:p>
            <w:pPr>
              <w:pStyle w:val="Normal6a"/>
            </w:pPr>
            <w:r>
              <w:t>Д.</w:t>
            </w:r>
            <w:r>
              <w:tab/>
            </w:r>
            <w:r>
              <w:t xml:space="preserve">като има предвид, че защитата на финансовите интереси на ЕС трябва да бъде подкрепяна от анализ, основан на надеждни данни </w:t>
            </w:r>
            <w:r>
              <w:rPr>
                <w:b/>
                <w:i/>
              </w:rPr>
              <w:t>и съгласувани и систематични правила за прозрачност и силни механизми за вътрешен контрол</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Да.</w:t>
            </w:r>
            <w:r>
              <w:tab/>
            </w:r>
            <w:r>
              <w:rPr>
                <w:b/>
                <w:i/>
              </w:rPr>
              <w:t>като има предвид, че следва да се насърчава потенциалът на цифровите инструменти, включително системите за оценяване на риска и оперативно съвместимите бази данни за предотвратяване и разкриване на измами, като същевременно отбелязва, че внедряването на усъвършенствани инструменти за анализ и прогнозиране остава ограничено;</w:t>
            </w:r>
            <w:r>
              <w:t xml:space="preserve"> </w:t>
            </w:r>
            <w:r>
              <w:rPr>
                <w:b/>
                <w:i/>
              </w:rPr>
              <w:t>като има предвид, че насърчаването на разработването и приемането на такива инструменти допринася за по-ефикасно и ефикасно управление на средствата на Съюза и засилва защитата на финансовите интереси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като има предвид, че в светлината на различията между държавите членки, по-специално по отношение на разкриването и докладването на нередности, разнообразието от административни системи в държавите членки възпрепятства изпълнението на целта за общо равнище на националните системи за управление, контрол и докладване в Съюза; като има предвид, че ако многообразието на административните системи в държавите членки не се разглежда по последователен начин чрез повишаване на оперативната съвместимост и цифровизацията, това рискува да подкопае надеждността, съпоставимостта и полезността на данните и докладите; като има предвид, че за тази цел изглежда необходимо да се прилагат ефективно и по-ефикасно действително общи насоки, заслужаващи това название, и стабилни стандартни процедури, за да се постигне по-стандартизирано и еднакво управление и третиране на европейските фондове и защита на финансовите интереси на Съюза по един и същ начин във всички държави членки;</w:t>
            </w:r>
          </w:p>
        </w:tc>
        <w:tc>
          <w:tcPr>
            <w:tcW w:w="4876" w:type="dxa"/>
            <w:tcBorders>
              <w:top w:val="nil"/>
              <w:left w:val="nil"/>
              <w:bottom w:val="nil"/>
              <w:right w:val="nil"/>
            </w:tcBorders>
          </w:tcPr>
          <w:p>
            <w:pPr>
              <w:pStyle w:val="Normal6a"/>
            </w:pPr>
            <w:r>
              <w:t>Е.</w:t>
            </w:r>
            <w:r>
              <w:tab/>
            </w:r>
            <w:r>
              <w:t>като има предвид, че в светлината на различията между държавите членки, по-специално по отношение на разкриването и докладването на нередности, разнообразието от административни системи в държавите членки възпрепятства изпълнението на целта за общо равнище на националните системи за управление, контрол и докладване в Съюза</w:t>
            </w:r>
            <w:r>
              <w:rPr>
                <w:b/>
                <w:i/>
              </w:rPr>
              <w:t>;</w:t>
            </w:r>
            <w:r>
              <w:t xml:space="preserve"> </w:t>
            </w:r>
            <w:r>
              <w:rPr>
                <w:b/>
                <w:i/>
              </w:rPr>
              <w:t>като има предвид, че ограничен брой държави членки са приели напълно всеобхватни стратегии за борба с измамите, обхващащи всички съответни сектори;</w:t>
            </w:r>
            <w:r>
              <w:t xml:space="preserve"> </w:t>
            </w:r>
            <w:r>
              <w:rPr>
                <w:b/>
                <w:i/>
              </w:rPr>
              <w:t>като има предвид, че укрепването на управленските структури, осигуряването на координация между органите и установяването на измерими цели на национално равнище са от съществено значение за защитата на бюджета на Съюза и за подобряването на ефективността на мерките за борба с измамите в целия ЕС</w:t>
            </w:r>
            <w:r>
              <w:t>; като има предвид, че ако многообразието на административните системи в държавите членки не се разглежда по последователен начин чрез повишаване на оперативната съвместимост и цифровизацията, това рискува да подкопае надеждността, съпоставимостта и полезността на данните и докладите; като има предвид, че за тази цел изглежда необходимо да се прилагат ефективно и по-ефикасно действително общи насоки, заслужаващи това название, и стабилни стандартни процедури, за да се постигне по-стандартизирано и еднакво управление и третиране на европейските фондове и защита на финансовите интереси на Съюза по един и същ начин във всички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 xml:space="preserve">като има предвид, че в светлината на различията между държавите членки, по-специално по отношение на разкриването и докладването на нередности, разнообразието от административни системи в държавите членки възпрепятства изпълнението на целта за общо равнище на националните системи за управление, контрол и докладване в Съюза; като има предвид, че ако многообразието на административните системи в държавите членки не се разглежда по последователен начин чрез повишаване на оперативната съвместимост и цифровизацията, това рискува да подкопае надеждността, съпоставимостта и полезността на данните и докладите; като има предвид, че за тази цел изглежда необходимо да се прилагат ефективно и по-ефикасно </w:t>
            </w:r>
            <w:r>
              <w:rPr>
                <w:b/>
                <w:i/>
              </w:rPr>
              <w:t>действително</w:t>
            </w:r>
            <w:r>
              <w:t xml:space="preserve"> общи насоки</w:t>
            </w:r>
            <w:r>
              <w:rPr>
                <w:b/>
                <w:i/>
              </w:rPr>
              <w:t>, заслужаващи това название,</w:t>
            </w:r>
            <w:r>
              <w:t xml:space="preserve"> и стабилни стандартни процедури, за да се постигне по-стандартизирано и еднакво управление и третиране на европейските </w:t>
            </w:r>
            <w:r>
              <w:rPr>
                <w:b/>
                <w:i/>
              </w:rPr>
              <w:t>фондове и защита на финансовите интереси на Съюза по един и същ начин във всички държави членки</w:t>
            </w:r>
            <w:r>
              <w:t>;</w:t>
            </w:r>
          </w:p>
        </w:tc>
        <w:tc>
          <w:tcPr>
            <w:tcW w:w="4876" w:type="dxa"/>
            <w:tcBorders>
              <w:top w:val="nil"/>
              <w:left w:val="nil"/>
              <w:bottom w:val="nil"/>
              <w:right w:val="nil"/>
            </w:tcBorders>
          </w:tcPr>
          <w:p>
            <w:pPr>
              <w:pStyle w:val="Normal6a"/>
            </w:pPr>
            <w:r>
              <w:t>Е.</w:t>
            </w:r>
            <w:r>
              <w:tab/>
            </w:r>
            <w:r>
              <w:t xml:space="preserve">като има предвид, че в светлината на различията между държавите членки, по-специално по отношение на разкриването и докладването на нередности, разнообразието от административни системи в държавите членки възпрепятства изпълнението на целта за общо равнище на националните системи за управление, контрол и докладване в Съюза; като има предвид, че ако многообразието на административните системи в държавите членки не се разглежда по последователен начин чрез повишаване на оперативната съвместимост и цифровизацията, това рискува да подкопае надеждността, съпоставимостта и полезността на данните и докладите; като има предвид, че за тази цел изглежда необходимо да се прилагат ефективно и по-ефикасно общи насоки и стабилни стандартни процедури, за да се постигне по-стандартизирано и еднакво управление и третиране на европейските </w:t>
            </w:r>
            <w:r>
              <w:rPr>
                <w:b/>
                <w:i/>
              </w:rPr>
              <w:t>приходи и разходи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Ж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Жа.</w:t>
            </w:r>
            <w:r>
              <w:tab/>
            </w:r>
            <w:r>
              <w:rPr>
                <w:b/>
                <w:i/>
              </w:rPr>
              <w:t>като има предвид, че ефективната защита на бюджета на ЕС изисква стабилно сътрудничество между органите, провеждащи административни разследвания, и тези, провеждащи наказателни разследвания както на равнището на ЕС, така и на равнището на държавите членки, и че това следва да бъде насърчавано;</w:t>
            </w:r>
            <w:r>
              <w:t xml:space="preserve"> </w:t>
            </w:r>
            <w:r>
              <w:rPr>
                <w:b/>
                <w:i/>
              </w:rPr>
              <w:t>като има предвид, че е необходимо не само сътрудничество, но и систематична координация;</w:t>
            </w:r>
            <w:r>
              <w:t xml:space="preserve"> </w:t>
            </w:r>
            <w:r>
              <w:rPr>
                <w:b/>
                <w:i/>
              </w:rPr>
              <w:t>като има предвид, че редовният обмен на информация и съвместният анализ на риска биха избегнали фрагментираната защита и биха осигурили навременни и съгласувани действия срещу измамите и нередностите;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Берт-Ян Ройсен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Ж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Жa.</w:t>
            </w:r>
            <w:r>
              <w:tab/>
            </w:r>
            <w:r>
              <w:rPr>
                <w:b/>
                <w:i/>
              </w:rPr>
              <w:t>като има предвид, че Европейската комисия е задължена да прилага финансови корекции спрямо държавите членки, за да изключи от финансиране от Съюза разходи, направени в нарушение на приложимото право;</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Селин Имар, 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За.</w:t>
            </w:r>
            <w:r>
              <w:tab/>
            </w:r>
            <w:r>
              <w:rPr>
                <w:b/>
                <w:i/>
              </w:rPr>
              <w:t>като има предвид, че в няколко държави членки бяха посочени тревожни и обезпокоителни явления на инфилтриране (entryism);</w:t>
            </w:r>
            <w:r>
              <w:t xml:space="preserve"> </w:t>
            </w:r>
            <w:r>
              <w:rPr>
                <w:b/>
                <w:i/>
              </w:rPr>
              <w:t>призовава Комисията да прояви максимална бдителност и да въведе необходимите проверки, за да гарантира, че средствата на Съюза не насърчават или подкрепят непряко такива движения, които противоречат на ценностите, защитавани от Европейския съюз;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Л</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Л.</w:t>
            </w:r>
            <w:r>
              <w:tab/>
            </w:r>
            <w:r>
              <w:t xml:space="preserve">като има предвид, че конфликтите на интереси </w:t>
            </w:r>
            <w:r>
              <w:rPr>
                <w:b/>
                <w:i/>
              </w:rPr>
              <w:t>не</w:t>
            </w:r>
            <w:r>
              <w:t xml:space="preserve"> се докладват </w:t>
            </w:r>
            <w:r>
              <w:rPr>
                <w:b/>
                <w:i/>
              </w:rPr>
              <w:t>надлежно и изцяло в сегашните бази данни за мониторинг</w:t>
            </w:r>
            <w:r>
              <w:t>; като има предвид, че те заслужават най-голямо внимание, тъй като представляват сериозна заплаха за доверието в институциите и подкрепящите органи и нарушение на доверието на данъкоплатците;</w:t>
            </w:r>
          </w:p>
        </w:tc>
        <w:tc>
          <w:tcPr>
            <w:tcW w:w="4876" w:type="dxa"/>
            <w:tcBorders>
              <w:top w:val="nil"/>
              <w:left w:val="nil"/>
              <w:bottom w:val="nil"/>
              <w:right w:val="nil"/>
            </w:tcBorders>
          </w:tcPr>
          <w:p>
            <w:pPr>
              <w:pStyle w:val="Normal6a"/>
            </w:pPr>
            <w:r>
              <w:t>Л.</w:t>
            </w:r>
            <w:r>
              <w:tab/>
            </w:r>
            <w:r>
              <w:t xml:space="preserve">като има предвид, че конфликтите на интереси се докладват </w:t>
            </w:r>
            <w:r>
              <w:rPr>
                <w:b/>
                <w:i/>
              </w:rPr>
              <w:t>чрез СУН, въпреки че качеството и количеството на данните се различават в отделните държави членки</w:t>
            </w:r>
            <w:r>
              <w:t>; като има предвид, че те заслужават най-голямо внимание, тъй като представляват сериозна заплаха за доверието в институциите и подкрепящите органи и нарушение на доверието на данъкоплатците;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Селин Имар, 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Л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Ла.</w:t>
            </w:r>
            <w:r>
              <w:tab/>
            </w:r>
            <w:r>
              <w:rPr>
                <w:b/>
                <w:i/>
              </w:rPr>
              <w:t>като има предвид, че прозрачността при разпределянето от НПО на европейски средства е от съществено значение, за да се осигури добро управление на публичните ресурси и да се предотврати неправомерно влияние върху процеса на вземане на решения в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М</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М.</w:t>
            </w:r>
            <w:r>
              <w:tab/>
            </w:r>
            <w:r>
              <w:t>като има предвид, че защитата на финансовите интереси на Съюза трябва да бъде изцяло интегрирана във всички инструменти за външна дейност на ЕС</w:t>
            </w:r>
            <w:r>
              <w:rPr>
                <w:b/>
                <w:i/>
              </w:rPr>
              <w:t>, като се има предвид, че е присъщо за финансовата подкрепа за държави извън ЕС да води до повишен риск от измами, присвояване и злоупотреба със средства в сравнение с прякото изпълнение, и следователно тя</w:t>
            </w:r>
            <w:r>
              <w:t xml:space="preserve"> трябва да бъде придружена от строги предпазни мерки, гарантиращи последователно използване на средствата на Съюза, както и от механизми, позволяващи защитни интервенции по всяко време с цел предотвратяване, откриване и коригиране на евентуални нарушения;</w:t>
            </w:r>
          </w:p>
        </w:tc>
        <w:tc>
          <w:tcPr>
            <w:tcW w:w="4876" w:type="dxa"/>
            <w:tcBorders>
              <w:top w:val="nil"/>
              <w:left w:val="nil"/>
              <w:bottom w:val="nil"/>
              <w:right w:val="nil"/>
            </w:tcBorders>
          </w:tcPr>
          <w:p>
            <w:pPr>
              <w:pStyle w:val="Normal6a"/>
            </w:pPr>
            <w:r>
              <w:t>М.</w:t>
            </w:r>
            <w:r>
              <w:tab/>
            </w:r>
            <w:r>
              <w:t xml:space="preserve">като има предвид, че защитата на финансовите интереси на Съюза трябва да бъде изцяло интегрирана във всички инструменти за външна дейност на ЕС </w:t>
            </w:r>
            <w:r>
              <w:rPr>
                <w:b/>
                <w:i/>
              </w:rPr>
              <w:t>и</w:t>
            </w:r>
            <w:r>
              <w:t xml:space="preserve"> трябва да бъде придружена от строги предпазни мерки, гарантиращи последователно използване на средствата на Съюза, както и от механизми, позволяващи защитни интервенции по всяко време с цел предотвратяване, откриване и коригиране на евентуални нарушения;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Селин Имар, 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М</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М.</w:t>
            </w:r>
            <w:r>
              <w:tab/>
            </w:r>
            <w:r>
              <w:t>като има предвид, че защитата на финансовите интереси на Съюза трябва да бъде изцяло интегрирана във всички инструменти за външна дейност на ЕС, като се има предвид, че е присъщо за финансовата подкрепа за държави извън ЕС да води до повишен риск от измами, присвояване и злоупотреба със средства в сравнение с прякото изпълнение, и следователно тя трябва да бъде придружена от строги предпазни мерки, гарантиращи последователно използване на средствата на Съюза, както и от механизми, позволяващи защитни интервенции по всяко време с цел предотвратяване, откриване и коригиране на евентуални нарушения;</w:t>
            </w:r>
          </w:p>
        </w:tc>
        <w:tc>
          <w:tcPr>
            <w:tcW w:w="4876" w:type="dxa"/>
            <w:tcBorders>
              <w:top w:val="nil"/>
              <w:left w:val="nil"/>
              <w:bottom w:val="nil"/>
              <w:right w:val="nil"/>
            </w:tcBorders>
          </w:tcPr>
          <w:p>
            <w:pPr>
              <w:pStyle w:val="Normal6a"/>
            </w:pPr>
            <w:r>
              <w:t>М.</w:t>
            </w:r>
            <w:r>
              <w:tab/>
            </w:r>
            <w:r>
              <w:t xml:space="preserve">като има предвид, че защитата на финансовите интереси на Съюза трябва да бъде изцяло интегрирана във всички инструменти за външна дейност на ЕС, като се има предвид, че е присъщо за финансовата подкрепа за държави извън ЕС да води до повишен риск от измами, присвояване и злоупотреба със средства в сравнение с прякото изпълнение, и следователно тя трябва да бъде придружена от строги предпазни мерки, гарантиращи последователно използване на средствата на Съюза, както и от механизми, позволяващи защитни интервенции по всяко време с цел предотвратяване, откриване и коригиране на евентуални нарушения </w:t>
            </w:r>
            <w:r>
              <w:rPr>
                <w:b/>
                <w:i/>
              </w:rPr>
              <w:t>на принципите на правовата държава или опити за инфилтриране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отбелязва доклада относно ЗФИ за 2024 г.</w:t>
            </w:r>
            <w:r>
              <w:rPr>
                <w:b/>
                <w:i/>
              </w:rPr>
              <w:t>,</w:t>
            </w:r>
            <w:r>
              <w:t xml:space="preserve"> подкрепя неговите четири препоръки, </w:t>
            </w:r>
            <w:r>
              <w:rPr>
                <w:b/>
                <w:i/>
              </w:rPr>
              <w:t>но</w:t>
            </w:r>
            <w:r>
              <w:t xml:space="preserve"> ги счита за недостатъчно амбициозни, </w:t>
            </w:r>
            <w:r>
              <w:rPr>
                <w:b/>
                <w:i/>
              </w:rPr>
              <w:t>особено</w:t>
            </w:r>
            <w:r>
              <w:t xml:space="preserve"> по отношение на прозрачността и </w:t>
            </w:r>
            <w:r>
              <w:rPr>
                <w:b/>
                <w:i/>
              </w:rPr>
              <w:t>начините, по които</w:t>
            </w:r>
            <w:r>
              <w:t xml:space="preserve"> гражданите и техните избрани представители могат да наблюдават </w:t>
            </w:r>
            <w:r>
              <w:rPr>
                <w:b/>
                <w:i/>
              </w:rPr>
              <w:t>използването на</w:t>
            </w:r>
            <w:r>
              <w:t xml:space="preserve"> средствата</w:t>
            </w:r>
            <w:r>
              <w:rPr>
                <w:b/>
                <w:i/>
              </w:rPr>
              <w:t>, тъй като годишните доклади сами</w:t>
            </w:r>
            <w:r>
              <w:t xml:space="preserve"> по себе си </w:t>
            </w:r>
            <w:r>
              <w:rPr>
                <w:b/>
                <w:i/>
              </w:rPr>
              <w:t>предлагат</w:t>
            </w:r>
            <w:r>
              <w:t xml:space="preserve"> само частичен </w:t>
            </w:r>
            <w:r>
              <w:rPr>
                <w:b/>
                <w:i/>
              </w:rPr>
              <w:t>и филтриран поглед върху</w:t>
            </w:r>
            <w:r>
              <w:t xml:space="preserve"> реалните проблеми;</w:t>
            </w:r>
          </w:p>
        </w:tc>
        <w:tc>
          <w:tcPr>
            <w:tcW w:w="4876" w:type="dxa"/>
            <w:tcBorders>
              <w:top w:val="nil"/>
              <w:left w:val="nil"/>
              <w:bottom w:val="nil"/>
              <w:right w:val="nil"/>
            </w:tcBorders>
          </w:tcPr>
          <w:p>
            <w:pPr>
              <w:pStyle w:val="Normal6a"/>
            </w:pPr>
            <w:r>
              <w:t>1.</w:t>
            </w:r>
            <w:r>
              <w:tab/>
            </w:r>
            <w:r>
              <w:t xml:space="preserve">отбелязва доклада относно ЗФИ за 2024 г. </w:t>
            </w:r>
            <w:r>
              <w:rPr>
                <w:b/>
                <w:i/>
              </w:rPr>
              <w:t>и</w:t>
            </w:r>
            <w:r>
              <w:t xml:space="preserve"> подкрепя неговите четири препоръки, </w:t>
            </w:r>
            <w:r>
              <w:rPr>
                <w:b/>
                <w:i/>
              </w:rPr>
              <w:t>въпреки че</w:t>
            </w:r>
            <w:r>
              <w:t xml:space="preserve"> ги счита за недостатъчно амбициозни, </w:t>
            </w:r>
            <w:r>
              <w:rPr>
                <w:b/>
                <w:i/>
              </w:rPr>
              <w:t>по-специално</w:t>
            </w:r>
            <w:r>
              <w:t xml:space="preserve"> по отношение на прозрачността и </w:t>
            </w:r>
            <w:r>
              <w:rPr>
                <w:b/>
                <w:i/>
              </w:rPr>
              <w:t>отчетността;</w:t>
            </w:r>
            <w:r>
              <w:t xml:space="preserve"> </w:t>
            </w:r>
            <w:r>
              <w:rPr>
                <w:b/>
                <w:i/>
              </w:rPr>
              <w:t>подчертава, че</w:t>
            </w:r>
            <w:r>
              <w:t xml:space="preserve"> гражданите и техните избрани представители </w:t>
            </w:r>
            <w:r>
              <w:rPr>
                <w:b/>
                <w:i/>
              </w:rPr>
              <w:t>трябва да</w:t>
            </w:r>
            <w:r>
              <w:t xml:space="preserve"> могат </w:t>
            </w:r>
            <w:r>
              <w:rPr>
                <w:b/>
                <w:i/>
              </w:rPr>
              <w:t>ефективно</w:t>
            </w:r>
            <w:r>
              <w:t xml:space="preserve"> да наблюдават </w:t>
            </w:r>
            <w:r>
              <w:rPr>
                <w:b/>
                <w:i/>
              </w:rPr>
              <w:t>как се използват</w:t>
            </w:r>
            <w:r>
              <w:t xml:space="preserve"> средствата </w:t>
            </w:r>
            <w:r>
              <w:rPr>
                <w:b/>
                <w:i/>
              </w:rPr>
              <w:t>на Съюза;</w:t>
            </w:r>
            <w:r>
              <w:t xml:space="preserve"> </w:t>
            </w:r>
            <w:r>
              <w:rPr>
                <w:b/>
                <w:i/>
              </w:rPr>
              <w:t>отбелязва, че годишното докладване само</w:t>
            </w:r>
            <w:r>
              <w:t xml:space="preserve"> по себе си </w:t>
            </w:r>
            <w:r>
              <w:rPr>
                <w:b/>
                <w:i/>
              </w:rPr>
              <w:t>предоставя</w:t>
            </w:r>
            <w:r>
              <w:t xml:space="preserve"> само частичен </w:t>
            </w:r>
            <w:r>
              <w:rPr>
                <w:b/>
                <w:i/>
              </w:rPr>
              <w:t>преглед на</w:t>
            </w:r>
            <w:r>
              <w:t xml:space="preserve"> реалните проблеми;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Дик Ериксон, 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отбелязва доклада относно ЗФИ за 2024 г., подкрепя неговите четири препоръки, но ги счита за недостатъчно амбициозни, особено по отношение на прозрачността и начините, по които гражданите и техните избрани представители могат да наблюдават използването на средствата, тъй като годишните доклади сами по себе си предлагат само частичен и филтриран поглед върху реалните проблеми;</w:t>
            </w:r>
          </w:p>
        </w:tc>
        <w:tc>
          <w:tcPr>
            <w:tcW w:w="4876" w:type="dxa"/>
            <w:tcBorders>
              <w:top w:val="nil"/>
              <w:left w:val="nil"/>
              <w:bottom w:val="nil"/>
              <w:right w:val="nil"/>
            </w:tcBorders>
          </w:tcPr>
          <w:p>
            <w:pPr>
              <w:pStyle w:val="Normal6a"/>
            </w:pPr>
            <w:r>
              <w:t>1.</w:t>
            </w:r>
            <w:r>
              <w:tab/>
            </w:r>
            <w:r>
              <w:t xml:space="preserve">отбелязва доклада относно ЗФИ за 2024 г., подкрепя неговите четири препоръки, но ги счита за недостатъчно амбициозни, особено по отношение на прозрачността и начините, по които гражданите и техните избрани представители могат да наблюдават използването на средствата, тъй като годишните доклади сами по себе си предлагат само частичен и филтриран поглед върху реалните проблеми; </w:t>
            </w:r>
            <w:r>
              <w:rPr>
                <w:b/>
                <w:i/>
              </w:rPr>
              <w:t>подчертава, че повишената прозрачност е от съществено значение, за да се демонстрира икономическа ефективност и да се гарантира, че средствата на ЕС оказват положително въздействие върху икономическия растеж и конкурентоспособността;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отбелязва доклада относно ЗФИ за 2024 г., подкрепя неговите четири препоръки, но ги счита за недостатъчно амбициозни</w:t>
            </w:r>
            <w:r>
              <w:rPr>
                <w:b/>
                <w:i/>
              </w:rPr>
              <w:t>, особено по отношение</w:t>
            </w:r>
            <w:r>
              <w:t xml:space="preserve"> на прозрачността и </w:t>
            </w:r>
            <w:r>
              <w:rPr>
                <w:b/>
                <w:i/>
              </w:rPr>
              <w:t>начините, по които гражданите и техните избрани представители могат да наблюдават</w:t>
            </w:r>
            <w:r>
              <w:t xml:space="preserve"> използването на средствата</w:t>
            </w:r>
            <w:r>
              <w:rPr>
                <w:b/>
                <w:i/>
              </w:rPr>
              <w:t>, тъй като годишните доклади сами по себе си предлагат</w:t>
            </w:r>
            <w:r>
              <w:t xml:space="preserve"> само частичен </w:t>
            </w:r>
            <w:r>
              <w:rPr>
                <w:b/>
                <w:i/>
              </w:rPr>
              <w:t>и филтриран</w:t>
            </w:r>
            <w:r>
              <w:t xml:space="preserve"> поглед върху </w:t>
            </w:r>
            <w:r>
              <w:rPr>
                <w:b/>
                <w:i/>
              </w:rPr>
              <w:t>реалните</w:t>
            </w:r>
            <w:r>
              <w:t xml:space="preserve"> проблеми;</w:t>
            </w:r>
          </w:p>
        </w:tc>
        <w:tc>
          <w:tcPr>
            <w:tcW w:w="4876" w:type="dxa"/>
            <w:tcBorders>
              <w:top w:val="nil"/>
              <w:left w:val="nil"/>
              <w:bottom w:val="nil"/>
              <w:right w:val="nil"/>
            </w:tcBorders>
          </w:tcPr>
          <w:p>
            <w:pPr>
              <w:pStyle w:val="Normal6a"/>
            </w:pPr>
            <w:r>
              <w:t>1.</w:t>
            </w:r>
            <w:r>
              <w:tab/>
            </w:r>
            <w:r>
              <w:t>отбелязва доклада относно ЗФИ за 2024 г., подкрепя неговите четири препоръки, но ги счита за недостатъчно амбициозни</w:t>
            </w:r>
            <w:r>
              <w:rPr>
                <w:b/>
                <w:i/>
              </w:rPr>
              <w:t>;</w:t>
            </w:r>
            <w:r>
              <w:t xml:space="preserve"> </w:t>
            </w:r>
            <w:r>
              <w:rPr>
                <w:b/>
                <w:i/>
              </w:rPr>
              <w:t>подчертава, че следва да се положат повече усилия за повишаване</w:t>
            </w:r>
            <w:r>
              <w:t xml:space="preserve"> на прозрачността и </w:t>
            </w:r>
            <w:r>
              <w:rPr>
                <w:b/>
                <w:i/>
              </w:rPr>
              <w:t>да се даде възможност за по-добър контрол на</w:t>
            </w:r>
            <w:r>
              <w:t xml:space="preserve"> използването на средствата </w:t>
            </w:r>
            <w:r>
              <w:rPr>
                <w:b/>
                <w:i/>
              </w:rPr>
              <w:t>на ЕС от страна на гражданското общество и медийните организации, съсредоточени върху тези въпроси, и от страна на Европейския парламент;</w:t>
            </w:r>
            <w:r>
              <w:t xml:space="preserve"> </w:t>
            </w:r>
            <w:r>
              <w:rPr>
                <w:b/>
                <w:i/>
              </w:rPr>
              <w:t>счита, че годишният доклад е важен инструмент, който обаче предоставя</w:t>
            </w:r>
            <w:r>
              <w:t xml:space="preserve"> само частичен поглед върху </w:t>
            </w:r>
            <w:r>
              <w:rPr>
                <w:b/>
                <w:i/>
              </w:rPr>
              <w:t>сложния контекст на системите за финансиране на ЕС и не предоставя целенасочения анализ, необходим за справяне с тези</w:t>
            </w:r>
            <w:r>
              <w:t xml:space="preserve"> проблеми;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отбелязва</w:t>
            </w:r>
            <w:r>
              <w:t xml:space="preserve"> доклада относно ЗФИ за 2024 г.</w:t>
            </w:r>
            <w:r>
              <w:rPr>
                <w:b/>
                <w:i/>
              </w:rPr>
              <w:t>,</w:t>
            </w:r>
            <w:r>
              <w:t xml:space="preserve"> подкрепя неговите </w:t>
            </w:r>
            <w:r>
              <w:rPr>
                <w:b/>
                <w:i/>
              </w:rPr>
              <w:t>четири</w:t>
            </w:r>
            <w:r>
              <w:t xml:space="preserve"> препоръки</w:t>
            </w:r>
            <w:r>
              <w:rPr>
                <w:b/>
                <w:i/>
              </w:rPr>
              <w:t>, но ги счита за недостатъчно амбициозни, особено по отношение на прозрачността и начините, по които гражданите и техните избрани представители могат да наблюдават използването на средствата, тъй като годишните доклади сами по себе си предлагат само частичен и филтриран поглед върху реалните проблеми</w:t>
            </w:r>
            <w:r>
              <w:t>;</w:t>
            </w:r>
          </w:p>
        </w:tc>
        <w:tc>
          <w:tcPr>
            <w:tcW w:w="4876" w:type="dxa"/>
            <w:tcBorders>
              <w:top w:val="nil"/>
              <w:left w:val="nil"/>
              <w:bottom w:val="nil"/>
              <w:right w:val="nil"/>
            </w:tcBorders>
          </w:tcPr>
          <w:p>
            <w:pPr>
              <w:pStyle w:val="Normal6a"/>
            </w:pPr>
            <w:r>
              <w:t>1.</w:t>
            </w:r>
            <w:r>
              <w:tab/>
            </w:r>
            <w:r>
              <w:rPr>
                <w:b/>
                <w:i/>
              </w:rPr>
              <w:t>приветства</w:t>
            </w:r>
            <w:r>
              <w:t xml:space="preserve"> доклада относно ЗФИ за 2024 г.</w:t>
            </w:r>
            <w:r>
              <w:rPr>
                <w:b/>
                <w:i/>
              </w:rPr>
              <w:t>;</w:t>
            </w:r>
            <w:r>
              <w:t xml:space="preserve"> </w:t>
            </w:r>
            <w:r>
              <w:rPr>
                <w:b/>
                <w:i/>
              </w:rPr>
              <w:t>отбелязва неговите анализи на съответните констатации и</w:t>
            </w:r>
            <w:r>
              <w:t xml:space="preserve"> подкрепя неговите препоръки</w:t>
            </w:r>
            <w:r>
              <w:rPr>
                <w:b/>
                <w:i/>
              </w:rPr>
              <w:t>;</w:t>
            </w:r>
            <w:r>
              <w:t xml:space="preserve"> </w:t>
            </w:r>
            <w:r>
              <w:rPr>
                <w:b/>
                <w:i/>
              </w:rPr>
              <w:t>припомня, че годишният доклад относно ЗФИ е важен източник на информация относно защитата на финансовите интереси на Съюза;</w:t>
            </w:r>
            <w:r>
              <w:t xml:space="preserve"> </w:t>
            </w:r>
            <w:r>
              <w:rPr>
                <w:b/>
                <w:i/>
              </w:rPr>
              <w:t>насърчава Комисията да продължи да подобрява качеството, последователността и аналитичната стойност на данните, използвани в доклада, за да подкрепи съдържателната прозрачност и ефективния демократичен контрол</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отбелязва доклада относно ЗФИ за 2024 г., подкрепя неговите четири препоръки, но ги счита за недостатъчно амбициозни, особено по отношение на прозрачността и начините, по които гражданите и техните избрани представители могат да наблюдават използването на средствата, тъй като годишните доклади сами по себе си предлагат само частичен </w:t>
            </w:r>
            <w:r>
              <w:rPr>
                <w:b/>
                <w:i/>
              </w:rPr>
              <w:t>и филтриран</w:t>
            </w:r>
            <w:r>
              <w:t xml:space="preserve"> поглед върху реалните проблеми;</w:t>
            </w:r>
          </w:p>
        </w:tc>
        <w:tc>
          <w:tcPr>
            <w:tcW w:w="4876" w:type="dxa"/>
            <w:tcBorders>
              <w:top w:val="nil"/>
              <w:left w:val="nil"/>
              <w:bottom w:val="nil"/>
              <w:right w:val="nil"/>
            </w:tcBorders>
          </w:tcPr>
          <w:p>
            <w:pPr>
              <w:pStyle w:val="Normal6a"/>
            </w:pPr>
            <w:r>
              <w:t>1.</w:t>
            </w:r>
            <w:r>
              <w:tab/>
            </w:r>
            <w:r>
              <w:t>отбелязва доклада относно ЗФИ за 2024 г., подкрепя неговите четири препоръки, но ги счита за недостатъчно амбициозни, особено по отношение на прозрачността и начините, по които гражданите и техните избрани представители могат да наблюдават използването на средствата, тъй като годишните доклади сами по себе си предлагат само частичен поглед върху реалните проблеми;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счита, че отчетността в областта на защитата на финансовите интереси на Съюза не може да се основава изключително на обобщено годишно докладване;</w:t>
            </w:r>
            <w:r>
              <w:t xml:space="preserve"> </w:t>
            </w:r>
            <w:r>
              <w:rPr>
                <w:b/>
                <w:i/>
              </w:rPr>
              <w:t>призовава Комисията да проучи механизми за периодично, структурирано и достъпно за Парламента докладване, ориентирани в по-голяма степен към рисковете и резултатите, които биха позволили по-навременно наблюдение на основните рискове, текущите разследвания, корективните мерки и напредъка при събирането на вземания, без да се засяга поверителността на разследванията;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подчертава, че прозрачността играе важна роля в управлението на публичните средства;</w:t>
            </w:r>
            <w:r>
              <w:t xml:space="preserve"> </w:t>
            </w:r>
            <w:r>
              <w:rPr>
                <w:b/>
                <w:i/>
              </w:rPr>
              <w:t>насърчава Комисията и държавите членки да увеличат максимално прозрачността при използването на средствата, включително по отношение на информацията относно крайните бенефициери;</w:t>
            </w:r>
            <w:r>
              <w:t xml:space="preserve"> </w:t>
            </w:r>
            <w:r>
              <w:rPr>
                <w:b/>
                <w:i/>
              </w:rPr>
              <w:t>в този контекст припомня, че Парламентът, като орган по освобождаване от отговорност във връзка с изпълнението на бюджета, трябва да изпълнява важна роля спрямо гражданите, за да се гарантира, че не се злоупотребява със средствата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1б.</w:t>
            </w:r>
            <w:r>
              <w:tab/>
            </w:r>
            <w:r>
              <w:rPr>
                <w:b/>
                <w:i/>
              </w:rPr>
              <w:t>отново заявява, че комуникацията във връзка с използването на средствата на ЕС и прозрачността са от съществено значение за справяне с измамите и корупцията;</w:t>
            </w:r>
            <w:r>
              <w:t xml:space="preserve"> </w:t>
            </w:r>
            <w:r>
              <w:rPr>
                <w:b/>
                <w:i/>
              </w:rPr>
              <w:t>подчертава значението на ангажирането на гражданското общество, медиите като цяло и особено разследващата журналистика, за повишаване на осведомеността;</w:t>
            </w:r>
            <w:r>
              <w:t xml:space="preserve"> </w:t>
            </w:r>
            <w:r>
              <w:rPr>
                <w:b/>
                <w:i/>
              </w:rPr>
              <w:t>подчертава централната роля на медиите и разследващата журналистика в борбата срещу измамите, корупцията, конфликтите на интереси и други злоупотреби с публични средства;</w:t>
            </w:r>
            <w:r>
              <w:t xml:space="preserve"> </w:t>
            </w:r>
            <w:r>
              <w:rPr>
                <w:b/>
                <w:i/>
              </w:rPr>
              <w:t>счита, че е съществено медиите да бъдат защитавани от политически натиск и влияние и да се опази независимостта и ролята им на пазител на демокрацията и доброто управление на публичните средства;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1б.</w:t>
            </w:r>
            <w:r>
              <w:tab/>
            </w:r>
            <w:r>
              <w:rPr>
                <w:b/>
                <w:i/>
              </w:rPr>
              <w:t>счита, че Европейският парламент, и по-специално неговата комисия по бюджетен контрол, следва да играе по-структурирана и непрекъсната роля в наблюдението на защитата на финансовите интереси на Съюза;</w:t>
            </w:r>
            <w:r>
              <w:t xml:space="preserve"> </w:t>
            </w:r>
            <w:r>
              <w:rPr>
                <w:b/>
                <w:i/>
              </w:rPr>
              <w:t>приканва Комисията да проучи формати за периодично докладване, които биха позволили ефективен парламентарен контрол отвъд годишния цикъл на докладване относно ЗФИ;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отново заявява, че защитата на финансовите интереси на Съюза е изправена пред значителни предизвикателства в един все по-сложен и бързо променящ се контекст и че нейната ефективност може да бъде </w:t>
            </w:r>
            <w:r>
              <w:rPr>
                <w:b/>
                <w:i/>
              </w:rPr>
              <w:t>постигната</w:t>
            </w:r>
            <w:r>
              <w:t xml:space="preserve"> само чрез съвместни и координирани действия на съдебните и административните органи, европейските институции и субекти и държавите членки;</w:t>
            </w:r>
          </w:p>
        </w:tc>
        <w:tc>
          <w:tcPr>
            <w:tcW w:w="4876" w:type="dxa"/>
            <w:tcBorders>
              <w:top w:val="nil"/>
              <w:left w:val="nil"/>
              <w:bottom w:val="nil"/>
              <w:right w:val="nil"/>
            </w:tcBorders>
          </w:tcPr>
          <w:p>
            <w:pPr>
              <w:pStyle w:val="Normal6a"/>
            </w:pPr>
            <w:r>
              <w:t>2.</w:t>
            </w:r>
            <w:r>
              <w:tab/>
            </w:r>
            <w:r>
              <w:t xml:space="preserve">отново заявява, че защитата на финансовите интереси на Съюза е изправена пред значителни предизвикателства в един все по-сложен и бързо променящ се контекст и че нейната ефективност може да бъде </w:t>
            </w:r>
            <w:r>
              <w:rPr>
                <w:b/>
                <w:i/>
              </w:rPr>
              <w:t>осигурена</w:t>
            </w:r>
            <w:r>
              <w:t xml:space="preserve"> само чрез съвместни и координирани действия на съдебните и административните органи, европейските институции и субекти и държавите членки; </w:t>
            </w:r>
            <w:r>
              <w:rPr>
                <w:b/>
                <w:i/>
              </w:rPr>
              <w:t>подчертава, че сътрудничеството трябва да включва систематичен обмен на информация, съвместен анализ на риска и оперативна координация;</w:t>
            </w:r>
            <w:r>
              <w:t xml:space="preserve"> </w:t>
            </w:r>
            <w:r>
              <w:rPr>
                <w:b/>
                <w:i/>
              </w:rPr>
              <w:t>настоятелно призовава държавите членки да възприемат проактивна позиция за защита на финансовите интереси на Съюза, като засилят обмена на информация както между националните органи, така и с органите и агенциите на ЕС, с цел бързо откриване и справяне с нововъзникващите рискове и модели на измами;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отново заявява, че защитата на финансовите интереси на Съюза е изправена пред значителни предизвикателства в един все по-сложен и бързо променящ се контекст и че нейната ефективност може да бъде постигната </w:t>
            </w:r>
            <w:r>
              <w:rPr>
                <w:b/>
                <w:i/>
              </w:rPr>
              <w:t>само</w:t>
            </w:r>
            <w:r>
              <w:t xml:space="preserve"> чрез съвместни и координирани действия на съдебните и административните органи, европейските институции и субекти и държавите членки;</w:t>
            </w:r>
          </w:p>
        </w:tc>
        <w:tc>
          <w:tcPr>
            <w:tcW w:w="4876" w:type="dxa"/>
            <w:tcBorders>
              <w:top w:val="nil"/>
              <w:left w:val="nil"/>
              <w:bottom w:val="nil"/>
              <w:right w:val="nil"/>
            </w:tcBorders>
          </w:tcPr>
          <w:p>
            <w:pPr>
              <w:pStyle w:val="Normal6a"/>
            </w:pPr>
            <w:r>
              <w:t>2.</w:t>
            </w:r>
            <w:r>
              <w:tab/>
            </w:r>
            <w:r>
              <w:t>отново заявява, че защитата на финансовите интереси на Съюза е изправена пред значителни предизвикателства в един все по-сложен и бързо променящ се контекст и че нейната ефективност може да бъде постигната чрез съвместни и координирани действия на съдебните и административните органи, европейските институции и субекти и държавите членки</w:t>
            </w:r>
            <w:r>
              <w:rPr>
                <w:b/>
                <w:i/>
              </w:rPr>
              <w:t>, а така също и чрез ангажиране на организации на гражданското общество, изследователски институции и независими медийни организации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припомня, че принципите на правовата държава са една от основополагащите ценности на ЕС и че зачитането на принципите на правовата държава е съществена предпоставка за доброто финансово управление и защитата на финансовите интереси на ЕС във всички държави членки;</w:t>
            </w:r>
            <w:r>
              <w:t xml:space="preserve"> </w:t>
            </w:r>
            <w:r>
              <w:rPr>
                <w:b/>
                <w:i/>
              </w:rPr>
              <w:t>счита освен това, че макар Регламентът относно обвързаността с условия да е предназначен предимно за защита на бюджета на ЕС от рискове, произтичащи от нарушения на принципите на правовата държава, има основания да се проучат начини за укрепване на защитата на бюджета на ЕС от нарушения на другите ценности, залегнали в член 2 от ДЕС;</w:t>
            </w:r>
            <w:r>
              <w:t xml:space="preserve"> </w:t>
            </w:r>
            <w:r>
              <w:rPr>
                <w:b/>
                <w:i/>
              </w:rPr>
              <w:t>припомня, че бюджетът на ЕС не е неутрален спрямо нарушенията на демокрацията, равенството и основните права, които могат да имат осезаеми финансови последици;</w:t>
            </w:r>
            <w:r>
              <w:t xml:space="preserve"> </w:t>
            </w:r>
            <w:r>
              <w:rPr>
                <w:b/>
                <w:i/>
              </w:rPr>
              <w:t>счита, че член 6 от Финансовия регламент предоставя правното основание за действие в случаи на такива нарушения;</w:t>
            </w:r>
            <w:r>
              <w:t xml:space="preserve"> </w:t>
            </w:r>
            <w:r>
              <w:rPr>
                <w:b/>
                <w:i/>
              </w:rPr>
              <w:t>приканва Комисията да направи оценка на разширяването на обхвата на инструментите за обвързаност с условия при случаи на тежки и системни нарушения на други ценности по член 2 от ДЕС, засягащи бюджета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изразява съжаление, че не всички държави членки участват в Европейската прокуратура, което създава пропуски в правоприлагането за престъпления, засягащи финансовите интереси на Съюза;</w:t>
            </w:r>
            <w:r>
              <w:t xml:space="preserve"> </w:t>
            </w:r>
            <w:r>
              <w:rPr>
                <w:b/>
                <w:i/>
              </w:rPr>
              <w:t>отбелязва, че през 2024 г. Европейската прокуратура е издала значителен брой европейски заповеди за разследване и искания за правна взаимопомощ, включващи неучастващи държави членки;</w:t>
            </w:r>
            <w:r>
              <w:t xml:space="preserve"> </w:t>
            </w:r>
            <w:r>
              <w:rPr>
                <w:b/>
                <w:i/>
              </w:rPr>
              <w:t>отново призовава останалите неучастващи държави членки да се присъединят към Европейската прокуратура;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подчертава, че само засилената цифровизация, включително чрез национални стратегии за борба с измамите, цифровизация на процесите и използване на общи цифрови инструменти, </w:t>
            </w:r>
            <w:r>
              <w:rPr>
                <w:b/>
                <w:i/>
              </w:rPr>
              <w:t>ще</w:t>
            </w:r>
            <w:r>
              <w:t xml:space="preserve"> даде възможност за обмен на знания, достъпност и обработка на данните, както и за изчерпателно докладване, необходимо за основано на резултатите управление в защита на финансовите интереси на Съюза; </w:t>
            </w:r>
            <w:r>
              <w:rPr>
                <w:b/>
                <w:i/>
              </w:rPr>
              <w:t>отбелязва, че единствено засилената цифровизация</w:t>
            </w:r>
            <w:r>
              <w:t xml:space="preserve"> може да осигури основата за истинска прозрачност за гражданите и техните избрани представители, което е съществено, когато става въпрос за публични средства;</w:t>
            </w:r>
          </w:p>
        </w:tc>
        <w:tc>
          <w:tcPr>
            <w:tcW w:w="4876" w:type="dxa"/>
            <w:tcBorders>
              <w:top w:val="nil"/>
              <w:left w:val="nil"/>
              <w:bottom w:val="nil"/>
              <w:right w:val="nil"/>
            </w:tcBorders>
          </w:tcPr>
          <w:p>
            <w:pPr>
              <w:pStyle w:val="Normal6a"/>
            </w:pPr>
            <w:r>
              <w:t>3.</w:t>
            </w:r>
            <w:r>
              <w:tab/>
            </w:r>
            <w:r>
              <w:t xml:space="preserve">подчертава, че само засилената цифровизация, включително чрез национални стратегии за борба с измамите, цифровизация на процесите и използване на общи цифрови инструменти, </w:t>
            </w:r>
            <w:r>
              <w:rPr>
                <w:b/>
                <w:i/>
              </w:rPr>
              <w:t>е съществена, за</w:t>
            </w:r>
            <w:r>
              <w:t xml:space="preserve"> даде възможност за </w:t>
            </w:r>
            <w:r>
              <w:rPr>
                <w:b/>
                <w:i/>
              </w:rPr>
              <w:t>ефективен</w:t>
            </w:r>
            <w:r>
              <w:t xml:space="preserve"> обмен на знания, достъпност и обработка на данните, както и за изчерпателно докладване, необходимо за основано на резултатите управление в защита на финансовите интереси на Съюза; </w:t>
            </w:r>
            <w:r>
              <w:rPr>
                <w:b/>
                <w:i/>
              </w:rPr>
              <w:t>подчертава, че цифровизацията</w:t>
            </w:r>
            <w:r>
              <w:t xml:space="preserve"> може да осигури основата за истинска прозрачност за гражданите и техните избрани представители, което е съществено, когато става въпрос за публични средства; </w:t>
            </w:r>
            <w:r>
              <w:rPr>
                <w:b/>
                <w:i/>
              </w:rPr>
              <w:t>припомня, че цифровизацията трябва да премине от аналитичен анализ към оперативно внедряване, като същевременно се спазват защитата на данните, киберсигурността и подходящият човешки надзор;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подчертава, че само засилената цифровизация, включително чрез национални стратегии за борба с измамите, цифровизация на процесите и използване на общи цифрови инструменти, ще даде възможност за обмен на знания, достъпност и обработка на данните, както и за изчерпателно докладване, необходимо за основано на резултатите управление в защита на финансовите интереси на Съюза; отбелязва, че единствено засилената цифровизация може да осигури основата за истинска прозрачност за гражданите и техните избрани представители, което е съществено, когато става въпрос за публични средства;</w:t>
            </w:r>
          </w:p>
        </w:tc>
        <w:tc>
          <w:tcPr>
            <w:tcW w:w="4876" w:type="dxa"/>
            <w:tcBorders>
              <w:top w:val="nil"/>
              <w:left w:val="nil"/>
              <w:bottom w:val="nil"/>
              <w:right w:val="nil"/>
            </w:tcBorders>
          </w:tcPr>
          <w:p>
            <w:pPr>
              <w:pStyle w:val="Normal6a"/>
            </w:pPr>
            <w:r>
              <w:t>3.</w:t>
            </w:r>
            <w:r>
              <w:tab/>
            </w:r>
            <w:r>
              <w:t xml:space="preserve">подчертава, че само засилената цифровизация, включително чрез национални стратегии за борба с измамите, цифровизация на процесите и използване на общи цифрови инструменти, ще даде възможност за обмен на знания, достъпност и обработка на данните, както и за изчерпателно докладване, необходимо за основано на резултатите управление в защита на финансовите интереси на Съюза; отбелязва, че единствено засилената цифровизация може да осигури основата за истинска прозрачност за гражданите и техните избрани представители, което е съществено, когато става въпрос за публични средства; </w:t>
            </w:r>
            <w:r>
              <w:rPr>
                <w:b/>
                <w:i/>
              </w:rPr>
              <w:t>подчертава, че цифровизацията ще осигури добавена стойност само ако е придружена от ясни оперативни цели, ефективна оперативна съвместимост между националните системи и системите на Съюза и достатъчен аналитичен капацитет за превръщане на данните в ранно откриване, приоритизиране на риска и измерими корективни действия;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Дик Ериксон, 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подчертава, че само засилената цифровизация, включително чрез национални стратегии за борба с измамите, цифровизация на процесите и използване на общи цифрови инструменти, ще даде възможност за обмен на знания, достъпност и обработка на данните, както и за изчерпателно докладване, необходимо за основано на резултатите управление в защита на финансовите интереси на Съюза; отбелязва, че единствено засилената цифровизация може да осигури основата за истинска прозрачност за гражданите и техните избрани представители, което е съществено, когато става въпрос за публични средства;</w:t>
            </w:r>
          </w:p>
        </w:tc>
        <w:tc>
          <w:tcPr>
            <w:tcW w:w="4876" w:type="dxa"/>
            <w:tcBorders>
              <w:top w:val="nil"/>
              <w:left w:val="nil"/>
              <w:bottom w:val="nil"/>
              <w:right w:val="nil"/>
            </w:tcBorders>
          </w:tcPr>
          <w:p>
            <w:pPr>
              <w:pStyle w:val="Normal6a"/>
            </w:pPr>
            <w:r>
              <w:t>3.</w:t>
            </w:r>
            <w:r>
              <w:tab/>
            </w:r>
            <w:r>
              <w:t xml:space="preserve">подчертава, че само засилената цифровизация, включително чрез национални стратегии за борба с измамите, цифровизация на процесите и използване на общи цифрови инструменти, ще даде възможност за обмен на знания, достъпност и обработка на данните, както и за изчерпателно докладване, необходимо за основано на резултатите управление в защита на финансовите интереси на Съюза; отбелязва, че единствено засилената цифровизация може да осигури основата за истинска прозрачност за гражданите и техните избрани представители, което е съществено, когато става въпрос за публични средства; </w:t>
            </w:r>
            <w:r>
              <w:rPr>
                <w:b/>
                <w:i/>
              </w:rPr>
              <w:t>подчертава, че цифровизацията и ориентираните към резултатите показатели биха могли значително да опростят контрола, да намалят бюрокрацията за бенефициерите и да гарантират, че парите на данъкоплатците се използват по-ефективно;</w:t>
            </w:r>
            <w:r>
              <w:t xml:space="preserve"> </w:t>
            </w:r>
            <w:r>
              <w:rPr>
                <w:b/>
                <w:i/>
              </w:rPr>
              <w:t>счита, че ако Комисията въведе ориентирани към резултатите измерими показатели в своите програми, контролът би могъл да бъде опростен, бюрокрацията за бенефициерите би могла да бъде намалена, а парите на данъкоплатците биха били използвани по-ефективно;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отбелязва, че броят на нередностите, докладвани от компетентните органи на ЕС и националните органи през 2024 г., е малко по-нисък, отколкото през 2023 г. (общо 13 589 през 2024 г., 13 947 през 2023 г. и 12 455 през 2022 г.), като съответните неправомерни суми са докладвани като относително стабилни (1,84 милиарда евро през 2024 г. в сравнение с 1,90 милиарда евро през 2023 г. и 1,77 милиарда евро през 2022 г.); отбелязва, че случаите на измами представляват около 10% от общия брой докладвани нередности, като броят им рязко се е увеличил до 1 364 (с 26% повече, отколкото през 2023 г.); отбелязва, че финансовите суми, свързани с тези случаи на измами, също са се увеличили на 548,8 милиона евро през 2024 г. (+ 138,7% в сравнение с 2023 г.); </w:t>
            </w:r>
            <w:r>
              <w:rPr>
                <w:b/>
                <w:i/>
              </w:rPr>
              <w:t>посочва</w:t>
            </w:r>
            <w:r>
              <w:t xml:space="preserve">, че тъй като проверките </w:t>
            </w:r>
            <w:r>
              <w:rPr>
                <w:b/>
                <w:i/>
              </w:rPr>
              <w:t>не са систематични, а</w:t>
            </w:r>
            <w:r>
              <w:t xml:space="preserve"> често </w:t>
            </w:r>
            <w:r>
              <w:rPr>
                <w:b/>
                <w:i/>
              </w:rPr>
              <w:t>се извършват чрез извадки</w:t>
            </w:r>
            <w:r>
              <w:t xml:space="preserve">, тези данни следва да се тълкуват </w:t>
            </w:r>
            <w:r>
              <w:rPr>
                <w:b/>
                <w:i/>
              </w:rPr>
              <w:t>предпазливо</w:t>
            </w:r>
            <w:r>
              <w:t>;</w:t>
            </w:r>
          </w:p>
        </w:tc>
        <w:tc>
          <w:tcPr>
            <w:tcW w:w="4876" w:type="dxa"/>
            <w:tcBorders>
              <w:top w:val="nil"/>
              <w:left w:val="nil"/>
              <w:bottom w:val="nil"/>
              <w:right w:val="nil"/>
            </w:tcBorders>
          </w:tcPr>
          <w:p>
            <w:pPr>
              <w:pStyle w:val="Normal6a"/>
            </w:pPr>
            <w:r>
              <w:t>4.</w:t>
            </w:r>
            <w:r>
              <w:tab/>
            </w:r>
            <w:r>
              <w:t xml:space="preserve">отбелязва, че броят на нередностите, докладвани от компетентните органи на ЕС и националните органи през 2024 г., е малко по-нисък, отколкото през 2023 г. (общо 13 589 през 2024 г., 13 947 през 2023 г. и 12 455 през 2022 г.), като съответните неправомерни суми са докладвани като относително стабилни (1,84 милиарда евро през 2024 г. в сравнение с 1,90 милиарда евро през 2023 г. и 1,77 милиарда евро през 2022 г.); отбелязва, че случаите на измами представляват около 10% от общия брой докладвани нередности, като броят им рязко се е увеличил до 1 364 (с 26% повече, отколкото през 2023 г.); отбелязва, че финансовите суми, свързани с тези случаи на измами, също са се увеличили на 548,8 милиона евро през 2024 г. (+ 138,7% в сравнение с 2023 г.); </w:t>
            </w:r>
            <w:r>
              <w:rPr>
                <w:b/>
                <w:i/>
              </w:rPr>
              <w:t>припомня, че информацията, докладвана в СУН, се основава предимно на данни, предадени от държавите членки, които разчитат на различни източници и методи за откриване;</w:t>
            </w:r>
            <w:r>
              <w:t xml:space="preserve"> </w:t>
            </w:r>
            <w:r>
              <w:rPr>
                <w:b/>
                <w:i/>
              </w:rPr>
              <w:t>припомня</w:t>
            </w:r>
            <w:r>
              <w:t xml:space="preserve">, че тъй като проверките често </w:t>
            </w:r>
            <w:r>
              <w:rPr>
                <w:b/>
                <w:i/>
              </w:rPr>
              <w:t>разчитат на основан на риска анализ</w:t>
            </w:r>
            <w:r>
              <w:t xml:space="preserve">, тези данни следва да се тълкуват </w:t>
            </w:r>
            <w:r>
              <w:rPr>
                <w:b/>
                <w:i/>
              </w:rPr>
              <w:t>в техния подходящ методологичен контекст</w:t>
            </w:r>
            <w:r>
              <w:t xml:space="preserve">; </w:t>
            </w:r>
            <w:r>
              <w:rPr>
                <w:b/>
                <w:i/>
              </w:rPr>
              <w:t>поради това призовава за засилен анализ на риска, по-хармонизирани практики за контрол в държавите членки и подобрена качествена оценка на случаите, за да се повиши надеждността и съпоставимостта на докладваните данни;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отбелязва, че значителното увеличение на разкритите случаи на измами може да отразява подобрения в разкриването, но също така посочва структурно подценяване на измамите през предходните финансови години;</w:t>
            </w:r>
            <w:r>
              <w:t xml:space="preserve"> </w:t>
            </w:r>
            <w:r>
              <w:rPr>
                <w:b/>
                <w:i/>
              </w:rPr>
              <w:t>счита, че наличните данни все още не позволяват оценка на действителния мащаб на измамите, засягащи бюджета на Съюза, и призовава Комисията изрично да разгледа този аналитичен пропуск;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отбелязва, че дейностите на Европейската прокуратура непрекъснато се увеличават от юни 2021 г., що се отнася до броя на започнатите разследвания (през 2024 г. – 1 504 разследвания в сравнение с 1 371 през 2023 г. и 865 през 2022 г.), броя на текущите разследвания (2 666 през 2024 г. в сравнение с 1 927 през 2023 г. и 1 117 през 2022 г.), броя на повдигнатите обвинения (205 през 2024 г. в сравнение със 139 през 2023 г. и 87 през 2022 г.), броя на съдебните присъди (102 наказателни дела са приключени през 2024 г. с присъда в сравнение с 48 дела през 2023 г. и 20 дела през 2022 г.) и броя на получените заповеди за запориране (през 2024 г. за 2,42 милиарда евро в сравнение с 1,5 милиарда евро през 2023 г. и 359,1 милиона евро през 2022 г.);</w:t>
            </w:r>
          </w:p>
        </w:tc>
        <w:tc>
          <w:tcPr>
            <w:tcW w:w="4876" w:type="dxa"/>
            <w:tcBorders>
              <w:top w:val="nil"/>
              <w:left w:val="nil"/>
              <w:bottom w:val="nil"/>
              <w:right w:val="nil"/>
            </w:tcBorders>
          </w:tcPr>
          <w:p>
            <w:pPr>
              <w:pStyle w:val="Normal6a"/>
            </w:pPr>
            <w:r>
              <w:t>7.</w:t>
            </w:r>
            <w:r>
              <w:tab/>
            </w:r>
            <w:r>
              <w:t xml:space="preserve">отбелязва, че дейностите на Европейската прокуратура непрекъснато се увеличават от юни 2021 г., що се отнася до броя на започнатите разследвания (през 2024 г. – 1 504 разследвания в сравнение с 1 371 през 2023 г. и 865 през 2022 г.), броя на текущите разследвания (2 666 през 2024 г. в сравнение с 1 927 през 2023 г. и 1 117 през 2022 г.), броя на повдигнатите обвинения (205 през 2024 г. в сравнение със 139 през 2023 г. и 87 през 2022 г.), броя на съдебните присъди (102 наказателни дела са приключени през 2024 г. с присъда в сравнение с 48 дела през 2023 г. и 20 дела през 2022 г.) и броя на получените заповеди за запориране (през 2024 г. за 2,42 милиарда евро в сравнение с 1,5 милиарда евро през 2023 г. и 359,1 милиона евро през 2022 г.); </w:t>
            </w:r>
            <w:r>
              <w:rPr>
                <w:b/>
                <w:i/>
              </w:rPr>
              <w:t>подчертава обаче, че устойчивият растеж на дейностите на Европейската прокуратура следва да се оценява не само от гледна точка на броя на разследванията и присъдите, но и от гледна точка на ефективното въздействие върху бюджета, включително възстановяването на средства и възпиращия ефект;</w:t>
            </w:r>
            <w:r>
              <w:t xml:space="preserve"> </w:t>
            </w:r>
            <w:r>
              <w:rPr>
                <w:b/>
                <w:i/>
              </w:rPr>
              <w:t>призовава това измерение да бъде систематично включвано в бъдещите доклади относно защитата на финансовите интереси;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отбелязва, че натовареността на Европейската прокуратура и оценяваните щети са продължили да нарастват рязко през 2024 г.;</w:t>
            </w:r>
            <w:r>
              <w:t xml:space="preserve"> </w:t>
            </w:r>
            <w:r>
              <w:rPr>
                <w:b/>
                <w:i/>
              </w:rPr>
              <w:t>подчертава, че ефективността на наказателните преследвания и навременното разглеждане на делата зависят от това, както централната служба, така и европейските делегирани прокурори да разполагат с достатъчен персонал;</w:t>
            </w:r>
            <w:r>
              <w:t xml:space="preserve"> </w:t>
            </w:r>
            <w:r>
              <w:rPr>
                <w:b/>
                <w:i/>
              </w:rPr>
              <w:t>призовава Комисията и бюджетния орган да осигурят достатъчно ресурси, съизмерими с работното натоварване и сложността на случаите;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отбелязва, че през 2024 г. Европейската прокуратура е докладвала, че Европол е предоставил подкрепа (обмен на информация, аналитична подкрепа и експертен опит) в отговор на 83 искания и че до края на 2024 г. са били в ход 25 случая с подкрепата на националните служби на Евроюст; отбелязва, че през 2024 г. OLAF е изпратил 74 случая на Европейската прокуратура за започване на наказателно разследване и че Европейската прокуратура е започнала 69 случая въз основа на </w:t>
            </w:r>
            <w:r>
              <w:rPr>
                <w:b/>
                <w:i/>
              </w:rPr>
              <w:t>приноса на</w:t>
            </w:r>
            <w:r>
              <w:t xml:space="preserve"> OLAF, както и че през същата година OLAF е приключил 26 </w:t>
            </w:r>
            <w:r>
              <w:rPr>
                <w:b/>
                <w:i/>
              </w:rPr>
              <w:t>допълнителни</w:t>
            </w:r>
            <w:r>
              <w:t xml:space="preserve"> разследвания и е започнал 17; очаква, че преразглеждането на архитектурата за борба с измамите ще предостави възможности за укрепване на това сътрудничество и ще определи амбициозни цели, съобразени с </w:t>
            </w:r>
            <w:r>
              <w:rPr>
                <w:b/>
                <w:i/>
              </w:rPr>
              <w:t>приоритетите</w:t>
            </w:r>
            <w:r>
              <w:t xml:space="preserve"> на ЕС;</w:t>
            </w:r>
          </w:p>
        </w:tc>
        <w:tc>
          <w:tcPr>
            <w:tcW w:w="4876" w:type="dxa"/>
            <w:tcBorders>
              <w:top w:val="nil"/>
              <w:left w:val="nil"/>
              <w:bottom w:val="nil"/>
              <w:right w:val="nil"/>
            </w:tcBorders>
          </w:tcPr>
          <w:p>
            <w:pPr>
              <w:pStyle w:val="Normal6a"/>
            </w:pPr>
            <w:r>
              <w:t>8.</w:t>
            </w:r>
            <w:r>
              <w:tab/>
            </w:r>
            <w:r>
              <w:rPr>
                <w:b/>
                <w:i/>
              </w:rPr>
              <w:t>отбелязва значително равнище на сътрудничество между някои от органите на архитектурата за борба с измамите;</w:t>
            </w:r>
            <w:r>
              <w:t xml:space="preserve"> отбелязва, че през 2024 г. Европейската прокуратура е докладвала, че Европол е предоставил подкрепа (обмен на информация, аналитична подкрепа и експертен опит) в отговор на 83 искания и че до края на 2024 г. са били в ход 25 случая с подкрепата на националните служби на Евроюст; отбелязва, че през 2024 г. OLAF е изпратил 74 случая на Европейската прокуратура за започване на наказателно разследване и че Европейската прокуратура е започнала 69 случая въз основа на </w:t>
            </w:r>
            <w:r>
              <w:rPr>
                <w:b/>
                <w:i/>
              </w:rPr>
              <w:t>информация от</w:t>
            </w:r>
            <w:r>
              <w:t xml:space="preserve"> OLAF, както и че през същата година OLAF е приключил 26 </w:t>
            </w:r>
            <w:r>
              <w:rPr>
                <w:b/>
                <w:i/>
              </w:rPr>
              <w:t>допълващи</w:t>
            </w:r>
            <w:r>
              <w:t xml:space="preserve"> разследвания и е започнал 17 </w:t>
            </w:r>
            <w:r>
              <w:rPr>
                <w:b/>
                <w:i/>
              </w:rPr>
              <w:t>(през 2023 г. OLAF е започнал 22 допълващи разследвания, а Европейската прокуратура е поискала четири подкрепящи разследвания);</w:t>
            </w:r>
            <w:r>
              <w:t xml:space="preserve"> </w:t>
            </w:r>
            <w:r>
              <w:rPr>
                <w:b/>
                <w:i/>
              </w:rPr>
              <w:t>поддържа становището, че използването на допълващи разследвания (предишен член 12, буква е) от Регламента за OLAF) и подкрепящи разследвания (предишен член 12, буква д) от Регламента за OLAF) все още не е оптимално, и отново призовава Комисията да разгледа правните и оперативните причини за това при преразглеждането на съответните регламенти</w:t>
            </w:r>
            <w:r>
              <w:t>; очаква</w:t>
            </w:r>
            <w:r>
              <w:rPr>
                <w:b/>
                <w:i/>
              </w:rPr>
              <w:t>, в този дух</w:t>
            </w:r>
            <w:r>
              <w:t xml:space="preserve">, че преразглеждането на архитектурата за борба с измамите ще предостави възможности за укрепване на това сътрудничество и ще определи амбициозни цели, съобразени с </w:t>
            </w:r>
            <w:r>
              <w:rPr>
                <w:b/>
                <w:i/>
              </w:rPr>
              <w:t>финансовите интереси</w:t>
            </w:r>
            <w:r>
              <w:t xml:space="preserve">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отбелязва, че през 2024 г. Европейската прокуратура е докладвала, че Европол е предоставил подкрепа (обмен на информация, аналитична подкрепа и експертен опит) в отговор на 83 искания и че до края на 2024 г. са били в ход 25 случая с подкрепата на националните служби на Евроюст; отбелязва, че през 2024 г. OLAF е изпратил 74 случая на Европейската прокуратура за започване на наказателно разследване и че Европейската прокуратура е започнала 69 случая въз основа на приноса на OLAF, както и че през същата година OLAF е приключил 26 допълнителни разследвания и е започнал 17; очаква, че преразглеждането на архитектурата за борба с измамите </w:t>
            </w:r>
            <w:r>
              <w:rPr>
                <w:b/>
                <w:i/>
              </w:rPr>
              <w:t>ще предостави възможности за укрепване на това</w:t>
            </w:r>
            <w:r>
              <w:t xml:space="preserve"> сътрудничество и ще определи амбициозни цели, съобразени с приоритетите на ЕС;</w:t>
            </w:r>
          </w:p>
        </w:tc>
        <w:tc>
          <w:tcPr>
            <w:tcW w:w="4876" w:type="dxa"/>
            <w:tcBorders>
              <w:top w:val="nil"/>
              <w:left w:val="nil"/>
              <w:bottom w:val="nil"/>
              <w:right w:val="nil"/>
            </w:tcBorders>
          </w:tcPr>
          <w:p>
            <w:pPr>
              <w:pStyle w:val="Normal6a"/>
            </w:pPr>
            <w:r>
              <w:t>8.</w:t>
            </w:r>
            <w:r>
              <w:tab/>
            </w:r>
            <w:r>
              <w:t>отбелязва, че през 2024 г. Европейската прокуратура е докладвала, че Европол е предоставил подкрепа (обмен на информация, аналитична подкрепа</w:t>
            </w:r>
            <w:r>
              <w:rPr>
                <w:b/>
                <w:i/>
              </w:rPr>
              <w:t>, включително финансова информация, съвместни операции, оперативни срещи, дни за действие</w:t>
            </w:r>
            <w:r>
              <w:t xml:space="preserve"> и експертен опит) в отговор на 83 искания и че до края на 2024 г. са били в ход 25 случая с подкрепата на националните служби на Евроюст </w:t>
            </w:r>
            <w:r>
              <w:rPr>
                <w:b/>
                <w:i/>
              </w:rPr>
              <w:t>– рязко увеличение спрямо 2023 г.</w:t>
            </w:r>
            <w:r>
              <w:t>; отбелязва, че през 2024 г. OLAF е изпратил 74 случая на Европейската прокуратура за започване на наказателно разследване и че Европейската прокуратура е започнала 69 случая въз основа на приноса на OLAF, както и че през същата година OLAF е приключил 26 допълнителни разследвания и е започнал 17; очаква, че преразглеждането на архитектурата за борба с измамите</w:t>
            </w:r>
            <w:r>
              <w:rPr>
                <w:b/>
                <w:i/>
              </w:rPr>
              <w:t>, започнато от Комисията с цел по-добра защита на финансовите интереси на Съюза и осигуряване на по-ефективно</w:t>
            </w:r>
            <w:r>
              <w:t xml:space="preserve"> сътрудничество </w:t>
            </w:r>
            <w:r>
              <w:rPr>
                <w:b/>
                <w:i/>
              </w:rPr>
              <w:t>между участниците в борбата с измамите в ЕС и държавите членки, ще засили значително оперативното сътрудничество, стратегическата координация и обмена на данни между OLAF, Европейската прокуратура, Евроюст, Европол и националните органи</w:t>
            </w:r>
            <w:r>
              <w:t xml:space="preserve"> и ще определи амбициозни </w:t>
            </w:r>
            <w:r>
              <w:rPr>
                <w:b/>
                <w:i/>
              </w:rPr>
              <w:t>и ориентирани към резултатите</w:t>
            </w:r>
            <w:r>
              <w:t xml:space="preserve"> цели, съобразени с приоритетите на ЕС; </w:t>
            </w:r>
            <w:r>
              <w:rPr>
                <w:b/>
                <w:i/>
              </w:rPr>
              <w:t>подчертава, че при този преглед следва да се даде приоритет на оперативната съвместимост, анализа на риска и използването на съвременни технологии, като същевременно се спазват защитата на данните и принципите на правовата държава.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Берт-Ян Ройсен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отбелязва, че през 2024 г. Европейската прокуратура е докладвала, че Европол е предоставил подкрепа (обмен на информация, аналитична подкрепа и експертен опит) в отговор на 83 искания и че до края на 2024 г. са били в ход 25 случая с подкрепата на националните служби на Евроюст; отбелязва, че през 2024 г. OLAF е изпратил 74 случая на Европейската прокуратура за започване на наказателно разследване и че Европейската прокуратура е започнала 69 случая въз основа на приноса на OLAF, както и че през същата година OLAF е приключил 26 допълнителни разследвания и е започнал 17; очаква, че преразглеждането на архитектурата за борба с измамите ще предостави възможности за укрепване на това сътрудничество и ще определи амбициозни цели, съобразени с приоритетите на ЕС;</w:t>
            </w:r>
          </w:p>
        </w:tc>
        <w:tc>
          <w:tcPr>
            <w:tcW w:w="4876" w:type="dxa"/>
            <w:tcBorders>
              <w:top w:val="nil"/>
              <w:left w:val="nil"/>
              <w:bottom w:val="nil"/>
              <w:right w:val="nil"/>
            </w:tcBorders>
          </w:tcPr>
          <w:p>
            <w:pPr>
              <w:pStyle w:val="Normal6a"/>
            </w:pPr>
            <w:r>
              <w:t>8.</w:t>
            </w:r>
            <w:r>
              <w:tab/>
            </w:r>
            <w:r>
              <w:t xml:space="preserve">отбелязва, че през 2024 г. Европейската прокуратура е докладвала, че Европол е предоставил подкрепа (обмен на информация, аналитична подкрепа и експертен опит) в отговор на 83 искания и че до края на 2024 г. са били в ход 25 случая с подкрепата на националните служби на Евроюст; отбелязва, че през 2024 г. OLAF е изпратил 74 случая на Европейската прокуратура за започване на наказателно разследване и че Европейската прокуратура е започнала 69 случая въз основа на приноса на OLAF, както и че през същата година OLAF е приключил 26 допълнителни разследвания и е започнал 17; </w:t>
            </w:r>
            <w:r>
              <w:rPr>
                <w:b/>
                <w:i/>
              </w:rPr>
              <w:t>отбелязва, че в 40 случая Европейската сметна палата е установила</w:t>
            </w:r>
            <w:r>
              <w:rPr>
                <w:b/>
                <w:i/>
                <w:vertAlign w:val="superscript"/>
              </w:rPr>
              <w:t>1 б</w:t>
            </w:r>
            <w:r>
              <w:rPr>
                <w:b/>
                <w:i/>
              </w:rPr>
              <w:t>, че OLAF е стигнал до независимо заключение, че няма подозрения за престъпно поведение, без да се консултира с Европейската прокуратура;</w:t>
            </w:r>
            <w:r>
              <w:t xml:space="preserve"> </w:t>
            </w:r>
            <w:r>
              <w:rPr>
                <w:b/>
                <w:i/>
              </w:rPr>
              <w:t>посочва, че единствено Европейската прокуратура и националните прокуратури са компетентни да преценяват дали дадено поведение е вероятно да бъде престъпно;</w:t>
            </w:r>
            <w:r>
              <w:t xml:space="preserve"> </w:t>
            </w:r>
            <w:r>
              <w:rPr>
                <w:b/>
                <w:i/>
              </w:rPr>
              <w:t>отбелязва, че OLAF няма достъп до доклади, отхвърлени от Европейската прокуратура, което според Сметната палата възпрепятства способността на OLAF да предприема съответните административни мерки;</w:t>
            </w:r>
            <w:r>
              <w:t xml:space="preserve"> очаква, че преразглеждането на архитектурата за борба с измамите ще предостави възможности за укрепване на това сътрудничество и ще определи амбициозни цели, съобразени с приоритетите на ЕС; </w:t>
            </w:r>
            <w:r>
              <w:rPr>
                <w:b/>
                <w:i/>
              </w:rPr>
              <w:t>призовава Комисията да даде приоритет на подобряването на процеса на координация в съответствие с анализа на Сметната палата;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б</w:t>
            </w:r>
            <w:r>
              <w:t xml:space="preserve"> </w:t>
            </w:r>
            <w:r>
              <w:rPr>
                <w:b/>
                <w:i/>
              </w:rPr>
              <w:t>Специален доклад 26/2025 на Европейската сметна палата</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8а.</w:t>
            </w:r>
            <w:r>
              <w:tab/>
            </w:r>
            <w:r>
              <w:rPr>
                <w:b/>
                <w:i/>
              </w:rPr>
              <w:t>припомня, че в съответствие с вътрешните правила на ЕП администрацията на Парламента извърши основана на риска последваща проверка на отчетите за 2024 г. на бившата политическа група Identity &amp; Democracy (група ID) и установи, че най-малко 4 333 635,78 EUR от бюджетните кредити по позиция 400 са били неправомерно изразходвани от групата през законодателния мандат 2019—2024 г., което излага Парламента на значителни финансови рискове и рискове за репутацията;</w:t>
            </w:r>
            <w:r>
              <w:t xml:space="preserve"> </w:t>
            </w:r>
            <w:r>
              <w:rPr>
                <w:b/>
                <w:i/>
              </w:rPr>
              <w:t>отбелязва, че Европейската прокуратура обяви, че е започнала разследване на предполагаемата злоупотреба със средства на Съюза от групата ID между 2019 и 2024 г.;</w:t>
            </w:r>
            <w:r>
              <w:t xml:space="preserve"> </w:t>
            </w:r>
            <w:r>
              <w:rPr>
                <w:b/>
                <w:i/>
              </w:rPr>
              <w:t>припомня, че комисията CONT предаде становище на Бюрото, което реши да изчака резултата от разследването на Европейската прокуратура, преди да предприеме действия за възстановяване;</w:t>
            </w:r>
            <w:r>
              <w:t xml:space="preserve"> </w:t>
            </w:r>
            <w:r>
              <w:rPr>
                <w:b/>
                <w:i/>
              </w:rPr>
              <w:t>счита, че администрацията на Парламента може да предприеме, успоредно с наказателното разследване на Европейската прокуратура, административни мерки за защита на финансовите интереси на Съюза и репутацията на Парламента;</w:t>
            </w:r>
            <w:r>
              <w:t xml:space="preserve"> </w:t>
            </w:r>
            <w:r>
              <w:rPr>
                <w:b/>
                <w:i/>
              </w:rPr>
              <w:t>счита, че е изключително важно действията за възстановяване да започнат възможно най-скоро, в пълно съответствие с член 3, параграф 3 от работното споразумение между Европейския парламент и Европейската прокуратура;</w:t>
            </w:r>
            <w:r>
              <w:t xml:space="preserve"> </w:t>
            </w:r>
            <w:r>
              <w:rPr>
                <w:b/>
                <w:i/>
              </w:rPr>
              <w:t>припомня, че в своето становище до Бюрото комисията CONT отбеляза, че освен ако не бъдат представени доказателства за противното, няколко елемента може колективно да удовлетворят логическата основа на доктрината за икономическа приемственост и следователно да оправдаят третирането на „Патриоти за Европа“ (PfE) като група приемник за целите на възстановяването;</w:t>
            </w:r>
            <w:r>
              <w:t xml:space="preserve"> </w:t>
            </w:r>
            <w:r>
              <w:rPr>
                <w:b/>
                <w:i/>
              </w:rPr>
              <w:t>приканва администрацията на ЕП да анализира внимателно отчетите на групата PfE за 2024 г., за да се увери, че нередностите, установени от Генерална дирекция по финанси за групата ID, не са повторени от новата политическа група;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8а.</w:t>
            </w:r>
            <w:r>
              <w:tab/>
            </w:r>
            <w:r>
              <w:rPr>
                <w:b/>
                <w:i/>
              </w:rPr>
              <w:t>припомня, че оперативната защита на финансовите интереси на Съюза от измами, нередности и други незаконни дейности е поверена на националните органи, на OLAF и на Европейската прокуратура;</w:t>
            </w:r>
            <w:r>
              <w:t xml:space="preserve"> </w:t>
            </w:r>
            <w:r>
              <w:rPr>
                <w:b/>
                <w:i/>
              </w:rPr>
              <w:t>подчертава добавената стойност, която органите на ЕС осигуряват за защитата на финансовите интереси на Съюза и за борбата с измамите, особено по отношение на трансграничната престъпност, както е видно от оперативните резултати на Европейската прокуратура и OLAF;</w:t>
            </w:r>
            <w:r>
              <w:t xml:space="preserve"> </w:t>
            </w:r>
            <w:r>
              <w:rPr>
                <w:b/>
                <w:i/>
              </w:rPr>
              <w:t>в този смисъл приветства включването на констатациите на OLAF и на Европейската прокуратура в доклада относно ЗФИ за 2024 г.;</w:t>
            </w:r>
            <w:r>
              <w:t xml:space="preserve"> </w:t>
            </w:r>
            <w:r>
              <w:rPr>
                <w:b/>
                <w:i/>
              </w:rPr>
              <w:t>подчертава, че е необходим по-задълбочен анализ на взаимодействието между компонентите на структурата за борба с измамите и насърчава по-нататъшно ангажиране с цел пълно докладване, за да се осигури по-ясна, по-пълна и по-конкретна картина за цялостното състояние във връзка със защитата на финансовите интереси на Съюза, която да включва всички дейности за борба с измамите на национално и европейско ниво;</w:t>
            </w:r>
            <w:r>
              <w:t xml:space="preserve"> </w:t>
            </w:r>
            <w:r>
              <w:rPr>
                <w:b/>
                <w:i/>
              </w:rPr>
              <w:t>счита, че анализът, който трябва да се извърши при преразглеждането на структурата за борба с измамите, ще предостави възможност да се обърне внимание на все още незадоволителната пълнота на настоящите доклади;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8а.</w:t>
            </w:r>
            <w:r>
              <w:tab/>
            </w:r>
            <w:r>
              <w:rPr>
                <w:b/>
                <w:i/>
              </w:rPr>
              <w:t>счита, че съвместната работа на множество участници в структурата на Съюза за борба с измамите, и по-специално на OLAF и Европейската прокуратура, изисква структурна оценка, основана на ефикасност, съгласуваност на цикъла за борба с измамите и оптимално използване на публичните средства;</w:t>
            </w:r>
            <w:r>
              <w:t xml:space="preserve"> </w:t>
            </w:r>
            <w:r>
              <w:rPr>
                <w:b/>
                <w:i/>
              </w:rPr>
              <w:t>призовава Комисията, в контекста на прегледа на структурата за борба с измамите, да оцени по прозрачен начин дали настоящото разпределение на функциите позволява максимално разкриване, разследване, възстановяване на средства и възпиране или е необходимо по-широкообхватно адаптиране на модела;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Берт-Ян Ройсен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8а.</w:t>
            </w:r>
            <w:r>
              <w:tab/>
            </w:r>
            <w:r>
              <w:rPr>
                <w:b/>
                <w:i/>
              </w:rPr>
              <w:t>посочва, че Европейската сметна палата заключава, че процедурите за обмен на доклади между Европейската прокуратура и OLAF не са достатъчно ефикасни, и препоръчва докладите за предполагаеми измами да се регистрират централно, за да могат процедурите да се извършват ефикасно;</w:t>
            </w:r>
            <w:r>
              <w:t xml:space="preserve"> </w:t>
            </w:r>
            <w:r>
              <w:rPr>
                <w:b/>
                <w:i/>
              </w:rPr>
              <w:t>призовава Комисията да предприеме бързи действия във връзка с тази препоръка;</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8а.</w:t>
            </w:r>
            <w:r>
              <w:tab/>
            </w:r>
            <w:r>
              <w:rPr>
                <w:b/>
                <w:i/>
              </w:rPr>
              <w:t>подчертава, че предстоящото преразглеждане на мандата на някои ключови субекти на ЕС, като например Европол и Европейската прокуратура, което е предвидено за 2026 г., предлага уникална възможност за консолидиране на добре функционираща и ефективна междуведомствена оперативна рамка за борба, наред с другото, с организирани престъпни организации във връзка със защитата на финансовите интереси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8б.</w:t>
            </w:r>
            <w:r>
              <w:tab/>
            </w:r>
            <w:r>
              <w:rPr>
                <w:b/>
                <w:i/>
              </w:rPr>
              <w:t>подчертава, че трябва да се преодолеят трайните пропуски по отношение на информацията, която се обменя между националните органи, OLAF и Европейската прокуратура;</w:t>
            </w:r>
            <w:r>
              <w:t xml:space="preserve"> </w:t>
            </w:r>
            <w:r>
              <w:rPr>
                <w:b/>
                <w:i/>
              </w:rPr>
              <w:t>призовава Комисията да укрепи оперативните канали за обмен на информация и да гарантира своевременен, структуриран и сигурен обмен на съответната информация през целия цикъл за борба с измамите, за да се избегнат забавяния, фрагментираност и загуба на ефективност;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подчертава, че борбата с измамите изисква всеобхватен подход, включващ широк кръг от участници и взаимосвързани процеси, които си влияят взаимно и обхващат четирите основни етапа на цикъла за борба с измамите, а именно предотвратяване, откриване, разследване и наказателно преследване, както и възстановяване и санкции;</w:t>
            </w:r>
          </w:p>
        </w:tc>
        <w:tc>
          <w:tcPr>
            <w:tcW w:w="4876" w:type="dxa"/>
            <w:tcBorders>
              <w:top w:val="nil"/>
              <w:left w:val="nil"/>
              <w:bottom w:val="nil"/>
              <w:right w:val="nil"/>
            </w:tcBorders>
          </w:tcPr>
          <w:p>
            <w:pPr>
              <w:pStyle w:val="Normal6a"/>
            </w:pPr>
            <w:r>
              <w:t>9.</w:t>
            </w:r>
            <w:r>
              <w:tab/>
            </w:r>
            <w:r>
              <w:t xml:space="preserve">подчертава, че борбата с измамите изисква всеобхватен подход, включващ широк кръг от участници и взаимосвързани процеси, които си влияят взаимно и обхващат четирите основни етапа на цикъла за борба с измамите, а именно предотвратяване, откриване, разследване и наказателно преследване, както и възстановяване и санкции; </w:t>
            </w:r>
            <w:r>
              <w:rPr>
                <w:b/>
                <w:i/>
              </w:rPr>
              <w:t>настоява, че ефективното и навременно възстановяване на средства и прилагането на подходящи санкции продължават да бъдат най-слабите звена в цикъла за борба с измамите, и че ако не се постигне значителен напредък на тези етапи, усилията за предотвратяване и разкриване на нарушения губят част от своя възпиращ ефект;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подчертава, че борбата с измамите изисква всеобхватен подход, включващ широк кръг от участници и взаимосвързани процеси, които </w:t>
            </w:r>
            <w:r>
              <w:rPr>
                <w:b/>
                <w:i/>
              </w:rPr>
              <w:t>си влияят взаимно и</w:t>
            </w:r>
            <w:r>
              <w:t xml:space="preserve"> обхващат </w:t>
            </w:r>
            <w:r>
              <w:rPr>
                <w:b/>
                <w:i/>
              </w:rPr>
              <w:t>четирите</w:t>
            </w:r>
            <w:r>
              <w:t xml:space="preserve"> основни </w:t>
            </w:r>
            <w:r>
              <w:rPr>
                <w:b/>
                <w:i/>
              </w:rPr>
              <w:t>етапа</w:t>
            </w:r>
            <w:r>
              <w:t xml:space="preserve"> на цикъла за борба с измамите, а именно предотвратяване, откриване, разследване </w:t>
            </w:r>
            <w:r>
              <w:rPr>
                <w:b/>
                <w:i/>
              </w:rPr>
              <w:t>и</w:t>
            </w:r>
            <w:r>
              <w:t xml:space="preserve"> наказателно преследване, </w:t>
            </w:r>
            <w:r>
              <w:rPr>
                <w:b/>
                <w:i/>
              </w:rPr>
              <w:t>както и</w:t>
            </w:r>
            <w:r>
              <w:t xml:space="preserve"> възстановяване и санкции;</w:t>
            </w:r>
          </w:p>
        </w:tc>
        <w:tc>
          <w:tcPr>
            <w:tcW w:w="4876" w:type="dxa"/>
            <w:tcBorders>
              <w:top w:val="nil"/>
              <w:left w:val="nil"/>
              <w:bottom w:val="nil"/>
              <w:right w:val="nil"/>
            </w:tcBorders>
          </w:tcPr>
          <w:p>
            <w:pPr>
              <w:pStyle w:val="Normal6a"/>
            </w:pPr>
            <w:r>
              <w:t>9.</w:t>
            </w:r>
            <w:r>
              <w:tab/>
            </w:r>
            <w:r>
              <w:t xml:space="preserve">подчертава, че борбата с измамите изисква всеобхватен </w:t>
            </w:r>
            <w:r>
              <w:rPr>
                <w:b/>
                <w:i/>
              </w:rPr>
              <w:t>и съгласуван</w:t>
            </w:r>
            <w:r>
              <w:t xml:space="preserve"> подход </w:t>
            </w:r>
            <w:r>
              <w:rPr>
                <w:b/>
                <w:i/>
              </w:rPr>
              <w:t>към управлението</w:t>
            </w:r>
            <w:r>
              <w:t xml:space="preserve">, включващ широк кръг от участници и взаимосвързани процеси, които обхващат </w:t>
            </w:r>
            <w:r>
              <w:rPr>
                <w:b/>
                <w:i/>
              </w:rPr>
              <w:t>всички</w:t>
            </w:r>
            <w:r>
              <w:t xml:space="preserve"> основни </w:t>
            </w:r>
            <w:r>
              <w:rPr>
                <w:b/>
                <w:i/>
              </w:rPr>
              <w:t>етапи</w:t>
            </w:r>
            <w:r>
              <w:t xml:space="preserve"> на цикъла за борба с измамите, а именно предотвратяване, откриване, разследване</w:t>
            </w:r>
            <w:r>
              <w:rPr>
                <w:b/>
                <w:i/>
              </w:rPr>
              <w:t>,</w:t>
            </w:r>
            <w:r>
              <w:t xml:space="preserve"> наказателно преследване, възстановяване </w:t>
            </w:r>
            <w:r>
              <w:rPr>
                <w:b/>
                <w:i/>
              </w:rPr>
              <w:t>на средства </w:t>
            </w:r>
            <w:r>
              <w:t xml:space="preserve">и санкции; </w:t>
            </w:r>
            <w:r>
              <w:rPr>
                <w:b/>
                <w:i/>
              </w:rPr>
              <w:t>подчертава, че слабостите или фрагментираността на всеки етап от процеса намаляват ефективността на цялата система;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9а.</w:t>
            </w:r>
            <w:r>
              <w:tab/>
            </w:r>
            <w:r>
              <w:rPr>
                <w:b/>
                <w:i/>
              </w:rPr>
              <w:t>счита, че един наистина всеобхватен подход към борбата с измамите изисква не само координация между различните етапи на цикъла за борба с измамите, но и обща рамка от показатели за резултатите, която да позволява извършването на последователна и сравнима оценка на ефективността на действията, които се предприемат във връзка с предотвратяването, разкриването, разследването, възстановяването на средства и санкционирането;</w:t>
            </w:r>
            <w:r>
              <w:t xml:space="preserve"> </w:t>
            </w:r>
            <w:r>
              <w:rPr>
                <w:b/>
                <w:i/>
              </w:rPr>
              <w:t>призовава Комисията, в сътрудничество с OLAF, Европейската прокуратура и компетентните национални органи, да разработи и да приложи хармонизирани показатели на равнището на Съюза, които да позволяват извършването на оценка за реалното въздействие върху бюджета на политиките за борба с измамите и да направляват вземането на решения и разпределянето на средствата;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9а.</w:t>
            </w:r>
            <w:r>
              <w:tab/>
            </w:r>
            <w:r>
              <w:rPr>
                <w:b/>
                <w:i/>
              </w:rPr>
              <w:t>подчертава, че принципите на правовата държава са от централно значение за Съюза и са много важни за защитата на финансовите интереси на ЕС;</w:t>
            </w:r>
            <w:r>
              <w:t xml:space="preserve"> </w:t>
            </w:r>
            <w:r>
              <w:rPr>
                <w:b/>
                <w:i/>
              </w:rPr>
              <w:t>подчертава, че механизмът за обвързване с условия за спазване на принципите на правовата държава трябва да се прилага, когато нарушенията засягат директно бюджета на ЕС;</w:t>
            </w:r>
            <w:r>
              <w:t xml:space="preserve"> </w:t>
            </w:r>
            <w:r>
              <w:rPr>
                <w:b/>
                <w:i/>
              </w:rPr>
              <w:t>призовава Комисията да гарантира последователно и пропорционално използване на механизма, като същевременно се зачита основната отговорност на държавите членки за отстояване на принципите на правовата държава и се гарантира съгласуваност между инструментите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припомня, че борбата с измамите не трябва да се провежда само впоследствие, а трябва да </w:t>
            </w:r>
            <w:r>
              <w:rPr>
                <w:b/>
                <w:i/>
              </w:rPr>
              <w:t>засяга всички европейски институции веднага след изготвянето</w:t>
            </w:r>
            <w:r>
              <w:t xml:space="preserve"> на схемите, инструментите и програмите за финансиране; поради това подчертава, че по-доброто участие на </w:t>
            </w:r>
            <w:r>
              <w:rPr>
                <w:b/>
                <w:i/>
              </w:rPr>
              <w:t>заинтересованите</w:t>
            </w:r>
            <w:r>
              <w:t xml:space="preserve"> страни в архитектурата за борба с измамите и на Парламента на етапа на разработване на договореностите, инструментите и програмите със сигурност би довело до по-добра защита на финансовите интереси на Съюза; призовава Комисията да </w:t>
            </w:r>
            <w:r>
              <w:rPr>
                <w:b/>
                <w:i/>
              </w:rPr>
              <w:t>вземе това под внимание и да</w:t>
            </w:r>
            <w:r>
              <w:t xml:space="preserve"> включи в по-голяма степен всички участници нагоре по веригата;</w:t>
            </w:r>
          </w:p>
        </w:tc>
        <w:tc>
          <w:tcPr>
            <w:tcW w:w="4876" w:type="dxa"/>
            <w:tcBorders>
              <w:top w:val="nil"/>
              <w:left w:val="nil"/>
              <w:bottom w:val="nil"/>
              <w:right w:val="nil"/>
            </w:tcBorders>
          </w:tcPr>
          <w:p>
            <w:pPr>
              <w:pStyle w:val="Normal6a"/>
            </w:pPr>
            <w:r>
              <w:t>10.</w:t>
            </w:r>
            <w:r>
              <w:tab/>
            </w:r>
            <w:r>
              <w:t xml:space="preserve">припомня, че борбата с измамите не трябва да се провежда само впоследствие, а трябва да </w:t>
            </w:r>
            <w:r>
              <w:rPr>
                <w:b/>
                <w:i/>
              </w:rPr>
              <w:t>се включи още от самото начало при разработването</w:t>
            </w:r>
            <w:r>
              <w:t xml:space="preserve"> на схемите, инструментите и програмите за финансиране </w:t>
            </w:r>
            <w:r>
              <w:rPr>
                <w:b/>
                <w:i/>
              </w:rPr>
              <w:t>и да се насърчава от всички европейски институции</w:t>
            </w:r>
            <w:r>
              <w:t xml:space="preserve">; поради това подчертава, че по-доброто участие на </w:t>
            </w:r>
            <w:r>
              <w:rPr>
                <w:b/>
                <w:i/>
              </w:rPr>
              <w:t>всички съответни заинтересовани</w:t>
            </w:r>
            <w:r>
              <w:t xml:space="preserve"> страни в архитектурата за борба с измамите и на Парламента на етапа на разработване на договореностите, инструментите и програмите със сигурност би довело до по-добра защита на финансовите интереси на Съюза; призовава Комисията да включи в по-голяма степен всички участници нагоре по веригата </w:t>
            </w:r>
            <w:r>
              <w:rPr>
                <w:b/>
                <w:i/>
              </w:rPr>
              <w:t>и да интегрира съображенията за борба с измамите на ранен етап от разработването на програмите, включително основана на риска оценка и ясно разпределение на отговорностите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припомня, че борбата с измамите </w:t>
            </w:r>
            <w:r>
              <w:rPr>
                <w:b/>
                <w:i/>
              </w:rPr>
              <w:t>не трябва</w:t>
            </w:r>
            <w:r>
              <w:t xml:space="preserve"> да се </w:t>
            </w:r>
            <w:r>
              <w:rPr>
                <w:b/>
                <w:i/>
              </w:rPr>
              <w:t>провежда само впоследствие, а трябва да засяга всички европейски институции веднага след изготвянето</w:t>
            </w:r>
            <w:r>
              <w:t xml:space="preserve"> на схемите, инструментите и програмите за финансиране; поради това подчертава, че по-доброто участие на заинтересованите страни в архитектурата за борба с измамите и на Парламента на етапа на разработване на договореностите, инструментите и програмите със сигурност би довело до по-добра защита на финансовите интереси на Съюза; призовава Комисията да вземе това под внимание и да включи в по-голяма степен всички участници нагоре по веригата;</w:t>
            </w:r>
          </w:p>
        </w:tc>
        <w:tc>
          <w:tcPr>
            <w:tcW w:w="4876" w:type="dxa"/>
            <w:tcBorders>
              <w:top w:val="nil"/>
              <w:left w:val="nil"/>
              <w:bottom w:val="nil"/>
              <w:right w:val="nil"/>
            </w:tcBorders>
          </w:tcPr>
          <w:p>
            <w:pPr>
              <w:pStyle w:val="Normal6a"/>
            </w:pPr>
            <w:r>
              <w:t>10.</w:t>
            </w:r>
            <w:r>
              <w:tab/>
            </w:r>
            <w:r>
              <w:t xml:space="preserve">припомня, че борбата с измамите </w:t>
            </w:r>
            <w:r>
              <w:rPr>
                <w:b/>
                <w:i/>
              </w:rPr>
              <w:t>следва</w:t>
            </w:r>
            <w:r>
              <w:t xml:space="preserve"> да се </w:t>
            </w:r>
            <w:r>
              <w:rPr>
                <w:b/>
                <w:i/>
              </w:rPr>
              <w:t>разглежда като систематичен процес, който следва да започне още от разработването</w:t>
            </w:r>
            <w:r>
              <w:t xml:space="preserve"> на схемите, инструментите и програмите за финансиране; поради това подчертава, че по-доброто участие на заинтересованите страни в архитектурата за борба с измамите и на Парламента на етапа на разработване на договореностите, инструментите и програмите със сигурност би довело до по-добра защита на финансовите интереси на Съюза; призовава Комисията да вземе това под внимание и да включи в по-голяма степен всички участници нагоре по веригата;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Селин Имар, 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10а.</w:t>
            </w:r>
            <w:r>
              <w:tab/>
            </w:r>
            <w:r>
              <w:rPr>
                <w:b/>
                <w:i/>
              </w:rPr>
              <w:t>подчертава, че прозрачността е от съществено значение за защитата на финансовите интереси на Съюза;</w:t>
            </w:r>
            <w:r>
              <w:t xml:space="preserve"> </w:t>
            </w:r>
            <w:r>
              <w:rPr>
                <w:b/>
                <w:i/>
              </w:rPr>
              <w:t>призовава Комисията да публикува списъка на крайните бенефициери на европейско финансиране, предоставено на НПО и на свързани с тях организации, включително техни подизпълнители и партньори, за да се гарантира пълна проследимост на средствата и да се предотврати всякаква злоупотреба с публични средства;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подчертава, че в допълнение към необходимите усилия за ограничаване на измамите чрез разработване на публични политики са необходими и по-решителни проактивни усилия за откриване и борба с измамите; подчертава, че изкуственият интелект </w:t>
            </w:r>
            <w:r>
              <w:rPr>
                <w:b/>
                <w:i/>
              </w:rPr>
              <w:t>е един от</w:t>
            </w:r>
            <w:r>
              <w:t xml:space="preserve"> инструментите, които </w:t>
            </w:r>
            <w:r>
              <w:rPr>
                <w:b/>
                <w:i/>
              </w:rPr>
              <w:t>трябва</w:t>
            </w:r>
            <w:r>
              <w:t xml:space="preserve"> да се използват </w:t>
            </w:r>
            <w:r>
              <w:rPr>
                <w:b/>
                <w:i/>
              </w:rPr>
              <w:t>за оптимизиране на тази борба</w:t>
            </w:r>
            <w:r>
              <w:t>;</w:t>
            </w:r>
          </w:p>
        </w:tc>
        <w:tc>
          <w:tcPr>
            <w:tcW w:w="4876" w:type="dxa"/>
            <w:tcBorders>
              <w:top w:val="nil"/>
              <w:left w:val="nil"/>
              <w:bottom w:val="nil"/>
              <w:right w:val="nil"/>
            </w:tcBorders>
          </w:tcPr>
          <w:p>
            <w:pPr>
              <w:pStyle w:val="Normal6a"/>
            </w:pPr>
            <w:r>
              <w:t>11.</w:t>
            </w:r>
            <w:r>
              <w:tab/>
            </w:r>
            <w:r>
              <w:t xml:space="preserve">подчертава, че в допълнение към необходимите усилия за ограничаване на измамите чрез разработване на публични политики са необходими и по-решителни проактивни усилия за откриване и борба с измамите; подчертава, че изкуственият интелект </w:t>
            </w:r>
            <w:r>
              <w:rPr>
                <w:b/>
                <w:i/>
              </w:rPr>
              <w:t>и усъвършенстваните методи за анализ са сред</w:t>
            </w:r>
            <w:r>
              <w:t xml:space="preserve"> инструментите, които </w:t>
            </w:r>
            <w:r>
              <w:rPr>
                <w:b/>
                <w:i/>
              </w:rPr>
              <w:t>следва</w:t>
            </w:r>
            <w:r>
              <w:t xml:space="preserve"> да се използват </w:t>
            </w:r>
            <w:r>
              <w:rPr>
                <w:b/>
                <w:i/>
              </w:rPr>
              <w:t>ефективно, за да може разкриването на измами да се оптимизира по пропорционален начин, като същевременно се упражнява подходящ човешки контрол</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подчертава, че в допълнение към необходимите усилия за ограничаване на измамите чрез разработване на публични политики са необходими и по-решителни проактивни усилия за откриване и борба с измамите; подчертава, че изкуственият интелект е един от инструментите, които </w:t>
            </w:r>
            <w:r>
              <w:rPr>
                <w:b/>
                <w:i/>
              </w:rPr>
              <w:t>трябва</w:t>
            </w:r>
            <w:r>
              <w:t xml:space="preserve"> да се използват за оптимизиране на тази борба;</w:t>
            </w:r>
          </w:p>
        </w:tc>
        <w:tc>
          <w:tcPr>
            <w:tcW w:w="4876" w:type="dxa"/>
            <w:tcBorders>
              <w:top w:val="nil"/>
              <w:left w:val="nil"/>
              <w:bottom w:val="nil"/>
              <w:right w:val="nil"/>
            </w:tcBorders>
          </w:tcPr>
          <w:p>
            <w:pPr>
              <w:pStyle w:val="Normal6a"/>
            </w:pPr>
            <w:r>
              <w:t>11.</w:t>
            </w:r>
            <w:r>
              <w:tab/>
            </w:r>
            <w:r>
              <w:t xml:space="preserve">подчертава, че в допълнение към необходимите усилия за ограничаване на измамите чрез разработване на публични политики са необходими и по-решителни проактивни усилия за откриване и борба с измамите; подчертава, че изкуственият интелект е един от инструментите, които </w:t>
            </w:r>
            <w:r>
              <w:rPr>
                <w:b/>
                <w:i/>
              </w:rPr>
              <w:t>биха могли</w:t>
            </w:r>
            <w:r>
              <w:t xml:space="preserve"> да се използват за оптимизиране на тази борба</w:t>
            </w:r>
            <w:r>
              <w:rPr>
                <w:b/>
                <w:i/>
              </w:rPr>
              <w:t>, при условие че се гарантира човешки контрол, наред с необходимите допълнителни предпазни мерки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подчертава, че все по-честото използване на цифровите технологии и изкуствения интелект от измамни мрежи създава нови и сложни рискове за защитата на финансовите интереси на Съюза, като същевременно признава, че тези технологии предлагат значителни възможности за модернизиране и повишаване на ефективността на структурата за борба с измамите, при условие че тяхното внедряване бъде ускорено;</w:t>
            </w:r>
            <w:r>
              <w:t xml:space="preserve"> </w:t>
            </w:r>
            <w:r>
              <w:rPr>
                <w:b/>
                <w:i/>
              </w:rPr>
              <w:t>отбелязва по-специално все по-голямото технологично разминаване между все по-сложните измамни практики и по-бавния темп на цифрова трансформация при публичните органи;</w:t>
            </w:r>
            <w:r>
              <w:t xml:space="preserve"> </w:t>
            </w:r>
            <w:r>
              <w:rPr>
                <w:b/>
                <w:i/>
              </w:rPr>
              <w:t>призовава Комисията, в сътрудничество с Европейската прокуратура, Европол и OLAF, да направи оценка на необходимостта от специална стратегия за борба с измамите с цел преодоляване на възникващите цифрови заплахи, включително обезпечаване на инвестиции за усъвършенстван криминалистичен и аналитичен капацитет;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Дик Ериксон, Берт-Ян Ройсен, 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отбелязва, че докладите за нарушения, представени на Европейската прокуратура, информацията относно потенциални интереси от разследване, предадена на OLAF, и докладването на нередности, както и периодичните актуализации на тези доклади, представяни на Комисията чрез СУН, са основният източник на данни за оценка на равнищата на откриване; отбелязва, че равнищата на откриване се различават в отделните държави членки и сред източниците на информация, и поддържа становището, че равнището на откриване в дадена географска област или бюджетен или политически сектор не съответства непременно на действителното разпространение на измами или други нарушения в тази област или сектор; подчертава освен това, че резултатите от усилията за откриване се различават значително в отделните сектори и държави;</w:t>
            </w:r>
          </w:p>
        </w:tc>
        <w:tc>
          <w:tcPr>
            <w:tcW w:w="4876" w:type="dxa"/>
            <w:tcBorders>
              <w:top w:val="nil"/>
              <w:left w:val="nil"/>
              <w:bottom w:val="nil"/>
              <w:right w:val="nil"/>
            </w:tcBorders>
          </w:tcPr>
          <w:p>
            <w:pPr>
              <w:pStyle w:val="Normal6a"/>
            </w:pPr>
            <w:r>
              <w:t>12.</w:t>
            </w:r>
            <w:r>
              <w:tab/>
            </w:r>
            <w:r>
              <w:t xml:space="preserve">отбелязва, че докладите за нарушения, представени на Европейската прокуратура, информацията относно потенциални интереси от разследване, предадена на OLAF, и докладването на нередности, както и периодичните актуализации на тези доклади, представяни на Комисията чрез СУН, са основният източник на данни за оценка на равнищата на откриване; отбелязва, че равнищата на откриване се различават в отделните държави членки и сред източниците на информация, и поддържа становището, че равнището на откриване в дадена географска област или бюджетен или политически сектор не съответства непременно на действителното разпространение на измами или други нарушения в тази област или сектор; подчертава освен това, че резултатите от усилията за откриване се различават значително в отделните сектори и държави; </w:t>
            </w:r>
            <w:r>
              <w:rPr>
                <w:b/>
                <w:i/>
              </w:rPr>
              <w:t>призовава Комисията да разработи стандартизиран показател за риска и ефективността, за да се идентифицират програмите с незадоволителни резултати и висок риск, и да могат да се преразпределят средства към инициативи с по-нисък риск и по-висока добавена стойност за гражданите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отбелязва, че докладите за нарушения, представени на Европейската прокуратура, информацията относно потенциални интереси от разследване, предадена на OLAF, и докладването на нередности, както и периодичните актуализации на тези доклади, представяни на Комисията чрез СУН, са основният източник на данни за оценка на равнищата на откриване; отбелязва, че равнищата на откриване се различават в отделните държави членки и сред източниците на информация, и поддържа становището, че равнището на откриване в дадена географска област или бюджетен или политически сектор не съответства непременно на действителното разпространение на измами или други нарушения в тази област или сектор; подчертава освен това, че резултатите от усилията за откриване се различават значително в отделните сектори и държави;</w:t>
            </w:r>
          </w:p>
        </w:tc>
        <w:tc>
          <w:tcPr>
            <w:tcW w:w="4876" w:type="dxa"/>
            <w:tcBorders>
              <w:top w:val="nil"/>
              <w:left w:val="nil"/>
              <w:bottom w:val="nil"/>
              <w:right w:val="nil"/>
            </w:tcBorders>
          </w:tcPr>
          <w:p>
            <w:pPr>
              <w:pStyle w:val="Normal6a"/>
            </w:pPr>
            <w:r>
              <w:t>12.</w:t>
            </w:r>
            <w:r>
              <w:tab/>
            </w:r>
            <w:r>
              <w:t xml:space="preserve">отбелязва, че докладите за нарушения, представени на Европейската прокуратура, информацията относно потенциални интереси от разследване, предадена на OLAF, и докладването на нередности, както и периодичните актуализации на тези доклади, представяни на Комисията чрез СУН, са основният източник на данни за оценка на равнищата на откриване; отбелязва, че равнищата на откриване се различават в отделните държави членки и сред източниците на информация, и поддържа становището, че равнището на откриване в дадена географска област или бюджетен или политически сектор не съответства непременно на действителното разпространение на измами или други нарушения в тази област или сектор; подчертава освен това, че резултатите от усилията за откриване се различават значително в отделните сектори и държави; </w:t>
            </w:r>
            <w:r>
              <w:rPr>
                <w:b/>
                <w:i/>
              </w:rPr>
              <w:t>подчертава необходимостта от по-добро хармонизиране на определенията и стандартите за докладване, за да може да се прави конструктивно сравнение за степента на разкриване на нарушения в отделните държави членки и в различните сектори;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отбелязва, че докладите за нарушения, представени на Европейската прокуратура, информацията относно потенциални интереси от разследване, предадена на OLAF, и докладването на нередности, както и периодичните актуализации на тези доклади, представяни на Комисията чрез СУН, са основният източник на данни за оценка на равнищата на откриване; отбелязва, че равнищата на откриване се различават в отделните държави членки и сред източниците на информация, и поддържа становището, че равнището на откриване в дадена географска област </w:t>
            </w:r>
            <w:r>
              <w:rPr>
                <w:b/>
                <w:i/>
              </w:rPr>
              <w:t>или</w:t>
            </w:r>
            <w:r>
              <w:t xml:space="preserve"> бюджетен или </w:t>
            </w:r>
            <w:r>
              <w:rPr>
                <w:b/>
                <w:i/>
              </w:rPr>
              <w:t>политически</w:t>
            </w:r>
            <w:r>
              <w:t xml:space="preserve"> сектор не съответства непременно на действителното разпространение на измами или други нарушения в тази област или сектор; подчертава освен това, че резултатите от усилията за откриване се различават значително в отделните сектори и държави;</w:t>
            </w:r>
          </w:p>
        </w:tc>
        <w:tc>
          <w:tcPr>
            <w:tcW w:w="4876" w:type="dxa"/>
            <w:tcBorders>
              <w:top w:val="nil"/>
              <w:left w:val="nil"/>
              <w:bottom w:val="nil"/>
              <w:right w:val="nil"/>
            </w:tcBorders>
          </w:tcPr>
          <w:p>
            <w:pPr>
              <w:pStyle w:val="Normal6a"/>
            </w:pPr>
            <w:r>
              <w:t>12.</w:t>
            </w:r>
            <w:r>
              <w:tab/>
            </w:r>
            <w:r>
              <w:t>отбелязва, че докладите за нарушения, представени на Европейската прокуратура, информацията относно потенциални интереси от разследване, предадена на OLAF, и докладването на нередности, както и периодичните актуализации на тези доклади, представяни на Комисията чрез СУН, са основният източник на данни за оценка на равнищата на откриване; отбелязва, че равнищата на откриване се различават в отделните държави членки и сред източниците на информация, и поддържа становището, че равнището на откриване в дадена географска област</w:t>
            </w:r>
            <w:r>
              <w:rPr>
                <w:b/>
                <w:i/>
              </w:rPr>
              <w:t>,</w:t>
            </w:r>
            <w:r>
              <w:t xml:space="preserve"> бюджетен </w:t>
            </w:r>
            <w:r>
              <w:rPr>
                <w:b/>
                <w:i/>
              </w:rPr>
              <w:t>сектор</w:t>
            </w:r>
            <w:r>
              <w:t xml:space="preserve"> или сектор </w:t>
            </w:r>
            <w:r>
              <w:rPr>
                <w:b/>
                <w:i/>
              </w:rPr>
              <w:t>на политики</w:t>
            </w:r>
            <w:r>
              <w:t xml:space="preserve"> не съответства непременно на действителното разпространение на измами или други нарушения в тази област или сектор; подчертава освен това, че резултатите от усилията за откриване се различават значително в отделните сектори и държави;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12а.</w:t>
            </w:r>
            <w:r>
              <w:tab/>
            </w:r>
            <w:r>
              <w:rPr>
                <w:b/>
                <w:i/>
              </w:rPr>
              <w:t>отново посочва, че системата за управление на нередностите (СУН) следва да е по-съвместима в оперативно отношение с другите ключови инструменти, използвани от Комисията за защита на финансовите интереси на ЕС, като например базата данни ARACHNE и системата за ранно откриване и отстраняване EDES, както и с цифровите инструменти в държавите членки;</w:t>
            </w:r>
            <w:r>
              <w:t xml:space="preserve"> </w:t>
            </w:r>
            <w:r>
              <w:rPr>
                <w:b/>
                <w:i/>
              </w:rPr>
              <w:t>разбира, че оперативната съвместимост със СУН ще бъде част от по-широката оценка за оперативната съвместимост между различните бази данни на Комисията и ARACHNE+, с оглед на МФР за периода след 2027 г., и че понастоящем Комисията провежда проучване сред държавите членки относно интерфейса IMS-EDES във връзка с разширяването на EDES, така че да обхване и споделеното управление;</w:t>
            </w:r>
            <w:r>
              <w:t xml:space="preserve"> </w:t>
            </w:r>
            <w:r>
              <w:rPr>
                <w:b/>
                <w:i/>
              </w:rPr>
              <w:t>изисква от Комисията да информира незабавно Парламента за напредъка по специфичния интерфейс EDES-IMS-ARACHNE;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12б.</w:t>
            </w:r>
            <w:r>
              <w:tab/>
            </w:r>
            <w:r>
              <w:rPr>
                <w:b/>
                <w:i/>
              </w:rPr>
              <w:t>отбелязва, че преработеният през 2024 г. Финансов регламент въведе правно основание за модернизиран инструмент за извличане на данни и измерване на риска, наречен „ARACHNE+“, който да се прилага в рамките на МФР за периода след 2027 г. и да се използва при всички режими на управление със задължително подаване на съответни категории данни от европейските институции и органи, както и от държавите членки и други субекти, изпълняващи бюджета на Съюза;</w:t>
            </w:r>
            <w:r>
              <w:t xml:space="preserve"> </w:t>
            </w:r>
            <w:r>
              <w:rPr>
                <w:b/>
                <w:i/>
              </w:rPr>
              <w:t>посочва, че понастоящем използването на ARACHNE+ от държавите членки е доброволно и че Комисията, Съветът и Парламентът поеха ангажимент в съвместната декларация от 7 декември 2023 г. да разгледат и да обсъдят отново задължителното използване на корпоративния инструмент от държавите членки в рамките на МФР за периода след 2027 г., въз основа на оценка за готовността на инструмента до края на 2027 г.;</w:t>
            </w:r>
            <w:r>
              <w:t xml:space="preserve"> </w:t>
            </w:r>
            <w:r>
              <w:rPr>
                <w:b/>
                <w:i/>
              </w:rPr>
              <w:t>подчертава, че независимо от националните цифрови системи, които се използват от държавите членки, базата данни ARACHNE е ориентирана по-специално към трансграничното разкриване на измами и осигурява уникална ефективност при оценката на риска от измами, конфликти на интереси и нередности, засягащи транснационалните операции и сътрудничество;</w:t>
            </w:r>
            <w:r>
              <w:t xml:space="preserve"> </w:t>
            </w:r>
            <w:r>
              <w:rPr>
                <w:b/>
                <w:i/>
              </w:rPr>
              <w:t>счита, че за да се подобри ефективно превенцията и откриването на измами от ARACHNE чрез нейното профилиране и разпознаване на модели, базата данни трябва да отговаря на специфичните нужди и предизвикателства, характерни за всяка национална рамка, и че от Комисията се очаква да обезпечи надеждни механизми за подкрепа и да позволи извършването на необходимите промени с цел максимизиране на положителните ефекти от ARACHNE;</w:t>
            </w:r>
            <w:r>
              <w:t xml:space="preserve"> </w:t>
            </w:r>
            <w:r>
              <w:rPr>
                <w:b/>
                <w:i/>
              </w:rPr>
              <w:t>посочва, че държавите членки подчертаха необходимостта от всеобхватно обучение и подкрепа, за да се увеличи максимално ефективността на инструмента;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Берт-Ян Ройсен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отбелязва</w:t>
            </w:r>
            <w:r>
              <w:t>, че в секторите на общата селскостопанска политика (ОСП), политиката на сближаване и рибарството през периода 2020 – 2024 г. анализът на риска е допринесъл само в незначителна степен за откриването на измами, без подобрение в сравнение с предходния период (2015 – 2019 г.); отбелязва, че откриването на измами въз основа на информация от лица, сигнализиращи за нередности, остава слабо: само веднъж е била разкрита измама в резултат на информация, публикувана в медиите в контекста на директните плащания, докато в секторите на сближаването и рибарството ролята на информацията от гражданското общество се е увеличила, като на тази основа са открити около 18% от нередностите; подчертава, че по отношение на нередностите, засягащи ОСП, анализът на концентрацията на откриване, представен в доклада относно ЗФИ за 2024 г., показва по-висока концентрация на свързани с измами нередности, отколкото на несвързани с измами нередности, което предполага, че диференцираните подходи към разследванията и наказателните преследвания може да са били определящ фактор за тези равнища на откриване; отбелязва освен това, че за откриването на несвързани с измами нередности значителна роля не играе нито анализът на риска, нито информацията за гражданското общество, и припомня, че през 2023 г. е продължило да съществува значително ниво на грешки по функция „Сближаване, устойчивост и ценности“, което е достигнало 9,3%; отново изразява своята загриженост относно прекомерната продължителност на процедурите, необходими за приключване на случаите, в които са открити нередности, като отбелязва, че през периода 2020 – 2024 г. в сектора на ОСП са били необходими средно над четири години между началото на нередността и подозрението за нередност, свързана с измама, а след това още около три години за приключване на случая, след като Комисията е била информирана, докато в сектора на сближаването са били необходими почти две години за откриване на подозрение за измама и почти две години и половина за приключване на случая; разбира, че и в двата сектора средната продължителност е по-кратка за несвързаните с измами нередности, вероятно поради по-големите пречки пред проверката в случаи на измама и необходимостта от мобилизиране на специализирани ресурси, които като цяло са ограничени; подчертава, че продължителността на тези процедури възпрепятства приемането на ефективни мерки за възстановяване или смекчаване и лишава предприетите действия от техния възпиращ ефект; накрая счита, че условията и графикът на първоначалното разглеждане на случаите имат решаващо влияние върху последващото протичане на производствата, и призовава Комисията да обмисли приемане на подходящи мерки за ускоряване на тези процеси, по-специално чрез засилване на диалога си с органите на държавите членки, което е в интерес на защитата на финансовите интереси на Съюза;</w:t>
            </w:r>
          </w:p>
        </w:tc>
        <w:tc>
          <w:tcPr>
            <w:tcW w:w="4876" w:type="dxa"/>
            <w:tcBorders>
              <w:top w:val="nil"/>
              <w:left w:val="nil"/>
              <w:bottom w:val="nil"/>
              <w:right w:val="nil"/>
            </w:tcBorders>
          </w:tcPr>
          <w:p>
            <w:pPr>
              <w:pStyle w:val="Normal6a"/>
            </w:pPr>
            <w:r>
              <w:t>13.</w:t>
            </w:r>
            <w:r>
              <w:tab/>
            </w:r>
            <w:r>
              <w:rPr>
                <w:b/>
                <w:i/>
              </w:rPr>
              <w:t>изразява съжаление за това</w:t>
            </w:r>
            <w:r>
              <w:t>, че в секторите на общата селскостопанска политика (ОСП), политиката на сближаване и рибарството през периода 2020 – 2024 г. анализът на риска е допринесъл само в незначителна степен за откриването на измами, без подобрение в сравнение с предходния период (2015 – 2019 г.)</w:t>
            </w:r>
            <w:r>
              <w:rPr>
                <w:b/>
                <w:i/>
              </w:rPr>
              <w:t>;</w:t>
            </w:r>
            <w:r>
              <w:t xml:space="preserve"> </w:t>
            </w:r>
            <w:r>
              <w:rPr>
                <w:b/>
                <w:i/>
              </w:rPr>
              <w:t>призовава Европейската комисия да анализира причините за това и да изготви план за действие за подобряване на качеството на анализите на риска, в сътрудничество с отговорните органи в държавите членки</w:t>
            </w:r>
            <w:r>
              <w:t>; отбелязва, че откриването на измами въз основа на информация от лица, сигнализиращи за нередности, остава слабо: само веднъж е била разкрита измама в резултат на информация, публикувана в медиите в контекста на директните плащания, докато в секторите на сближаването и рибарството ролята на информацията от гражданското общество се е увеличила, като на тази основа са открити около 18% от нередностите; подчертава, че по отношение на нередностите, засягащи ОСП, анализът на концентрацията на откриване, представен в доклада относно ЗФИ за 2024 г., показва по-висока концентрация на свързани с измами нередности, отколкото на несвързани с измами нередности, което предполага, че диференцираните подходи към разследванията и наказателните преследвания може да са били определящ фактор за тези равнища на откриване; отбелязва освен това, че за откриването на несвързани с измами нередности значителна роля не играе нито анализът на риска, нито информацията за гражданското общество, и припомня, че през 2023 г. е продължило да съществува значително ниво на грешки по функция „Сближаване, устойчивост и ценности“, което е достигнало 9,3%; отново изразява своята загриженост относно прекомерната продължителност на процедурите, необходими за приключване на случаите, в които са открити нередности, като отбелязва, че през периода 2020 – 2024 г. в сектора на ОСП са били необходими средно над четири години между началото на нередността и подозрението за нередност, свързана с измама, а след това още около три години за приключване на случая, след като Комисията е била информирана, докато в сектора на сближаването са били необходими почти две години за откриване на подозрение за измама и почти две години и половина за приключване на случая; разбира, че и в двата сектора средната продължителност е по-кратка за несвързаните с измами нередности, вероятно поради по-големите пречки пред проверката в случаи на измама и необходимостта от мобилизиране на специализирани ресурси, които като цяло са ограничени; подчертава, че продължителността на тези процедури възпрепятства приемането на ефективни мерки за възстановяване или смекчаване и лишава предприетите действия от техния възпиращ ефект; накрая счита, че условията и графикът на първоначалното разглеждане на случаите имат решаващо влияние върху последващото протичане на производствата, и призовава Комисията да обмисли приемане на подходящи мерки за ускоряване на тези процеси, по-специално чрез засилване на диалога си с органите на държавите членки, което е в интерес на защитата на финансовите интереси на Съюза;</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отбелязва, че в секторите на общата селскостопанска политика (ОСП), политиката на сближаване и рибарството през периода 2020 – 2024 г. анализът на риска е допринесъл само в незначителна степен за откриването на измами, без подобрение в сравнение с предходния период (2015 – 2019 г.); отбелязва, че откриването на измами въз основа на информация от лица, сигнализиращи за нередности, остава слабо: само веднъж е била разкрита измама в резултат на информация, публикувана в медиите в контекста на директните плащания, докато в секторите на сближаването и рибарството ролята на информацията от гражданското общество се е увеличила, като на тази основа са открити около 18% от нередностите; подчертава, че по отношение на нередностите, засягащи ОСП, анализът на концентрацията на откриване, представен в доклада относно ЗФИ за 2024 г., показва по-висока концентрация на свързани с измами нередности, отколкото на несвързани с измами нередности, което предполага, че диференцираните подходи към разследванията и наказателните преследвания може да са били определящ фактор за тези равнища на откриване; отбелязва освен това, че за откриването на несвързани с измами нередности </w:t>
            </w:r>
            <w:r>
              <w:rPr>
                <w:b/>
                <w:i/>
              </w:rPr>
              <w:t>значителна роля не играе нито</w:t>
            </w:r>
            <w:r>
              <w:t xml:space="preserve"> анализът на риска</w:t>
            </w:r>
            <w:r>
              <w:rPr>
                <w:b/>
                <w:i/>
              </w:rPr>
              <w:t>, нито информацията за гражданското общество, и</w:t>
            </w:r>
            <w:r>
              <w:t xml:space="preserve"> припомня, че през 2023 г. е продължило да съществува значително ниво на грешки по функция „Сближаване, устойчивост и ценности“, което е достигнало 9,3%; отново изразява своята загриженост относно прекомерната продължителност на процедурите, необходими за приключване на случаите, в които са открити нередности, като отбелязва, че през периода 2020 – 2024 г. в сектора на ОСП са били необходими средно над четири години между началото на нередността и подозрението за нередност, свързана с измама, а след това още около три години за приключване на случая, след като Комисията е била информирана, докато в сектора на сближаването са били необходими почти две години за откриване на подозрение за измама и почти две години и половина за приключване на случая; разбира, че и в двата сектора средната продължителност е по-кратка за несвързаните с измами нередности, вероятно поради по-големите пречки пред проверката в случаи на измама и необходимостта от мобилизиране на специализирани ресурси, които като цяло са ограничени; подчертава, че продължителността на тези процедури възпрепятства приемането на ефективни мерки за възстановяване или смекчаване и лишава предприетите действия от техния възпиращ ефект; накрая счита, че условията и графикът на първоначалното разглеждане на случаите имат решаващо влияние върху последващото протичане на производствата, и призовава Комисията да обмисли приемане на подходящи мерки за ускоряване на тези процеси, по-специално чрез засилване на диалога си с органите на държавите членки, което е в интерес на защитата на финансовите интереси на Съюза;</w:t>
            </w:r>
          </w:p>
        </w:tc>
        <w:tc>
          <w:tcPr>
            <w:tcW w:w="4876" w:type="dxa"/>
            <w:tcBorders>
              <w:top w:val="nil"/>
              <w:left w:val="nil"/>
              <w:bottom w:val="nil"/>
              <w:right w:val="nil"/>
            </w:tcBorders>
          </w:tcPr>
          <w:p>
            <w:pPr>
              <w:pStyle w:val="Normal6a"/>
            </w:pPr>
            <w:r>
              <w:t>13.</w:t>
            </w:r>
            <w:r>
              <w:tab/>
            </w:r>
            <w:r>
              <w:t xml:space="preserve">отбелязва, че в секторите на общата селскостопанска политика (ОСП), политиката на сближаване и рибарството през периода 2020 – 2024 г. анализът на риска е допринесъл само в незначителна степен за откриването на измами, без подобрение в сравнение с предходния период (2015 – 2019 г.); отбелязва, че откриването на измами въз основа на информация от лица, сигнализиращи за нередности, остава слабо: само веднъж е била разкрита измама в резултат на информация, публикувана в медиите в контекста на директните плащания, докато в секторите на сближаването и рибарството ролята на информацията от гражданското общество се е увеличила, като на тази основа са открити около 18% от нередностите; подчертава, че по отношение на нередностите, засягащи ОСП, анализът на концентрацията на откриване, представен в доклада относно ЗФИ за 2024 г., показва по-висока концентрация на свързани с измами нередности, отколкото на несвързани с измами нередности, което предполага, че диференцираните подходи към разследванията и наказателните преследвания може да са били определящ фактор за тези равнища на откриване; отбелязва освен това, че за откриването на несвързани с измами нередности анализът на риска </w:t>
            </w:r>
            <w:r>
              <w:rPr>
                <w:b/>
                <w:i/>
              </w:rPr>
              <w:t>и външните предупреждения са изиграли ограничена роля;</w:t>
            </w:r>
            <w:r>
              <w:t xml:space="preserve"> </w:t>
            </w:r>
            <w:r>
              <w:rPr>
                <w:b/>
                <w:i/>
              </w:rPr>
              <w:t>подчертава необходимостта от укрепване на методологиите за анализ на риска, подобряване на инструментите за извличане на данни и засилване на системното им използване, както и от по-нататъшно насърчаване на сигурни и ефективни канали за докладване, които да се осигурят за лицата, сигнализиращи за нередности;</w:t>
            </w:r>
            <w:r>
              <w:t xml:space="preserve"> припомня, че през 2023 г. е продължило да съществува значително ниво на грешки по функция „Сближаване, устойчивост и ценности“, което е достигнало 9,3%; отново изразява своята загриженост относно прекомерната продължителност на процедурите, необходими за приключване на случаите, в които са открити нередности, като отбелязва, че през периода 2020 – 2024 г. в сектора на ОСП са били необходими средно над четири години между началото на нередността и подозрението за нередност, свързана с измама, а след това още около три години за приключване на случая, след като Комисията е била информирана, докато в сектора на сближаването са били необходими почти две години за откриване на подозрение за измама и почти две години и половина за приключване на случая; разбира, че и в двата сектора средната продължителност е по-кратка за несвързаните с измами нередности, вероятно поради по-големите пречки пред проверката в случаи на измама и необходимостта от мобилизиране на специализирани ресурси, които като цяло са ограничени; подчертава, че продължителността на тези процедури възпрепятства приемането на ефективни мерки за възстановяване или смекчаване и лишава предприетите действия от техния възпиращ ефект; накрая счита, че условията и графикът на първоначалното разглеждане на случаите имат решаващо влияние върху последващото протичане на производствата, и призовава Комисията да обмисли приемане на подходящи мерки за ускоряване на тези процеси, по-специално чрез засилване на диалога си с органите на държавите членки, което е в интерес на защитата на финансовите интереси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отбелязва, че в секторите на общата селскостопанска политика (ОСП), политиката на сближаване и рибарството през периода 2020 – 2024 г. анализът на риска е допринесъл само в незначителна степен за откриването на измами, без подобрение в сравнение с предходния период (2015 – 2019 г.); отбелязва, че откриването на измами въз основа на информация от лица, сигнализиращи за нередности, остава слабо: само веднъж е била разкрита измама в резултат на информация, публикувана в медиите в контекста на директните плащания, докато в секторите на сближаването и рибарството ролята на информацията от гражданското общество се е увеличила, като на тази основа са открити около 18% от нередностите; подчертава, че по отношение на нередностите, засягащи ОСП, анализът на концентрацията на откриване, представен в доклада относно ЗФИ за 2024 г., показва по-висока концентрация на свързани с измами нередности, отколкото на несвързани с измами нередности, което предполага, че диференцираните подходи към разследванията и наказателните преследвания може да са били определящ фактор за тези равнища на откриване; отбелязва освен това</w:t>
            </w:r>
            <w:r>
              <w:rPr>
                <w:b/>
                <w:i/>
              </w:rPr>
              <w:t>, че за откриването на несвързани с измами нередности значителна роля не играе нито анализът на риска, нито информацията за гражданското общество, и припомня</w:t>
            </w:r>
            <w:r>
              <w:t>, че през 2023 г. е продължило да съществува значително ниво на грешки по функция „Сближаване, устойчивост и ценности“, което е достигнало 9,3%; отново изразява своята загриженост относно прекомерната продължителност на процедурите, необходими за приключване на случаите, в които са открити нередности, като отбелязва, че през периода 2020 – 2024 г. в сектора на ОСП са били необходими средно над четири години между началото на нередността и подозрението за нередност, свързана с измама, а след това още около три години за приключване на случая, след като Комисията е била информирана, докато в сектора на сближаването са били необходими почти две години за откриване на подозрение за измама и почти две години и половина за приключване на случая; разбира, че и в двата сектора средната продължителност е по-кратка за несвързаните с измами нередности, вероятно поради по-големите пречки пред проверката в случаи на измама и необходимостта от мобилизиране на специализирани ресурси, които като цяло са ограничени; подчертава, че продължителността на тези процедури възпрепятства приемането на ефективни мерки за възстановяване или смекчаване и лишава предприетите действия от техния възпиращ ефект; накрая счита, че условията и графикът на първоначалното разглеждане на случаите имат решаващо влияние върху последващото протичане на производствата, и призовава Комисията да обмисли приемане на подходящи мерки за ускоряване на тези процеси, по-специално чрез засилване на диалога си с органите на държавите членки, което е в интерес на защитата на финансовите интереси на Съюза;</w:t>
            </w:r>
          </w:p>
        </w:tc>
        <w:tc>
          <w:tcPr>
            <w:tcW w:w="4876" w:type="dxa"/>
            <w:tcBorders>
              <w:top w:val="nil"/>
              <w:left w:val="nil"/>
              <w:bottom w:val="nil"/>
              <w:right w:val="nil"/>
            </w:tcBorders>
          </w:tcPr>
          <w:p>
            <w:pPr>
              <w:pStyle w:val="Normal6a"/>
            </w:pPr>
            <w:r>
              <w:t>13.</w:t>
            </w:r>
            <w:r>
              <w:tab/>
            </w:r>
            <w:r>
              <w:t>отбелязва, че в секторите на общата селскостопанска политика (ОСП), политиката на сближаване и рибарството през периода 2020 – 2024 г. анализът на риска е допринесъл само в незначителна степен за откриването на измами, без подобрение в сравнение с предходния период (2015 – 2019 г.); отбелязва, че откриването на измами въз основа на информация от лица, сигнализиращи за нередности, остава слабо: само веднъж е била разкрита измама в резултат на информация, публикувана в медиите в контекста на директните плащания, докато в секторите на сближаването и рибарството ролята на информацията от гражданското общество се е увеличила, като на тази основа са открити около 18% от нередностите; подчертава, че по отношение на нередностите, засягащи ОСП, анализът на концентрацията на откриване, представен в доклада относно ЗФИ за 2024 г., показва по-висока концентрация на свързани с измами нередности, отколкото на несвързани с измами нередности, което предполага, че диференцираните подходи към разследванията и наказателните преследвания може да са били определящ фактор за тези равнища на откриване; отбелязва освен това, че през 2023 г. е продължило да съществува значително ниво на грешки по функция „Сближаване, устойчивост и ценности“, което е достигнало 9,3%; отново изразява своята загриженост относно прекомерната продължителност на процедурите, необходими за приключване на случаите, в които са открити нередности, като отбелязва, че през периода 2020 – 2024 г. в сектора на ОСП са били необходими средно над четири години между началото на нередността и подозрението за нередност, свързана с измама, а след това още около три години за приключване на случая, след като Комисията е била информирана, докато в сектора на сближаването са били необходими почти две години за откриване на подозрение за измама и почти две години и половина за приключване на случая; разбира, че и в двата сектора средната продължителност е по-кратка за несвързаните с измами нередности, вероятно поради по-големите пречки пред проверката в случаи на измама и необходимостта от мобилизиране на специализирани ресурси, които като цяло са ограничени; подчертава, че продължителността на тези процедури възпрепятства приемането на ефективни мерки за възстановяване или смекчаване и лишава предприетите действия от техния възпиращ ефект; накрая счита, че условията и графикът на първоначалното разглеждане на случаите имат решаващо влияние върху последващото протичане на производствата, и призовава Комисията да обмисли приемане на подходящи мерки за ускоряване на тези процеси, по-специално чрез засилване на диалога си с органите на държавите членки, което е в интерес на защитата на финансовите интереси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отбелязва, че в областта на прякото управление през периода 2020 – 2024 г. OLAF </w:t>
            </w:r>
            <w:r>
              <w:rPr>
                <w:b/>
                <w:i/>
              </w:rPr>
              <w:t>вероятно</w:t>
            </w:r>
            <w:r>
              <w:t xml:space="preserve"> е бил основният източник на откриване на елементи за възстановяване за нередности, свързани с измами – 89,8% от случаите и 96,9% от общия размер на възстановените суми, докато последващите проверки на Комисията са открили допълнителни 6,0% от </w:t>
            </w:r>
            <w:r>
              <w:rPr>
                <w:b/>
                <w:i/>
              </w:rPr>
              <w:t>тези</w:t>
            </w:r>
            <w:r>
              <w:t xml:space="preserve"> елементи, което съответства на 1,9% от възстановените суми; отбелязва освен това, че около 95,7% от елементите за възстановяване, класифицирани като несвързани с измами нередности, са били открити чрез проверки на Комисията, както предварителни, така и последващи; отбелязва във връзка с това анализа на доклада относно ЗФИ за 2024 г. относно връзката между източника на разкриване и сумите, които трябва да бъдат възстановени, който показва, че последващите проверки на Комисията и разследванията на OLAF са довели до най-високите суми, възстановени съответно за несвързани с измами и свързани с измами нередности;</w:t>
            </w:r>
          </w:p>
        </w:tc>
        <w:tc>
          <w:tcPr>
            <w:tcW w:w="4876" w:type="dxa"/>
            <w:tcBorders>
              <w:top w:val="nil"/>
              <w:left w:val="nil"/>
              <w:bottom w:val="nil"/>
              <w:right w:val="nil"/>
            </w:tcBorders>
          </w:tcPr>
          <w:p>
            <w:pPr>
              <w:pStyle w:val="Normal6a"/>
            </w:pPr>
            <w:r>
              <w:t>14.</w:t>
            </w:r>
            <w:r>
              <w:tab/>
            </w:r>
            <w:r>
              <w:t xml:space="preserve">отбелязва, че </w:t>
            </w:r>
            <w:r>
              <w:rPr>
                <w:b/>
                <w:i/>
              </w:rPr>
              <w:t>според доклада относно ЗФИ за 2024 г.</w:t>
            </w:r>
            <w:r>
              <w:t xml:space="preserve"> в областта на прякото управление през периода 2020 – 2024 г. OLAF е бил основният източник на откриване на елементи за възстановяване за нередности, свързани с измами – 89,8% от случаите и 96,9% от общия размер на възстановените суми, докато последващите проверки на Комисията са открили допълнителни 6,0% от </w:t>
            </w:r>
            <w:r>
              <w:rPr>
                <w:b/>
                <w:i/>
              </w:rPr>
              <w:t>този вид</w:t>
            </w:r>
            <w:r>
              <w:t xml:space="preserve"> елементи </w:t>
            </w:r>
            <w:r>
              <w:rPr>
                <w:b/>
                <w:i/>
              </w:rPr>
              <w:t>за възстановяване на средства</w:t>
            </w:r>
            <w:r>
              <w:t>, което съответства на 1,9% от възстановените суми; отбелязва освен това, че около 95,7% от елементите за възстановяване, класифицирани като несвързани с измами нередности, са били открити чрез проверки на Комисията, както предварителни, така и последващи; отбелязва във връзка с това анализа на доклада относно ЗФИ за 2024 г. относно връзката между източника на разкриване и сумите, които трябва да бъдат възстановени, който показва, че последващите проверки на Комисията и разследванията на OLAF са довели до най-високите суми, възстановени съответно за несвързани с измами и свързани с измами нередности;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отбелязва, че през последните години увеличаването на разкриването от органите на Съюза е пропорционално по-ниско от това от частни лица, сигнализиращи за нередности, или национални органи (през 2024 г. сигналите за престъпления до Европейската прокуратура от частни лица, сигнализиращи за нередности, са се увеличили с 85%, тези от националните органи – с 13%, а тези от институциите, органите, службите и агенциите на ЕС – с 5%, а през 2023 г. сигналите за престъпления от частни лица, сигнализиращи за нередности, национални органи и институции, органи, служби и агенции са се увеличили съответно с 30%, 24% и 5% в сравнение с 2022 г.); отново призовава Комисията и другите органи на ЕС да насърчават разкриването, като улесняват процесите на докладване и укрепват инициативите за повишаване на осведомеността на персонала и ръководството и вътрешната комуникация;</w:t>
            </w:r>
          </w:p>
        </w:tc>
        <w:tc>
          <w:tcPr>
            <w:tcW w:w="4876" w:type="dxa"/>
            <w:tcBorders>
              <w:top w:val="nil"/>
              <w:left w:val="nil"/>
              <w:bottom w:val="nil"/>
              <w:right w:val="nil"/>
            </w:tcBorders>
          </w:tcPr>
          <w:p>
            <w:pPr>
              <w:pStyle w:val="Normal6a"/>
            </w:pPr>
            <w:r>
              <w:t>15.</w:t>
            </w:r>
            <w:r>
              <w:tab/>
            </w:r>
            <w:r>
              <w:t xml:space="preserve">отбелязва, че през последните години увеличаването на разкриването от органите на Съюза е пропорционално по-ниско от това от частни лица, сигнализиращи за нередности, или национални органи (през 2024 г. сигналите за престъпления до Европейската прокуратура от частни лица, сигнализиращи за нередности, са се увеличили с 85%, тези от националните органи – с 13%, а тези от институциите, органите, службите и агенциите на ЕС – с 5%, а през 2023 г. сигналите за престъпления от частни лица, сигнализиращи за нередности, национални органи и институции, органи, служби и агенции са се увеличили съответно с 30%, 24% и 5% в сравнение с 2022 г.); отново призовава Комисията и другите органи на ЕС да насърчават разкриването, като улесняват процесите на докладване и укрепват инициативите за повишаване на осведомеността на персонала и ръководството и вътрешната комуникация; </w:t>
            </w:r>
            <w:r>
              <w:rPr>
                <w:b/>
                <w:i/>
              </w:rPr>
              <w:t>изразява загриженост, че това ниско равнище на разкриване може да породи опасения относно способността на Комисията да упражнява контрол върху средствата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15а.</w:t>
            </w:r>
            <w:r>
              <w:tab/>
            </w:r>
            <w:r>
              <w:rPr>
                <w:b/>
                <w:i/>
              </w:rPr>
              <w:t>счита, че лицата, сигнализиращи за нередности, играят ключова роля за насърчаване на разкриването на измами;</w:t>
            </w:r>
            <w:r>
              <w:t xml:space="preserve"> </w:t>
            </w:r>
            <w:r>
              <w:rPr>
                <w:b/>
                <w:i/>
              </w:rPr>
              <w:t>отбелязва със загриженост забележките, представени в доклада на Комисията от 2024 г. относно изпълнението и прилагането на Директивата за лицата, сигнализиращи за нередности</w:t>
            </w:r>
            <w:r>
              <w:rPr>
                <w:b/>
                <w:i/>
                <w:vertAlign w:val="superscript"/>
              </w:rPr>
              <w:t>1a</w:t>
            </w:r>
            <w:r>
              <w:rPr>
                <w:b/>
                <w:i/>
              </w:rPr>
              <w:t>, във връзка със защитата на лицата, които подават сигнали за нарушения на правото на Съюза, като посочва, че процесът на транспониране изглежда все още далеч не е приключил;</w:t>
            </w:r>
            <w:r>
              <w:t xml:space="preserve"> </w:t>
            </w:r>
            <w:r>
              <w:rPr>
                <w:b/>
                <w:i/>
              </w:rPr>
              <w:t>изразява съжаление за това, че през март 2025 г. Съдът на ЕС (Съдът на Европейския съюз) наложи финансови глоби на пет държави членки</w:t>
            </w:r>
            <w:r>
              <w:rPr>
                <w:b/>
                <w:i/>
                <w:vertAlign w:val="superscript"/>
              </w:rPr>
              <w:t>2a</w:t>
            </w:r>
            <w:r>
              <w:t xml:space="preserve"> </w:t>
            </w:r>
            <w:r>
              <w:rPr>
                <w:b/>
                <w:i/>
              </w:rPr>
              <w:t>за неправилно транспониране на директивата;</w:t>
            </w:r>
            <w:r>
              <w:t xml:space="preserve"> </w:t>
            </w:r>
            <w:r>
              <w:rPr>
                <w:b/>
                <w:i/>
              </w:rPr>
              <w:t>приветства факта, че на 25 август 2025 г. Комисията започна обществени консултации относно предстоящия си план за действие за защита на лицата, сигнализиращи за нередности, който е част от по-широката оценка на Комисията във връзка с директивата;</w:t>
            </w:r>
            <w:r>
              <w:t xml:space="preserve"> </w:t>
            </w:r>
            <w:r>
              <w:rPr>
                <w:b/>
                <w:i/>
              </w:rPr>
              <w:t>призовава Комисията да обърне максимално внимание на обратната информация, която се подава от съответните заинтересовани страни, включително организации на гражданското общество, профсъюзи, научноизследователски институции и техни служители, както и от отделни лица, сигнализиращи за нередности относно прилагането на директивата, както и да въведе мерки за преодоляване на установените пропуски;</w:t>
            </w:r>
            <w:r>
              <w:t xml:space="preserve"> </w:t>
            </w:r>
            <w:r>
              <w:rPr>
                <w:b/>
                <w:i/>
              </w:rPr>
              <w:t>посочва, че също така се очаква Парламентът да адаптира своите вътрешни правила в съответствие с директивата, за да защити собствените си лица, сигнализиращи за нередности, както произтича от решението на Общия съд по дело T-793/22 от 11 септември 2024 г., съгласно което настоящата рамка не осигурява балансирана и ефективна защита срещу ответни действия с цел отмъщение;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Доклад на Комисията от 3 юли 2024 г. относно изпълнението и прилагането на Директива (ЕС) 2019/1937 на Европейския парламент и на Съвета от 23 октомври 2019 г. относно защитата на лицата, които подават сигнали за нарушения на правото на Съюза (COM(2024)0269);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Германия, Люксембург, Чешката република, Естония и Унгария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15б.</w:t>
            </w:r>
            <w:r>
              <w:tab/>
            </w:r>
            <w:r>
              <w:rPr>
                <w:b/>
                <w:i/>
              </w:rPr>
              <w:t>подчертава, че публичните органи играят решаваща роля за насърчаването на култура на нулева толерантност към измамите и подчертава по-специално значението на предотвратяването на измами, с цел да се гарантира на първо място липсата на измами, корупция, конфликти на интереси и други злоупотреби със средства;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15в.</w:t>
            </w:r>
            <w:r>
              <w:tab/>
            </w:r>
            <w:r>
              <w:rPr>
                <w:b/>
                <w:i/>
              </w:rPr>
              <w:t>подчертава, че независимите медии и разследващата журналистика играят важна роля в борбата срещу измамите, корупцията, конфликтите на интереси и други форми на злоупотреба с публични средства;</w:t>
            </w:r>
            <w:r>
              <w:t xml:space="preserve"> </w:t>
            </w:r>
            <w:r>
              <w:rPr>
                <w:b/>
                <w:i/>
              </w:rPr>
              <w:t>насърчава Комисията да предостави подкрепа под формата на програми за обучение, финансиране и всякакви други мерки в съответствие с основните права на ЕС и принципите на правовата държава, включително кампании за повишаване на осведомеността относно начина, по който случаите на измама, неразрешените конфликти на интереси и корупцията могат да засегнат благосъстоянието на гражданите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припомня на Комисията, че за разкриването на измами са необходими проверки и че въпреки че това може да струва пари, то също така позволява да се генерират – понякога значителни – допълнителни приходи и/или да се избягват неправомерни разходи; поради това отбелязва, че е от съществено значение да се предоставят ресурси на лицата, участващи в архитектурата за борба с измамите, за да им се даде възможност да извършват по-чести проверки;</w:t>
            </w:r>
          </w:p>
        </w:tc>
        <w:tc>
          <w:tcPr>
            <w:tcW w:w="4876" w:type="dxa"/>
            <w:tcBorders>
              <w:top w:val="nil"/>
              <w:left w:val="nil"/>
              <w:bottom w:val="nil"/>
              <w:right w:val="nil"/>
            </w:tcBorders>
          </w:tcPr>
          <w:p>
            <w:pPr>
              <w:pStyle w:val="Normal6a"/>
            </w:pPr>
            <w:r>
              <w:t>16.</w:t>
            </w:r>
            <w:r>
              <w:tab/>
            </w:r>
            <w:r>
              <w:t xml:space="preserve">припомня на Комисията, че за разкриването на измами са необходими проверки и че въпреки че това може да струва пари, то също така позволява да се генерират – понякога значителни – допълнителни приходи и/или да се избягват неправомерни разходи; поради това отбелязва, че е от съществено значение да се предоставят ресурси на лицата, участващи в архитектурата за борба с измамите, за да им се даде възможност да извършват по-чести проверки; </w:t>
            </w:r>
            <w:r>
              <w:rPr>
                <w:b/>
                <w:i/>
              </w:rPr>
              <w:t>призовава за стратегическо и целенасочено разпределение на средства за високорисковите сектори и трансграничните разследвания, наред със засилено обучение и изграждане на капацитет за националните органи, с цел да се гарантира ориентиран към резултатите подход, да се подобри бюджетната отчетност и да се защити всяко евро от бюджета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припомня на Комисията, че за разкриването на измами са необходими проверки и че въпреки че това може да струва пари, то също така позволява да се генерират </w:t>
            </w:r>
            <w:r>
              <w:rPr>
                <w:b/>
                <w:i/>
              </w:rPr>
              <w:t>–</w:t>
            </w:r>
            <w:r>
              <w:t xml:space="preserve"> понякога значителни </w:t>
            </w:r>
            <w:r>
              <w:rPr>
                <w:b/>
                <w:i/>
              </w:rPr>
              <w:t>–</w:t>
            </w:r>
            <w:r>
              <w:t xml:space="preserve"> допълнителни приходи и/или да се избягват неправомерни разходи</w:t>
            </w:r>
            <w:r>
              <w:rPr>
                <w:b/>
                <w:i/>
              </w:rPr>
              <w:t>;</w:t>
            </w:r>
            <w:r>
              <w:t xml:space="preserve"> поради това отбелязва, че е от съществено значение да се предоставят ресурси на </w:t>
            </w:r>
            <w:r>
              <w:rPr>
                <w:b/>
                <w:i/>
              </w:rPr>
              <w:t>лицата</w:t>
            </w:r>
            <w:r>
              <w:t>, участващи в архитектурата за борба с измамите, за да им се даде възможност да извършват по-чести проверки;</w:t>
            </w:r>
          </w:p>
        </w:tc>
        <w:tc>
          <w:tcPr>
            <w:tcW w:w="4876" w:type="dxa"/>
            <w:tcBorders>
              <w:top w:val="nil"/>
              <w:left w:val="nil"/>
              <w:bottom w:val="nil"/>
              <w:right w:val="nil"/>
            </w:tcBorders>
          </w:tcPr>
          <w:p>
            <w:pPr>
              <w:pStyle w:val="Normal6a"/>
            </w:pPr>
            <w:r>
              <w:t>16.</w:t>
            </w:r>
            <w:r>
              <w:tab/>
            </w:r>
            <w:r>
              <w:t>припомня на Комисията, че за разкриването на измами са необходими проверки и че въпреки че това може да струва пари, то също така позволява да се генерират понякога значителни допълнителни приходи и/или да се избягват неправомерни разходи</w:t>
            </w:r>
            <w:r>
              <w:rPr>
                <w:b/>
                <w:i/>
              </w:rPr>
              <w:t>, което спомага за предотвратяване на злоупотреби с парите на данъкоплатците; </w:t>
            </w:r>
            <w:r>
              <w:t xml:space="preserve"> поради това отбелязва, че е от съществено значение да се предоставят </w:t>
            </w:r>
            <w:r>
              <w:rPr>
                <w:b/>
                <w:i/>
              </w:rPr>
              <w:t>необходимите</w:t>
            </w:r>
            <w:r>
              <w:t xml:space="preserve"> ресурси на </w:t>
            </w:r>
            <w:r>
              <w:rPr>
                <w:b/>
                <w:i/>
              </w:rPr>
              <w:t>всички организации</w:t>
            </w:r>
            <w:r>
              <w:t xml:space="preserve">, участващи в архитектурата за борба с измамите, за да им се даде възможност да </w:t>
            </w:r>
            <w:r>
              <w:rPr>
                <w:b/>
                <w:i/>
              </w:rPr>
              <w:t>действат ефективно и да</w:t>
            </w:r>
            <w:r>
              <w:t xml:space="preserve"> извършват по-чести проверки;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16а.</w:t>
            </w:r>
            <w:r>
              <w:tab/>
            </w:r>
            <w:r>
              <w:rPr>
                <w:b/>
                <w:i/>
              </w:rPr>
              <w:t>подчертава значението на защитата на финансовите интереси на Съюза чрез създаването и прилагането на ясни правила относно данъчното облагане и прозрачността за предприятията, особено за тези, които извършват дейност на транснационално равнище, по-специално в контекста на подкрепяните от ЕС инвестиции.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счита, че прекомерната продължителност на разследванията </w:t>
            </w:r>
            <w:r>
              <w:rPr>
                <w:b/>
                <w:i/>
              </w:rPr>
              <w:t>и административните процедури</w:t>
            </w:r>
            <w:r>
              <w:t xml:space="preserve"> подкопава ефективността на защитата на финансовите интереси на Съюза, по-специално по отношение на мониторинга, възстановяването и наказателното преследване;</w:t>
            </w:r>
          </w:p>
        </w:tc>
        <w:tc>
          <w:tcPr>
            <w:tcW w:w="4876" w:type="dxa"/>
            <w:tcBorders>
              <w:top w:val="nil"/>
              <w:left w:val="nil"/>
              <w:bottom w:val="nil"/>
              <w:right w:val="nil"/>
            </w:tcBorders>
          </w:tcPr>
          <w:p>
            <w:pPr>
              <w:pStyle w:val="Normal6a"/>
            </w:pPr>
            <w:r>
              <w:t>17.</w:t>
            </w:r>
            <w:r>
              <w:tab/>
            </w:r>
            <w:r>
              <w:t>счита, че прекомерната продължителност на разследванията</w:t>
            </w:r>
            <w:r>
              <w:rPr>
                <w:b/>
                <w:i/>
              </w:rPr>
              <w:t>, често причинена от ограничено финансиране и недостиг на персонал,</w:t>
            </w:r>
            <w:r>
              <w:t xml:space="preserve"> подкопава ефективността на защитата на финансовите интереси на Съюза, по-специално по отношение на мониторинга, възстановяването и наказателното преследване;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Дик Ериксон, Берт-Ян Ройсен, 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17а.</w:t>
            </w:r>
            <w:r>
              <w:tab/>
            </w:r>
            <w:r>
              <w:rPr>
                <w:b/>
                <w:i/>
              </w:rPr>
              <w:t>подчертава необходимостта от пропорционална реакция по отношение на откритите нередности;</w:t>
            </w:r>
            <w:r>
              <w:t xml:space="preserve"> </w:t>
            </w:r>
            <w:r>
              <w:rPr>
                <w:b/>
                <w:i/>
              </w:rPr>
              <w:t>призовава за въвеждането на ясни предпазни мерки за пропорционалност, за да се гарантира, че разследванията на локализирани или незначителни измами не водят до непропорционално, общо спиране на финансирането, което ощетява несправедливо цели региони или големи проекти;</w:t>
            </w:r>
            <w:r>
              <w:t xml:space="preserve"> </w:t>
            </w:r>
            <w:r>
              <w:rPr>
                <w:b/>
                <w:i/>
              </w:rPr>
              <w:t>подчертава, че принципът на пропорционалност трябва да се прилага последователно, когато се обмисля спиране на плащанията, като се вземат предвид сериозността и системността на всички установени пропуски;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18а.</w:t>
            </w:r>
            <w:r>
              <w:tab/>
            </w:r>
            <w:r>
              <w:rPr>
                <w:b/>
                <w:i/>
              </w:rPr>
              <w:t>припомня, че държавите членки управляват най-големия дял от разходите на Съюза, и следователно те са първата отбранителна линия за защита на финансовите интереси на Съюза;</w:t>
            </w:r>
            <w:r>
              <w:t xml:space="preserve"> </w:t>
            </w:r>
            <w:r>
              <w:rPr>
                <w:b/>
                <w:i/>
              </w:rPr>
              <w:t>отбелязва, че през 2024 г. всички 27 държави членки са докладвали, че са въвели някаква форма на стратегия за защита на финансовите интереси на Съюза;</w:t>
            </w:r>
            <w:r>
              <w:t xml:space="preserve"> </w:t>
            </w:r>
            <w:r>
              <w:rPr>
                <w:b/>
                <w:i/>
              </w:rPr>
              <w:t>отбелязва обаче, че подходите се различават значително, като само 10 държави членки разполагат със специална национална стратегия за борба с измамите (НСБИ), а 17 държави членки нямат такава стратегия, включително 7 държави, които понастоящем са в процес на приемане на такава стратегия;</w:t>
            </w:r>
            <w:r>
              <w:t xml:space="preserve"> </w:t>
            </w:r>
            <w:r>
              <w:rPr>
                <w:b/>
                <w:i/>
              </w:rPr>
              <w:t>изразява съжаление за това, че приемането на всеобхватни национални стратегии за борба с измамите продължава да бъде неравномерно в отделните държави членки, и подчертава, че тези стратегии са от съществено значение за осигуряването на ефективна координация, анализ на риска и последващи действия във връзка със случаите на измами на национално ниво и на равнището на Съюза;</w:t>
            </w:r>
            <w:r>
              <w:t xml:space="preserve"> </w:t>
            </w:r>
            <w:r>
              <w:rPr>
                <w:b/>
                <w:i/>
              </w:rPr>
              <w:t>призовава държавите членки да приемат и да актуализират редовно своите НСБИ, с цел да идентифицират и да се справят по-добре с възникващите рискове от измами, с подкрепата на Комисията;</w:t>
            </w:r>
            <w:r>
              <w:t xml:space="preserve"> </w:t>
            </w:r>
            <w:r>
              <w:rPr>
                <w:b/>
                <w:i/>
              </w:rPr>
              <w:t>освен това изразява съжаление за това, че събраната през 2024 г. информация показва ограничен напредък във връзка с оптимизирането на националното управление за борба с измамите спрямо предходни години, въпреки препоръките на Комисията за създаване или подобряване на специални национални мрежи за борба с измамите;</w:t>
            </w:r>
            <w:r>
              <w:t xml:space="preserve"> </w:t>
            </w:r>
            <w:r>
              <w:rPr>
                <w:b/>
                <w:i/>
              </w:rPr>
              <w:t>приветства факта, че след многократните призиви на Европейския парламент, Комисията включи националните стратегии за борба с измамите сред ключовите изисквания за националните системи за управление и контрол в своето предложение за програмния период 2028—2034 г.;</w:t>
            </w:r>
            <w:r>
              <w:t xml:space="preserve"> </w:t>
            </w:r>
            <w:r>
              <w:rPr>
                <w:b/>
                <w:i/>
              </w:rPr>
              <w:t>отново заявява, че държавите членки биха имали полза от извършването на редовни оценки или партньорски проверки на техните рамки за борба с измамите, за да се подобри съгласуваността и да се гарантират високи стандарти в целия Съюз;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18б.</w:t>
            </w:r>
            <w:r>
              <w:tab/>
            </w:r>
            <w:r>
              <w:rPr>
                <w:b/>
                <w:i/>
              </w:rPr>
              <w:t>отбелязва, че макар всички държави членки да докладват, че имат някаква форма на национална стратегия за борба с измамите, само ограничен брой държави членки са разработили изцяло и са въвели всеобхватни стратегии;</w:t>
            </w:r>
            <w:r>
              <w:t xml:space="preserve"> </w:t>
            </w:r>
            <w:r>
              <w:rPr>
                <w:b/>
                <w:i/>
              </w:rPr>
              <w:t>призовава Комисията да направи оценка на качеството, обхвата и ефективното прилагане на националните стратегии за борба с измамите и да предостави насоки и подкрепа, за да се гарантира, че тези стратегии са съгласувани, всеобхватни и ориентирани към резултатите;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18а.</w:t>
            </w:r>
            <w:r>
              <w:tab/>
            </w:r>
            <w:r>
              <w:rPr>
                <w:b/>
                <w:i/>
              </w:rPr>
              <w:t>счита, че продължаващите различия между държавите членки по отношение на административния капацитет, човешките ресурси и аналитичните инструменти отслабват защитата на финансовите интереси на Съюза;</w:t>
            </w:r>
            <w:r>
              <w:t xml:space="preserve"> </w:t>
            </w:r>
            <w:r>
              <w:rPr>
                <w:b/>
                <w:i/>
              </w:rPr>
              <w:t>призовава Комисията да направи оценка на възможностите за определяне на общи минимални стандарти за капацитет за борба с измамите за компетентните национални органи, и по-специално за координационните служби за борба с измамите (AFCOS), като същевременно се спазва принципът на субсидиарност;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подчертава, че информацията относно текущите разследвания на Европейската прокуратура следва да се изпраща на Комисията, когато условията, определени в член 103 от Регламента за Европейската прокуратура</w:t>
            </w:r>
            <w:r>
              <w:rPr>
                <w:vertAlign w:val="superscript"/>
              </w:rPr>
              <w:t>23</w:t>
            </w:r>
            <w:r>
              <w:t>, го позволяват; отбелязва обаче, че според доклада относно ЗФИ за 2024 г. от началото на изпълнението на МВУ до 27 май 2025 г. Комисията е получила само 75 уведомления от Европейската прокуратура, от които 64 се отнасят до текущи случаи, докато в края на 2024 г. е имало 279 разследвания, свързани с МВУ, с приблизителни общи финансови щети в размер на 2,7 милиарда евро; отбелязва, че това възпрепятства пълното разбиране на актуалното състояние на изпълнението на МВУ;</w:t>
            </w:r>
          </w:p>
        </w:tc>
        <w:tc>
          <w:tcPr>
            <w:tcW w:w="4876" w:type="dxa"/>
            <w:tcBorders>
              <w:top w:val="nil"/>
              <w:left w:val="nil"/>
              <w:bottom w:val="nil"/>
              <w:right w:val="nil"/>
            </w:tcBorders>
          </w:tcPr>
          <w:p>
            <w:pPr>
              <w:pStyle w:val="Normal6a"/>
            </w:pPr>
            <w:r>
              <w:t>19.</w:t>
            </w:r>
            <w:r>
              <w:tab/>
            </w:r>
            <w:r>
              <w:t>подчертава, че информацията относно текущите разследвания на Европейската прокуратура следва да се изпраща на Комисията, когато условията, определени в член 103 от Регламента за Европейската прокуратура</w:t>
            </w:r>
            <w:r>
              <w:rPr>
                <w:vertAlign w:val="superscript"/>
              </w:rPr>
              <w:t>23</w:t>
            </w:r>
            <w:r>
              <w:t xml:space="preserve">, го позволяват; отбелязва обаче, че според доклада относно ЗФИ за 2024 г. от началото на изпълнението на МВУ до 27 май 2025 г. Комисията е получила само 75 уведомления от Европейската прокуратура, от които 64 се отнасят до текущи случаи, докато в края на 2024 г. е имало 279 разследвания, свързани с МВУ, с приблизителни общи финансови щети в размер на 2,7 милиарда евро; отбелязва, че това възпрепятства пълното разбиране на актуалното състояние на изпълнението на МВУ; </w:t>
            </w:r>
            <w:r>
              <w:rPr>
                <w:b/>
                <w:i/>
              </w:rPr>
              <w:t>призовава за подобрен, своевременен и структуриран обмен на информация, при пълно зачитане на независимостта на Европейската прокуратура, по-специално за високорискови програми като МВУ;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Регламент (ЕС) 2017/1939 на Съвета от 12 октомври 2017 г. за установяване на засилено сътрудничество за създаване на Европейска прокуратура (</w:t>
            </w:r>
            <w:r>
              <w:rPr>
                <w:b/>
                <w:i/>
              </w:rPr>
              <w:t>ОВ</w:t>
            </w:r>
            <w:r>
              <w:t xml:space="preserve"> L 283, 31.10.2017 г., стр.</w:t>
            </w:r>
            <w:r>
              <w:rPr>
                <w:b/>
                <w:i/>
              </w:rPr>
              <w:t> </w:t>
            </w:r>
            <w:r>
              <w:t>1, ELI: http://data.europa.eu/eli/reg/2017/1939/oj)</w:t>
            </w:r>
            <w:r>
              <w:rPr>
                <w:b/>
                <w:i/>
              </w:rPr>
              <w:t>.</w:t>
            </w:r>
          </w:p>
        </w:tc>
        <w:tc>
          <w:tcPr>
            <w:tcW w:w="4876" w:type="dxa"/>
            <w:tcBorders>
              <w:top w:val="nil"/>
              <w:left w:val="nil"/>
              <w:bottom w:val="nil"/>
              <w:right w:val="nil"/>
            </w:tcBorders>
          </w:tcPr>
          <w:p>
            <w:pPr>
              <w:pStyle w:val="Normal6a"/>
            </w:pPr>
            <w:r>
              <w:rPr>
                <w:vertAlign w:val="superscript"/>
              </w:rPr>
              <w:t>23</w:t>
            </w:r>
            <w:r>
              <w:t xml:space="preserve"> </w:t>
            </w:r>
            <w:r>
              <w:t>Регламент (ЕС) 2017/1939 на Съвета от 12 октомври 2017 г. за установяване на засилено сътрудничество за създаване на Европейска прокуратура (</w:t>
            </w:r>
            <w:r>
              <w:rPr>
                <w:b/>
                <w:i/>
              </w:rPr>
              <w:t>OB</w:t>
            </w:r>
            <w:r>
              <w:t xml:space="preserve"> L 283, 31.10.2017 г., стр.</w:t>
            </w:r>
            <w:r>
              <w:rPr>
                <w:b/>
                <w:i/>
              </w:rPr>
              <w:t> </w:t>
            </w:r>
            <w:r>
              <w:t xml:space="preserve"> 1, ELI: http://data.europa.eu/eli/reg/2017/1939/oj)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подчертава, че информацията относно текущите разследвания на Европейската прокуратура следва да се изпраща на Комисията, когато условията, определени в член 103 от Регламента за Европейската прокуратура</w:t>
            </w:r>
            <w:r>
              <w:rPr>
                <w:vertAlign w:val="superscript"/>
              </w:rPr>
              <w:t>23</w:t>
            </w:r>
            <w:r>
              <w:t xml:space="preserve">, го позволяват; отбелязва </w:t>
            </w:r>
            <w:r>
              <w:rPr>
                <w:b/>
                <w:i/>
              </w:rPr>
              <w:t>обаче, че според доклада относно ЗФИ за 2024 г.</w:t>
            </w:r>
            <w:r>
              <w:t xml:space="preserve"> </w:t>
            </w:r>
            <w:r>
              <w:rPr>
                <w:b/>
                <w:i/>
              </w:rPr>
              <w:t>от началото на изпълнението на МВУ до 27 май 2025 г.</w:t>
            </w:r>
            <w:r>
              <w:t xml:space="preserve"> Комисията </w:t>
            </w:r>
            <w:r>
              <w:rPr>
                <w:b/>
                <w:i/>
              </w:rPr>
              <w:t>е получила само 75 уведомления от</w:t>
            </w:r>
            <w:r>
              <w:t xml:space="preserve"> Европейската прокуратура, </w:t>
            </w:r>
            <w:r>
              <w:rPr>
                <w:b/>
                <w:i/>
              </w:rPr>
              <w:t>от</w:t>
            </w:r>
            <w:r>
              <w:t xml:space="preserve"> които </w:t>
            </w:r>
            <w:r>
              <w:rPr>
                <w:b/>
                <w:i/>
              </w:rPr>
              <w:t>64 се отнасят до текущи случаи, докато в края на 2024 г.</w:t>
            </w:r>
            <w:r>
              <w:t xml:space="preserve"> </w:t>
            </w:r>
            <w:r>
              <w:rPr>
                <w:b/>
                <w:i/>
              </w:rPr>
              <w:t>е имало 279 разследвания, свързани с МВУ, с приблизителни общи финансови щети в размер на 2,7 милиарда евро</w:t>
            </w:r>
            <w:r>
              <w:t>; отбелязва, че това възпрепятства пълното разбиране на актуалното състояние на изпълнението на МВУ;</w:t>
            </w:r>
          </w:p>
        </w:tc>
        <w:tc>
          <w:tcPr>
            <w:tcW w:w="4876" w:type="dxa"/>
            <w:tcBorders>
              <w:top w:val="nil"/>
              <w:left w:val="nil"/>
              <w:bottom w:val="nil"/>
              <w:right w:val="nil"/>
            </w:tcBorders>
          </w:tcPr>
          <w:p>
            <w:pPr>
              <w:pStyle w:val="Normal6a"/>
            </w:pPr>
            <w:r>
              <w:t>19.</w:t>
            </w:r>
            <w:r>
              <w:tab/>
            </w:r>
            <w:r>
              <w:t>подчертава, че информацията относно текущите разследвания на Европейската прокуратура следва да се изпраща на Комисията, когато условията, определени в член 103 от Регламента за Европейската прокуратура</w:t>
            </w:r>
            <w:r>
              <w:rPr>
                <w:vertAlign w:val="superscript"/>
              </w:rPr>
              <w:t>23</w:t>
            </w:r>
            <w:r>
              <w:t>, го позволяват; отбелязва</w:t>
            </w:r>
            <w:r>
              <w:rPr>
                <w:b/>
                <w:i/>
              </w:rPr>
              <w:t>, че броят на уведомленията по член 103, получени от</w:t>
            </w:r>
            <w:r>
              <w:t xml:space="preserve"> Комисията</w:t>
            </w:r>
            <w:r>
              <w:rPr>
                <w:b/>
                <w:i/>
              </w:rPr>
              <w:t>, не съответства автоматично на общия брой разследвания на</w:t>
            </w:r>
            <w:r>
              <w:t xml:space="preserve"> Европейската прокуратура, </w:t>
            </w:r>
            <w:r>
              <w:rPr>
                <w:b/>
                <w:i/>
              </w:rPr>
              <w:t>тъй като уведомленията изискват да се направи оценка на поверителността за всеки отделен случай, както и на това дали мерките на Комисията са възможни и целесъобразни;</w:t>
            </w:r>
            <w:r>
              <w:t xml:space="preserve"> </w:t>
            </w:r>
            <w:r>
              <w:rPr>
                <w:b/>
                <w:i/>
              </w:rPr>
              <w:t>все пак призовава Комисията и Европейската прокуратура да подобрят, в рамките на законовите ограничения, структурираните информационни потоци,</w:t>
            </w:r>
            <w:r>
              <w:t xml:space="preserve"> които </w:t>
            </w:r>
            <w:r>
              <w:rPr>
                <w:b/>
                <w:i/>
              </w:rPr>
              <w:t>позволяват да се предприемат своевременни предпазни мерки и мерки за възстановяване на средства</w:t>
            </w:r>
            <w:r>
              <w:t>; отбелязва, че това възпрепятства пълното разбиране на актуалното състояние на изпълнението на МВУ;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Регламент (ЕС) 2017/1939 на Съвета от 12 октомври 2017 г. за установяване на засилено сътрудничество за създаване на Европейска прокуратура (</w:t>
            </w:r>
            <w:r>
              <w:rPr>
                <w:b/>
                <w:i/>
              </w:rPr>
              <w:t>ОВ</w:t>
            </w:r>
            <w:r>
              <w:t xml:space="preserve"> L 283, 31.10.2017 г., стр.</w:t>
            </w:r>
            <w:r>
              <w:rPr>
                <w:b/>
                <w:i/>
              </w:rPr>
              <w:t> </w:t>
            </w:r>
            <w:r>
              <w:t>1, ELI: http://data.europa.eu/eli/reg/2017/1939/oj)</w:t>
            </w:r>
            <w:r>
              <w:rPr>
                <w:b/>
                <w:i/>
              </w:rPr>
              <w:t>.</w:t>
            </w:r>
          </w:p>
        </w:tc>
        <w:tc>
          <w:tcPr>
            <w:tcW w:w="4876" w:type="dxa"/>
            <w:tcBorders>
              <w:top w:val="nil"/>
              <w:left w:val="nil"/>
              <w:bottom w:val="nil"/>
              <w:right w:val="nil"/>
            </w:tcBorders>
          </w:tcPr>
          <w:p>
            <w:pPr>
              <w:pStyle w:val="Normal6a"/>
            </w:pPr>
            <w:r>
              <w:rPr>
                <w:vertAlign w:val="superscript"/>
              </w:rPr>
              <w:t>23</w:t>
            </w:r>
            <w:r>
              <w:t xml:space="preserve"> </w:t>
            </w:r>
            <w:r>
              <w:t>Регламент (ЕС) 2017/1939 на Съвета от 12 октомври 2017 г. за установяване на засилено сътрудничество за създаване на Европейска прокуратура (</w:t>
            </w:r>
            <w:r>
              <w:rPr>
                <w:b/>
                <w:i/>
              </w:rPr>
              <w:t>OB</w:t>
            </w:r>
            <w:r>
              <w:t xml:space="preserve"> L 283, 31.10.2017 г., стр.</w:t>
            </w:r>
            <w:r>
              <w:rPr>
                <w:b/>
                <w:i/>
              </w:rPr>
              <w:t> </w:t>
            </w:r>
            <w:r>
              <w:t xml:space="preserve"> 1, ELI: http://data.europa.eu/eli/reg/2017/1939/oj)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19а.</w:t>
            </w:r>
            <w:r>
              <w:tab/>
            </w:r>
            <w:r>
              <w:rPr>
                <w:b/>
                <w:i/>
              </w:rPr>
              <w:t>признава, че разследванията на Европейската прокуратура могат да започнат само ако информацията е достигнала до прокурорите, и очаква държавите членки да изпълнят своите законоустановени задължения и да докладват за всички съответни случаи на Европейската прокуратура;</w:t>
            </w:r>
            <w:r>
              <w:t xml:space="preserve"> </w:t>
            </w:r>
            <w:r>
              <w:rPr>
                <w:b/>
                <w:i/>
              </w:rPr>
              <w:t>отбелязва със загриженост, че някои държави членки обявяват престъпленията, засягащи финансовите интереси на Съюза, за национални случаи, вместо да признаят компетентността на Европейската прокуратура;</w:t>
            </w:r>
            <w:r>
              <w:t xml:space="preserve"> </w:t>
            </w:r>
            <w:r>
              <w:rPr>
                <w:b/>
                <w:i/>
              </w:rPr>
              <w:t>изразява загриженост, че тези спорове за компетентност могат да окажат евентуално отрицателно въздействие върху разследванията, включително загубата на доказателства или късното събиране на доказателства;</w:t>
            </w:r>
            <w:r>
              <w:t xml:space="preserve"> </w:t>
            </w:r>
            <w:r>
              <w:rPr>
                <w:b/>
                <w:i/>
              </w:rPr>
              <w:t>отбелязва, че макар компетентността на Европейската прокуратура да е ясно очертана в член 22, параграфи 1 и 2 и в член 23 от Регламент (ЕС) 2017/1939, въпросите за компетентността на националните органи и тази на европейските делегирани прокурори се повдигат често, включително и множество въпроси през 2024 г.;</w:t>
            </w:r>
            <w:r>
              <w:t xml:space="preserve"> </w:t>
            </w:r>
            <w:r>
              <w:rPr>
                <w:b/>
                <w:i/>
              </w:rPr>
              <w:t>подчертава, че тези случаи следва да се разглеждат в съответствие с Регламента за Европейската прокуратура, който ги отнася до националния съдебен орган, който е компетентен да взема решения при спорове за компетентност между националните прокурори, при условие че решението му може да бъде предмет на преюдициално заключение на Съда на ЕС, както е предвидено в член 25, параграф 6 от Регламент (ЕС) 2017/1939, отразяващ член 267 от ДФЕС, който предвижда, че Съдът на ЕС е компетентен да се произнася с преюдициално заключение относно тълкуването на разпоредбата относно споровете за компетентност между Европейската прокуратура и националните органи;</w:t>
            </w:r>
            <w:r>
              <w:t xml:space="preserve"> </w:t>
            </w:r>
            <w:r>
              <w:rPr>
                <w:b/>
                <w:i/>
              </w:rPr>
              <w:t>отново заявява, че в настоящата ситуация няма правна яснота поради това, че в много държави членки решението на националния орган относно спора за компетентност не може да бъде предмет на преюдициално заключение пред Съда на ЕС;</w:t>
            </w:r>
            <w:r>
              <w:t xml:space="preserve"> </w:t>
            </w:r>
            <w:r>
              <w:rPr>
                <w:b/>
                <w:i/>
              </w:rPr>
              <w:t>насърчава държавите членки, когато имат съмнения относно компетентността на Европейската прокуратура, да отправят преюдициално запитване до Съда на Европейския съюз за издаване на преюдициално заключение съгласно член 267 от ДФЕС и член 42, параграф 2, буква в) от Регламент (ЕС) 2017/1939;</w:t>
            </w:r>
            <w:r>
              <w:t xml:space="preserve"> </w:t>
            </w:r>
            <w:r>
              <w:rPr>
                <w:b/>
                <w:i/>
              </w:rPr>
              <w:t>призовава Комисията да събира и да оценява информацията относно случаите на спорове за компетентност, с цел да се получат съответни данни и въпросът да се разгледа при преразглеждането на Регламента за Европейската прокуратура;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Дик Ериксон, Берт-Ян Ройсен, 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признава, че събирането на вземания е сложен процес, който изисква сътрудничество в рамките на Комисията и с други участници и национални органи; отново призовава Комисията да гарантира ефективни последващи действия във връзка с препоръките на OLAF и производствата на Европейската прокуратура, за да се измери надеждно действителното въздействие на техните действия и да се предоставят допълнителни доказателства в подкрепа на ориентираното към резултатите създаване на политики;</w:t>
            </w:r>
          </w:p>
        </w:tc>
        <w:tc>
          <w:tcPr>
            <w:tcW w:w="4876" w:type="dxa"/>
            <w:tcBorders>
              <w:top w:val="nil"/>
              <w:left w:val="nil"/>
              <w:bottom w:val="nil"/>
              <w:right w:val="nil"/>
            </w:tcBorders>
          </w:tcPr>
          <w:p>
            <w:pPr>
              <w:pStyle w:val="Normal6a"/>
            </w:pPr>
            <w:r>
              <w:t>20.</w:t>
            </w:r>
            <w:r>
              <w:tab/>
            </w:r>
            <w:r>
              <w:t>признава, че събирането на вземания е сложен процес, който изисква сътрудничество в рамките на Комисията и с други участници и национални органи</w:t>
            </w:r>
            <w:r>
              <w:rPr>
                <w:b/>
                <w:i/>
              </w:rPr>
              <w:t>;</w:t>
            </w:r>
            <w:r>
              <w:t xml:space="preserve"> </w:t>
            </w:r>
            <w:r>
              <w:rPr>
                <w:b/>
                <w:i/>
              </w:rPr>
              <w:t>отбелязва, че основните пречки пред възстановяването на средства произтичат от продължителните административни и съдебни производства, ограничителните условия за възстановяването на средства при определени мерки и строгите давностни срокове в секторното законодателство</w:t>
            </w:r>
            <w:r>
              <w:t xml:space="preserve">; отново призовава Комисията да гарантира ефективни последващи действия във връзка с препоръките на OLAF и производствата на Европейската прокуратура, за да се измери надеждно действителното въздействие на техните действия и да се предоставят допълнителни доказателства в подкрепа на ориентираното към резултатите създаване на политики; </w:t>
            </w:r>
            <w:r>
              <w:rPr>
                <w:b/>
                <w:i/>
              </w:rPr>
              <w:t>призовава Комисията да разработи система за сравнителен анализ за измерване на ефективността на възстановяването на средства, включително показатели като съотношението между сумите, препоръчани за възстановяване, и сумите, определени за възстановяване, забавянето между момента на приключване на разследването и решението за възстановяване на средства, както и продължителността на процедурите за възстановяване, свързани с резултатите;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признава, че събирането на вземания е сложен процес, който изисква сътрудничество в рамките на Комисията и с други участници и национални органи; отново призовава Комисията да гарантира ефективни последващи действия във връзка с препоръките на OLAF и производствата на Европейската прокуратура, за да се измери надеждно действителното въздействие на техните действия и да се предоставят допълнителни доказателства в подкрепа на ориентираното към резултатите създаване на политики;</w:t>
            </w:r>
          </w:p>
        </w:tc>
        <w:tc>
          <w:tcPr>
            <w:tcW w:w="4876" w:type="dxa"/>
            <w:tcBorders>
              <w:top w:val="nil"/>
              <w:left w:val="nil"/>
              <w:bottom w:val="nil"/>
              <w:right w:val="nil"/>
            </w:tcBorders>
          </w:tcPr>
          <w:p>
            <w:pPr>
              <w:pStyle w:val="Normal6a"/>
            </w:pPr>
            <w:r>
              <w:t>20.</w:t>
            </w:r>
            <w:r>
              <w:tab/>
            </w:r>
            <w:r>
              <w:t xml:space="preserve">признава, че събирането на вземания е сложен процес, който изисква сътрудничество в рамките на Комисията и с други участници и национални органи; отново призовава Комисията да гарантира ефективни последващи действия във връзка с препоръките на OLAF и производствата на Европейската прокуратура, за да се измери надеждно действителното въздействие на техните действия и да се предоставят допълнителни доказателства в подкрепа на ориентираното към резултатите създаване на политики; </w:t>
            </w:r>
            <w:r>
              <w:rPr>
                <w:b/>
                <w:i/>
              </w:rPr>
              <w:t>призовава Комисията да създаде структуриран канал за обратна връзка относно възстановяването на средства и предпазните мерки след приключването на делата на Европейската прокуратура, така че резултатите да могат да се проследяват и анализират, без да се отклоняват ресурси на Европейската прокуратура от процедурите по наказателно преследване;</w:t>
            </w:r>
            <w:r>
              <w:t xml:space="preserve"> </w:t>
            </w:r>
            <w:r>
              <w:rPr>
                <w:b/>
                <w:i/>
              </w:rPr>
              <w:t>отбелязва, че понастоящем Европейската прокуратура получава само неофициална актуална информация относно резултатите от възстановяването на средства;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признава, че събирането на вземания е сложен процес, който изисква сътрудничество в рамките на Комисията и с други участници и национални органи; отново призовава Комисията да гарантира ефективни последващи действия във връзка с препоръките на OLAF и производствата на Европейската прокуратура, за да се измери надеждно действителното въздействие на техните действия и да се предоставят допълнителни доказателства в подкрепа на ориентираното към резултатите създаване на политики;</w:t>
            </w:r>
          </w:p>
        </w:tc>
        <w:tc>
          <w:tcPr>
            <w:tcW w:w="4876" w:type="dxa"/>
            <w:tcBorders>
              <w:top w:val="nil"/>
              <w:left w:val="nil"/>
              <w:bottom w:val="nil"/>
              <w:right w:val="nil"/>
            </w:tcBorders>
          </w:tcPr>
          <w:p>
            <w:pPr>
              <w:pStyle w:val="Normal6a"/>
            </w:pPr>
            <w:r>
              <w:t>20.</w:t>
            </w:r>
            <w:r>
              <w:tab/>
            </w:r>
            <w:r>
              <w:t xml:space="preserve">признава, че събирането на вземания е </w:t>
            </w:r>
            <w:r>
              <w:rPr>
                <w:b/>
                <w:i/>
              </w:rPr>
              <w:t>мощно възпиращо средство и ефективен инструмент за борба с тежката и организираната престъпност, както и</w:t>
            </w:r>
            <w:r>
              <w:t xml:space="preserve"> сложен процес, който изисква сътрудничество в рамките на Комисията и с други участници и национални органи; отново призовава Комисията да гарантира ефективни последващи действия във връзка с препоръките на OLAF и производствата на Европейската прокуратура, за да се измери надеждно действителното въздействие на техните действия и да се предоставят допълнителни доказателства в подкрепа на ориентираното към резултатите създаване на политики; </w:t>
            </w:r>
            <w:r>
              <w:rPr>
                <w:b/>
                <w:i/>
              </w:rPr>
              <w:t>призовава Комисията да предложи създаването на служба на ЕС за възстановяване на активи, в рамките на Европол, при предстоящото преразглеждане на мандата на Европол, предвидено за 2026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20а.</w:t>
            </w:r>
            <w:r>
              <w:tab/>
            </w:r>
            <w:r>
              <w:rPr>
                <w:b/>
                <w:i/>
              </w:rPr>
              <w:t>припомня, че защитата на финансовите интереси на Съюза се прилага еднакво за всички бенефициери на средства от Съюза, включително политическите групи, действащи в рамките на Европейския парламент;</w:t>
            </w:r>
            <w:r>
              <w:t xml:space="preserve"> </w:t>
            </w:r>
            <w:r>
              <w:rPr>
                <w:b/>
                <w:i/>
              </w:rPr>
              <w:t>отбелязва, че неотдавнашните разследвания и действия по възстановяване на средства във връзка с предполагаемата злоупотреба със средства на Съюза от страна на бившата група „Идентичност и демокрация“ подчертават значението на надеждния вътрешен контрол, ефективните последващи проверки и механизмите за бързо възстановяване на средства;</w:t>
            </w:r>
            <w:r>
              <w:t xml:space="preserve"> </w:t>
            </w:r>
            <w:r>
              <w:rPr>
                <w:b/>
                <w:i/>
              </w:rPr>
              <w:t>подчертава, че надеждността на политиката на Съюза за борба с измамите изисква последователно прилагане на правилата за прозрачност, отчетност и възстановяване на средства, без двойни стандарти, независимо от политическата принадлежност или институционалната роля на субекта;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изразява несъгласието си с отговора на Комисията на неговата резолюция от 6 май 2025 г., в който тя заявява, че информацията относно събирането на вземания ще бъде точна и налична; подчертава, че подробни данни за ефективното събиране на вземания вследствие на финансовите препоръки на OLAF не са публикувани нито в годишния доклад на OLAF, нито в друг официален доклад на Комисията; изразява съжаление, че се предоставят само обобщени данни; подчертава продължаващата значителна разлика между сумите, препоръчани за събиране от OLAF, сумата, определена като подлежаща на събиране от службите на Комисията, и сумата, която в крайна сметка е ефективно възстановена от икономическите оператори; отново призовава Комисията да предостави данни с подходящо ниво на детайлност относно събирането на вземания и да оцени и публикува причините, обясняващи всяка такава разлика;</w:t>
            </w:r>
          </w:p>
        </w:tc>
        <w:tc>
          <w:tcPr>
            <w:tcW w:w="4876" w:type="dxa"/>
            <w:tcBorders>
              <w:top w:val="nil"/>
              <w:left w:val="nil"/>
              <w:bottom w:val="nil"/>
              <w:right w:val="nil"/>
            </w:tcBorders>
          </w:tcPr>
          <w:p>
            <w:pPr>
              <w:pStyle w:val="Normal6a"/>
            </w:pPr>
            <w:r>
              <w:t>21.</w:t>
            </w:r>
            <w:r>
              <w:tab/>
            </w:r>
            <w:r>
              <w:t xml:space="preserve">изразява несъгласието си с отговора на Комисията на неговата резолюция от 6 май 2025 г., в който тя заявява, че информацията относно събирането на вземания ще бъде точна и налична; подчертава, че подробни данни за ефективното събиране на вземания вследствие на финансовите препоръки на OLAF не са публикувани нито в годишния доклад на OLAF, нито в друг официален доклад на Комисията; изразява съжаление, че се предоставят само обобщени данни; </w:t>
            </w:r>
            <w:r>
              <w:rPr>
                <w:b/>
                <w:i/>
              </w:rPr>
              <w:t>отбелязва, че след многократни призиви от страна на Европейския парламент докладът относно ЗФИ за 2024 г. включва данни за събирането на вземания вследствие на препоръките на OLAF за периода 2022—2024 г., които показват събрани суми в размер на 4,5 милиарда евро;</w:t>
            </w:r>
            <w:r>
              <w:t xml:space="preserve"> </w:t>
            </w:r>
            <w:r>
              <w:rPr>
                <w:b/>
                <w:i/>
              </w:rPr>
              <w:t>отбелязва обаче, че тази цифра до голяма степен отразява резултата от един голям случай (C-213/19), възлизащ на над 2,7 милиарда евро, което ограничава значението ѝ като референтен показател за оценка на цялостното въздействие на дейностите на OLAF върху бюджета на Съюза;</w:t>
            </w:r>
            <w:r>
              <w:t xml:space="preserve"> </w:t>
            </w:r>
            <w:r>
              <w:rPr>
                <w:b/>
                <w:i/>
              </w:rPr>
              <w:t>посочва, че според други данни на Комисията през периода 2015 – 2024 г. OLAF е издала 982 финансови препоръки относно разходите, възлизащи на 3,3 милиарда евро;</w:t>
            </w:r>
            <w:r>
              <w:t xml:space="preserve"> подчертава</w:t>
            </w:r>
            <w:r>
              <w:rPr>
                <w:b/>
                <w:i/>
              </w:rPr>
              <w:t>, че процентите на ефективно събиране на вземания остават ограничени и варират значително в зависимост от начина на изпълнение на бюджета, като приблизително 38% са при споделено управление, 14 % – при непряко управление, а 7 % – при пряко управление, което води до общо ефективно събиране на вземания в размер на 974 милиона евро за същия период;</w:t>
            </w:r>
            <w:r>
              <w:t xml:space="preserve"> </w:t>
            </w:r>
            <w:r>
              <w:rPr>
                <w:b/>
                <w:i/>
              </w:rPr>
              <w:t>изразява загриженост относно</w:t>
            </w:r>
            <w:r>
              <w:t xml:space="preserve"> продължаващата значителна разлика между сумите, препоръчани за събиране от OLAF, сумата, определена като подлежаща на събиране от службите на Комисията, и сумата, която в крайна сметка е ефективно възстановена от икономическите оператори; отново призовава Комисията да предостави данни с подходящо ниво на детайлност относно събирането на вземания и да оцени и публикува причините, обясняващи всяка такава разлика;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изразява несъгласието си с отговора на Комисията на неговата резолюция от 6 май 2025 г., в който тя заявява, че информацията относно събирането на вземания ще бъде точна и налична; подчертава, че подробни данни за ефективното събиране на вземания вследствие на финансовите препоръки на OLAF не са публикувани нито в годишния доклад на OLAF, нито в друг официален доклад на Комисията; изразява съжаление, че се предоставят само обобщени данни; подчертава продължаващата значителна разлика между сумите, препоръчани за събиране от OLAF, сумата, определена като подлежаща на събиране от службите на Комисията, и сумата, която в крайна сметка е ефективно възстановена от икономическите оператори; отново призовава Комисията да предостави данни с подходящо ниво на детайлност относно събирането на вземания и да оцени и публикува причините, обясняващи всяка такава разлика;</w:t>
            </w:r>
          </w:p>
        </w:tc>
        <w:tc>
          <w:tcPr>
            <w:tcW w:w="4876" w:type="dxa"/>
            <w:tcBorders>
              <w:top w:val="nil"/>
              <w:left w:val="nil"/>
              <w:bottom w:val="nil"/>
              <w:right w:val="nil"/>
            </w:tcBorders>
          </w:tcPr>
          <w:p>
            <w:pPr>
              <w:pStyle w:val="Normal6a"/>
            </w:pPr>
            <w:r>
              <w:t>21.</w:t>
            </w:r>
            <w:r>
              <w:tab/>
            </w:r>
            <w:r>
              <w:t xml:space="preserve">изразява несъгласието си с отговора на Комисията на неговата резолюция от 6 май 2025 г., в който тя заявява, че информацията относно събирането на вземания ще бъде точна и налична; подчертава, че подробни данни за ефективното събиране на вземания вследствие на финансовите препоръки на OLAF не са публикувани нито в годишния доклад на OLAF, нито в друг официален доклад на Комисията; изразява съжаление, че се предоставят само обобщени данни; подчертава продължаващата значителна разлика между сумите, препоръчани за събиране от OLAF, сумата, определена като подлежаща на събиране от службите на Комисията, и сумата, която в крайна сметка е ефективно възстановена от икономическите оператори; отново призовава Комисията да предостави данни с подходящо ниво на детайлност относно събирането на вземания и да оцени и публикува причините, обясняващи всяка такава разлика; </w:t>
            </w:r>
            <w:r>
              <w:rPr>
                <w:b/>
                <w:i/>
              </w:rPr>
              <w:t>призовава Комисията да публикува ежегодно и в сравним формат данни относно цялата верига на събиране за финансовите препоръки на OLAF, препоръчани и/или събрани, включително средните срокове и причините за пропуските, така че Парламентът да може да оцени реалното въздействие и възпиращия ефект;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Дик Ериксон, Берт-Ян Ройсен, 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изразява несъгласието си с отговора на Комисията на неговата резолюция от 6 май 2025 г., в който тя заявява, че информацията относно събирането на вземания ще бъде точна и налична; подчертава, че подробни данни за ефективното събиране на вземания вследствие на финансовите препоръки на OLAF не са публикувани нито в годишния доклад на OLAF, нито в друг официален доклад на Комисията; изразява съжаление, че се предоставят само обобщени данни; подчертава продължаващата значителна разлика между сумите, препоръчани за събиране от OLAF, сумата, определена като подлежаща на събиране от службите на Комисията, и сумата, която в крайна сметка е ефективно възстановена от икономическите оператори; отново призовава Комисията да предостави данни с подходящо ниво на детайлност относно събирането на вземания и да оцени и публикува причините, обясняващи всяка такава разлика;</w:t>
            </w:r>
          </w:p>
        </w:tc>
        <w:tc>
          <w:tcPr>
            <w:tcW w:w="4876" w:type="dxa"/>
            <w:tcBorders>
              <w:top w:val="nil"/>
              <w:left w:val="nil"/>
              <w:bottom w:val="nil"/>
              <w:right w:val="nil"/>
            </w:tcBorders>
          </w:tcPr>
          <w:p>
            <w:pPr>
              <w:pStyle w:val="Normal6a"/>
            </w:pPr>
            <w:r>
              <w:t>21.</w:t>
            </w:r>
            <w:r>
              <w:tab/>
            </w:r>
            <w:r>
              <w:t xml:space="preserve">изразява несъгласието си с отговора на Комисията на неговата резолюция от 6 май 2025 г., в който тя заявява, че информацията относно събирането на вземания ще бъде точна и налична; подчертава, че подробни данни за ефективното събиране на вземания вследствие на финансовите препоръки на OLAF не са публикувани нито в годишния доклад на OLAF, нито в друг официален доклад на Комисията; изразява съжаление, че се предоставят само обобщени данни; подчертава продължаващата значителна разлика между сумите, препоръчани за събиране от OLAF, сумата, определена като подлежаща на събиране от службите на Комисията, и сумата, която в крайна сметка е ефективно възстановена от икономическите оператори; отново призовава Комисията да предостави данни с подходящо ниво на детайлност относно събирането на вземания и да оцени и публикува причините, обясняващи всяка такава разлика; </w:t>
            </w:r>
            <w:r>
              <w:rPr>
                <w:b/>
                <w:i/>
              </w:rPr>
              <w:t>призовава Комисията да публикува годишна разбивка на правните и административните пречки, които възпрепятстват събирането, със сравнителен анализ на процентите на събиране в държавите членки;</w:t>
            </w:r>
            <w:r>
              <w:t xml:space="preserve"> </w:t>
            </w:r>
            <w:r>
              <w:rPr>
                <w:b/>
                <w:i/>
              </w:rPr>
              <w:t>заедно с препоръки за най-добри практики;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изразява несъгласието си с отговора на Комисията на неговата резолюция от 6 май 2025 г., в който тя заявява, че информацията относно събирането на вземания </w:t>
            </w:r>
            <w:r>
              <w:rPr>
                <w:b/>
                <w:i/>
              </w:rPr>
              <w:t>ще бъде</w:t>
            </w:r>
            <w:r>
              <w:t xml:space="preserve"> точна и налична; подчертава, че подробни данни за ефективното събиране на вземания вследствие на финансовите препоръки на OLAF не са публикувани нито в годишния доклад на OLAF, нито в друг официален доклад на Комисията; изразява съжаление, че се предоставят само обобщени данни; подчертава продължаващата значителна разлика между сумите, препоръчани за събиране от OLAF, сумата, определена като подлежаща на събиране от службите на Комисията, и сумата, която в крайна сметка е ефективно възстановена от икономическите оператори; отново призовава Комисията да предостави данни с подходящо ниво на детайлност относно събирането на вземания и да оцени и публикува причините, обясняващи всяка такава разлика;</w:t>
            </w:r>
          </w:p>
        </w:tc>
        <w:tc>
          <w:tcPr>
            <w:tcW w:w="4876" w:type="dxa"/>
            <w:tcBorders>
              <w:top w:val="nil"/>
              <w:left w:val="nil"/>
              <w:bottom w:val="nil"/>
              <w:right w:val="nil"/>
            </w:tcBorders>
          </w:tcPr>
          <w:p>
            <w:pPr>
              <w:pStyle w:val="Normal6a"/>
            </w:pPr>
            <w:r>
              <w:t>21.</w:t>
            </w:r>
            <w:r>
              <w:tab/>
            </w:r>
            <w:r>
              <w:t xml:space="preserve">изразява несъгласието си с отговора на Комисията на неговата резолюция от 6 май 2025 г., в който тя заявява, че информацията относно събирането на вземания </w:t>
            </w:r>
            <w:r>
              <w:rPr>
                <w:b/>
                <w:i/>
              </w:rPr>
              <w:t>е</w:t>
            </w:r>
            <w:r>
              <w:t xml:space="preserve"> точна и налична; подчертава, че подробни данни за ефективното събиране на вземания вследствие на финансовите препоръки на OLAF не са публикувани нито в годишния доклад на OLAF, нито в друг официален доклад на Комисията; изразява съжаление, че се предоставят само обобщени данни; подчертава продължаващата значителна разлика между сумите, препоръчани за събиране от OLAF, сумата, определена като подлежаща на събиране от службите на Комисията, и сумата, която в крайна сметка е ефективно възстановена от икономическите оператори; отново призовава Комисията да предостави данни с подходящо ниво на детайлност относно събирането на вземания и да оцени и публикува причините, обясняващи всяка такава разлика;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21а.</w:t>
            </w:r>
            <w:r>
              <w:tab/>
            </w:r>
            <w:r>
              <w:rPr>
                <w:b/>
                <w:i/>
              </w:rPr>
              <w:t>отново призовава Комисията да гарантира подходящи последващи действия във връзка с препоръките на OLAF и наказателните преследвания на Европейската прокуратура, за да се оцени по надежден начин въздействието на техните действия върху защитата на бюджета на Съюза;</w:t>
            </w:r>
            <w:r>
              <w:t xml:space="preserve"> </w:t>
            </w:r>
            <w:r>
              <w:rPr>
                <w:b/>
                <w:i/>
              </w:rPr>
              <w:t>приветства създаването през 2024 г. на центъра за наблюдение на OLAF, който дава възможност за централизирана комуникация в реално време в рамките на Комисията и нейните изпълнителни агенции и допринася за по-точен финансов и административен мониторинг на последващите действия по случаите на OLAF;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21а.</w:t>
            </w:r>
            <w:r>
              <w:tab/>
            </w:r>
            <w:r>
              <w:rPr>
                <w:b/>
                <w:i/>
              </w:rPr>
              <w:t>призовава Комисията да извърши систематичен анализ на причините, които са в основата на разликата между сумите, препоръчани за събиране, сумите, определени като подлежащи на събиране, и действително събраните суми, включително фактори като продължителността на процедурите, давностните срокове, несъстоятелността на икономическите оператори или липсата на последващи съдебни действия, както и да използва този анализ за подобряване на процедурите и приоритизиране на действията с най-голямо въздействие върху бюджета;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Берт-Ян Ройсен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21а.</w:t>
            </w:r>
            <w:r>
              <w:tab/>
            </w:r>
            <w:r>
              <w:rPr>
                <w:b/>
                <w:i/>
              </w:rPr>
              <w:t>обръща внимание на констатациите на Европейската сметна палата относно финансовите корекции в политиката на сближаване</w:t>
            </w:r>
            <w:r>
              <w:rPr>
                <w:b/>
                <w:i/>
                <w:vertAlign w:val="superscript"/>
              </w:rPr>
              <w:t>1a</w:t>
            </w:r>
            <w:r>
              <w:rPr>
                <w:b/>
                <w:i/>
              </w:rPr>
              <w:t>; изразява съжаление, че на Комисията бяха необходими повече от 10 години, за да приеме първото си решение за финансова корекция за периода 2014 – 2020 г. през септември 2025 г., и че няколко предложени корекции бяха намалени или дори изцяло оттеглени без подходяща обосновка.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Специален доклад 22/2025 на Европейската сметна палата</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Берт-Ян Ройсен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21б.</w:t>
            </w:r>
            <w:r>
              <w:tab/>
            </w:r>
            <w:r>
              <w:rPr>
                <w:b/>
                <w:i/>
              </w:rPr>
              <w:t>призовава Комисията да отстрани недостатъците, установени от Европейската сметна палата при прилагането на инструмента за финансови корекции;</w:t>
            </w:r>
            <w:r>
              <w:t xml:space="preserve"> </w:t>
            </w:r>
            <w:r>
              <w:rPr>
                <w:b/>
                <w:i/>
              </w:rPr>
              <w:t>посочва, че е необходимо да се изясни правната рамка за финансовите корекции и да се работи с ясно определен график за процедурите в бъдеще, за да се избегнат ненужни забавяния.</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21б.</w:t>
            </w:r>
            <w:r>
              <w:tab/>
            </w:r>
            <w:r>
              <w:rPr>
                <w:b/>
                <w:i/>
              </w:rPr>
              <w:t>припомня неотдавнашното приемане на Директива (ЕС) 2024/1260 относно възстановяването и конфискацията на активи, която изисква от държавите членки да гарантират, че когато активите се обезпечават или конфискуват, правата на жертвите на престъпления се вземат предвид;</w:t>
            </w:r>
            <w:r>
              <w:t xml:space="preserve"> </w:t>
            </w:r>
            <w:r>
              <w:rPr>
                <w:b/>
                <w:i/>
              </w:rPr>
              <w:t>счита, че транспонирането на тази директива в националното процесуално право може да предостави важен инструмент, за да се гарантира връщането на активи в бюджета на ЕС;</w:t>
            </w:r>
            <w:r>
              <w:t xml:space="preserve"> </w:t>
            </w:r>
            <w:r>
              <w:rPr>
                <w:b/>
                <w:i/>
              </w:rPr>
              <w:t>подчертава, че предстоящото преразглеждане на Регламента за Европейската прокуратура ще предложи възможност за изясняване и по-добро привеждане в съответствие на съществуващите разпоредби, например член 4, който понастоящем ограничава компетентността на Европейската прокуратура до окончателното приключване на делото, и член 38, който оставя разпореждането с конфискуваните активи на националното право;</w:t>
            </w:r>
            <w:r>
              <w:t xml:space="preserve"> </w:t>
            </w:r>
            <w:r>
              <w:rPr>
                <w:b/>
                <w:i/>
              </w:rPr>
              <w:t>подчертава, че е необходимо да се изясни как да се защитават финансовите интереси на ЕС, след като активите бъдат конфискувани, и да се вземат предвид различията между националните правила относно изпълнението на съдебни решения, включително дали на европейските делегирани прокурори следва да бъдат предоставени подходящи правомощия на този етап;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21а.</w:t>
            </w:r>
            <w:r>
              <w:tab/>
            </w:r>
            <w:r>
              <w:rPr>
                <w:b/>
                <w:i/>
              </w:rPr>
              <w:t>приветства изразената от Евроюст готовност, в контекста на годишния междуинституционален обмен на мнения през ноември 2025 г., да играе по-голяма роля в процеса на събиране на вземания, като се обърне специално внимание на приноса, който звената за контакт на Евроюст могат да имат за установяването и оценката на съответното имущество в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21б.</w:t>
            </w:r>
            <w:r>
              <w:tab/>
            </w:r>
            <w:r>
              <w:rPr>
                <w:b/>
                <w:i/>
              </w:rPr>
              <w:t>призовава Комисията да предложи онези изменения на съществуващата регулаторна рамка, които са необходими, за да се гарантира ефективно, всеобхватно, актуализирано и постоянно докладване в СУН;</w:t>
            </w:r>
            <w:r>
              <w:t xml:space="preserve"> </w:t>
            </w:r>
            <w:r>
              <w:rPr>
                <w:b/>
                <w:i/>
              </w:rPr>
              <w:t>призовава OLAF да изпълни своята отговорност да подкрепя държавите членки, като предоставя съвети и насоки при установяването на вътрешни процедури и организационни механизми, които се основават на националния опит на държавите членки, натрупан в конкретния сектор, и които трябва да бъдат включени в конкретни насоки за докладване и мониторинг, а също и за изграждането на национални стратегии за борба с измамите (НСБИ) и за организирането на координационните служби за борба сизмамите (AFCOS);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21в.</w:t>
            </w:r>
            <w:r>
              <w:tab/>
            </w:r>
            <w:r>
              <w:rPr>
                <w:b/>
                <w:i/>
              </w:rPr>
              <w:t>разбира, че след като бъдат предприети необходимите корективни действия, извършването на допълнителен анализ ще позволи да се извлекат поуки от тези случаи на измама и да се подобрят мерките, които биха могли да предотвратят възникването на подобни случаи в бъдеще;</w:t>
            </w:r>
            <w:r>
              <w:t xml:space="preserve"> </w:t>
            </w:r>
            <w:r>
              <w:rPr>
                <w:b/>
                <w:i/>
              </w:rPr>
              <w:t>изисква от Комисията да подкрепи държавите членки чрез анализ на факторите, благоприятстващи измамите, тъй като този анализ би позволил подходяща оценка на необходимостта от съответно преразглеждане на националните системи за управление и контрол;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отбелязва, че Европейската прокуратура е докладвала за 385 разследвани престъпления, свързани с престъпни организации, фокусирани към защитата на финансовите интереси на Съюза, в своите активни разследвания до края на 2024 г. (годишният доклад на Европейската прокуратура за 2023 г. се отнася до 209 разследвания, свързани с престъпни организации, фокусирани към ЗФИ); съзнава, че реалното измерение на цялостното участие на организираната престъпност и нейното въздействие върху разпределението на средства от ЕС не може да се измери точно; отбелязва, че според данните и анализа, предоставени от Европейската прокуратура, в повечето случаи европейските делегирани прокурори насочват разследванията си към основните престъпления срещу финансовите интереси на Съюза (присвояване, измама, корупция), а не към самата престъпна организация, тъй като Регламентът за Европейската прокуратура ограничава компетентността на Европейската прокуратура до организираните престъпни групи, чиято дейност е насочена към извършването на престъпления срещу финансовите интереси на Съюза (член 22, параграф 2 от Регламента за Европейската прокуратура); припомня, че Евроюст може да предоставя помощ при координирането на разследвания на престъпления срещу финансовите интереси на Съюза, свързани с организираната престъпност; подчертава, че реалните измерения на организираната престъпна дейност на място се разкриват от оценката за размера на финансовите щети, приписвани на измамите с ДДС, измамите с акцизи и митническите измами, при които често присъства силен компонент на организирана престъпност и които винаги се случват, когато става въпрос за големи финансови обеми;</w:t>
            </w:r>
          </w:p>
        </w:tc>
        <w:tc>
          <w:tcPr>
            <w:tcW w:w="4876" w:type="dxa"/>
            <w:tcBorders>
              <w:top w:val="nil"/>
              <w:left w:val="nil"/>
              <w:bottom w:val="nil"/>
              <w:right w:val="nil"/>
            </w:tcBorders>
          </w:tcPr>
          <w:p>
            <w:pPr>
              <w:pStyle w:val="Normal6a"/>
            </w:pPr>
            <w:r>
              <w:t>22.</w:t>
            </w:r>
            <w:r>
              <w:tab/>
            </w:r>
            <w:r>
              <w:t xml:space="preserve">отбелязва, че Европейската прокуратура е докладвала за 385 разследвани престъпления, свързани с престъпни организации, фокусирани към защитата на финансовите интереси на Съюза, в своите активни разследвания до края на 2024 г. (годишният доклад на Европейската прокуратура за 2023 г. се отнася до 209 разследвания, свързани с престъпни организации, фокусирани към ЗФИ); съзнава, че реалното измерение на цялостното участие на организираната престъпност и нейното въздействие върху разпределението на средства от ЕС не може да се измери точно; отбелязва, че според данните и анализа, предоставени от Европейската прокуратура, в повечето случаи европейските делегирани прокурори насочват разследванията си към основните престъпления срещу финансовите интереси на Съюза (присвояване, измама, корупция), а не към самата престъпна организация, тъй като Регламентът за Европейската прокуратура ограничава компетентността на Европейската прокуратура до организираните престъпни групи, чиято дейност е насочена към извършването на престъпления срещу финансовите интереси на Съюза (член 22, параграф 2 от Регламента за Европейската прокуратура); припомня, че Евроюст може да предоставя помощ при координирането на разследвания на престъпления срещу финансовите интереси на Съюза, свързани с организираната престъпност; подчертава, че реалните измерения на организираната престъпна дейност на място се разкриват от оценката за размера на финансовите щети, приписвани на измамите с ДДС, измамите с акцизи и митническите измами, при които често присъства силен компонент на организирана престъпност и които винаги се случват, когато става въпрос за големи финансови обеми; </w:t>
            </w:r>
            <w:r>
              <w:rPr>
                <w:b/>
                <w:i/>
              </w:rPr>
              <w:t>счита, че нарастващото участие на организираната престъпност в престъпления, засягащи финансовите интереси на Съюза, изисква стратегическо приоритизиране на ресурсите към областите с най-голямо финансово въздействие, по-специално в областта на приходите, без да се засяга зачитането на правомощията, предвидени в приложимата правна рамка;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отбелязва, че Европейската прокуратура е докладвала за 385 разследвани престъпления, свързани с престъпни организации, фокусирани към защитата на финансовите интереси на Съюза, в своите активни разследвания до края на 2024 г. (годишният доклад на Европейската прокуратура за 2023 г. се отнася до 209 разследвания, свързани с престъпни организации, фокусирани към ЗФИ); съзнава, че реалното измерение на цялостното участие на организираната престъпност и нейното въздействие върху разпределението на средства от ЕС не може да се измери точно; отбелязва, че според данните и анализа, предоставени от Европейската прокуратура, в повечето случаи европейските делегирани прокурори насочват разследванията си към основните престъпления срещу финансовите интереси на Съюза (присвояване, измама, корупция), а не към самата престъпна организация, тъй като Регламентът за Европейската прокуратура ограничава компетентността на Европейската прокуратура до организираните престъпни групи, чиято дейност е насочена към извършването на престъпления срещу финансовите интереси на Съюза (член 22, параграф 2 от Регламента за Европейската прокуратура); припомня, че Евроюст може да предоставя помощ при координирането на разследвания на престъпления срещу финансовите интереси на Съюза, свързани с организираната престъпност; подчертава, че реалните измерения на организираната престъпна дейност на място се разкриват от оценката за размера на финансовите щети, приписвани на измамите с ДДС, измамите с акцизи и митническите измами, при които често присъства силен компонент на организирана престъпност и които </w:t>
            </w:r>
            <w:r>
              <w:rPr>
                <w:b/>
                <w:i/>
              </w:rPr>
              <w:t>винаги</w:t>
            </w:r>
            <w:r>
              <w:t xml:space="preserve"> се случват, когато става въпрос за големи финансови обеми;</w:t>
            </w:r>
          </w:p>
        </w:tc>
        <w:tc>
          <w:tcPr>
            <w:tcW w:w="4876" w:type="dxa"/>
            <w:tcBorders>
              <w:top w:val="nil"/>
              <w:left w:val="nil"/>
              <w:bottom w:val="nil"/>
              <w:right w:val="nil"/>
            </w:tcBorders>
          </w:tcPr>
          <w:p>
            <w:pPr>
              <w:pStyle w:val="Normal6a"/>
            </w:pPr>
            <w:r>
              <w:t>22.</w:t>
            </w:r>
            <w:r>
              <w:tab/>
            </w:r>
            <w:r>
              <w:t xml:space="preserve">отбелязва, че Европейската прокуратура е докладвала за 385 разследвани престъпления, свързани с престъпни организации, фокусирани към защитата на финансовите интереси на Съюза, в своите активни разследвания до края на 2024 г. (годишният доклад на Европейската прокуратура за 2023 г. се отнася до 209 разследвания, свързани с престъпни организации, фокусирани към ЗФИ); съзнава, че реалното измерение на цялостното участие на организираната престъпност и нейното въздействие върху разпределението на средства от ЕС не може да се измери точно; отбелязва, че според данните и анализа, предоставени от Европейската прокуратура, в повечето случаи европейските делегирани прокурори насочват разследванията си към основните престъпления срещу финансовите интереси на Съюза (присвояване, измама, корупция), а не към самата престъпна организация, тъй като Регламентът за Европейската прокуратура ограничава компетентността на Европейската прокуратура до организираните престъпни групи, чиято дейност е насочена към извършването на престъпления срещу финансовите интереси на Съюза (член 22, параграф 2 от Регламента за Европейската прокуратура); припомня, че Евроюст може да предоставя помощ при координирането на разследвания на престъпления срещу финансовите интереси на Съюза, свързани с организираната престъпност; </w:t>
            </w:r>
            <w:r>
              <w:rPr>
                <w:b/>
                <w:i/>
              </w:rPr>
              <w:t>изтъква, че въпреки правните ограничения Европейската прокуратура има важна добавена стойност за борбата с измамите, като позволява на ЕС да запълни празнината, оставена от некоординираните национални инициативи, и следователно представлява най-ефективният инструмент за прекъсване на транснационалните престъпни дейности и за намеса в защитата на финансовите интереси на Съюза;</w:t>
            </w:r>
            <w:r>
              <w:t xml:space="preserve"> подчертава, че реалните измерения на организираната престъпна дейност на място се разкриват от оценката за размера на финансовите щети, приписвани на измамите с ДДС, измамите с акцизи и митническите измами, при които често присъства силен компонент на организирана престъпност и които </w:t>
            </w:r>
            <w:r>
              <w:rPr>
                <w:b/>
                <w:i/>
              </w:rPr>
              <w:t>често</w:t>
            </w:r>
            <w:r>
              <w:t xml:space="preserve"> се случват, когато става въпрос за големи финансови обеми;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отбелязва, че Европейската прокуратура е докладвала за 385 разследвани престъпления, свързани с престъпни организации, фокусирани към защитата на финансовите интереси на Съюза, в своите активни разследвания до края на 2024 г. (годишният доклад на Европейската прокуратура за 2023 г. се отнася до 209 разследвания, свързани с престъпни организации, фокусирани към ЗФИ); съзнава, че реалното измерение на цялостното участие на организираната престъпност и нейното въздействие върху разпределението на средства от ЕС не може да се измери точно; отбелязва, че според данните и анализа, предоставени от Европейската прокуратура, в повечето случаи европейските делегирани прокурори насочват разследванията си към основните престъпления срещу финансовите интереси на Съюза (присвояване, измама, корупция), а не към самата престъпна организация, тъй като Регламентът за Европейската прокуратура ограничава компетентността на Европейската прокуратура до организираните престъпни групи, чиято дейност е насочена към извършването на престъпления срещу финансовите интереси на Съюза (член 22, параграф 2 от Регламента за Европейската прокуратура); припомня, че Евроюст може да предоставя помощ при координирането на разследвания на престъпления срещу финансовите интереси на Съюза, свързани с организираната престъпност; подчертава, че реалните измерения на организираната престъпна дейност на място се разкриват от оценката за размера на финансовите щети, приписвани на измамите с ДДС, измамите с акцизи и митническите измами, при които често присъства силен компонент на организирана престъпност и които винаги се случват, когато става въпрос за големи финансови обеми;</w:t>
            </w:r>
          </w:p>
        </w:tc>
        <w:tc>
          <w:tcPr>
            <w:tcW w:w="4876" w:type="dxa"/>
            <w:tcBorders>
              <w:top w:val="nil"/>
              <w:left w:val="nil"/>
              <w:bottom w:val="nil"/>
              <w:right w:val="nil"/>
            </w:tcBorders>
          </w:tcPr>
          <w:p>
            <w:pPr>
              <w:pStyle w:val="Normal6a"/>
            </w:pPr>
            <w:r>
              <w:t>22.</w:t>
            </w:r>
            <w:r>
              <w:tab/>
            </w:r>
            <w:r>
              <w:t xml:space="preserve">отбелязва, че Европейската прокуратура е докладвала за 385 разследвани престъпления, свързани с престъпни организации, фокусирани към защитата на финансовите интереси на Съюза, в своите активни разследвания до края на 2024 г. (годишният доклад на Европейската прокуратура за 2023 г. се отнася до 209 разследвания, свързани с престъпни организации, фокусирани към ЗФИ); съзнава, че реалното измерение на цялостното участие на организираната престъпност и нейното въздействие върху разпределението на средства от ЕС не може да се измери точно; отбелязва, че според данните и анализа, предоставени от Европейската прокуратура, в повечето случаи европейските делегирани прокурори насочват разследванията си към основните престъпления срещу финансовите интереси на Съюза (присвояване, измама, корупция), а не към самата престъпна организация, тъй като Регламентът за Европейската прокуратура ограничава компетентността на Европейската прокуратура до организираните престъпни групи, чиято дейност е насочена към извършването на престъпления срещу финансовите интереси на Съюза (член 22, параграф 2 от Регламента за Европейската прокуратура); припомня, че Евроюст може да предоставя помощ при координирането на разследвания на престъпления срещу финансовите интереси на Съюза, свързани с организираната престъпност; </w:t>
            </w:r>
            <w:r>
              <w:rPr>
                <w:b/>
                <w:i/>
              </w:rPr>
              <w:t>припомня, че Европол подкрепя и засилва действията на компетентните органи на държавите членки и взаимното им сътрудничество за предотвратяване и борба с тежката престъпност, включително престъпленията срещу финансовите интереси на ЕС;</w:t>
            </w:r>
            <w:r>
              <w:t xml:space="preserve"> подчертава, че реалните измерения на организираната престъпна дейност на място се разкриват от оценката за размера на финансовите щети, приписвани на измамите с ДДС, измамите с акцизи и митническите измами, при които често присъства силен компонент на организирана престъпност и които винаги се случват, когато става въпрос за големи финансови обеми;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отбелязва, че Европейската прокуратура е докладвала за 385 разследвани престъпления, свързани с престъпни организации, фокусирани към защитата на финансовите интереси на Съюза, в своите активни разследвания до края на 2024 г. (годишният доклад на Европейската прокуратура за 2023 г. се отнася до 209 разследвания, свързани с престъпни организации, фокусирани към ЗФИ); съзнава, че реалното измерение на цялостното участие на организираната престъпност и нейното въздействие върху разпределението на средства от ЕС не може да се измери точно; отбелязва, че според данните и анализа, предоставени от Европейската прокуратура, в повечето случаи европейските делегирани прокурори насочват разследванията си към основните престъпления срещу финансовите интереси на Съюза (присвояване, измама, корупция), а не към самата престъпна организация, тъй като Регламентът за Европейската прокуратура ограничава компетентността на Европейската прокуратура до организираните престъпни групи, чиято дейност е насочена към извършването на престъпления срещу финансовите интереси на Съюза (член 22, параграф 2 от Регламента за Европейската прокуратура); припомня, че Евроюст може да предоставя помощ при координирането на разследвания на престъпления срещу финансовите интереси на Съюза, свързани с организираната престъпност; подчертава, че реалните измерения на организираната престъпна дейност на място се разкриват от оценката за размера на финансовите щети, приписвани на измамите с ДДС, измамите с акцизи и митническите измами, при които често присъства силен компонент на организирана престъпност и които винаги се случват, когато става въпрос за големи финансови обеми;</w:t>
            </w:r>
          </w:p>
        </w:tc>
        <w:tc>
          <w:tcPr>
            <w:tcW w:w="4876" w:type="dxa"/>
            <w:tcBorders>
              <w:top w:val="nil"/>
              <w:left w:val="nil"/>
              <w:bottom w:val="nil"/>
              <w:right w:val="nil"/>
            </w:tcBorders>
          </w:tcPr>
          <w:p>
            <w:pPr>
              <w:pStyle w:val="Normal6a"/>
            </w:pPr>
            <w:r>
              <w:t>22.</w:t>
            </w:r>
            <w:r>
              <w:tab/>
            </w:r>
            <w:r>
              <w:t>отбелязва, че Европейската прокуратура е докладвала за 385 разследвани престъпления, свързани с престъпни организации, фокусирани към защитата на финансовите интереси на Съюза, в своите активни разследвания до края на 2024 г. (годишният доклад на Европейската прокуратура за 2023 г. се отнася до 209 разследвания, свързани с престъпни организации, фокусирани към ЗФИ)</w:t>
            </w:r>
            <w:r>
              <w:rPr>
                <w:b/>
                <w:i/>
              </w:rPr>
              <w:t>;</w:t>
            </w:r>
            <w:r>
              <w:t xml:space="preserve"> </w:t>
            </w:r>
            <w:r>
              <w:rPr>
                <w:b/>
                <w:i/>
              </w:rPr>
              <w:t>припомня, че присъствието на организираната престъпност в измамите, засягащи финансовите интереси на Съюза, вероятно е по-голямо от това, което е регистрирано като официално престъпление в деловодните системи, поради фрагментираното национално законодателство и тясното определение за организирана престъпност в Регламента за Европейската прокуратура;</w:t>
            </w:r>
            <w:r>
              <w:t xml:space="preserve"> </w:t>
            </w:r>
            <w:r>
              <w:rPr>
                <w:b/>
                <w:i/>
              </w:rPr>
              <w:t>призовава за последващи законодателни действия, за да се гарантира, че определенията и инструментите отразяват оперативната реалност</w:t>
            </w:r>
            <w:r>
              <w:t>; съзнава, че реалното измерение на цялостното участие на организираната престъпност и нейното въздействие върху разпределението на средства от ЕС не може да се измери точно; отбелязва, че според данните и анализа, предоставени от Европейската прокуратура, в повечето случаи европейските делегирани прокурори насочват разследванията си към основните престъпления срещу финансовите интереси на Съюза (присвояване, измама, корупция), а не към самата престъпна организация, тъй като Регламентът за Европейската прокуратура ограничава компетентността на Европейската прокуратура до организираните престъпни групи, чиято дейност е насочена към извършването на престъпления срещу финансовите интереси на Съюза (член 22, параграф 2 от Регламента за Европейската прокуратура); припомня, че Евроюст може да предоставя помощ при координирането на разследвания на престъпления срещу финансовите интереси на Съюза, свързани с организираната престъпност; подчертава, че реалните измерения на организираната престъпна дейност на място се разкриват от оценката за размера на финансовите щети, приписвани на измамите с ДДС, измамите с акцизи и митническите измами, при които често присъства силен компонент на организирана престъпност и които винаги се случват, когато става въпрос за големи финансови обеми;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22а.</w:t>
            </w:r>
            <w:r>
              <w:tab/>
            </w:r>
            <w:r>
              <w:rPr>
                <w:b/>
                <w:i/>
              </w:rPr>
              <w:t>отбелязва, че престъпните организации участват в сложни корпоративни структури, използвани като непрозрачни фронтови правни средства, разгърнати в множество юрисдикции с различни равнища на прилагане на правото на Съюза, и все по-често във всички фондове на ЕС и МВУ;</w:t>
            </w:r>
            <w:r>
              <w:t xml:space="preserve"> </w:t>
            </w:r>
            <w:r>
              <w:rPr>
                <w:b/>
                <w:i/>
              </w:rPr>
              <w:t>подчертава, че борбата с организираната престъпност в Съюза може да стане ефективна само чрез подобряване на капацитета за анализ на данни на равнището на Съюза и чрез предоставяне на подходящи ресурси на органите, отговарящи за борбата с измамите, на различните етапи от цикъла;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22а.</w:t>
            </w:r>
            <w:r>
              <w:tab/>
            </w:r>
            <w:r>
              <w:rPr>
                <w:b/>
                <w:i/>
              </w:rPr>
              <w:t>съзнава нарастващия риск генерираното от ИИ съдържание да се използва за компрометиране на процедурите за възлагане на обществени поръчки или финансовите операции, за подвеждане на разследванията, за фалшифициране на договори и за кражба на цифрова самоличност;</w:t>
            </w:r>
            <w:r>
              <w:t xml:space="preserve"> </w:t>
            </w:r>
            <w:r>
              <w:rPr>
                <w:b/>
                <w:i/>
              </w:rPr>
              <w:t>разбира, че е необходимо засилено трансгранично сътрудничество и механизми за обмен на данни между държавите членки и органите на Съюза, за да се противодейства на измамите с използване на ИИ, особено във високорискови области като ДДС, митниците и разпределянето на финансова помощ;</w:t>
            </w:r>
            <w:r>
              <w:t xml:space="preserve"> </w:t>
            </w:r>
            <w:r>
              <w:rPr>
                <w:b/>
                <w:i/>
              </w:rPr>
              <w:t>счита, че е необходимо да се стартира специална общоевропейска инициатива за разработване в рамките на OLAF, Европейската прокуратура и Европол на основани на ИИ механизми за разкриване на измами, с акцент върху финансовите престъпления срещу бюджета на Съюза;</w:t>
            </w:r>
            <w:r>
              <w:t xml:space="preserve"> </w:t>
            </w:r>
            <w:r>
              <w:rPr>
                <w:b/>
                <w:i/>
              </w:rPr>
              <w:t>призовава Комисията и държавите членки да интегрират ИИ и анализа на данни в системите за откриване на измами, като гарантират оперативна съвместимост между националните бази данни и базите данни на равнището на ЕС и същевременно поддържат силни гаранции за защита на данните;</w:t>
            </w:r>
            <w:r>
              <w:t xml:space="preserve"> </w:t>
            </w:r>
            <w:r>
              <w:rPr>
                <w:b/>
                <w:i/>
              </w:rPr>
              <w:t>отново призовава за установяването на задължителен процес на съдебно-техническа проверка на всички цифрови доказателства, представени при случаи на финансови измами, като се гарантира автентичността на документите, аудио- и видеоматериалите, използвани в разследванията;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отбелязва, че се докладват все повече случаи на измами с ДДС, че през 2023 г. те са били факт в около 20% от текущите случаи (873 случая), разследвани от Европейската прокуратура, и че през 2024 г. е имало общо 1 287 случая на нарушения във връзка с ДДС, което представлява 20,29% от всички нарушения, като това е причинило загуби от около 13,5 милиарда евро, което съставлява 53% от общите прогнозни загуби;</w:t>
            </w:r>
          </w:p>
        </w:tc>
        <w:tc>
          <w:tcPr>
            <w:tcW w:w="4876" w:type="dxa"/>
            <w:tcBorders>
              <w:top w:val="nil"/>
              <w:left w:val="nil"/>
              <w:bottom w:val="nil"/>
              <w:right w:val="nil"/>
            </w:tcBorders>
          </w:tcPr>
          <w:p>
            <w:pPr>
              <w:pStyle w:val="Normal6a"/>
            </w:pPr>
            <w:r>
              <w:t>23.</w:t>
            </w:r>
            <w:r>
              <w:tab/>
            </w:r>
            <w:r>
              <w:t xml:space="preserve">отбелязва, че се докладват все повече случаи на измами с ДДС, че през 2023 г. те са били факт в около 20% от текущите случаи (873 случая), разследвани от Европейската прокуратура, и че през 2024 г. е имало общо 1 287 случая на нарушения във връзка с ДДС, което представлява 20,29% от всички нарушения, като това е причинило загуби от около 13,5 милиарда евро, което съставлява 53% от общите прогнозни загуби; </w:t>
            </w:r>
            <w:r>
              <w:rPr>
                <w:b/>
                <w:i/>
              </w:rPr>
              <w:t>отбелязва, че настоящият праг от 10 милиона евро, определен в Директивата за защита на финансовите интереси, не е ефективен критерий за установяване на компетентността на Европейската прокуратура по отношение на случаите, свързани с ДДС, поради непоследователните подходи към тълкуването, методите за изчисляване на щетите и сложността на случаите, което отслабва еднаквото и последователно разглеждане на случаите на измами с ДДС;</w:t>
            </w:r>
            <w:r>
              <w:t xml:space="preserve"> </w:t>
            </w:r>
            <w:r>
              <w:rPr>
                <w:b/>
                <w:i/>
              </w:rPr>
              <w:t>отново призовава Комисията да преразгледа прага и да гарантира последователно тълкуване на общите щети, като предостави по-еднозначни инструкции и ясни насоки на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подчертава значението на укрепването на трансграничното сътрудничество и целенасочения обмен на данни между държавите членки за предотвратяване и борба с измамите с използване на ИИ, по-специално във високорискови области като ДДС, митниците и финансовата помощ от ЕС;</w:t>
            </w:r>
            <w:r>
              <w:t xml:space="preserve"> </w:t>
            </w:r>
            <w:r>
              <w:rPr>
                <w:b/>
                <w:i/>
              </w:rPr>
              <w:t>призовава Комисията да подкрепи държавите членки чрез разработването на координиран разузнавателен център на равнището на ЕС за ефективно наблюдение и реагиране на измамни действия с използване на ИИ в реално време;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поддържа становището, че както OLAF, така и Европейската прокуратура се нуждаят от пряк и навременен достъп до съответните данни за ДДС, за да извършват ефективни и ефикасни разследвания на измамите с ДДС в рамките на Общността;</w:t>
            </w:r>
            <w:r>
              <w:t xml:space="preserve"> </w:t>
            </w:r>
            <w:r>
              <w:rPr>
                <w:b/>
                <w:i/>
              </w:rPr>
              <w:t>във връзка с това приветства предложението от 14 ноември 2025 г. за изменение на Регламент (ЕС) № 904/2010, което би подобрило достъпа до информация за ДДС на равнището на Съюза и за двата органа, би засилило сътрудничеството между OLAF и Европейската прокуратура и би повишило значително ефективността на разследванията;</w:t>
            </w:r>
            <w:r>
              <w:t xml:space="preserve"> </w:t>
            </w:r>
            <w:r>
              <w:rPr>
                <w:b/>
                <w:i/>
              </w:rPr>
              <w:t>призовава за бързото приемане и прилагане на предложения изменен регламент;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отбелязва ролята на Eurofisc за ранно предупреждение и анализ на риска при разкриването на трансгранични верижни измами с ДДС;</w:t>
            </w:r>
            <w:r>
              <w:t xml:space="preserve"> </w:t>
            </w:r>
            <w:r>
              <w:rPr>
                <w:b/>
                <w:i/>
              </w:rPr>
              <w:t>призовава за по-силни и правно издържани информационни потоци между националните данъчни органи, Eurofisc, OLAF и Европейската прокуратура, за да се съкрати времето за реакция и да се разбият организираните престъпни мрежи;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подчертава, че ограниченият и непряк достъп на OLAF до някои митнически и данъчни данни е основна пречка за ефективността на борбата с измамите, засягащи финансовите интереси на Съюза; припомня, че за да получи определена важна информация, особено в областта на ДДС, OLAF трябва да мине през компетентните национални администрации, което води до забавяния, несъвместими със скоростта на механизмите за измами; поради това призовава достъпът на OLAF до съответните данни да бъде подобрен незабавно, в съответствие с приложимата правна рамка;</w:t>
            </w:r>
          </w:p>
        </w:tc>
        <w:tc>
          <w:tcPr>
            <w:tcW w:w="4876" w:type="dxa"/>
            <w:tcBorders>
              <w:top w:val="nil"/>
              <w:left w:val="nil"/>
              <w:bottom w:val="nil"/>
              <w:right w:val="nil"/>
            </w:tcBorders>
          </w:tcPr>
          <w:p>
            <w:pPr>
              <w:pStyle w:val="Normal6a"/>
            </w:pPr>
            <w:r>
              <w:t>25.</w:t>
            </w:r>
            <w:r>
              <w:tab/>
            </w:r>
            <w:r>
              <w:t xml:space="preserve">подчертава, че ограниченият и непряк достъп на OLAF до някои митнически и данъчни данни е основна пречка за ефективността на борбата с измамите, засягащи финансовите интереси на Съюза; припомня, че за да получи определена важна информация, особено в областта на ДДС, OLAF трябва да мине през компетентните национални администрации, което води до забавяния, несъвместими със скоростта на механизмите за измами; поради това призовава достъпът на OLAF до съответните данни да бъде подобрен незабавно, в съответствие с приложимата правна рамка; </w:t>
            </w:r>
            <w:r>
              <w:rPr>
                <w:b/>
                <w:i/>
              </w:rPr>
              <w:t>счита, че ограниченията на достъпа до данъчни и митнически данни не засягат само OLAF, а архитектурата за борба с измамите като цяло;</w:t>
            </w:r>
            <w:r>
              <w:t xml:space="preserve"> </w:t>
            </w:r>
            <w:r>
              <w:rPr>
                <w:b/>
                <w:i/>
              </w:rPr>
              <w:t>призовава Комисията да направи оценка на структурните решения, позволяващи по-бърз и по-сигурен достъп до съответните данни за всички компетентни участници, при пълно зачитане на приложимата правна рамка;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Подзаглавие 6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Основни заплахи — пропуски по отношение на принципите на правовата държава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изразява съжаление, че въпреки последователните тревожни констатации в годишните доклади на Комисията относно върховенството на закона, както и констатациите на OLAF, които са публично оповестени в годишните доклади на Комисията относно защитата на финансовите интереси на ЕС, и констатациите на Европейската прокуратура, които сочат бюджетни рискове в няколко държави членки, са изпратени само две официални уведомления и са взети решения за мерки само в един случай съгласно Регламента относно обвързаността с условия;</w:t>
            </w:r>
            <w:r>
              <w:t xml:space="preserve"> </w:t>
            </w:r>
            <w:r>
              <w:rPr>
                <w:b/>
                <w:i/>
              </w:rPr>
              <w:t>подчертава, че това несъответствие между констатациите и прилагането подкопава доверието в регламента и отслабва неговата превантивна функция за защита на финансовите интереси на ЕС;</w:t>
            </w:r>
            <w:r>
              <w:t xml:space="preserve"> </w:t>
            </w:r>
            <w:r>
              <w:rPr>
                <w:b/>
                <w:i/>
              </w:rPr>
              <w:t>припомня предупреждението на ЕСП, че решенията за блокиране или освобождаване на средства, които изискват квалифицирано мнозинство в Съвета, често са взаимносвързани с неотнасящи се до тях преговори на високо равнище, които изискват единодушие;</w:t>
            </w:r>
            <w:r>
              <w:t xml:space="preserve"> </w:t>
            </w:r>
            <w:r>
              <w:rPr>
                <w:b/>
                <w:i/>
              </w:rPr>
              <w:t>подчертава, че решенията за защита на финансовите интереси на ЕС трябва да се основават на технически и правни констатации и не могат да бъдат предмет на договорки под влиянието на заплахата от блокиращи решения, изискващи единодушие в Съвета;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25б.</w:t>
            </w:r>
            <w:r>
              <w:tab/>
            </w:r>
            <w:r>
              <w:rPr>
                <w:b/>
                <w:i/>
              </w:rPr>
              <w:t>подчертава, че Регламентът относно обвързаността с условия не трябва да се използва само като крайна мярка, тъй като той позволява също така частични спирания на ранен етап, а именно щом бъдат установени нарушения на принципите на правовата държава, които биха могли сериозно да засегнат бюджета на ЕС;</w:t>
            </w:r>
            <w:r>
              <w:t xml:space="preserve"> </w:t>
            </w:r>
            <w:r>
              <w:rPr>
                <w:b/>
                <w:i/>
              </w:rPr>
              <w:t>във връзка с това призовава Комисията да използва инструмента пълноценно и своевременно;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25в.</w:t>
            </w:r>
            <w:r>
              <w:tab/>
            </w:r>
            <w:r>
              <w:rPr>
                <w:b/>
                <w:i/>
              </w:rPr>
              <w:t>призовава Комисията да прави систематични препратки между производствата за установяване на неизпълнение на задължения и мерките, приемани съгласно член 6 от Финансовия регламент, и протичащите понастоящем проверки във връзка с обвързаността с условия, така че държавите членки да не могат да се възползват от процесуалната изолираност и така че финансовите интереси на ЕС да бъдат защитени, независимо от използвания правен инструмент;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25г.</w:t>
            </w:r>
            <w:r>
              <w:tab/>
            </w:r>
            <w:r>
              <w:rPr>
                <w:b/>
                <w:i/>
              </w:rPr>
              <w:t>отново предупреждава, че преразпределянето или пренасочването на замразени бюджетни кредити към други програми или цели излага финансовите интереси на ЕС на вече установени рискове;</w:t>
            </w:r>
            <w:r>
              <w:t xml:space="preserve"> </w:t>
            </w:r>
            <w:r>
              <w:rPr>
                <w:b/>
                <w:i/>
              </w:rPr>
              <w:t>счита, че духът на Регламента относно обвързаността с условия не допуска такива прехвърляния, и поради това настоява Комисията да отхвърли всички искания за прехвърляне на средства към други програми или приоритети по същата програма, които биха довели до заобикаляне на мерките, наложени съгласно Регламента относно обвързаността с условия;</w:t>
            </w:r>
            <w:r>
              <w:t xml:space="preserve"> </w:t>
            </w:r>
            <w:r>
              <w:rPr>
                <w:b/>
                <w:i/>
              </w:rPr>
              <w:t>отново изисква от Комисията да представи на Парламента пълния текст на всяко такова искане за прехвърляне, така че демократичният контрол да може да предшества, а не да следва решението на Комисията;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съзнава, че корупцията е престъпление, което е тясно свързано с множество сериозни форми на неправомерно поведение; отбелязва, че корупцията е тясно свързана с изпирането на пари и че изпирането на пари е един от основните фактори за незаконните дейности на организираната престъпност, тъй като то позволява на престъпниците да прехвърлят приходите от своите престъпления в законната икономика; отбелязва, че корупцията се открива често и при случаи на измами, засягащи финансовите интереси на Съюза, и в тази връзка отбелязва анализа, в който се разглежда връзката между корупцията и измамите, представен в доклада относно ЗФИ за 2024 г. и насочен към случаите на корупция, докладвани от 2007 г. насам за програмните периоди 2007—2013 г. и 2014—2020 г. в областта на сближаването; подчертава, че предложената Директива за борба с корупцията (COM (2023) 0234), която понастоящем се разглежда от съзаконодателите, признава връзката между корупцията и изпирането на пари и предвижда специални отегчаващи вината обстоятелства за субектите, участващи в корупционни престъпления; признава, че разнородните национални системи и фрагментираното прилагане на рамката на ЕС за борба с изпирането на пари затрудняват предотвратяването, разкриването и борбата с изпирането на пари;</w:t>
            </w:r>
          </w:p>
        </w:tc>
        <w:tc>
          <w:tcPr>
            <w:tcW w:w="4876" w:type="dxa"/>
            <w:tcBorders>
              <w:top w:val="nil"/>
              <w:left w:val="nil"/>
              <w:bottom w:val="nil"/>
              <w:right w:val="nil"/>
            </w:tcBorders>
          </w:tcPr>
          <w:p>
            <w:pPr>
              <w:pStyle w:val="Normal6a"/>
            </w:pPr>
            <w:r>
              <w:t>26.</w:t>
            </w:r>
            <w:r>
              <w:tab/>
            </w:r>
            <w:r>
              <w:t xml:space="preserve">съзнава, че корупцията е престъпление, което е тясно свързано с множество сериозни форми на неправомерно поведение; отбелязва, че корупцията е тясно свързана с изпирането на пари и че изпирането на пари е един от основните фактори за незаконните дейности на организираната престъпност, тъй като то позволява на престъпниците да прехвърлят приходите от своите престъпления в законната икономика; отбелязва, че корупцията се открива често и при случаи на измами, засягащи финансовите интереси на Съюза, и в тази връзка отбелязва анализа, в който се разглежда връзката между корупцията и измамите, представен в доклада относно ЗФИ за 2024 г. и насочен към случаите на корупция, докладвани от 2007 г. насам за програмните периоди 2007—2013 г. и 2014—2020 г. в областта на сближаването; подчертава, че предложената Директива за борба с корупцията (COM (2023) 0234), която понастоящем се разглежда от съзаконодателите, признава връзката между корупцията и изпирането на пари и предвижда специални отегчаващи вината обстоятелства за субектите, участващи в корупционни престъпления; признава, че разнородните национални системи и фрагментираното прилагане на рамката на ЕС за борба с изпирането на пари затрудняват предотвратяването, разкриването и борбата с изпирането на пари; </w:t>
            </w:r>
            <w:r>
              <w:rPr>
                <w:b/>
                <w:i/>
              </w:rPr>
              <w:t>призовава Комисията, в рамките на процеса на преразглеждане на Регламента за Европейската прокуратура, да засили правомощията на Европейската прокуратура в тази област, като насърчи бъдещото ѝ сътрудничество с ОБИП чрез съвместни екипи за анализ и използване на сигурни канали за комуникация;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Дик Ериксон, Берт-Ян Ройсен, 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26а.</w:t>
            </w:r>
            <w:r>
              <w:tab/>
            </w:r>
            <w:r>
              <w:rPr>
                <w:b/>
                <w:i/>
              </w:rPr>
              <w:t>подкрепя целта за борба с изпирането на пари и данъчните измами;</w:t>
            </w:r>
            <w:r>
              <w:t xml:space="preserve"> </w:t>
            </w:r>
            <w:r>
              <w:rPr>
                <w:b/>
                <w:i/>
              </w:rPr>
              <w:t>подчертава обаче, че средствата трябва да бъдат ефективни и ползите от тях да се оценяват въз основа на съответните данни;</w:t>
            </w:r>
            <w:r>
              <w:t xml:space="preserve"> </w:t>
            </w:r>
            <w:r>
              <w:rPr>
                <w:b/>
                <w:i/>
              </w:rPr>
              <w:t>счита, че най-ефективното решение за борба с изпирането на пари и данъчните измами се състои в определянето на по-точни критерии за използването на платените от данъци публични средства;</w:t>
            </w:r>
            <w:r>
              <w:t xml:space="preserve"> </w:t>
            </w:r>
            <w:r>
              <w:rPr>
                <w:b/>
                <w:i/>
              </w:rPr>
              <w:t>подчертава, че по-тясното сътрудничество в борбата с изпирането на пари и данъчните измами не следва да се бърка с хармонизирането на преките данъци, което би премахнало полезната данъчна конкуренция между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подчертава, че по отношение на случаите на корупция Европейската прокуратура е докладвала за 191 разследвани престъпления в края на 2024 г. (спрямо 131 престъпления в края на 2023 г. и 87 престъпления през 2022 г.); отбелязва, че докладът относно ЗФИ от 2024 г. показва, че в периода 2020 – 2024 г. седем държави са докладвали на Комисията 56 случая по системата за управление на нередностите (СУН); подчертава, че сравнението на данни от различни източници и анализът, основан на данни от 2007 до 2023 г., показват ясно, че държавите членки не докладват в достатъчна степен в СУН за свързани с измама нередности, отнасящи се до корупция; отбелязва, че когато се докладва за корупция, тя касае основно обществените поръчки, като около 20% от тези случаи на корупция се разкриват чрез контрол, предприет след сигнал за нередности или въз основа на информация, публикувана в медиите; отбелязва, че от друга страна, 25% от нередностите са разкрити благодарение на контрол, осъществен без наличието на конкретни твърдения или подозрения, или в резултат на подобно съвпадение или ситуация, а не в рамките на подходящ анализ на риска; заключава, че докладването и откриването на нередности не се осъществяват оптимално и призовава Комисията да положи повече усилия за по-добро използване на специфичните инструменти за откриване на нередности въз основата на анализ; призовава също така да се осигури по-голяма прозрачност за широката общественост чрез по-всеобхватно публикуване в интернет на информация за използването на европейските средства, за самоличността на крайните бенефициенти и за резултатите от проведените процедури за обществени поръчки;</w:t>
            </w:r>
          </w:p>
        </w:tc>
        <w:tc>
          <w:tcPr>
            <w:tcW w:w="4876" w:type="dxa"/>
            <w:tcBorders>
              <w:top w:val="nil"/>
              <w:left w:val="nil"/>
              <w:bottom w:val="nil"/>
              <w:right w:val="nil"/>
            </w:tcBorders>
          </w:tcPr>
          <w:p>
            <w:pPr>
              <w:pStyle w:val="Normal6a"/>
            </w:pPr>
            <w:r>
              <w:t>27.</w:t>
            </w:r>
            <w:r>
              <w:tab/>
            </w:r>
            <w:r>
              <w:t>подчертава, че по отношение на случаите на корупция Европейската прокуратура е докладвала за 191 разследвани престъпления в края на 2024 г. (спрямо 131 престъпления в края на 2023 г. и 87 престъпления през 2022 г.); отбелязва, че докладът относно ЗФИ от 2024 г. показва, че в периода 2020 – 2024 г. седем държави са докладвали на Комисията 56 случая по системата за управление на нередностите (СУН); подчертава, че сравнението на данни от различни източници и анализът, основан на данни от 2007 до 2023 г., показват ясно, че държавите членки не докладват в достатъчна степен в СУН за свързани с измама нередности, отнасящи се до корупция; отбелязва, че когато се докладва за корупция, тя касае основно обществените поръчки, като около 20% от тези случаи на корупция се разкриват чрез контрол, предприет след сигнал за нередности или въз основа на информация, публикувана в медиите; отбелязва, че от друга страна, 25% от нередностите са разкрити благодарение на контрол, осъществен без наличието на конкретни твърдения или подозрения, или в резултат на подобно съвпадение или ситуация, а не в рамките на подходящ анализ на риска; заключава, че докладването и откриването на нередности не се осъществяват оптимално</w:t>
            </w:r>
            <w:r>
              <w:rPr>
                <w:b/>
                <w:i/>
              </w:rPr>
              <w:t>,</w:t>
            </w:r>
            <w:r>
              <w:t xml:space="preserve"> и призовава Комисията да положи повече усилия за по-добро използване на специфичните инструменти за откриване на нередности въз основата на анализ; призовава също така да се осигури по-голяма прозрачност за широката общественост чрез по-всеобхватно публикуване в интернет на информация за използването на европейските средства, за самоличността на крайните бенефициенти и за резултатите от проведените процедури за обществени поръчки; </w:t>
            </w:r>
            <w:r>
              <w:rPr>
                <w:b/>
                <w:i/>
              </w:rPr>
              <w:t>счита, че ниското равнище на докладване в СУН за свързани с измама нередности, отнасящи се до корупция, показва структурни недостатъци в системите за откриване и докладване;</w:t>
            </w:r>
            <w:r>
              <w:t xml:space="preserve"> </w:t>
            </w:r>
            <w:r>
              <w:rPr>
                <w:b/>
                <w:i/>
              </w:rPr>
              <w:t>призовава Комисията да направи оценка на качеството и пълнотата на предадените от държавите членки данни и да издаде конкретни препоръки за отстраняването на тези недостатъци;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подчертава, че по отношение на случаите на корупция Европейската прокуратура е докладвала за 191 разследвани престъпления в края на 2024 г. (спрямо 131 престъпления в края на 2023 г. и 87 престъпления през 2022 г.); отбелязва, че докладът относно ЗФИ от 2024 г. показва, че в периода 2020 – 2024 г. седем държави са докладвали на Комисията 56 случая по системата за управление на нередностите (СУН); подчертава, че сравнението на данни от различни източници и анализът, основан на данни от 2007 до 2023 г., показват ясно, че държавите членки не докладват в достатъчна степен в СУН за свързани с измама нередности, отнасящи се до корупция; отбелязва, че когато се докладва за корупция, тя касае основно обществените поръчки, като около 20% от тези случаи на корупция се разкриват чрез контрол, предприет след сигнал за нередности или въз основа на информация, публикувана в медиите; отбелязва, че от друга страна, 25% от нередностите са разкрити благодарение на контрол, осъществен без наличието на конкретни твърдения или подозрения, или в резултат на подобно съвпадение или ситуация, а не в рамките на подходящ анализ на риска; заключава, че докладването и откриването на нередности не се осъществяват оптимално и призовава Комисията да положи повече усилия за по-добро използване на специфичните инструменти за откриване на нередности въз основата на анализ; призовава също така да се осигури по-голяма прозрачност за широката общественост чрез по-всеобхватно публикуване в интернет на информация за използването на европейските средства, за самоличността на крайните бенефициенти и за резултатите от проведените процедури за обществени поръчки;</w:t>
            </w:r>
          </w:p>
        </w:tc>
        <w:tc>
          <w:tcPr>
            <w:tcW w:w="4876" w:type="dxa"/>
            <w:tcBorders>
              <w:top w:val="nil"/>
              <w:left w:val="nil"/>
              <w:bottom w:val="nil"/>
              <w:right w:val="nil"/>
            </w:tcBorders>
          </w:tcPr>
          <w:p>
            <w:pPr>
              <w:pStyle w:val="Normal6a"/>
            </w:pPr>
            <w:r>
              <w:t>27.</w:t>
            </w:r>
            <w:r>
              <w:tab/>
            </w:r>
            <w:r>
              <w:t xml:space="preserve">подчертава, че по отношение на случаите на корупция Европейската прокуратура е докладвала за 191 разследвани престъпления в края на 2024 г. (спрямо 131 престъпления в края на 2023 г. и 87 престъпления през 2022 г.); отбелязва, че докладът относно ЗФИ от 2024 г. показва, че в периода 2020 – 2024 г. седем държави са докладвали на Комисията 56 случая по системата за управление на нередностите (СУН); подчертава, че сравнението на данни от различни източници и анализът, основан на данни от 2007 до 2023 г., показват ясно, че държавите членки не докладват в достатъчна степен в СУН за свързани с измама нередности, отнасящи се до корупция; </w:t>
            </w:r>
            <w:r>
              <w:rPr>
                <w:b/>
                <w:i/>
              </w:rPr>
              <w:t>подчертава, че организираните престъпни групи все повече използват корупцията, за да проникват в публичните администрации с цел да нарушат процесите на възлагане на обществени поръчки и да си осигурят незаконни икономически предимства;</w:t>
            </w:r>
            <w:r>
              <w:t xml:space="preserve"> отбелязва, че когато се докладва за корупция, тя касае основно обществените поръчки, като около 20% от тези случаи на корупция се разкриват чрез контрол, предприет след сигнал за нередности или въз основа на информация, публикувана в медиите; отбелязва, че от друга страна, 25% от нередностите са разкрити благодарение на контрол, осъществен без наличието на конкретни твърдения или подозрения, или в резултат на подобно съвпадение или ситуация, а не в рамките на подходящ анализ на риска; заключава, че докладването и откриването на нередности не се осъществяват оптимално</w:t>
            </w:r>
            <w:r>
              <w:rPr>
                <w:b/>
                <w:i/>
              </w:rPr>
              <w:t>,</w:t>
            </w:r>
            <w:r>
              <w:t xml:space="preserve"> и призовава Комисията да положи повече усилия за по-добро използване на специфичните инструменти за откриване на нередности въз основата на анализ; призовава също така да се осигури по-голяма прозрачност за широката общественост чрез по-всеобхватно публикуване в интернет на информация за използването на европейските средства, за самоличността на крайните бенефициенти и за резултатите от проведените процедури за обществени поръчки;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подчертава, че по отношение на случаите на корупция Европейската прокуратура е докладвала за 191 разследвани престъпления в края на 2024 г. (спрямо 131 престъпления в края на 2023 г. и 87 престъпления през 2022 г.); отбелязва, че докладът относно ЗФИ от 2024 г. показва, че в периода 2020 – 2024 г. седем държави са докладвали на Комисията 56 случая по системата за управление на нередностите (СУН); подчертава, че сравнението на данни от различни източници и анализът, основан на данни от 2007 до 2023 г., показват ясно, че държавите членки не докладват в достатъчна степен в СУН за свързани с измама нередности, отнасящи се до корупция; отбелязва, че когато се докладва за корупция, тя касае основно обществените поръчки, като около 20% от тези случаи на корупция се разкриват чрез контрол, предприет след сигнал за нередности или въз основа на информация, публикувана в медиите; отбелязва, че от друга страна, 25% от нередностите са разкрити благодарение на контрол, осъществен без наличието на конкретни твърдения или подозрения, или в резултат на подобно съвпадение или ситуация, а не в рамките на подходящ анализ на риска; заключава, че докладването и откриването на нередности не се осъществяват оптимално и призовава Комисията да положи повече усилия за по-добро използване на специфичните инструменти за откриване на нередности въз основата на анализ; </w:t>
            </w:r>
            <w:r>
              <w:rPr>
                <w:b/>
                <w:i/>
              </w:rPr>
              <w:t>призовава</w:t>
            </w:r>
            <w:r>
              <w:t xml:space="preserve"> също така да се осигури по-голяма прозрачност </w:t>
            </w:r>
            <w:r>
              <w:rPr>
                <w:b/>
                <w:i/>
              </w:rPr>
              <w:t>за широката общественост</w:t>
            </w:r>
            <w:r>
              <w:t xml:space="preserve"> чрез по-всеобхватно публикуване </w:t>
            </w:r>
            <w:r>
              <w:rPr>
                <w:b/>
                <w:i/>
              </w:rPr>
              <w:t>в интернет на</w:t>
            </w:r>
            <w:r>
              <w:t xml:space="preserve"> информация за използването на европейските средства, за самоличността на крайните бенефициенти и за резултатите от проведените процедури за обществени поръчки;</w:t>
            </w:r>
          </w:p>
        </w:tc>
        <w:tc>
          <w:tcPr>
            <w:tcW w:w="4876" w:type="dxa"/>
            <w:tcBorders>
              <w:top w:val="nil"/>
              <w:left w:val="nil"/>
              <w:bottom w:val="nil"/>
              <w:right w:val="nil"/>
            </w:tcBorders>
          </w:tcPr>
          <w:p>
            <w:pPr>
              <w:pStyle w:val="Normal6a"/>
            </w:pPr>
            <w:r>
              <w:t>27.</w:t>
            </w:r>
            <w:r>
              <w:tab/>
            </w:r>
            <w:r>
              <w:t>подчертава, че по отношение на случаите на корупция Европейската прокуратура е докладвала за 191 разследвани престъпления в края на 2024 г. (спрямо 131 престъпления в края на 2023 г. и 87 престъпления през 2022 г.); отбелязва, че докладът относно ЗФИ от 2024 г. показва, че в периода 2020 – 2024 г. седем държави са докладвали на Комисията 56 случая по системата за управление на нередностите (СУН); подчертава, че сравнението на данни от различни източници и анализът, основан на данни от 2007 до 2023 г., показват ясно, че държавите членки не докладват в достатъчна степен в СУН за свързани с измама нередности, отнасящи се до корупция; отбелязва, че когато се докладва за корупция, тя касае основно обществените поръчки, като около 20% от тези случаи на корупция се разкриват чрез контрол, предприет след сигнал за нередности или въз основа на информация, публикувана в медиите; отбелязва, че от друга страна, 25% от нередностите са разкрити благодарение на контрол, осъществен без наличието на конкретни твърдения или подозрения, или в резултат на подобно съвпадение или ситуация, а не в рамките на подходящ анализ на риска; заключава, че докладването и откриването на нередности не се осъществяват оптимално</w:t>
            </w:r>
            <w:r>
              <w:rPr>
                <w:b/>
                <w:i/>
              </w:rPr>
              <w:t>,</w:t>
            </w:r>
            <w:r>
              <w:t xml:space="preserve"> и призовава Комисията да положи повече усилия за по-добро използване на специфичните инструменти за откриване на нередности въз основата на анализ; също така </w:t>
            </w:r>
            <w:r>
              <w:rPr>
                <w:b/>
                <w:i/>
              </w:rPr>
              <w:t>призовава</w:t>
            </w:r>
            <w:r>
              <w:t xml:space="preserve"> да се осигури по-голяма прозрачност чрез по-всеобхватно публикуване </w:t>
            </w:r>
            <w:r>
              <w:rPr>
                <w:b/>
                <w:i/>
              </w:rPr>
              <w:t>— онлайн и чрез други канали, достъпни за широката общественост — на подробна</w:t>
            </w:r>
            <w:r>
              <w:t xml:space="preserve"> информация за използването на европейските средства, за самоличността на крайните бенефициенти</w:t>
            </w:r>
            <w:r>
              <w:rPr>
                <w:b/>
                <w:i/>
              </w:rPr>
              <w:t>, за резултатите от субсидираните програми и проекти</w:t>
            </w:r>
            <w:r>
              <w:t xml:space="preserve"> и за резултатите от проведените процедури за обществени поръчки;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подчертава, че по отношение на случаите на корупция Европейската прокуратура е докладвала за 191 разследвани престъпления в края на 2024 г. (спрямо 131 престъпления в края на 2023 г. и 87 престъпления през 2022 г.); отбелязва, че докладът относно ЗФИ от 2024 г. показва, че в периода 2020 – 2024 г. седем държави са докладвали на Комисията 56 случая по системата за управление на нередностите (СУН); подчертава, че сравнението на данни от различни източници и анализът, основан на данни от 2007 до 2023 г., показват ясно, че държавите членки не докладват в достатъчна степен в СУН за свързани с измама нередности, отнасящи се до корупция; отбелязва, че когато се докладва за корупция, тя касае основно обществените поръчки, като около 20% от тези случаи на корупция се разкриват чрез контрол, предприет след сигнал за нередности или въз основа на информация, публикувана в медиите; отбелязва, че от друга страна, 25% от нередностите са разкрити благодарение на контрол, осъществен без наличието на конкретни твърдения или подозрения, или в резултат на подобно съвпадение или ситуация, а не в рамките на подходящ анализ на риска; заключава, че докладването и откриването на нередности не се осъществяват оптимално и призовава Комисията да положи повече усилия за </w:t>
            </w:r>
            <w:r>
              <w:rPr>
                <w:b/>
                <w:i/>
              </w:rPr>
              <w:t>по-добро използване на специфичните</w:t>
            </w:r>
            <w:r>
              <w:t xml:space="preserve"> инструменти за откриване на нередности </w:t>
            </w:r>
            <w:r>
              <w:rPr>
                <w:b/>
                <w:i/>
              </w:rPr>
              <w:t>въз основата на анализ</w:t>
            </w:r>
            <w:r>
              <w:t>; призовава също така да се осигури по-голяма прозрачност за широката общественост чрез по-всеобхватно публикуване в интернет на информация за използването на европейските средства, за самоличността на крайните бенефициенти и за резултатите от проведените процедури за обществени поръчки;</w:t>
            </w:r>
          </w:p>
        </w:tc>
        <w:tc>
          <w:tcPr>
            <w:tcW w:w="4876" w:type="dxa"/>
            <w:tcBorders>
              <w:top w:val="nil"/>
              <w:left w:val="nil"/>
              <w:bottom w:val="nil"/>
              <w:right w:val="nil"/>
            </w:tcBorders>
          </w:tcPr>
          <w:p>
            <w:pPr>
              <w:pStyle w:val="Normal6a"/>
            </w:pPr>
            <w:r>
              <w:t>27.</w:t>
            </w:r>
            <w:r>
              <w:tab/>
            </w:r>
            <w:r>
              <w:t>подчертава, че по отношение на случаите на корупция Европейската прокуратура е докладвала за 191 разследвани престъпления в края на 2024 г. (спрямо 131 престъпления в края на 2023 г. и 87 престъпления през 2022 г.); отбелязва, че докладът относно ЗФИ от 2024 г. показва, че в периода 2020 – 2024 г. седем държави са докладвали на Комисията 56 случая по системата за управление на нередностите (СУН); подчертава, че сравнението на данни от различни източници и анализът, основан на данни от 2007 до 2023 г., показват ясно, че държавите членки не докладват в достатъчна степен в СУН за свързани с измама нередности, отнасящи се до корупция; отбелязва, че когато се докладва за корупция, тя касае основно обществените поръчки, като около 20% от тези случаи на корупция се разкриват чрез контрол, предприет след сигнал за нередности или въз основа на информация, публикувана в медиите; отбелязва, че от друга страна, 25% от нередностите са разкрити благодарение на контрол, осъществен без наличието на конкретни твърдения или подозрения, или в резултат на подобно съвпадение или ситуация, а не в рамките на подходящ анализ на риска; заключава, че докладването и откриването на нередности не се осъществяват оптимално</w:t>
            </w:r>
            <w:r>
              <w:rPr>
                <w:b/>
                <w:i/>
              </w:rPr>
              <w:t>,</w:t>
            </w:r>
            <w:r>
              <w:t xml:space="preserve"> и призовава Комисията да положи повече усилия за </w:t>
            </w:r>
            <w:r>
              <w:rPr>
                <w:b/>
                <w:i/>
              </w:rPr>
              <w:t>укрепване на целенасочените и основани на риска</w:t>
            </w:r>
            <w:r>
              <w:t xml:space="preserve"> инструменти за откриване на нередности </w:t>
            </w:r>
            <w:r>
              <w:rPr>
                <w:b/>
                <w:i/>
              </w:rPr>
              <w:t>и проактивните стратегии за разследване, вместо да разчита на несистематични проверки</w:t>
            </w:r>
            <w:r>
              <w:t>; призовава също така да се осигури по-голяма прозрачност за широката общественост чрез по-всеобхватно публикуване в интернет на информация за използването на европейските средства, за самоличността на крайните бенефициенти и за резултатите от проведените процедури за обществени поръчки;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27а.</w:t>
            </w:r>
            <w:r>
              <w:tab/>
            </w:r>
            <w:r>
              <w:rPr>
                <w:b/>
                <w:i/>
              </w:rPr>
              <w:t>отбелязва, че в рамките на годишните доклади относно върховенството на закона борбата с корупцията е ключов елемент и че целенасочените препоръки, които Комисията предава на държавите — членки на ЕС, включват областта на борбата с корупцията;</w:t>
            </w:r>
            <w:r>
              <w:t xml:space="preserve"> </w:t>
            </w:r>
            <w:r>
              <w:rPr>
                <w:b/>
                <w:i/>
              </w:rPr>
              <w:t>отбелязва, че държавите членки са започнали ключови реформи на национално равнище по отношение на повече от две трети от препоръките, отправени в доклада относно върховенството на закона за периода 2022—2024 г.;</w:t>
            </w:r>
            <w:r>
              <w:t xml:space="preserve"> </w:t>
            </w:r>
            <w:r>
              <w:rPr>
                <w:b/>
                <w:i/>
              </w:rPr>
              <w:t>признава, че в държавите членки са въведени стратегии за борба с корупцията, но подчертава, че те трябва да бъдат оценявани и периодично преразглеждани;</w:t>
            </w:r>
            <w:r>
              <w:t xml:space="preserve"> </w:t>
            </w:r>
            <w:r>
              <w:rPr>
                <w:b/>
                <w:i/>
              </w:rPr>
              <w:t>насърчава Комисията да наблюдава напредъка на започнатите в държавите членки действия и да предоставя периодични актуализации и аналитични доклади;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27б.</w:t>
            </w:r>
            <w:r>
              <w:tab/>
            </w:r>
            <w:r>
              <w:rPr>
                <w:b/>
                <w:i/>
              </w:rPr>
              <w:t>приветства публикуването на 4 ноември 2024 г. на изследване относно областите с висок риск от корупция, включващо раздел, специално посветен на припокриванията между измамите и корупцията, което следва пакета за борба с корупцията от май 2023 г.;</w:t>
            </w:r>
            <w:r>
              <w:t xml:space="preserve"> </w:t>
            </w:r>
            <w:r>
              <w:rPr>
                <w:b/>
                <w:i/>
              </w:rPr>
              <w:t>отбелязва, че обществените поръчки, строителството и инфраструктурата, както и здравното обслужване бяха едни от областите, изложени на най-голям риск;</w:t>
            </w:r>
            <w:r>
              <w:t xml:space="preserve"> </w:t>
            </w:r>
            <w:r>
              <w:rPr>
                <w:b/>
                <w:i/>
              </w:rPr>
              <w:t>насърчава чрез последващи изследвания да се проучат действията за намаляване на рисковете от корупция в тези високорискови области;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rPr>
                <w:b/>
                <w:i/>
              </w:rPr>
              <w:t>призовава, преди всяко по-нататъшно разширяване на ЕС, да се проучва задълбочено състоянието на</w:t>
            </w:r>
            <w:r>
              <w:t xml:space="preserve"> корупцията </w:t>
            </w:r>
            <w:r>
              <w:rPr>
                <w:b/>
                <w:i/>
              </w:rPr>
              <w:t>в страните кандидатки, особено ако те станат нетни бенефициенти на бюджета след присъединяването си, с цел да се предотврати евентуално отклонение на средства и увреждане</w:t>
            </w:r>
            <w:r>
              <w:t xml:space="preserve"> на финансовите интереси на Съюза </w:t>
            </w:r>
            <w:r>
              <w:rPr>
                <w:b/>
                <w:i/>
              </w:rPr>
              <w:t>от страна на бъдеща държава членка</w:t>
            </w:r>
            <w:r>
              <w:t>;</w:t>
            </w:r>
          </w:p>
        </w:tc>
        <w:tc>
          <w:tcPr>
            <w:tcW w:w="4876" w:type="dxa"/>
            <w:tcBorders>
              <w:top w:val="nil"/>
              <w:left w:val="nil"/>
              <w:bottom w:val="nil"/>
              <w:right w:val="nil"/>
            </w:tcBorders>
          </w:tcPr>
          <w:p>
            <w:pPr>
              <w:pStyle w:val="Normal6a"/>
            </w:pPr>
            <w:r>
              <w:t>28.</w:t>
            </w:r>
            <w:r>
              <w:tab/>
            </w:r>
            <w:r>
              <w:rPr>
                <w:b/>
                <w:i/>
              </w:rPr>
              <w:t>подчертава важността на строгите стандарти за борба с</w:t>
            </w:r>
            <w:r>
              <w:t xml:space="preserve"> корупцията</w:t>
            </w:r>
            <w:r>
              <w:rPr>
                <w:b/>
                <w:i/>
              </w:rPr>
              <w:t>, ефективните системи за контрол и солидните гаранции за защитата</w:t>
            </w:r>
            <w:r>
              <w:t xml:space="preserve"> на финансовите интереси на Съюза </w:t>
            </w:r>
            <w:r>
              <w:rPr>
                <w:b/>
                <w:i/>
              </w:rPr>
              <w:t>през целия процес на присъединяване;</w:t>
            </w:r>
            <w:r>
              <w:t xml:space="preserve"> </w:t>
            </w:r>
            <w:r>
              <w:rPr>
                <w:b/>
                <w:i/>
              </w:rPr>
              <w:t>подчертава, че страните кандидатки трябва да демонстрират капацитета си за предотвратяване, откриване и справяне с измамите и корупцията, засягащи публични средства, в съответствие с правилата и стандартите на ЕС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призовава, преди всяко по-нататъшно разширяване на ЕС, да се проучва задълбочено състоянието на корупцията в страните кандидатки, особено ако те станат нетни бенефициенти на бюджета след присъединяването си, с цел да се предотврати евентуално отклонение на средства и увреждане на финансовите интереси на Съюза от страна на бъдеща държава членка;</w:t>
            </w:r>
          </w:p>
        </w:tc>
        <w:tc>
          <w:tcPr>
            <w:tcW w:w="4876" w:type="dxa"/>
            <w:tcBorders>
              <w:top w:val="nil"/>
              <w:left w:val="nil"/>
              <w:bottom w:val="nil"/>
              <w:right w:val="nil"/>
            </w:tcBorders>
          </w:tcPr>
          <w:p>
            <w:pPr>
              <w:pStyle w:val="Normal6a"/>
            </w:pPr>
            <w:r>
              <w:t>28.</w:t>
            </w:r>
            <w:r>
              <w:tab/>
            </w:r>
            <w:r>
              <w:t xml:space="preserve">призовава, преди всяко по-нататъшно разширяване на ЕС, да се проучва задълбочено състоянието на корупцията в страните кандидатки, </w:t>
            </w:r>
            <w:r>
              <w:rPr>
                <w:b/>
                <w:i/>
              </w:rPr>
              <w:t>включително ефективността на техните рамки за борба с корупцията, независимостта на съдебната власт и административния капацитет,</w:t>
            </w:r>
            <w:r>
              <w:t xml:space="preserve"> особено ако те станат нетни бенефициенти на бюджета след присъединяването си</w:t>
            </w:r>
            <w:r>
              <w:rPr>
                <w:b/>
                <w:i/>
              </w:rPr>
              <w:t>, и подчертава, че ефективният контрол и следприсъединителният мониторинг са от съществено значение</w:t>
            </w:r>
            <w:r>
              <w:t>, с цел да се предотврати евентуално отклонение на средства и увреждане на финансовите интереси на Съюза от страна на бъдеща държава членка;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призовава, преди всяко по-нататъшно разширяване на ЕС, да се проучва задълбочено състоянието на корупцията в страните кандидатки</w:t>
            </w:r>
            <w:r>
              <w:rPr>
                <w:b/>
                <w:i/>
              </w:rPr>
              <w:t>, особено ако те станат нетни бенефициенти на бюджета след присъединяването си</w:t>
            </w:r>
            <w:r>
              <w:t>, с цел да се предотврати евентуално отклонение на средства и увреждане на финансовите интереси на Съюза от страна на бъдеща държава членка;</w:t>
            </w:r>
          </w:p>
        </w:tc>
        <w:tc>
          <w:tcPr>
            <w:tcW w:w="4876" w:type="dxa"/>
            <w:tcBorders>
              <w:top w:val="nil"/>
              <w:left w:val="nil"/>
              <w:bottom w:val="nil"/>
              <w:right w:val="nil"/>
            </w:tcBorders>
          </w:tcPr>
          <w:p>
            <w:pPr>
              <w:pStyle w:val="Normal6a"/>
            </w:pPr>
            <w:r>
              <w:t>28.</w:t>
            </w:r>
            <w:r>
              <w:tab/>
            </w:r>
            <w:r>
              <w:t>призовава, преди всяко по-нататъшно разширяване на ЕС, да се проучва задълбочено състоянието на корупцията в страните кандидатки, с цел да се предотврати евентуално отклонение на средства и увреждане на финансовите интереси на Съюза от страна на бъдеща държава членка;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подчертава, че защитата на финансовите интереси на Съюза трябва да бъде напълно интегрирана в политиката на разширяване чрез строги и измерими референтни показатели за борба с корупцията и за принципите на правовата държава, надеждни механизми за одит и ефективно сътрудничество с архитектурата на Съюза за борба с измамите;</w:t>
            </w:r>
            <w:r>
              <w:t xml:space="preserve"> </w:t>
            </w:r>
            <w:r>
              <w:rPr>
                <w:b/>
                <w:i/>
              </w:rPr>
              <w:t>подчертава, че засилените предприсъединителни гаранции могат да намалят рисковете и да подкрепят реформите, вместо да служат като претекст за повсеместен скептицизъм по отношение на разширяването;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31а.</w:t>
            </w:r>
            <w:r>
              <w:tab/>
            </w:r>
            <w:r>
              <w:rPr>
                <w:b/>
                <w:i/>
              </w:rPr>
              <w:t>отново потвърждава, че зачитането на принципите на правовата държава, включително независимостта на съдебната власт, разделението на властите, ефективното и безпристрастно правоприлагане и наказателно преследване, както и борбата с корупцията, представлява основна ценност на Съюза, залегнала в член 2 от ДЕС;</w:t>
            </w:r>
            <w:r>
              <w:t xml:space="preserve"> </w:t>
            </w:r>
            <w:r>
              <w:rPr>
                <w:b/>
                <w:i/>
              </w:rPr>
              <w:t>изразява дълбока загриженост във връзка с нарастващите атаки срещу тези ценности в рамките на Съюза и извън него;</w:t>
            </w:r>
            <w:r>
              <w:t xml:space="preserve"> </w:t>
            </w:r>
            <w:r>
              <w:rPr>
                <w:b/>
                <w:i/>
              </w:rPr>
              <w:t>подчертава, че всяко системно отслабване на принципите на правовата държава или демократичните гаранции пряко подкопава доброто финансово управление на бюджета на Съюза, както и доверието в действията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31а.</w:t>
            </w:r>
            <w:r>
              <w:tab/>
            </w:r>
            <w:r>
              <w:rPr>
                <w:b/>
                <w:i/>
              </w:rPr>
              <w:t>приветства текущото преразглеждане от страна на Комисията на Наръчника за докладване на нередности при споделено управление, в сътрудничество с експерти от държавите членки, и очаква докладването на случаи на конфликт на интереси в СУН да бъде всеобхватно, подробно и сигурно от правна гледна точка и да позволява ясна и пропорционална оценка;</w:t>
            </w:r>
            <w:r>
              <w:t xml:space="preserve"> </w:t>
            </w:r>
            <w:r>
              <w:rPr>
                <w:b/>
                <w:i/>
              </w:rPr>
              <w:t>приветства също така специалната целева група за предотвратяване и разкриване на конфликти на интереси, сформирана по време на годишната техническа работна среща за 2024 г. с националните одитни органи за МВУ;</w:t>
            </w:r>
            <w:r>
              <w:t xml:space="preserve"> </w:t>
            </w:r>
            <w:r>
              <w:rPr>
                <w:b/>
                <w:i/>
              </w:rPr>
              <w:t>призовава разпоредбите относно конфликтите на интереси да се прилагат по начин, който гарантира правна сигурност, да се основават на ясна и пропорционална оценка на рисковете и да дават възможност за практическо прилагане от страна на компетентните органи;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припомня, че механизмът за обвързване с бюджетни изисквания, установен с Регламента относно обвързаността с условия, е правно регулиран инструмент за предотвратяване на рискове за бюджета на Съюза; </w:t>
            </w:r>
            <w:r>
              <w:rPr>
                <w:b/>
                <w:i/>
              </w:rPr>
              <w:t>все пак отбелязва, че прилагането му може да бъде оправдано само ако има пряка, реална и доказана връзка между установените слабости и увреждането на</w:t>
            </w:r>
            <w:r>
              <w:t xml:space="preserve"> финансовите интереси на Съюза; </w:t>
            </w:r>
            <w:r>
              <w:rPr>
                <w:b/>
                <w:i/>
              </w:rPr>
              <w:t>изразява загриженост, че всяко разширяване на неговия обхват отвъд тази бюджетна цел би било в противоречие с духа на Договорите и принципа на пропорционалност</w:t>
            </w:r>
            <w:r>
              <w:t xml:space="preserve">; </w:t>
            </w:r>
            <w:r>
              <w:rPr>
                <w:b/>
                <w:i/>
              </w:rPr>
              <w:t>припомня, че легитимността на този механизъм се основава на строго обективно прилагане, без никакви политически съображения, и при зачитане на еднаквото третиране на държавите членки;</w:t>
            </w:r>
          </w:p>
        </w:tc>
        <w:tc>
          <w:tcPr>
            <w:tcW w:w="4876" w:type="dxa"/>
            <w:tcBorders>
              <w:top w:val="nil"/>
              <w:left w:val="nil"/>
              <w:bottom w:val="nil"/>
              <w:right w:val="nil"/>
            </w:tcBorders>
          </w:tcPr>
          <w:p>
            <w:pPr>
              <w:pStyle w:val="Normal6a"/>
            </w:pPr>
            <w:r>
              <w:t>32.</w:t>
            </w:r>
            <w:r>
              <w:tab/>
            </w:r>
            <w:r>
              <w:t xml:space="preserve">припомня, че механизмът за обвързване с бюджетни изисквания, установен с Регламента относно обвързаността с условия, е правно регулиран инструмент за предотвратяване на рискове за бюджета на Съюза; </w:t>
            </w:r>
            <w:r>
              <w:rPr>
                <w:b/>
                <w:i/>
              </w:rPr>
              <w:t>припомня, че Регламентът относно обвързаността с условия е бюджетна гаранция, предназначена да защитава бюджета на Съюза, когато нарушенията на принципите на правовата държава засягат или има сериозна опасност да засегнат доброто финансово управление или</w:t>
            </w:r>
            <w:r>
              <w:t xml:space="preserve"> финансовите интереси на Съюза; </w:t>
            </w:r>
            <w:r>
              <w:rPr>
                <w:b/>
                <w:i/>
              </w:rPr>
              <w:t>подчертава, че системните недостатъци в независимостта на съдебната власт, наказателното преследване, контрола и санкционирането могат да създадат структурна уязвимост по отношение на измамите, корупцията и конфликтите на интереси;</w:t>
            </w:r>
            <w:r>
              <w:t xml:space="preserve"> </w:t>
            </w:r>
            <w:r>
              <w:rPr>
                <w:b/>
                <w:i/>
              </w:rPr>
              <w:t>призовава Комисията да прилага механизма последователно и по прозрачен начин въз основа на обективни доказателства и да гарантира, че коригиращите мерки са проверими и трайни, преди да бъдат отпуснати каквито и да било средства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припомня, че механизмът за обвързване с бюджетни изисквания, установен с </w:t>
            </w:r>
            <w:r>
              <w:rPr>
                <w:b/>
                <w:i/>
              </w:rPr>
              <w:t>Регламента относно обвързаността с условия, е правно регулиран</w:t>
            </w:r>
            <w:r>
              <w:t xml:space="preserve"> инструмент </w:t>
            </w:r>
            <w:r>
              <w:rPr>
                <w:b/>
                <w:i/>
              </w:rPr>
              <w:t>за предотвратяване на рискове за</w:t>
            </w:r>
            <w:r>
              <w:t xml:space="preserve"> бюджета на Съюза</w:t>
            </w:r>
            <w:r>
              <w:rPr>
                <w:b/>
                <w:i/>
              </w:rPr>
              <w:t>;</w:t>
            </w:r>
            <w:r>
              <w:t xml:space="preserve"> </w:t>
            </w:r>
            <w:r>
              <w:rPr>
                <w:b/>
                <w:i/>
              </w:rPr>
              <w:t>все пак</w:t>
            </w:r>
            <w:r>
              <w:t xml:space="preserve"> отбелязва, че прилагането </w:t>
            </w:r>
            <w:r>
              <w:rPr>
                <w:b/>
                <w:i/>
              </w:rPr>
              <w:t>му може да бъде оправдано само ако има пряка, реална и доказана връзка между установените слабости и увреждането на финансовите интереси на Съюза;</w:t>
            </w:r>
            <w:r>
              <w:t xml:space="preserve"> </w:t>
            </w:r>
            <w:r>
              <w:rPr>
                <w:b/>
                <w:i/>
              </w:rPr>
              <w:t>изразява загриженост, че всяко разширяване на неговия обхват отвъд тази бюджетна цел би било в противоречие с духа на Договорите и принципа на пропорционалност;</w:t>
            </w:r>
            <w:r>
              <w:t xml:space="preserve"> </w:t>
            </w:r>
            <w:r>
              <w:rPr>
                <w:b/>
                <w:i/>
              </w:rPr>
              <w:t>припомня, че легитимността</w:t>
            </w:r>
            <w:r>
              <w:t xml:space="preserve"> на този </w:t>
            </w:r>
            <w:r>
              <w:rPr>
                <w:b/>
                <w:i/>
              </w:rPr>
              <w:t>механизъм се основава на строго обективно прилагане, без никакви политически съображения, и при</w:t>
            </w:r>
            <w:r>
              <w:t xml:space="preserve"> зачитане на </w:t>
            </w:r>
            <w:r>
              <w:rPr>
                <w:b/>
                <w:i/>
              </w:rPr>
              <w:t>еднаквото третиране на държавите членки</w:t>
            </w:r>
            <w:r>
              <w:t>;</w:t>
            </w:r>
          </w:p>
        </w:tc>
        <w:tc>
          <w:tcPr>
            <w:tcW w:w="4876" w:type="dxa"/>
            <w:tcBorders>
              <w:top w:val="nil"/>
              <w:left w:val="nil"/>
              <w:bottom w:val="nil"/>
              <w:right w:val="nil"/>
            </w:tcBorders>
          </w:tcPr>
          <w:p>
            <w:pPr>
              <w:pStyle w:val="Normal6a"/>
            </w:pPr>
            <w:r>
              <w:t>32.</w:t>
            </w:r>
            <w:r>
              <w:tab/>
            </w:r>
            <w:r>
              <w:t xml:space="preserve">припомня, че механизмът за обвързване с бюджетни изисквания, установен с </w:t>
            </w:r>
            <w:r>
              <w:rPr>
                <w:b/>
                <w:i/>
              </w:rPr>
              <w:t>(ЕС, Евратом) 2020/2092, е специфичен правен</w:t>
            </w:r>
            <w:r>
              <w:t xml:space="preserve"> инструмент</w:t>
            </w:r>
            <w:r>
              <w:rPr>
                <w:b/>
                <w:i/>
              </w:rPr>
              <w:t>, предназначен да защитава</w:t>
            </w:r>
            <w:r>
              <w:t xml:space="preserve"> бюджета на Съюза </w:t>
            </w:r>
            <w:r>
              <w:rPr>
                <w:b/>
                <w:i/>
              </w:rPr>
              <w:t>от рискове, произтичащи от нарушения на върховенството на закона;</w:t>
            </w:r>
            <w:r>
              <w:t xml:space="preserve"> отбелязва, че </w:t>
            </w:r>
            <w:r>
              <w:rPr>
                <w:b/>
                <w:i/>
              </w:rPr>
              <w:t>неговото прилагане породи практически и оперативни предизвикателства, както беше подчертано от Европейската сметна палата в нейния Специален доклад № 03/2024 относно върховенството на закона в ЕС;</w:t>
            </w:r>
            <w:r>
              <w:t xml:space="preserve"> </w:t>
            </w:r>
            <w:r>
              <w:rPr>
                <w:b/>
                <w:i/>
              </w:rPr>
              <w:t>поради това подчертава необходимостта от по-нататъшно подобряване на</w:t>
            </w:r>
            <w:r>
              <w:t xml:space="preserve"> прилагането на този </w:t>
            </w:r>
            <w:r>
              <w:rPr>
                <w:b/>
                <w:i/>
              </w:rPr>
              <w:t>регламент, за да се повиши неговата ефективност, като същевременно той се разграничи ясно от по-широкия принцип на</w:t>
            </w:r>
            <w:r>
              <w:t xml:space="preserve"> зачитане на </w:t>
            </w:r>
            <w:r>
              <w:rPr>
                <w:b/>
                <w:i/>
              </w:rPr>
              <w:t>върховенството на закона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32а.</w:t>
            </w:r>
            <w:r>
              <w:tab/>
            </w:r>
            <w:r>
              <w:rPr>
                <w:b/>
                <w:i/>
              </w:rPr>
              <w:t>отново подчертава значението на запазването на почтеността и репутацията на институциите на Европейския съюз, включително на Европейския парламент, и на всички органи и субекти на Съюза, като основен елемент на доверието на гражданите и демократичната легитимност;</w:t>
            </w:r>
            <w:r>
              <w:t xml:space="preserve"> </w:t>
            </w:r>
            <w:r>
              <w:rPr>
                <w:b/>
                <w:i/>
              </w:rPr>
              <w:t>подчертава неотложната необходимост да се гарантира, че нито една политическа група, орган или образувание, които се възползват от средства на ЕС, не могат да избегнат финансова отговорност в случаи на разследвания на измами или сериозни нередности, свързани с използването на средства на Съюза, включително чрез разпускане, наследяване или преконфигуриране на политическа група или правна структура;</w:t>
            </w:r>
            <w:r>
              <w:t xml:space="preserve"> </w:t>
            </w:r>
            <w:r>
              <w:rPr>
                <w:b/>
                <w:i/>
              </w:rPr>
              <w:t>подчертава, че трябва да бъдат въведени ефективни механизми, за да се гарантира непрекъснатост на финансовата отговорност, а при целесъобразност и на индивидуалната отговорност;</w:t>
            </w:r>
            <w:r>
              <w:t xml:space="preserve"> </w:t>
            </w:r>
            <w:r>
              <w:rPr>
                <w:b/>
                <w:i/>
              </w:rPr>
              <w:t>призовава за засилени механизми за надзор, включително широк и независим подбор на външни одитори, за да се гарантира добро финансово управление, ефективен контрол и пълна отчетност за публичните средства;</w:t>
            </w:r>
            <w:r>
              <w:t xml:space="preserve"> </w:t>
            </w:r>
            <w:r>
              <w:rPr>
                <w:b/>
                <w:i/>
              </w:rPr>
              <w:t>подчертава, че изискванията, свързани с прозрачността, отчетността и защитата на финансовите интереси на Съюза, трябва да се прилагат еднакво и без изключение в рамките на всяка институция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Подзаглавие 8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Допълнителни заплахи – злоупотреба със средства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32а.</w:t>
            </w:r>
            <w:r>
              <w:tab/>
            </w:r>
            <w:r>
              <w:rPr>
                <w:b/>
                <w:i/>
              </w:rPr>
              <w:t>припомня, че в съответствие с членове 1.3.2, 2.7.1 и 2.7.2 от Правилника относно разходването на бюджетни кредити по бюджетна позиция 400 бившата политическа група Identity &amp; Democracy (група ID) представи своя окончателен финансов доклад на 8 октомври 2024 г., обхващащ периода от 1 януари до 15 юли 2024 г.;</w:t>
            </w:r>
            <w:r>
              <w:t xml:space="preserve"> </w:t>
            </w:r>
            <w:r>
              <w:rPr>
                <w:b/>
                <w:i/>
              </w:rPr>
              <w:t>припомня, че администрацията на Парламента получи пълния финансов архив на групата ID както в електронен формат, така и на хартиен носител, и извърши основана на риска последваща проверка на отчетите за 2024 г., като се съсредоточи върху проверки за съответствие и тестване на извадки от високорискови договори и дарения;</w:t>
            </w:r>
            <w:r>
              <w:t xml:space="preserve"> </w:t>
            </w:r>
            <w:r>
              <w:rPr>
                <w:b/>
                <w:i/>
              </w:rPr>
              <w:t>припомня констатациите на администрацията на Парламента, че най-малко 4 333 635,78 EUR от бюджетните кредити по бюджетна позиция 400 са били неправомерно изразходвани от групата през мандата 2019 – 2024 г., което излага Парламента на значителен финансов риск и риск за репутацията;</w:t>
            </w:r>
            <w:r>
              <w:t xml:space="preserve"> </w:t>
            </w:r>
            <w:r>
              <w:rPr>
                <w:b/>
                <w:i/>
              </w:rPr>
              <w:t>отбелязва, че бяха установени недостатъци в процедурите за възлагане на обществени поръчки, които представляват значителни рискове за репутацията на Парламента и на всички политически групи и членове на ЕП;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32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32б.</w:t>
            </w:r>
            <w:r>
              <w:tab/>
            </w:r>
            <w:r>
              <w:rPr>
                <w:b/>
                <w:i/>
              </w:rPr>
              <w:t>отбелязва, че Европейската прокуратура обяви, че през юли 2025 г. е започнала разследване на предполагаемата злоупотреба със средства на Съюза от групата ID между 2019 и 2024 г.;</w:t>
            </w:r>
            <w:r>
              <w:t xml:space="preserve"> </w:t>
            </w:r>
            <w:r>
              <w:rPr>
                <w:b/>
                <w:i/>
              </w:rPr>
              <w:t>изтъква, че администрацията на Парламента е предала преписката по делото и оказва пълно съдействие на разследването на Европейската прокуратура;</w:t>
            </w:r>
            <w:r>
              <w:t xml:space="preserve"> </w:t>
            </w:r>
            <w:r>
              <w:rPr>
                <w:b/>
                <w:i/>
              </w:rPr>
              <w:t>отбелязва, че Бюрото желае да узнае резултата от разследването на Европейската прокуратура, преди да предприеме каквито и да било действия по възстановяване;</w:t>
            </w:r>
            <w:r>
              <w:t xml:space="preserve"> </w:t>
            </w:r>
            <w:r>
              <w:rPr>
                <w:b/>
                <w:i/>
              </w:rPr>
              <w:t>препоръчва главният прокурор г-жа Кьовеши да бъде поканена на изслушване при закрити врати с Бюрото на ЕП, за да предостави конкретни елементи относно периода; счита, че администрацията на Парламента следва да предприеме спешни и подходящи административни мерки за защита на финансовите интереси на Съюза и репутацията на Парламента;</w:t>
            </w:r>
            <w:r>
              <w:t xml:space="preserve"> </w:t>
            </w:r>
            <w:r>
              <w:rPr>
                <w:b/>
                <w:i/>
              </w:rPr>
              <w:t>счита, че е изключително важно действията за възстановяване да започнат възможно най-скоро, за да се възстанови пълният размер на недопустимите разходи с оглед на значителния обем доказателства, събрани от Генералната дирекция по финанси, в пълно съответствие с член 3, параграф 3 от работното споразумение между Европейския парламент и Европейската прокуратура;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32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32в.</w:t>
            </w:r>
            <w:r>
              <w:tab/>
            </w:r>
            <w:r>
              <w:rPr>
                <w:b/>
                <w:i/>
              </w:rPr>
              <w:t>призовава Бюрото да гарантира, че външните одитори спазват изцяло изискванията в писмото за поемане на ангажимент, да засили надзора от външни одитори за групите, като предостави повече часове на разположение на външните одитори, за да изпълняват своята надзорна роля и да предостави по-ясни насоки от Генерална дирекция по финанси относно правилното тълкуване на правилата за бюджетна позиция 400, за да се избегне несъответствие между съображенията на външните одитори и Генерална дирекция по финанси, по-специално във връзка с възлагането на обществени поръчки, както и да предостави на групите повече обучение и подкрепа за възлагането на обществени поръчки;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Селин Имар, 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32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32б.</w:t>
            </w:r>
            <w:r>
              <w:tab/>
            </w:r>
            <w:r>
              <w:rPr>
                <w:b/>
                <w:i/>
              </w:rPr>
              <w:t>призовава Комисията да прилага по-строги правила за прозрачност по отношение на средствата на ЕС, отпускани на трети държави, по-специално за по-успешно предотвратяване на тежки престъпления, насилие, тероризъм и злоупотреба със средства на ЕС, и незабавно да прекратява договорите, когато има доказателства за това;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подчертава, че </w:t>
            </w:r>
            <w:r>
              <w:rPr>
                <w:b/>
                <w:i/>
              </w:rPr>
              <w:t>в момент, когато европейските институции редовно обсъждат въвеждането на</w:t>
            </w:r>
            <w:r>
              <w:t xml:space="preserve"> нови собствени ресурси</w:t>
            </w:r>
            <w:r>
              <w:rPr>
                <w:b/>
                <w:i/>
              </w:rPr>
              <w:t>,</w:t>
            </w:r>
            <w:r>
              <w:t xml:space="preserve"> следва да се </w:t>
            </w:r>
            <w:r>
              <w:rPr>
                <w:b/>
                <w:i/>
              </w:rPr>
              <w:t>отдава приоритет на</w:t>
            </w:r>
            <w:r>
              <w:t xml:space="preserve"> по-доброто разкриване на измами </w:t>
            </w:r>
            <w:r>
              <w:rPr>
                <w:b/>
                <w:i/>
              </w:rPr>
              <w:t>чрез засилен контрол</w:t>
            </w:r>
            <w:r>
              <w:t>, което би позволило възстановяването на средства, които са законно дължими на ЕС, но които понастоящем са загубени;</w:t>
            </w:r>
          </w:p>
        </w:tc>
        <w:tc>
          <w:tcPr>
            <w:tcW w:w="4876" w:type="dxa"/>
            <w:tcBorders>
              <w:top w:val="nil"/>
              <w:left w:val="nil"/>
              <w:bottom w:val="nil"/>
              <w:right w:val="nil"/>
            </w:tcBorders>
          </w:tcPr>
          <w:p>
            <w:pPr>
              <w:pStyle w:val="Normal6a"/>
            </w:pPr>
            <w:r>
              <w:t>33.</w:t>
            </w:r>
            <w:r>
              <w:tab/>
            </w:r>
            <w:r>
              <w:t xml:space="preserve">подчертава, че </w:t>
            </w:r>
            <w:r>
              <w:rPr>
                <w:b/>
                <w:i/>
              </w:rPr>
              <w:t>успоредно с текущите дискусии относно</w:t>
            </w:r>
            <w:r>
              <w:t xml:space="preserve"> нови собствени ресурси </w:t>
            </w:r>
            <w:r>
              <w:rPr>
                <w:b/>
                <w:i/>
              </w:rPr>
              <w:t>усилията</w:t>
            </w:r>
            <w:r>
              <w:t xml:space="preserve"> следва да се </w:t>
            </w:r>
            <w:r>
              <w:rPr>
                <w:b/>
                <w:i/>
              </w:rPr>
              <w:t>съсредоточат и върху</w:t>
            </w:r>
            <w:r>
              <w:t xml:space="preserve"> по-доброто разкриване</w:t>
            </w:r>
            <w:r>
              <w:rPr>
                <w:b/>
                <w:i/>
              </w:rPr>
              <w:t>, предотвратяване и контрол</w:t>
            </w:r>
            <w:r>
              <w:t xml:space="preserve"> на измами, което би позволило възстановяването на средства, които са законно дължими на ЕС, но които понастоящем са загубени;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подчертава, че в момент, когато европейските институции редовно обсъждат въвеждането на нови собствени ресурси, следва да се отдава приоритет на по-доброто разкриване на измами чрез засилен контрол, което би позволило възстановяването на средства, които са законно дължими на ЕС, но които понастоящем са загубени;</w:t>
            </w:r>
          </w:p>
        </w:tc>
        <w:tc>
          <w:tcPr>
            <w:tcW w:w="4876" w:type="dxa"/>
            <w:tcBorders>
              <w:top w:val="nil"/>
              <w:left w:val="nil"/>
              <w:bottom w:val="nil"/>
              <w:right w:val="nil"/>
            </w:tcBorders>
          </w:tcPr>
          <w:p>
            <w:pPr>
              <w:pStyle w:val="Normal6a"/>
            </w:pPr>
            <w:r>
              <w:t>33.</w:t>
            </w:r>
            <w:r>
              <w:tab/>
            </w:r>
            <w:r>
              <w:t xml:space="preserve">подчертава, че в момент, когато европейските институции редовно обсъждат въвеждането на нови собствени ресурси, следва да се отдава приоритет на по-доброто разкриване на измами чрез засилен контрол, което би позволило възстановяването на средства, които са законно дължими на ЕС, но които понастоящем са загубени; </w:t>
            </w:r>
            <w:r>
              <w:rPr>
                <w:b/>
                <w:i/>
              </w:rPr>
              <w:t>счита, че дебатът относно новите собствени ресурси следва да бъде придружен от строг анализ на потенциала за възстановяване на приходи, които понастоящем са загубени поради измами и отклонения от данъчното облагане, и че засилването на защитата на съществуващите приходи представлява пряко и устойчиво средство за укрепване на бюджета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Дик Ериксон, Берт-Ян Ройсен, 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подчертава, че в момент, когато европейските институции редовно обсъждат въвеждането на нови собствени ресурси, следва да се отдава приоритет на по-доброто разкриване на измами чрез засилен контрол, което би позволило възстановяването на средства, които са законно дължими на ЕС, но които понастоящем са загубени;</w:t>
            </w:r>
          </w:p>
        </w:tc>
        <w:tc>
          <w:tcPr>
            <w:tcW w:w="4876" w:type="dxa"/>
            <w:tcBorders>
              <w:top w:val="nil"/>
              <w:left w:val="nil"/>
              <w:bottom w:val="nil"/>
              <w:right w:val="nil"/>
            </w:tcBorders>
          </w:tcPr>
          <w:p>
            <w:pPr>
              <w:pStyle w:val="Normal6a"/>
            </w:pPr>
            <w:r>
              <w:t>33.</w:t>
            </w:r>
            <w:r>
              <w:tab/>
            </w:r>
            <w:r>
              <w:t xml:space="preserve">подчертава, че в момент, когато европейските институции редовно обсъждат въвеждането на нови собствени ресурси, следва да се отдава приоритет на по-доброто разкриване на измами чрез засилен контрол, което би позволило възстановяването на средства, които са законно дължими на ЕС, но които понастоящем са загубени; </w:t>
            </w:r>
            <w:r>
              <w:rPr>
                <w:b/>
                <w:i/>
              </w:rPr>
              <w:t>припомня, че всяко евро, възстановено чрез ефективни мерки за борба с измамите, е евро, което не е необходимо да се събира чрез допълнително данъчно облагане на гражданите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подчертава, че в момент, когато европейските институции редовно обсъждат въвеждането на нови собствени ресурси, следва да се отдава приоритет на по-доброто разкриване на измами чрез засилен контрол</w:t>
            </w:r>
            <w:r>
              <w:rPr>
                <w:b/>
                <w:i/>
              </w:rPr>
              <w:t>, което би позволило възстановяването</w:t>
            </w:r>
            <w:r>
              <w:t xml:space="preserve"> на средства, </w:t>
            </w:r>
            <w:r>
              <w:rPr>
                <w:b/>
                <w:i/>
              </w:rPr>
              <w:t>които са законно дължими</w:t>
            </w:r>
            <w:r>
              <w:t xml:space="preserve"> на ЕС</w:t>
            </w:r>
            <w:r>
              <w:rPr>
                <w:b/>
                <w:i/>
              </w:rPr>
              <w:t>, но които понастоящем са загубени</w:t>
            </w:r>
            <w:r>
              <w:t>;</w:t>
            </w:r>
          </w:p>
        </w:tc>
        <w:tc>
          <w:tcPr>
            <w:tcW w:w="4876" w:type="dxa"/>
            <w:tcBorders>
              <w:top w:val="nil"/>
              <w:left w:val="nil"/>
              <w:bottom w:val="nil"/>
              <w:right w:val="nil"/>
            </w:tcBorders>
          </w:tcPr>
          <w:p>
            <w:pPr>
              <w:pStyle w:val="Normal6a"/>
            </w:pPr>
            <w:r>
              <w:t>33.</w:t>
            </w:r>
            <w:r>
              <w:tab/>
            </w:r>
            <w:r>
              <w:t xml:space="preserve">подчертава, че в момент, когато европейските институции редовно обсъждат въвеждането на нови собствени ресурси, следва да се отдава приоритет на по-доброто </w:t>
            </w:r>
            <w:r>
              <w:rPr>
                <w:b/>
                <w:i/>
              </w:rPr>
              <w:t>предотвратяване и</w:t>
            </w:r>
            <w:r>
              <w:t xml:space="preserve"> разкриване на измами чрез засилен контрол</w:t>
            </w:r>
            <w:r>
              <w:rPr>
                <w:b/>
                <w:i/>
              </w:rPr>
              <w:t>;</w:t>
            </w:r>
            <w:r>
              <w:t xml:space="preserve"> </w:t>
            </w:r>
            <w:r>
              <w:rPr>
                <w:b/>
                <w:i/>
              </w:rPr>
              <w:t>подобряване на ефективността на действията по възстановяване</w:t>
            </w:r>
            <w:r>
              <w:t xml:space="preserve"> на средства, </w:t>
            </w:r>
            <w:r>
              <w:rPr>
                <w:b/>
                <w:i/>
              </w:rPr>
              <w:t>за да се избегне загуба на приходи</w:t>
            </w:r>
            <w:r>
              <w:t xml:space="preserve"> на ЕС</w:t>
            </w:r>
            <w:r>
              <w:rPr>
                <w:b/>
                <w:i/>
              </w:rPr>
              <w:t>;</w:t>
            </w:r>
            <w:r>
              <w:t xml:space="preserve"> </w:t>
            </w:r>
            <w:r>
              <w:rPr>
                <w:b/>
                <w:i/>
              </w:rPr>
              <w:t>увеличаване на размера на традиционните собствени ресурси, предоставяни на бюджета на ЕС</w:t>
            </w:r>
            <w:r>
              <w:t xml:space="preserve">; </w:t>
            </w:r>
            <w:r>
              <w:rPr>
                <w:b/>
                <w:i/>
              </w:rPr>
              <w:t>както и намаляване на разликата между потенциалните и реално събраните приходи от ДДС;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33а.</w:t>
            </w:r>
            <w:r>
              <w:tab/>
            </w:r>
            <w:r>
              <w:rPr>
                <w:b/>
                <w:i/>
              </w:rPr>
              <w:t>подчертава, че укрепването на собствените ресурси и подобряването на разкриването на измами са допълващи се цели;</w:t>
            </w:r>
            <w:r>
              <w:t xml:space="preserve"> </w:t>
            </w:r>
            <w:r>
              <w:rPr>
                <w:b/>
                <w:i/>
              </w:rPr>
              <w:t>призовава Комисията да засили контрола и правоприлагането, за да се намалят загубите на приходи и да се гарантира, че пропуските в ДДС и митниците се преодоляват ефективно, като същевременно продължи работата по справедлива и устойчива система на собствените ресурси;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подчертава, че ДДС продължава да бъде основен ресурс за бюджета на ЕС</w:t>
            </w:r>
            <w:r>
              <w:rPr>
                <w:vertAlign w:val="superscript"/>
              </w:rPr>
              <w:t>24</w:t>
            </w:r>
            <w:r>
              <w:rPr>
                <w:b/>
                <w:i/>
              </w:rPr>
              <w:t>,</w:t>
            </w:r>
            <w:r>
              <w:t xml:space="preserve"> и отново изразява своята загриженост относно значителните финансови щети, причинени от трансгранични измами, включително и измами с ДДС</w:t>
            </w:r>
            <w:r>
              <w:rPr>
                <w:b/>
                <w:i/>
              </w:rPr>
              <w:t>, поради нарастващото</w:t>
            </w:r>
            <w:r>
              <w:t xml:space="preserve"> участие на </w:t>
            </w:r>
            <w:r>
              <w:rPr>
                <w:b/>
                <w:i/>
              </w:rPr>
              <w:t>организирани престъпни</w:t>
            </w:r>
            <w:r>
              <w:t xml:space="preserve"> групи; подчертава, че в края на 2024 г. Европейската прокуратура е докладвала за 767 активни разследвания с трансгранично измерение, от които 573 (74%) са свързани с приходи, включително 416 разследвания за измами с ДДС, 86 разследвания за несвързани с ДДС измами и 71 разследвания за комбинирани измами; отбелязва, че предполагаемите общи финансови щети възлизат на 13,6 милиарда евро, което представлява 87% от финансовите щети, свързани с трансгранични измами, и което оказва значително неблагоприятно въздействие върху националните бюджети, данъчната справедливост и лоялната конкуренция; счита обаче, че анализът и количественото определяне на тези явления следва да се основават на хомогенни данни и на единни стандарти за докладване, като се взема предвид системата на собствените ресурси на Съюза;</w:t>
            </w:r>
          </w:p>
        </w:tc>
        <w:tc>
          <w:tcPr>
            <w:tcW w:w="4876" w:type="dxa"/>
            <w:tcBorders>
              <w:top w:val="nil"/>
              <w:left w:val="nil"/>
              <w:bottom w:val="nil"/>
              <w:right w:val="nil"/>
            </w:tcBorders>
          </w:tcPr>
          <w:p>
            <w:pPr>
              <w:pStyle w:val="Normal6a"/>
            </w:pPr>
            <w:r>
              <w:t>34.</w:t>
            </w:r>
            <w:r>
              <w:tab/>
            </w:r>
            <w:r>
              <w:t>подчертава, че ДДС продължава да бъде основен ресурс за бюджета на ЕС</w:t>
            </w:r>
            <w:r>
              <w:rPr>
                <w:vertAlign w:val="superscript"/>
              </w:rPr>
              <w:t>24</w:t>
            </w:r>
            <w:r>
              <w:t xml:space="preserve"> и отново изразява своята загриженост относно значителните финансови щети, причинени от трансгранични измами, включително и измами с ДДС</w:t>
            </w:r>
            <w:r>
              <w:rPr>
                <w:b/>
                <w:i/>
              </w:rPr>
              <w:t>;</w:t>
            </w:r>
            <w:r>
              <w:t xml:space="preserve"> </w:t>
            </w:r>
            <w:r>
              <w:rPr>
                <w:b/>
                <w:i/>
              </w:rPr>
              <w:t>счита, че мащабът и сложността на измамите, засягащи финансовите интереси на Съюза, по-специално по отношение на приходната част на бюджета, показват значителното</w:t>
            </w:r>
            <w:r>
              <w:t xml:space="preserve"> участие на групи </w:t>
            </w:r>
            <w:r>
              <w:rPr>
                <w:b/>
                <w:i/>
              </w:rPr>
              <w:t>на тежката и организираната престъпност</w:t>
            </w:r>
            <w:r>
              <w:t>; подчертава, че в края на 2024 г. Европейската прокуратура е докладвала за 767 активни разследвания с трансгранично измерение, от които 573 (74%) са свързани с приходи, включително 416 разследвания за измами с ДДС, 86 разследвания за несвързани с ДДС измами и 71 разследвания за комбинирани измами; отбелязва, че предполагаемите общи финансови щети възлизат на 13,6 милиарда евро, което представлява 87% от финансовите щети, свързани с трансгранични измами, и което оказва значително неблагоприятно въздействие върху националните бюджети, данъчната справедливост и лоялната конкуренция; счита обаче, че анализът и количественото определяне на тези явления следва да се основават на хомогенни данни и на единни стандарти за докладване, като се взема предвид системата на собствените ресурси на Съюза;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в системата на собствените ресурси на ЕС ДДС се основава на ставка от 0,3%, прилагана към хармонизираната база за ДДС на всяка държава от ЕС (намалена до 0,15% за няколко държави членки), която е ограничена до 50% от брутния ѝ национален доход (БНД): само този процент (0,15 – 0,30%) от общия ДДС, събиран от държавите членки, се прехвърля към бюджета на Съюза</w:t>
            </w:r>
            <w:r>
              <w:rPr>
                <w:b/>
                <w:i/>
              </w:rPr>
              <w:t>;</w:t>
            </w:r>
            <w:r>
              <w:t xml:space="preserve"> като цяло в последния бюджет на Съюза собственият ресурс на база ДДС съставляваше около 10 – 17% от общите собствени ресурси на ЕС;</w:t>
            </w:r>
          </w:p>
        </w:tc>
        <w:tc>
          <w:tcPr>
            <w:tcW w:w="4876" w:type="dxa"/>
            <w:tcBorders>
              <w:top w:val="nil"/>
              <w:left w:val="nil"/>
              <w:bottom w:val="nil"/>
              <w:right w:val="nil"/>
            </w:tcBorders>
          </w:tcPr>
          <w:p>
            <w:pPr>
              <w:pStyle w:val="Normal6a"/>
            </w:pPr>
            <w:r>
              <w:rPr>
                <w:vertAlign w:val="superscript"/>
              </w:rPr>
              <w:t>24</w:t>
            </w:r>
            <w:r>
              <w:t xml:space="preserve"> </w:t>
            </w:r>
            <w:r>
              <w:t>В системата на собствените ресурси на ЕС ДДС се основава на ставка от 0,3%, прилагана към хармонизираната база за ДДС на всяка държава от ЕС (намалена до 0,15% за няколко държави членки), която е ограничена до 50% от брутния ѝ национален доход (БНД): само този процент (0,15 – 0,30%) от общия ДДС, събиран от държавите членки, се прехвърля към бюджета на Съюза</w:t>
            </w:r>
            <w:r>
              <w:rPr>
                <w:b/>
                <w:i/>
              </w:rPr>
              <w:t>.</w:t>
            </w:r>
            <w:r>
              <w:t xml:space="preserve"> Като цяло в последния бюджет на Съюза собственият ресурс на база ДДС съставляваше около 10 – 17% от общите собствени ресурси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подчертава, че ДДС продължава да бъде основен ресурс за бюджета на ЕС</w:t>
            </w:r>
            <w:r>
              <w:rPr>
                <w:vertAlign w:val="superscript"/>
              </w:rPr>
              <w:t>24</w:t>
            </w:r>
            <w:r>
              <w:rPr>
                <w:b/>
                <w:i/>
              </w:rPr>
              <w:t>,</w:t>
            </w:r>
            <w:r>
              <w:t xml:space="preserve"> и отново изразява своята загриженост относно значителните финансови щети, причинени от трансгранични измами, включително и измами с ДДС, поради нарастващото участие на организирани престъпни групи; подчертава, че в края на 2024 г. Европейската прокуратура е докладвала за 767 активни разследвания с трансгранично измерение, от които 573 (74%) са свързани с приходи, включително 416 разследвания за измами с ДДС, 86 разследвания за несвързани с ДДС измами и 71 разследвания за комбинирани измами; отбелязва, че предполагаемите общи финансови щети възлизат на 13,6 милиарда евро, което представлява 87% от финансовите щети, свързани с трансгранични измами, и което оказва значително неблагоприятно въздействие върху националните бюджети, данъчната справедливост и лоялната конкуренция; счита обаче, че анализът и количественото определяне на тези явления следва да се основават на хомогенни данни и на единни стандарти за докладване, като се взема предвид системата на собствените ресурси на Съюза;</w:t>
            </w:r>
          </w:p>
        </w:tc>
        <w:tc>
          <w:tcPr>
            <w:tcW w:w="4876" w:type="dxa"/>
            <w:tcBorders>
              <w:top w:val="nil"/>
              <w:left w:val="nil"/>
              <w:bottom w:val="nil"/>
              <w:right w:val="nil"/>
            </w:tcBorders>
          </w:tcPr>
          <w:p>
            <w:pPr>
              <w:pStyle w:val="Normal6a"/>
            </w:pPr>
            <w:r>
              <w:t>34.</w:t>
            </w:r>
            <w:r>
              <w:tab/>
            </w:r>
            <w:r>
              <w:t>подчертава, че ДДС продължава да бъде основен ресурс за бюджета на ЕС</w:t>
            </w:r>
            <w:r>
              <w:rPr>
                <w:vertAlign w:val="superscript"/>
              </w:rPr>
              <w:t>24</w:t>
            </w:r>
            <w:r>
              <w:t xml:space="preserve"> и отново изразява своята загриженост относно значителните финансови щети, причинени от трансгранични измами, включително и измами с ДДС, поради нарастващото участие на организирани престъпни групи; подчертава, че в края на 2024 г. Европейската прокуратура е докладвала за 767 активни разследвания с трансгранично измерение, от които 573 (74%) са свързани с приходи, включително 416 разследвания за измами с ДДС, 86 разследвания за несвързани с ДДС измами и 71 разследвания за комбинирани измами; отбелязва, че предполагаемите общи финансови щети възлизат на 13,6 милиарда евро, което представлява 87% от финансовите щети, свързани с трансгранични измами, и което оказва значително неблагоприятно въздействие върху националните бюджети, данъчната справедливост и лоялната конкуренция; счита обаче, че анализът и количественото определяне на тези явления следва да се основават на хомогенни данни и на единни стандарти за докладване, като се взема предвид системата на собствените ресурси на Съюза</w:t>
            </w:r>
            <w:r>
              <w:rPr>
                <w:b/>
                <w:i/>
              </w:rPr>
              <w:t>, по-специално при количественото определяне на финансовото въздействие на дейностите на Европейската прокуратура и очакванията за възстановяване</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в системата на собствените ресурси на ЕС ДДС се основава на ставка от 0,3%, прилагана към хармонизираната база за ДДС на всяка държава от ЕС (намалена до 0,15% за няколко държави членки), която е ограничена до 50% от брутния ѝ национален доход (БНД): само този процент (0,15 – 0,30%) от общия ДДС, събиран от държавите членки, се прехвърля към бюджета на Съюза</w:t>
            </w:r>
            <w:r>
              <w:rPr>
                <w:b/>
                <w:i/>
              </w:rPr>
              <w:t>;</w:t>
            </w:r>
            <w:r>
              <w:t xml:space="preserve"> като цяло в последния бюджет на Съюза собственият ресурс на база ДДС съставляваше около 10 – 17% от общите собствени ресурси на ЕС;</w:t>
            </w:r>
          </w:p>
        </w:tc>
        <w:tc>
          <w:tcPr>
            <w:tcW w:w="4876" w:type="dxa"/>
            <w:tcBorders>
              <w:top w:val="nil"/>
              <w:left w:val="nil"/>
              <w:bottom w:val="nil"/>
              <w:right w:val="nil"/>
            </w:tcBorders>
          </w:tcPr>
          <w:p>
            <w:pPr>
              <w:pStyle w:val="Normal6a"/>
            </w:pPr>
            <w:r>
              <w:rPr>
                <w:vertAlign w:val="superscript"/>
              </w:rPr>
              <w:t>24</w:t>
            </w:r>
            <w:r>
              <w:t xml:space="preserve"> </w:t>
            </w:r>
            <w:r>
              <w:t>В системата на собствените ресурси на ЕС ДДС се основава на ставка от 0,3%, прилагана към хармонизираната база за ДДС на всяка държава от ЕС (намалена до 0,15% за няколко държави членки), която е ограничена до 50% от брутния ѝ национален доход (БНД): само този процент (0,15 – 0,30%) от общия ДДС, събиран от държавите членки, се прехвърля към бюджета на Съюза</w:t>
            </w:r>
            <w:r>
              <w:rPr>
                <w:b/>
                <w:i/>
              </w:rPr>
              <w:t>.</w:t>
            </w:r>
            <w:r>
              <w:t xml:space="preserve"> Като цяло в последния бюджет на Съюза собственият ресурс на база ДДС съставляваше около 10 – 17% от общите собствени ресурси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34а.</w:t>
            </w:r>
            <w:r>
              <w:tab/>
            </w:r>
            <w:r>
              <w:rPr>
                <w:b/>
                <w:i/>
              </w:rPr>
              <w:t>счита, че с оглед на непропорционалното финансово въздействие на измамите върху приходите, по-специално в областта на ДДС и митниците, защитата на приходите на Съюза следва да се превърне в стратегически приоритет на архитектурата за борба с измамите, отразена както в разпределението на ресурсите, така и в оперативното планиране на компетентните участници на равнището на Съюза и на национално равнище;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34а.</w:t>
            </w:r>
            <w:r>
              <w:tab/>
            </w:r>
            <w:r>
              <w:rPr>
                <w:b/>
                <w:i/>
              </w:rPr>
              <w:t>призовава ЕС да насърчава приемането във всички държави членки на по-справедлива система на прогресивно данъчно облагане, създаването на данък върху нетното богатство, пропорционално данъчно облагане на корпоративните печалби и да увеличи усилията за прекратяване на избягването на данъци и отклонението от данъчно облагане;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отбелязва необходимостта от засилване на оперативното сътрудничество между Европейската прокуратура, OLAF, митническите и данъчните органи на държавите членки и европейските правоприлагащи органи; подчертава, че разкритите мащабни митнически измами и измами с ДДС показват трайни пропуски по веригата за контрол — от митническото оформяне до разпространението на стоки в рамките на вътрешния пазар; счита, че по-строгият надзор на високорисковия внос и по-добрият обмен на данни в реално време са ключови предпоставки за предотвратяване на повторното възникване на системни измами в такъв мащаб; отбелязва по-специално, че много пристанища в Европа са уязвими места, които застрашават защитата на финансовите интереси на Съюза, и че следва да се стартира мащабен план за повишаване на безопасността и контрола на тези точки за достъп, като следва да се има предвид, че средствата, предназначени за техния надзор, водят до разходи, но същевременно позволяват реализирането на допълнителни, а понякога и значителни, приходи;</w:t>
            </w:r>
          </w:p>
        </w:tc>
        <w:tc>
          <w:tcPr>
            <w:tcW w:w="4876" w:type="dxa"/>
            <w:tcBorders>
              <w:top w:val="nil"/>
              <w:left w:val="nil"/>
              <w:bottom w:val="nil"/>
              <w:right w:val="nil"/>
            </w:tcBorders>
          </w:tcPr>
          <w:p>
            <w:pPr>
              <w:pStyle w:val="Normal6a"/>
            </w:pPr>
            <w:r>
              <w:t>36.</w:t>
            </w:r>
            <w:r>
              <w:tab/>
            </w:r>
            <w:r>
              <w:t xml:space="preserve">отбелязва необходимостта от засилване на оперативното сътрудничество между Европейската прокуратура, OLAF, митническите и данъчните органи на държавите членки и европейските правоприлагащи органи; подчертава, че разкритите мащабни митнически измами и измами с ДДС показват трайни пропуски по веригата за контрол — от митническото оформяне до разпространението на стоки в рамките на вътрешния пазар; счита, че по-строгият надзор на високорисковия внос и по-добрият обмен на данни в реално време са ключови предпоставки за предотвратяване на повторното възникване на системни измами в такъв мащаб; отбелязва по-специално, че много пристанища в Европа са уязвими места, които застрашават защитата на финансовите интереси на Съюза, и че следва да се стартира мащабен план за повишаване на безопасността и контрола на тези точки за достъп, като следва да се има предвид, че средствата, предназначени за техния надзор, водят до разходи, но същевременно позволяват реализирането на допълнителни, а понякога и значителни, приходи; </w:t>
            </w:r>
            <w:r>
              <w:rPr>
                <w:b/>
                <w:i/>
              </w:rPr>
              <w:t>подчертава, че по-добрият контрол и подобреното събиране на съществуващи приходи следва да вървят ръка за ръка с дискусии относно новите собствени ресурси;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счита, че при оценката на моделите за изпълнение на разходите на ЕС следва да се отчита излагането на рискове от измами и други злоупотреби; изразява съжаление за това, че многократно отправяните от Парламента и от Сметната палата забележки, основани на проектирането и прилагането на МВУ, </w:t>
            </w:r>
            <w:r>
              <w:rPr>
                <w:b/>
                <w:i/>
              </w:rPr>
              <w:t>бяха пренебрегнати</w:t>
            </w:r>
            <w:r>
              <w:t xml:space="preserve"> при предложения проект за бъдещи финансови инструменти на ЕС, по-специално в МФР за периода след 2027 г.; подчертава, че при прилагането на МВУ бяха установени някои слабости, включително рискове от измами и двойно финансиране, липса на прозрачност</w:t>
            </w:r>
            <w:r>
              <w:rPr>
                <w:b/>
                <w:i/>
              </w:rPr>
              <w:t>,</w:t>
            </w:r>
            <w:r>
              <w:t xml:space="preserve"> ограничена достъпност на данните и </w:t>
            </w:r>
            <w:r>
              <w:rPr>
                <w:b/>
                <w:i/>
              </w:rPr>
              <w:t>непрозрачно цялостно управление, и че те е трябвало</w:t>
            </w:r>
            <w:r>
              <w:t xml:space="preserve"> да послужат като урок за бъдещите финансови рамки на ЕС; </w:t>
            </w:r>
            <w:r>
              <w:rPr>
                <w:b/>
                <w:i/>
              </w:rPr>
              <w:t>отново се противопоставя на възпроизвеждането на модела на МВУ в сегашния му вид и призовава</w:t>
            </w:r>
            <w:r>
              <w:t xml:space="preserve"> всяко бъдещо финансиране, основано на резултатите, да бъде </w:t>
            </w:r>
            <w:r>
              <w:rPr>
                <w:b/>
                <w:i/>
              </w:rPr>
              <w:t>обезпечено със значително по-силни</w:t>
            </w:r>
            <w:r>
              <w:t xml:space="preserve"> гаранции, изисквания за прозрачност и механизми за предотвратяване на измамите, за да се гарантира правилното управление на средствата на ЕС;</w:t>
            </w:r>
          </w:p>
        </w:tc>
        <w:tc>
          <w:tcPr>
            <w:tcW w:w="4876" w:type="dxa"/>
            <w:tcBorders>
              <w:top w:val="nil"/>
              <w:left w:val="nil"/>
              <w:bottom w:val="nil"/>
              <w:right w:val="nil"/>
            </w:tcBorders>
          </w:tcPr>
          <w:p>
            <w:pPr>
              <w:pStyle w:val="Normal6a"/>
            </w:pPr>
            <w:r>
              <w:t>37.</w:t>
            </w:r>
            <w:r>
              <w:tab/>
            </w:r>
            <w:r>
              <w:t xml:space="preserve">счита, че при оценката на моделите за изпълнение на разходите на ЕС следва да се отчита излагането на рискове от измами и други злоупотреби; изразява съжаление за това, че многократно отправяните от Парламента и от Сметната палата забележки, основани на проектирането и прилагането на МВУ, </w:t>
            </w:r>
            <w:r>
              <w:rPr>
                <w:b/>
                <w:i/>
              </w:rPr>
              <w:t>не са били разгледани в достатъчна степен</w:t>
            </w:r>
            <w:r>
              <w:t xml:space="preserve"> при предложения проект за бъдещи финансови инструменти на ЕС, по-специално в МФР за периода след 2027 г.; подчертава, че при прилагането на МВУ бяха установени някои слабости, включително рискове от измами и двойно финансиране, липса на прозрачност </w:t>
            </w:r>
            <w:r>
              <w:rPr>
                <w:b/>
                <w:i/>
              </w:rPr>
              <w:t>и</w:t>
            </w:r>
            <w:r>
              <w:t xml:space="preserve"> ограничена достъпност на данните и </w:t>
            </w:r>
            <w:r>
              <w:rPr>
                <w:b/>
                <w:i/>
              </w:rPr>
              <w:t>че тези пропуски следва</w:t>
            </w:r>
            <w:r>
              <w:t xml:space="preserve"> да послужат като урок за </w:t>
            </w:r>
            <w:r>
              <w:rPr>
                <w:b/>
                <w:i/>
              </w:rPr>
              <w:t>подобряването на проектирането и управлението на</w:t>
            </w:r>
            <w:r>
              <w:t xml:space="preserve"> бъдещите финансови рамки на ЕС; </w:t>
            </w:r>
            <w:r>
              <w:rPr>
                <w:b/>
                <w:i/>
              </w:rPr>
              <w:t>припомня, че МВУ е извънреден и временен инструмент;</w:t>
            </w:r>
            <w:r>
              <w:t xml:space="preserve"> </w:t>
            </w:r>
            <w:r>
              <w:rPr>
                <w:b/>
                <w:i/>
              </w:rPr>
              <w:t>изтъква, че</w:t>
            </w:r>
            <w:r>
              <w:t xml:space="preserve"> всяко бъдещо финансиране, основано на резултатите, </w:t>
            </w:r>
            <w:r>
              <w:rPr>
                <w:b/>
                <w:i/>
              </w:rPr>
              <w:t>следва да надгражда тези поуки и</w:t>
            </w:r>
            <w:r>
              <w:t xml:space="preserve"> да бъде </w:t>
            </w:r>
            <w:r>
              <w:rPr>
                <w:b/>
                <w:i/>
              </w:rPr>
              <w:t>придружено от подходящи</w:t>
            </w:r>
            <w:r>
              <w:t xml:space="preserve"> гаранции, изисквания за прозрачност и механизми за предотвратяване на измамите, за да се гарантира правилното управление на средствата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счита, че при оценката на моделите за изпълнение на разходите на ЕС следва да се отчита излагането на рискове от измами и други злоупотреби; </w:t>
            </w:r>
            <w:r>
              <w:rPr>
                <w:b/>
                <w:i/>
              </w:rPr>
              <w:t>изразява съжаление за това, че многократно отправяните</w:t>
            </w:r>
            <w:r>
              <w:t xml:space="preserve"> от Парламента и </w:t>
            </w:r>
            <w:r>
              <w:rPr>
                <w:b/>
                <w:i/>
              </w:rPr>
              <w:t>от</w:t>
            </w:r>
            <w:r>
              <w:t xml:space="preserve"> Сметната палата </w:t>
            </w:r>
            <w:r>
              <w:rPr>
                <w:b/>
                <w:i/>
              </w:rPr>
              <w:t>забележки, основани на</w:t>
            </w:r>
            <w:r>
              <w:t xml:space="preserve"> проектирането и прилагането на МВУ</w:t>
            </w:r>
            <w:r>
              <w:rPr>
                <w:b/>
                <w:i/>
              </w:rPr>
              <w:t>, бяха пренебрегнати при предложения проект за бъдещи финансови инструменти на ЕС, по-специално в МФР за периода след 2027 г.;</w:t>
            </w:r>
            <w:r>
              <w:t xml:space="preserve"> </w:t>
            </w:r>
            <w:r>
              <w:rPr>
                <w:b/>
                <w:i/>
              </w:rPr>
              <w:t>подчертава, че при прилагането на МВУ бяха установени някои слабости</w:t>
            </w:r>
            <w:r>
              <w:t xml:space="preserve">, включително рискове от измами и двойно финансиране, липса на прозрачност, ограничена достъпност на данните </w:t>
            </w:r>
            <w:r>
              <w:rPr>
                <w:b/>
                <w:i/>
              </w:rPr>
              <w:t>и непрозрачно цялостно управление, и че те е трябвало да послужат като урок за бъдещите финансови рамки на ЕС;</w:t>
            </w:r>
            <w:r>
              <w:t xml:space="preserve"> </w:t>
            </w:r>
            <w:r>
              <w:rPr>
                <w:b/>
                <w:i/>
              </w:rPr>
              <w:t>отново се противопоставя на възпроизвеждането на модела на МВУ в сегашния му вид и</w:t>
            </w:r>
            <w:r>
              <w:t xml:space="preserve"> призовава </w:t>
            </w:r>
            <w:r>
              <w:rPr>
                <w:b/>
                <w:i/>
              </w:rPr>
              <w:t>всяко бъдещо финансиране, основано на резултатите, да бъде обезпечено със</w:t>
            </w:r>
            <w:r>
              <w:t xml:space="preserve"> значително по-силни гаранции, изисквания за прозрачност </w:t>
            </w:r>
            <w:r>
              <w:rPr>
                <w:b/>
                <w:i/>
              </w:rPr>
              <w:t>и механизми за предотвратяване на измамите</w:t>
            </w:r>
            <w:r>
              <w:t xml:space="preserve">, </w:t>
            </w:r>
            <w:r>
              <w:rPr>
                <w:b/>
                <w:i/>
              </w:rPr>
              <w:t>за да се гарантира правилното управление на средствата на ЕС</w:t>
            </w:r>
            <w:r>
              <w:t>;</w:t>
            </w:r>
          </w:p>
        </w:tc>
        <w:tc>
          <w:tcPr>
            <w:tcW w:w="4876" w:type="dxa"/>
            <w:tcBorders>
              <w:top w:val="nil"/>
              <w:left w:val="nil"/>
              <w:bottom w:val="nil"/>
              <w:right w:val="nil"/>
            </w:tcBorders>
          </w:tcPr>
          <w:p>
            <w:pPr>
              <w:pStyle w:val="Normal6a"/>
            </w:pPr>
            <w:r>
              <w:t>37.</w:t>
            </w:r>
            <w:r>
              <w:tab/>
            </w:r>
            <w:r>
              <w:t xml:space="preserve">счита, че при оценката на моделите за изпълнение на разходите на ЕС следва да се отчита излагането на рискове от измами и други злоупотреби; </w:t>
            </w:r>
            <w:r>
              <w:rPr>
                <w:b/>
                <w:i/>
              </w:rPr>
              <w:t>подчертава, че недостатъците, допуснати</w:t>
            </w:r>
            <w:r>
              <w:t xml:space="preserve"> от Парламента и Сметната палата </w:t>
            </w:r>
            <w:r>
              <w:rPr>
                <w:b/>
                <w:i/>
              </w:rPr>
              <w:t>при</w:t>
            </w:r>
            <w:r>
              <w:t xml:space="preserve"> проектирането и прилагането на МВУ, включително рискове от измами и двойно финансиране, липса на прозрачност </w:t>
            </w:r>
            <w:r>
              <w:rPr>
                <w:b/>
                <w:i/>
              </w:rPr>
              <w:t>и недостатъчна проследимост на крайните получатели</w:t>
            </w:r>
            <w:r>
              <w:t xml:space="preserve">, </w:t>
            </w:r>
            <w:r>
              <w:rPr>
                <w:b/>
                <w:i/>
              </w:rPr>
              <w:t>както и</w:t>
            </w:r>
            <w:r>
              <w:t xml:space="preserve"> ограничена достъпност на данните</w:t>
            </w:r>
            <w:r>
              <w:rPr>
                <w:b/>
                <w:i/>
              </w:rPr>
              <w:t>, следва да бъдат разгледани в бъдещата МФР;</w:t>
            </w:r>
            <w:r>
              <w:t xml:space="preserve"> призовава </w:t>
            </w:r>
            <w:r>
              <w:rPr>
                <w:b/>
                <w:i/>
              </w:rPr>
              <w:t>за</w:t>
            </w:r>
            <w:r>
              <w:t xml:space="preserve"> значително по-силни гаранции, </w:t>
            </w:r>
            <w:r>
              <w:rPr>
                <w:b/>
                <w:i/>
              </w:rPr>
              <w:t>надеждна проверимост и приложими</w:t>
            </w:r>
            <w:r>
              <w:t xml:space="preserve"> изисквания за прозрачност </w:t>
            </w:r>
            <w:r>
              <w:rPr>
                <w:b/>
                <w:i/>
              </w:rPr>
              <w:t>като предварително условие за всички подобни инструменти;</w:t>
            </w:r>
            <w:r>
              <w:t xml:space="preserve"> </w:t>
            </w:r>
            <w:r>
              <w:rPr>
                <w:b/>
                <w:i/>
              </w:rPr>
              <w:t>подчертава</w:t>
            </w:r>
            <w:r>
              <w:t xml:space="preserve">, </w:t>
            </w:r>
            <w:r>
              <w:rPr>
                <w:b/>
                <w:i/>
              </w:rPr>
              <w:t>че въпреки някои трудности МВУ, със своя акцент върху резултатите и връзките между ключовите етапи, целите, инвестициите и бюджетната подкрепа, помогна за стимулиране на националните инвестиции и реформи, които иначе не биха били осъществени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Дик Ериксон, Берт-Ян Ройсен, 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счита, че при оценката на моделите за изпълнение на разходите на ЕС следва да се отчита излагането на рискове от измами и други злоупотреби; изразява съжаление за това, че многократно отправяните от Парламента и от Сметната палата забележки, основани на проектирането и прилагането на МВУ, бяха пренебрегнати при предложения проект за бъдещи финансови инструменти на ЕС, по-специално в МФР за периода след 2027 г.; подчертава, че при прилагането на МВУ бяха установени някои слабости, включително рискове от измами и двойно финансиране, липса на прозрачност, ограничена достъпност на данните и непрозрачно цялостно управление, и че те е трябвало да послужат като урок за бъдещите финансови рамки на ЕС; отново се противопоставя на възпроизвеждането на модела на МВУ в сегашния му вид и призовава всяко бъдещо финансиране, основано на резултатите, да бъде обезпечено със значително по-силни гаранции, изисквания за прозрачност и механизми за предотвратяване на измамите, за да се гарантира правилното управление на средствата на ЕС;</w:t>
            </w:r>
          </w:p>
        </w:tc>
        <w:tc>
          <w:tcPr>
            <w:tcW w:w="4876" w:type="dxa"/>
            <w:tcBorders>
              <w:top w:val="nil"/>
              <w:left w:val="nil"/>
              <w:bottom w:val="nil"/>
              <w:right w:val="nil"/>
            </w:tcBorders>
          </w:tcPr>
          <w:p>
            <w:pPr>
              <w:pStyle w:val="Normal6a"/>
            </w:pPr>
            <w:r>
              <w:t>37.</w:t>
            </w:r>
            <w:r>
              <w:tab/>
            </w:r>
            <w:r>
              <w:t xml:space="preserve">счита, че при оценката на моделите за изпълнение на разходите на ЕС следва да се отчита излагането на рискове от измами и други злоупотреби; изразява съжаление за това, че многократно отправяните от Парламента и от Сметната палата забележки, основани на проектирането и прилагането на МВУ, бяха пренебрегнати при предложения проект за бъдещи финансови инструменти на ЕС, по-специално в МФР за периода след 2027 г.; подчертава, че при прилагането на МВУ бяха установени някои слабости, включително рискове от измами и двойно финансиране, липса на прозрачност, ограничена достъпност на данните и непрозрачно цялостно управление, и че те е трябвало да послужат като урок за бъдещите финансови рамки на ЕС; отново се противопоставя на възпроизвеждането на модела на МВУ в сегашния му вид и призовава всяко бъдещо финансиране, основано на резултатите, да бъде обезпечено със значително по-силни гаранции, изисквания за прозрачност и механизми за предотвратяване на измамите, за да се гарантира правилното управление на средствата на ЕС; </w:t>
            </w:r>
            <w:r>
              <w:rPr>
                <w:b/>
                <w:i/>
              </w:rPr>
              <w:t>подчертава, че основаните на резултатите инструменти трябва да демонстрират ясна добавена стойност за гражданите на Съюза и да са в съответствие с принципите на икономичност, ефикасност и ефективност;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отново изразява загрижеността си относно финансовото въздействие на откритите и докладвани нередности в сферата на селското стопанство и припомня, че според Сметната палата развитието на селските райони е изложено на по-висок риск от грешки, отколкото директните плащания на земеделските производители; отбелязва освен това, че през 2024 г. държавите членки са докладвали първите нередности, считани за измами и свързани с разходи в техните нови стратегически планове по ОСП, като около 25% от докладваните през тази година нередности, свързани с измами, са касаели разходи по тези планове, почти всички от които са били свързани с програми за климата и околната среда;</w:t>
            </w:r>
          </w:p>
        </w:tc>
        <w:tc>
          <w:tcPr>
            <w:tcW w:w="4876" w:type="dxa"/>
            <w:tcBorders>
              <w:top w:val="nil"/>
              <w:left w:val="nil"/>
              <w:bottom w:val="nil"/>
              <w:right w:val="nil"/>
            </w:tcBorders>
          </w:tcPr>
          <w:p>
            <w:pPr>
              <w:pStyle w:val="Normal6a"/>
            </w:pPr>
            <w:r>
              <w:t>38.</w:t>
            </w:r>
            <w:r>
              <w:tab/>
            </w:r>
            <w:r>
              <w:t xml:space="preserve">отново изразява загрижеността си относно финансовото въздействие на откритите и докладвани нередности в сферата на селското стопанство и припомня, че според Сметната палата развитието на селските райони е изложено на по-висок риск от грешки, отколкото директните плащания на земеделските производители; отбелязва освен това, че през 2024 г. държавите членки са докладвали първите нередности, считани за измами и свързани с разходи в техните нови стратегически планове по ОСП, като около 25% от докладваните през тази година нередности, свързани с измами, са касаели разходи по тези планове, почти всички от които са били свързани с програми за климата и околната среда; </w:t>
            </w:r>
            <w:r>
              <w:rPr>
                <w:b/>
                <w:i/>
              </w:rPr>
              <w:t>призовава за засилен контрол, без да се възпрепятстват целите на Съюза в областта на климата;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40.</w:t>
            </w:r>
            <w:r>
              <w:tab/>
            </w:r>
            <w:r>
              <w:rPr>
                <w:b/>
                <w:i/>
              </w:rPr>
              <w:t>изразява загриженост относно констатациите на Сметната палата, че през 2024 г.</w:t>
            </w:r>
            <w:r>
              <w:t xml:space="preserve"> </w:t>
            </w:r>
            <w:r>
              <w:rPr>
                <w:b/>
                <w:i/>
              </w:rPr>
              <w:t>размерът на заемите от ЕС се е увеличил с повече от 30%, като пряк резултат от използването на капиталовите пазари за финансиране на широкомащабни програми като SURE и NGEU;</w:t>
            </w:r>
            <w:r>
              <w:t xml:space="preserve"> </w:t>
            </w:r>
            <w:r>
              <w:rPr>
                <w:b/>
                <w:i/>
              </w:rPr>
              <w:t>отбелязва, че общият непогасен дълг на Съюза би могъл да надхвърли 900 милиарда евро до 2027 г., което е почти 10 пъти повече от равнището, наблюдавано през 2020 г., преди създаването на Next Generation EU;</w:t>
            </w:r>
            <w:r>
              <w:t xml:space="preserve"> </w:t>
            </w:r>
            <w:r>
              <w:rPr>
                <w:b/>
                <w:i/>
              </w:rPr>
              <w:t>отбелязва, че няма ясна, предвидима и надеждна стратегия за намаляване на задлъжнялостта, въпреки че бързият и непрекъснат растеж на дълга излага бюджета на ЕС на повишени рискове за устойчивостта, особено във времена на високи лихвени проценти;</w:t>
            </w:r>
            <w:r>
              <w:t xml:space="preserve"> </w:t>
            </w:r>
            <w:r>
              <w:rPr>
                <w:b/>
                <w:i/>
              </w:rPr>
              <w:t>подчертава, че драматичното нарастване на задлъжнялостта на Съюза автоматично ограничава наличните бюджетни маржове по МФР;</w:t>
            </w:r>
            <w:r>
              <w:t xml:space="preserve"> </w:t>
            </w:r>
            <w:r>
              <w:rPr>
                <w:b/>
                <w:i/>
              </w:rPr>
              <w:t>призовава Комисията да представи незабавно всеобхватна оценка за устойчивостта на дълга на ЕС, включително средносрочни и дългосрочни сценарии за управление, и да определи мерките, необходими за гарантиране, че развитието на дълга не застрашава фискалната стабилност или защитата на финансовите интереси на ЕС;</w:t>
            </w:r>
            <w:r>
              <w:t xml:space="preserve"> </w:t>
            </w:r>
            <w:r>
              <w:rPr>
                <w:b/>
                <w:i/>
              </w:rPr>
              <w:t>настоятелно призовава Комисията да увеличи прозрачността относно емисиите, разходите по заемите и свързаните с тях рискове, в съответствие с препоръките на Сметната палата;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rPr>
                <w:b/>
                <w:i/>
              </w:rPr>
              <w:t>изразява загриженост относно констатациите на Сметната палата, че през 2024 г.</w:t>
            </w:r>
            <w:r>
              <w:t xml:space="preserve"> </w:t>
            </w:r>
            <w:r>
              <w:rPr>
                <w:b/>
                <w:i/>
              </w:rPr>
              <w:t>размерът на заемите от ЕС се е увеличил с повече от 30%, като пряк резултат от използването на капиталовите пазари за финансиране на широкомащабни програми като SURE и NGEU;</w:t>
            </w:r>
            <w:r>
              <w:t xml:space="preserve"> отбелязва, че общият непогасен дълг на Съюза би могъл да надхвърли 900 милиарда евро до 2027 г., което е почти 10 пъти повече от равнището, наблюдавано през 2020 г., преди създаването на Next Generation EU; отбелязва, че няма ясна, предвидима и надеждна стратегия за намаляване на задлъжнялостта, въпреки че бързият и непрекъснат растеж на дълга излага бюджета на ЕС на повишени рискове за устойчивостта, особено във времена на високи лихвени проценти; подчертава, че </w:t>
            </w:r>
            <w:r>
              <w:rPr>
                <w:b/>
                <w:i/>
              </w:rPr>
              <w:t>драматичното нарастване</w:t>
            </w:r>
            <w:r>
              <w:t xml:space="preserve"> на задлъжнялостта на Съюза автоматично ограничава наличните бюджетни маржове по МФР; призовава Комисията да представи незабавно всеобхватна оценка за устойчивостта на дълга на ЕС, включително средносрочни и дългосрочни сценарии за управление, и да определи мерките, необходими за гарантиране, че развитието на дълга не застрашава фискалната стабилност или защитата на финансовите интереси на ЕС; настоятелно призовава Комисията да увеличи прозрачността относно емисиите, разходите по заемите и свързаните с тях рискове, в съответствие с препоръките на Сметната палата;</w:t>
            </w:r>
          </w:p>
        </w:tc>
        <w:tc>
          <w:tcPr>
            <w:tcW w:w="4876" w:type="dxa"/>
            <w:tcBorders>
              <w:top w:val="nil"/>
              <w:left w:val="nil"/>
              <w:bottom w:val="nil"/>
              <w:right w:val="nil"/>
            </w:tcBorders>
          </w:tcPr>
          <w:p>
            <w:pPr>
              <w:pStyle w:val="Normal6a"/>
            </w:pPr>
            <w:r>
              <w:t>40.</w:t>
            </w:r>
            <w:r>
              <w:tab/>
            </w:r>
            <w:r>
              <w:t xml:space="preserve">отбелязва, че общият непогасен дълг на Съюза би могъл да надхвърли 900 милиарда евро до 2027 г., което е почти 10 пъти повече от равнището, наблюдавано през 2020 г., преди създаването на Next Generation EU; отбелязва, че няма ясна, предвидима и надеждна стратегия за намаляване на задлъжнялостта, въпреки че бързият и непрекъснат растеж на дълга излага бюджета на ЕС на повишени рискове за устойчивостта, особено във времена на високи лихвени проценти; подчертава, че </w:t>
            </w:r>
            <w:r>
              <w:rPr>
                <w:b/>
                <w:i/>
              </w:rPr>
              <w:t>нарастването</w:t>
            </w:r>
            <w:r>
              <w:t xml:space="preserve"> на задлъжнялостта на Съюза автоматично ограничава наличните бюджетни маржове по </w:t>
            </w:r>
            <w:r>
              <w:rPr>
                <w:b/>
                <w:i/>
              </w:rPr>
              <w:t>настоящата</w:t>
            </w:r>
            <w:r>
              <w:t xml:space="preserve"> МФР; призовава Комисията да представи незабавно всеобхватна оценка за устойчивостта на дълга на ЕС, включително средносрочни и дългосрочни сценарии за управление, и да определи мерките, необходими за гарантиране, че развитието на дълга не застрашава фискалната стабилност или защитата на финансовите интереси на ЕС; настоятелно призовава Комисията да увеличи прозрачността относно емисиите, разходите по заемите и свързаните с тях рискове, в съответствие с препоръките на Сметната палата;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Дик Ериксон, Берт-Ян Ройсен, 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изразява загриженост относно констатациите на Сметната палата, че през 2024 г. размерът на заемите от ЕС се е увеличил с повече от 30%, като пряк резултат от използването на капиталовите пазари за финансиране на широкомащабни програми като SURE и NGEU; отбелязва, че общият непогасен дълг на Съюза би могъл да надхвърли 900 милиарда евро до 2027 г., което е почти 10 пъти повече от равнището, наблюдавано през 2020 г., преди създаването на Next Generation EU; отбелязва, че няма ясна, предвидима и надеждна стратегия за намаляване на задлъжнялостта, въпреки че бързият и непрекъснат растеж на дълга излага бюджета на ЕС на повишени рискове за устойчивостта, особено във времена на високи лихвени проценти; подчертава, че драматичното нарастване на задлъжнялостта на Съюза автоматично ограничава наличните бюджетни маржове по МФР; призовава Комисията да представи незабавно всеобхватна оценка за устойчивостта на дълга на ЕС, включително средносрочни и дългосрочни сценарии за управление, и да определи мерките, необходими за гарантиране, че развитието на дълга не застрашава фискалната стабилност или защитата на финансовите интереси на ЕС; настоятелно призовава Комисията да увеличи прозрачността относно емисиите, разходите по заемите и свързаните с тях рискове, в съответствие с препоръките на Сметната палата;</w:t>
            </w:r>
          </w:p>
        </w:tc>
        <w:tc>
          <w:tcPr>
            <w:tcW w:w="4876" w:type="dxa"/>
            <w:tcBorders>
              <w:top w:val="nil"/>
              <w:left w:val="nil"/>
              <w:bottom w:val="nil"/>
              <w:right w:val="nil"/>
            </w:tcBorders>
          </w:tcPr>
          <w:p>
            <w:pPr>
              <w:pStyle w:val="Normal6a"/>
            </w:pPr>
            <w:r>
              <w:t>40.</w:t>
            </w:r>
            <w:r>
              <w:tab/>
            </w:r>
            <w:r>
              <w:t xml:space="preserve">изразява </w:t>
            </w:r>
            <w:r>
              <w:rPr>
                <w:b/>
                <w:i/>
              </w:rPr>
              <w:t>дълбока</w:t>
            </w:r>
            <w:r>
              <w:t xml:space="preserve"> загриженост относно констатациите на Сметната палата, че през 2024 г. размерът на заемите от ЕС се е увеличил с повече от 30%, като пряк резултат от използването на капиталовите пазари за финансиране на широкомащабни програми като SURE и NGEU; отбелязва, че общият непогасен дълг на Съюза би могъл да надхвърли 900 милиарда евро до 2027 г., което е почти 10 пъти повече от равнището, наблюдавано през 2020 г., преди създаването на Next Generation EU; отбелязва, че няма ясна, предвидима и надеждна стратегия за намаляване на задлъжнялостта, въпреки че бързият и непрекъснат растеж на дълга излага бюджета на ЕС на повишени рискове за устойчивостта, особено във времена на високи лихвени проценти; подчертава, че драматичното нарастване на задлъжнялостта на Съюза автоматично ограничава наличните бюджетни маржове по МФР; призовава Комисията да представи незабавно всеобхватна оценка за устойчивостта на дълга на ЕС, включително средносрочни и дългосрочни сценарии за управление, и да определи мерките, необходими за гарантиране, че развитието на дълга не застрашава фискалната стабилност или защитата на финансовите интереси на ЕС; настоятелно призовава Комисията да увеличи прозрачността относно емисиите, разходите по заемите и свързаните с тях рискове, в съответствие с препоръките на Сметната палата; </w:t>
            </w:r>
            <w:r>
              <w:rPr>
                <w:b/>
                <w:i/>
              </w:rPr>
              <w:t>настоява, че този безпрецедентен фискален натиск налага строг анализ на разходите и ползите за всички нови разходни програми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 xml:space="preserve">отбелязва, че </w:t>
            </w:r>
            <w:r>
              <w:rPr>
                <w:b/>
                <w:i/>
              </w:rPr>
              <w:t>продължават да съществуват несъответствия в докладването, например по отношение на NGEU и Механизма за възстановяване и устойчивост, което потвърждава ограниченията на гъвкавите инструменти, които Комисията възнамерява да възпроизведе и във връзка с които</w:t>
            </w:r>
            <w:r>
              <w:t xml:space="preserve"> Европейската прокуратура съобщи през 2023 г., че са в ход множество разследвания (233) по програми за възстановяване и устойчивост, чиито свързани финансови загуби</w:t>
            </w:r>
            <w:r>
              <w:rPr>
                <w:b/>
                <w:i/>
              </w:rPr>
              <w:t>,</w:t>
            </w:r>
            <w:r>
              <w:t xml:space="preserve"> оценени на 1,86 милиарда евро</w:t>
            </w:r>
            <w:r>
              <w:rPr>
                <w:b/>
                <w:i/>
              </w:rPr>
              <w:t>, са обезпокоителни</w:t>
            </w:r>
            <w:r>
              <w:t>; отбелязва, че в края на 2024 г. Европейската прокуратура е разгледала 311 активни случая, свързани с NGEU, включително 307 случая във връзка с МВУ, което съответства на около 17% от всички активни разследвания за измами с разходи; отбелязва, че според Европейската прокуратура щетите за финансовите интереси на Съюза се оценяват на 2,8 милиарда евро, което представлява 30% от общите прогнозни щети за измамите с разходи (в сравнение с 25% през изминалата година); подчертава обаче, че докладът относно защитата на финансовите интереси за 2023 г. не включва случаи на Европейската прокуратура в анализа на измамите и нередностите, засягащи разходите, за разлика от други разходни пера, и че докладът относно защитата на финансовите интереси за 2024 г. предоставя различни данни за разследванията на Европейската прокуратура във връзка с МВУ (279 разследвания, а не 307, с прогнозни общи щети от 2,7 милиарда евро, а не 2,8 милиарда евро);</w:t>
            </w:r>
          </w:p>
        </w:tc>
        <w:tc>
          <w:tcPr>
            <w:tcW w:w="4876" w:type="dxa"/>
            <w:tcBorders>
              <w:top w:val="nil"/>
              <w:left w:val="nil"/>
              <w:bottom w:val="nil"/>
              <w:right w:val="nil"/>
            </w:tcBorders>
          </w:tcPr>
          <w:p>
            <w:pPr>
              <w:pStyle w:val="Normal6a"/>
            </w:pPr>
            <w:r>
              <w:t>41.</w:t>
            </w:r>
            <w:r>
              <w:tab/>
            </w:r>
            <w:r>
              <w:t xml:space="preserve">отбелязва </w:t>
            </w:r>
            <w:r>
              <w:rPr>
                <w:b/>
                <w:i/>
              </w:rPr>
              <w:t>със загриженост</w:t>
            </w:r>
            <w:r>
              <w:t xml:space="preserve">, че Европейската прокуратура съобщи през 2023 г., че са в ход множество разследвания (233) по програми за възстановяване и устойчивост, чиито свързани финансови загуби </w:t>
            </w:r>
            <w:r>
              <w:rPr>
                <w:b/>
                <w:i/>
              </w:rPr>
              <w:t>са</w:t>
            </w:r>
            <w:r>
              <w:t xml:space="preserve"> оценени на 1,86 милиарда евро; отбелязва, че в края на 2024 г. Европейската прокуратура е разгледала 311 активни случая, свързани с NGEU, включително 307 случая във връзка с МВУ, което съответства на около 17% от всички активни разследвания за измами с разходи; отбелязва, че според Европейската прокуратура щетите за финансовите интереси на Съюза се оценяват на 2,8 милиарда евро, което представлява 30% от общите прогнозни щети за измамите с разходи (в сравнение с 25% през изминалата година); подчертава обаче, че докладът относно защитата на финансовите интереси за 2023 г. не включва случаи на Европейската прокуратура в анализа на измамите и нередностите, засягащи разходите, за разлика от други разходни пера, и че докладът относно защитата на финансовите интереси за 2024 г. предоставя различни данни за разследванията на Европейската прокуратура във връзка с МВУ (279 разследвания, а не 307, с прогнозни общи щети от 2,7 милиарда евро, а не 2,8 милиарда евро); </w:t>
            </w:r>
            <w:r>
              <w:rPr>
                <w:b/>
                <w:i/>
              </w:rPr>
              <w:t>призовава Комисията, в сътрудничество с Европейската прокуратура, да гарантира последователно и ясно обяснено докладване на данните във връзка със случаите по МВУ и NGEU във всички публикации на Комисията и Европейската прокуратура, включително прозрачно съгласуване на методологичните различия, за да се избегне отслабване на контрола и общественото доверие;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44а.</w:t>
            </w:r>
            <w:r>
              <w:tab/>
            </w:r>
            <w:r>
              <w:rPr>
                <w:b/>
                <w:i/>
              </w:rPr>
              <w:t>подчертава, че МВУ изигра решаваща роля за възстановяването на ЕС след пандемията, но дори на настоящия очакван напреднал етап на изпълнение оскъдната информация за резултатите и липсата на информация за действителните разходи са обезпокоителни;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 xml:space="preserve">подчертава необходимостта от по-голяма прозрачност при прилагането на МВУ и припомня, че „крайният бенефициент“ е „последният субект“, който получава средства за прилагането на мярка по линия на МВУ, така че информацията за „крайния бенефициент“ трябва да се предоставя; </w:t>
            </w:r>
            <w:r>
              <w:rPr>
                <w:b/>
                <w:i/>
              </w:rPr>
              <w:t>изразява съжаление за това</w:t>
            </w:r>
            <w:r>
              <w:t>, че държавите членки са задължени да публикуват информация само за 100-те крайни бенефициенти, получаващи най-големите суми</w:t>
            </w:r>
            <w:r>
              <w:rPr>
                <w:b/>
                <w:i/>
              </w:rPr>
              <w:t>, като това представлява произволно ограничение, което пречи да се види реалното мнозинство от бенефициентите, както и потенциалните рискове от</w:t>
            </w:r>
            <w:r>
              <w:t xml:space="preserve"> измами, лошо управление или конфликти на интереси; посочва, че прегледът на националните практики разкрива значителни несъответствия в методите за публикуване на информация, като някои държави членки отчитат действително платени суми, други – само разпределени суми, докато трети </w:t>
            </w:r>
            <w:r>
              <w:rPr>
                <w:b/>
                <w:i/>
              </w:rPr>
              <w:t>се ограничават до</w:t>
            </w:r>
            <w:r>
              <w:t xml:space="preserve"> частични данни или данни, комбинирани с национално финансиране, което подкопава съпоставимостта, четимостта и надеждността на публикуваната информация;</w:t>
            </w:r>
          </w:p>
        </w:tc>
        <w:tc>
          <w:tcPr>
            <w:tcW w:w="4876" w:type="dxa"/>
            <w:tcBorders>
              <w:top w:val="nil"/>
              <w:left w:val="nil"/>
              <w:bottom w:val="nil"/>
              <w:right w:val="nil"/>
            </w:tcBorders>
          </w:tcPr>
          <w:p>
            <w:pPr>
              <w:pStyle w:val="Normal6a"/>
            </w:pPr>
            <w:r>
              <w:t>45.</w:t>
            </w:r>
            <w:r>
              <w:tab/>
            </w:r>
            <w:r>
              <w:t xml:space="preserve">подчертава необходимостта от по-голяма прозрачност при прилагането на МВУ и припомня, че „крайният бенефициент“ е „последният субект“, който получава средства за прилагането на мярка по линия на МВУ, така че информацията за „крайния бенефициент“ трябва да се предоставя; </w:t>
            </w:r>
            <w:r>
              <w:rPr>
                <w:b/>
                <w:i/>
              </w:rPr>
              <w:t>приветства факта</w:t>
            </w:r>
            <w:r>
              <w:t>, че държавите членки са задължени да публикуват информация само за 100-те крайни бенефициенти, получаващи най-големите суми</w:t>
            </w:r>
            <w:r>
              <w:rPr>
                <w:b/>
                <w:i/>
              </w:rPr>
              <w:t>;</w:t>
            </w:r>
            <w:r>
              <w:t xml:space="preserve"> </w:t>
            </w:r>
            <w:r>
              <w:rPr>
                <w:b/>
                <w:i/>
              </w:rPr>
              <w:t>счита обаче, че публикуването на информация отвъд 100-те крайни бенефициенти би повишило видимостта на пълния набор от бенефициенти и би подпомогнало ефективното идентифициране на рисковете, свързани с</w:t>
            </w:r>
            <w:r>
              <w:t xml:space="preserve"> измами, лошо управление или конфликти на интереси; посочва, че прегледът на националните практики разкрива значителни несъответствия в методите за публикуване на информация, </w:t>
            </w:r>
            <w:r>
              <w:rPr>
                <w:b/>
                <w:i/>
              </w:rPr>
              <w:t>тъй</w:t>
            </w:r>
            <w:r>
              <w:t xml:space="preserve"> като някои държави членки отчитат действително платени суми, други – само разпределени суми, докато трети </w:t>
            </w:r>
            <w:r>
              <w:rPr>
                <w:b/>
                <w:i/>
              </w:rPr>
              <w:t>предоставят</w:t>
            </w:r>
            <w:r>
              <w:t xml:space="preserve"> частични данни или данни, комбинирани с национално финансиране, което подкопава съпоставимостта, четимостта и надеждността на публикуваната информация; </w:t>
            </w:r>
            <w:r>
              <w:rPr>
                <w:b/>
                <w:i/>
              </w:rPr>
              <w:t>поради това призовава за хармонизирани стандарти за публикуване в целия ЕС, включително общи определения и машинночетими формати, за да се гарантира последователна, сравнима и използваема информация във всички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 xml:space="preserve">подчертава необходимостта от по-голяма прозрачност при прилагането на МВУ </w:t>
            </w:r>
            <w:r>
              <w:rPr>
                <w:b/>
                <w:i/>
              </w:rPr>
              <w:t>и припомня, че „крайният бенефициент“ е „последният субект“, който получава средства за прилагането на мярка по линия на МВУ, така че информацията за „крайния бенефициент“ трябва да се предоставя</w:t>
            </w:r>
            <w:r>
              <w:t>; изразява съжаление за това, че държавите членки са задължени да публикуват информация само за 100-те крайни бенефициенти, получаващи най-големите суми, като това представлява произволно ограничение, което пречи да се види реалното мнозинство от бенефициентите, както и потенциалните рискове от измами, лошо управление или конфликти на интереси; посочва, че прегледът на националните практики разкрива значителни несъответствия в методите за публикуване на информация, като някои държави членки отчитат действително платени суми, други – само разпределени суми, докато трети се ограничават до частични данни или данни, комбинирани с национално финансиране, което подкопава съпоставимостта, четимостта и надеждността на публикуваната информация;</w:t>
            </w:r>
          </w:p>
        </w:tc>
        <w:tc>
          <w:tcPr>
            <w:tcW w:w="4876" w:type="dxa"/>
            <w:tcBorders>
              <w:top w:val="nil"/>
              <w:left w:val="nil"/>
              <w:bottom w:val="nil"/>
              <w:right w:val="nil"/>
            </w:tcBorders>
          </w:tcPr>
          <w:p>
            <w:pPr>
              <w:pStyle w:val="Normal6a"/>
            </w:pPr>
            <w:r>
              <w:t>45.</w:t>
            </w:r>
            <w:r>
              <w:tab/>
            </w:r>
            <w:r>
              <w:t xml:space="preserve">подчертава необходимостта от по-голяма прозрачност при прилагането на МВУ; изразява съжаление за това, че държавите членки са задължени да публикуват информация само за 100-те крайни бенефициенти, получаващи най-големите суми, като това представлява произволно ограничение, което пречи да се види реалното мнозинство от бенефициентите, както и потенциалните рискове от измами, лошо управление или конфликти на интереси; посочва, че прегледът на националните практики разкрива значителни несъответствия в методите за публикуване на информация, като някои държави членки отчитат действително платени суми, други – само разпределени суми, докато трети се ограничават до частични данни или данни, комбинирани с национално финансиране, което подкопава съпоставимостта, четимостта и надеждността на публикуваната информация; </w:t>
            </w:r>
            <w:r>
              <w:rPr>
                <w:b/>
                <w:i/>
              </w:rPr>
              <w:t>призовава за публикуване на пълния списък на крайните получатели и действителните собственици за финансираните по МВУ мерки в хармонизиран, машинночетим формат във всички държави членки, за да се даде възможност за ефективен обществен контрол и анализ на риска, като същевременно се гарантира пълно спазване на правилата за защита на данните;</w:t>
            </w:r>
            <w:r>
              <w:t xml:space="preserve"> </w:t>
            </w:r>
            <w:r>
              <w:rPr>
                <w:b/>
                <w:i/>
              </w:rPr>
              <w:t>подчертава необходимостта от единна одитна пътека в бъдещата МФР, която да дава възможност за проследяване на приноса от бюджета за финансираните проекти и крайните бенефициенти, определени като икономическите оператори, а не получаващите административни субекти;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Дик Ериксон, Берт-Ян Ройсен, 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подчертава необходимостта от по-голяма прозрачност при прилагането на МВУ и припомня, че „крайният бенефициент“ е „последният субект“, който получава средства за прилагането на мярка по линия на МВУ, така че информацията за „крайния бенефициент“ трябва да се предоставя; изразява съжаление за това, че държавите членки са задължени да публикуват информация само за 100-те крайни бенефициенти, получаващи най-големите суми, като това представлява произволно ограничение, което пречи да се види реалното мнозинство от бенефициентите, както и потенциалните рискове от измами, лошо управление или конфликти на интереси; посочва, че прегледът на националните практики разкрива значителни несъответствия в методите за публикуване на информация, като някои държави членки отчитат действително платени суми, други – само разпределени суми, докато трети се ограничават до частични данни или данни, комбинирани с национално финансиране, което подкопава съпоставимостта, четимостта и надеждността на публикуваната информация;</w:t>
            </w:r>
          </w:p>
        </w:tc>
        <w:tc>
          <w:tcPr>
            <w:tcW w:w="4876" w:type="dxa"/>
            <w:tcBorders>
              <w:top w:val="nil"/>
              <w:left w:val="nil"/>
              <w:bottom w:val="nil"/>
              <w:right w:val="nil"/>
            </w:tcBorders>
          </w:tcPr>
          <w:p>
            <w:pPr>
              <w:pStyle w:val="Normal6a"/>
            </w:pPr>
            <w:r>
              <w:t>45.</w:t>
            </w:r>
            <w:r>
              <w:tab/>
            </w:r>
            <w:r>
              <w:t xml:space="preserve">подчертава необходимостта от по-голяма прозрачност при прилагането на МВУ и припомня, че „крайният бенефициент“ е „последният субект“, който получава средства за прилагането на мярка по линия на МВУ, така че информацията за „крайния бенефициент“ трябва да се предоставя; изразява съжаление за това, че държавите членки са задължени да публикуват информация само за 100-те крайни бенефициенти, получаващи най-големите суми, като това представлява произволно ограничение, което пречи да се види реалното мнозинство от бенефициентите, както и потенциалните рискове от измами, лошо управление или конфликти на интереси; посочва, че прегледът на националните практики разкрива значителни несъответствия в методите за публикуване на информация, като някои държави членки отчитат действително платени суми, други – само разпределени суми, докато трети се ограничават до частични данни или данни, комбинирани с национално финансиране, което подкопава съпоставимостта, четимостта и надеждността на публикуваната информация; </w:t>
            </w:r>
            <w:r>
              <w:rPr>
                <w:b/>
                <w:i/>
              </w:rPr>
              <w:t>призовава за публикуването на пълни списъци на всички крайни бенефициенти със стандартизирани формати за докладване във всички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45а.</w:t>
            </w:r>
            <w:r>
              <w:tab/>
            </w:r>
            <w:r>
              <w:rPr>
                <w:b/>
                <w:i/>
              </w:rPr>
              <w:t>призовава Комисията да въведе задължително докладване на измамите и нередностите чрез системата за управление на нередностите (СУН) за всички случаи, свързани с МВУ, като гарантира, че нередностите и измамите, засягащи средствата по МВУ, се регистрират, сравняват и наблюдават систематично;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отново призовава Комисията да засили контрола си върху риска от двойно финансиране, произтичащ от едновременното финансиране от бюджета на ЕС и от МВУ за подобни мерки в сходни области, като например транспортната и енергийната инфраструктура, което е възможно благодарение на стандартната допълняемост между МВУ и други инструменти на ЕС; припомня, че МВУ не е обвързан с възстановяване на действително направените разходи, а по-скоро възнаграждава постигането на етапни цели и целеви стойности, които биха могли да се финансират изцяло със средства, различни от тези по МВУ, без това да е било определено, тъй като МВУ не е обвързан с възстановяване на действително направените разходи; счита, че ограниченият обмен на данни и недостатъчното използване на инструментите за извличане на данни, като например ARACHNE, наред с липсата на пряк достъп до пълния списък на крайните бенефициенти по МВУ, повишават равнището на риска; приветства предпазните мерки, предприети от някои държави членки за избягване на съчетаването на МВУ с други инструменти на Съюза, с цел смекчаване на риска от двойно финансиране;</w:t>
            </w:r>
          </w:p>
        </w:tc>
        <w:tc>
          <w:tcPr>
            <w:tcW w:w="4876" w:type="dxa"/>
            <w:tcBorders>
              <w:top w:val="nil"/>
              <w:left w:val="nil"/>
              <w:bottom w:val="nil"/>
              <w:right w:val="nil"/>
            </w:tcBorders>
          </w:tcPr>
          <w:p>
            <w:pPr>
              <w:pStyle w:val="Normal6a"/>
            </w:pPr>
            <w:r>
              <w:t>46.</w:t>
            </w:r>
            <w:r>
              <w:tab/>
            </w:r>
            <w:r>
              <w:t xml:space="preserve">отново призовава Комисията да засили контрола си върху риска от двойно финансиране, произтичащ от едновременното финансиране от бюджета на ЕС и от МВУ за подобни мерки в сходни области, като например транспортната и енергийната инфраструктура, което е възможно благодарение на стандартната допълняемост между МВУ и други инструменти на ЕС; припомня, че МВУ не е обвързан с възстановяване на действително направените разходи, а по-скоро възнаграждава постигането на етапни цели и целеви стойности, които биха могли да се финансират изцяло със средства, различни от тези по МВУ, без това да е било определено, тъй като МВУ не е обвързан с възстановяване на действително направените разходи; счита, че ограниченият обмен на данни и недостатъчното използване на инструментите за извличане на данни, като например ARACHNE, наред с липсата на пряк достъп до пълния списък на крайните бенефициенти по МВУ, повишават равнището на риска; приветства предпазните мерки, предприети от някои държави членки за избягване на съчетаването на МВУ с други инструменти на Съюза, с цел смекчаване на риска от двойно финансиране; </w:t>
            </w:r>
            <w:r>
              <w:rPr>
                <w:b/>
                <w:i/>
              </w:rPr>
              <w:t>отново призовава Комисията да поддържа подходящи процедури за последващ одит и да обръща специално внимание на риска от промяна на тенденцията след плащане за постигането на цели, които преди това са били одитирани и оценени като задоволително изпълнени;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отново призовава Комисията да засили контрола си върху риска от двойно финансиране, произтичащ от едновременното финансиране от бюджета на ЕС и от МВУ за подобни мерки в сходни области, като например транспортната и енергийната инфраструктура, което е възможно благодарение на стандартната допълняемост между МВУ и други инструменти на ЕС; припомня, че МВУ не е обвързан с възстановяване на действително направените разходи, а по-скоро възнаграждава постигането на етапни цели и целеви стойности, които биха могли да се финансират изцяло със средства, различни от тези по МВУ, без това да е било определено, тъй като МВУ не е обвързан с възстановяване на действително направените разходи; счита, че ограниченият обмен на данни и недостатъчното използване на инструментите за извличане на данни, като например ARACHNE, наред с липсата на пряк достъп до пълния списък на крайните бенефициенти по МВУ, повишават равнището на риска; приветства предпазните мерки, предприети от някои държави членки за избягване на съчетаването на МВУ с други инструменти на Съюза, с цел смекчаване на риска от двойно финансиране;</w:t>
            </w:r>
          </w:p>
        </w:tc>
        <w:tc>
          <w:tcPr>
            <w:tcW w:w="4876" w:type="dxa"/>
            <w:tcBorders>
              <w:top w:val="nil"/>
              <w:left w:val="nil"/>
              <w:bottom w:val="nil"/>
              <w:right w:val="nil"/>
            </w:tcBorders>
          </w:tcPr>
          <w:p>
            <w:pPr>
              <w:pStyle w:val="Normal6a"/>
            </w:pPr>
            <w:r>
              <w:t>46.</w:t>
            </w:r>
            <w:r>
              <w:tab/>
            </w:r>
            <w:r>
              <w:t xml:space="preserve">отново призовава Комисията да засили контрола си върху риска от двойно финансиране, произтичащ от едновременното финансиране от бюджета на ЕС и от МВУ за подобни мерки в сходни области, като например транспортната и енергийната инфраструктура, което е възможно благодарение на стандартната допълняемост между МВУ и други инструменти на ЕС; припомня, че МВУ не е обвързан с възстановяване на действително направените разходи, а по-скоро възнаграждава постигането на етапни цели и целеви стойности, които биха могли да се финансират изцяло със средства, различни от тези по МВУ, без това да е било определено, тъй като МВУ не е обвързан с възстановяване на действително направените разходи; счита, че ограниченият обмен на данни и недостатъчното използване на инструментите за извличане на данни, като например ARACHNE, наред с липсата на пряк достъп до пълния списък на крайните бенефициенти по МВУ, повишават равнището на риска; приветства предпазните мерки, предприети от някои държави членки за избягване на съчетаването на МВУ с други инструменти на Съюза, с цел смекчаване на риска от двойно финансиране; </w:t>
            </w:r>
            <w:r>
              <w:rPr>
                <w:b/>
                <w:i/>
              </w:rPr>
              <w:t>призовава Комисията да ускори работата си, за да се даде възможност за пряко, структурирано сътрудничество между Eurofisc и Европейската прокуратура, и да увеличи максимално използването на инструменти за извличане на данни (включително ARACHNE), за да се предотврати двойното финансиране и да се откриват трансгранични модели;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46a.</w:t>
            </w:r>
            <w:r>
              <w:tab/>
            </w:r>
            <w:r>
              <w:rPr>
                <w:b/>
                <w:i/>
              </w:rPr>
              <w:t>отбелязва, че Комисията разчита главно на държавите членки да откриват и коригират сериозни нередности, засягащи МВУ, и да гарантират спазването на правилата на ЕС и националните правила, но националните системи за контрол имат слабости, които не са отстранени на етапа на изпълнение;</w:t>
            </w:r>
            <w:r>
              <w:t xml:space="preserve"> </w:t>
            </w:r>
            <w:r>
              <w:rPr>
                <w:b/>
                <w:i/>
              </w:rPr>
              <w:t>подчертава, че това води до значителна липса на достатъчна сигурност, че системите за контрол защитават адекватно финансовите интереси на ЕС в контекста на механизъм, податлив на грешки, отслабен от неясноти в правната рамка, с често неясно определени ключови етапи/цели и при висок риск от измами;</w:t>
            </w:r>
            <w:r>
              <w:t xml:space="preserve"> </w:t>
            </w:r>
            <w:r>
              <w:rPr>
                <w:b/>
                <w:i/>
              </w:rPr>
              <w:t>отново отправя призива си Комисията да предприема решителни и бързи действия, когато е необходимо, и да използва пълноценно разпоредбите на Регламента за МВУ, ако в системите за контрол на държавите членки продължават да съществуват недостатъци;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приветства усилията на Съюза, както бе препоръчано от Европейската сметна палата, за включване на мерки за борба с корупцията в инструментите за външна дейност на ЕС; запазва препоръката си за спиране на бюджетната подкрепа и за изтегляне на средствата от трети държави, включително и страни кандидатки, в които органите </w:t>
            </w:r>
            <w:r>
              <w:rPr>
                <w:b/>
                <w:i/>
              </w:rPr>
              <w:t>очевидно</w:t>
            </w:r>
            <w:r>
              <w:t xml:space="preserve"> не предприемат </w:t>
            </w:r>
            <w:r>
              <w:rPr>
                <w:b/>
                <w:i/>
              </w:rPr>
              <w:t>никакви конкретни</w:t>
            </w:r>
            <w:r>
              <w:t xml:space="preserve"> действия за борба с широко разпространената корупция, </w:t>
            </w:r>
            <w:r>
              <w:rPr>
                <w:b/>
                <w:i/>
              </w:rPr>
              <w:t>без да се излага на риск</w:t>
            </w:r>
            <w:r>
              <w:t xml:space="preserve"> подкрепата за гражданите;</w:t>
            </w:r>
          </w:p>
        </w:tc>
        <w:tc>
          <w:tcPr>
            <w:tcW w:w="4876" w:type="dxa"/>
            <w:tcBorders>
              <w:top w:val="nil"/>
              <w:left w:val="nil"/>
              <w:bottom w:val="nil"/>
              <w:right w:val="nil"/>
            </w:tcBorders>
          </w:tcPr>
          <w:p>
            <w:pPr>
              <w:pStyle w:val="Normal6a"/>
            </w:pPr>
            <w:r>
              <w:t>47.</w:t>
            </w:r>
            <w:r>
              <w:tab/>
            </w:r>
            <w:r>
              <w:t xml:space="preserve">приветства усилията на Съюза, както бе препоръчано от Европейската сметна палата, за включване на мерки за борба с корупцията в инструментите за външна дейност на ЕС; запазва препоръката си за спиране на бюджетната подкрепа и за изтегляне на средствата от трети държави, включително и страни кандидатки, в които органите не предприемат </w:t>
            </w:r>
            <w:r>
              <w:rPr>
                <w:b/>
                <w:i/>
              </w:rPr>
              <w:t>ефективни</w:t>
            </w:r>
            <w:r>
              <w:t xml:space="preserve"> действия за борба с широко разпространената корупция, </w:t>
            </w:r>
            <w:r>
              <w:rPr>
                <w:b/>
                <w:i/>
              </w:rPr>
              <w:t>като едновременно с това гарантират</w:t>
            </w:r>
            <w:r>
              <w:t xml:space="preserve"> подкрепата за гражданите;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Дик Ериксон, Берт-Ян Ройсен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приветства усилията на Съюза, както бе препоръчано от Европейската сметна палата, за включване на мерки за борба с корупцията в инструментите за външна дейност на ЕС; запазва препоръката си за спиране на бюджетната подкрепа и за изтегляне на средствата от трети държави, включително и страни кандидатки, в които органите очевидно не предприемат никакви конкретни действия за борба с широко разпространената корупция, без да се излага на риск подкрепата за гражданите;</w:t>
            </w:r>
          </w:p>
        </w:tc>
        <w:tc>
          <w:tcPr>
            <w:tcW w:w="4876" w:type="dxa"/>
            <w:tcBorders>
              <w:top w:val="nil"/>
              <w:left w:val="nil"/>
              <w:bottom w:val="nil"/>
              <w:right w:val="nil"/>
            </w:tcBorders>
          </w:tcPr>
          <w:p>
            <w:pPr>
              <w:pStyle w:val="Normal6a"/>
            </w:pPr>
            <w:r>
              <w:t>47.</w:t>
            </w:r>
            <w:r>
              <w:tab/>
            </w:r>
            <w:r>
              <w:t xml:space="preserve">приветства усилията на Съюза, както бе препоръчано от Европейската сметна палата, за включване на мерки за борба с корупцията в инструментите за външна дейност на ЕС; запазва препоръката си за спиране на бюджетната подкрепа и за изтегляне на средствата от трети държави, включително и страни кандидатки, в които органите очевидно не предприемат никакви конкретни действия за борба с широко разпространената корупция, без да се излага на риск подкрепата за гражданите; </w:t>
            </w:r>
            <w:r>
              <w:rPr>
                <w:b/>
                <w:i/>
              </w:rPr>
              <w:t>призовава, преди всяко по-нататъшно основано на заслуги разширяване на ЕС, за задълбочено и независимо проучване на състоянието на корупцията и принципите на правовата държава във всички страни кандидатки, като се обърне специално внимание на тези, които биха станали нетни бенефициенти на бюджета на Съюза след присъединяването, за да се предотврати нанасянето на вреди на финансовите интереси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 xml:space="preserve">отбелязва заключенията в Специален доклад № 15/2025 на Сметната палата относно хуманитарната помощ от ЕС при дистанционно управление, в който се признава, че този подход на управление предоставя полезна рамка за осигуряване на животоспасяваща помощ в труднодостъпни райони, но че съществуват някои слабости при разработването и прилагането на този подход; отбелязва, че Комисията </w:t>
            </w:r>
            <w:r>
              <w:rPr>
                <w:b/>
                <w:i/>
              </w:rPr>
              <w:t>признава, че по своята същност</w:t>
            </w:r>
            <w:r>
              <w:t xml:space="preserve"> дистанционното управление </w:t>
            </w:r>
            <w:r>
              <w:rPr>
                <w:b/>
                <w:i/>
              </w:rPr>
              <w:t>е по-рисково</w:t>
            </w:r>
            <w:r>
              <w:t xml:space="preserve"> от прякото изпълнение </w:t>
            </w:r>
            <w:r>
              <w:rPr>
                <w:b/>
                <w:i/>
              </w:rPr>
              <w:t>и че измамите и отклоняването на помощ са сред основните рискове, като се има предвид, че невъзможността</w:t>
            </w:r>
            <w:r>
              <w:t xml:space="preserve"> на хуманитарните организации и на донорите да проследяват дейностите на място </w:t>
            </w:r>
            <w:r>
              <w:rPr>
                <w:b/>
                <w:i/>
              </w:rPr>
              <w:t>увеличава равнището на риска</w:t>
            </w:r>
            <w:r>
              <w:t>; отбелязва, че Комисията, както всички донори, разполага с екип, отговарящ за разглеждането на случаи на предполагаема измама и злоупотреба с помощи; подчертава обаче, че в регистъра на рисковете не се взема предвид въздействието, което дистанционното управление може да окаже върху вероятността и въздействието на установените некритични рискове, като например рискът от увреждане на репутацията в случай на измама, злоупотреба с помощ или неспазване на етичните стандарти; подчертава по-специално, че недостатъчното интегриране на рисковете, присъщи за дистанционното управление, в стратегията на Комисията за управление на риска, контрола и одита може да ограничи нейната способност да предотвратява, открива и управлява адекватно тези рискове, което води до риск от накърняване на репутацията в случай на измама и злоупотреба с помощи; подчертава, че стратегията за контрол не предвижда специфични проверки за справяне с присъщите рискове във връзка с дистанционното управление и че тя не отчита въздействието на дистанционното управление върху задачите по контрол, свързани с борбата с измамите или одитите на място; подчертава, че всъщност стратегията за одит на Комисията за периода 2021–2027 г. не дава автоматично на дистанционно управляваните действия по-висок рейтинг на риск при подбора на действия, които ще бъдат одитирани въз основа на риска, въпреки специфичните предизвикателства, пред които те са изправени; изразява съгласие с препоръките на Сметната палата, които Комисията също напълно подкрепя, за подобряване на подхода и насоките за дистанционно управление, за укрепване на процеса за сертифициране на партньори от НПО, за проверка на информацията, предоставяна от партньорите, и за предоставяне на доклади за дистанционно управление на заинтересованите страни; настоятелно призовава Комисията да предприеме подходящи действия и да изпълни препоръката на Сметната палата, която е напълно подкрепена;</w:t>
            </w:r>
          </w:p>
        </w:tc>
        <w:tc>
          <w:tcPr>
            <w:tcW w:w="4876" w:type="dxa"/>
            <w:tcBorders>
              <w:top w:val="nil"/>
              <w:left w:val="nil"/>
              <w:bottom w:val="nil"/>
              <w:right w:val="nil"/>
            </w:tcBorders>
          </w:tcPr>
          <w:p>
            <w:pPr>
              <w:pStyle w:val="Normal6a"/>
            </w:pPr>
            <w:r>
              <w:t>48.</w:t>
            </w:r>
            <w:r>
              <w:tab/>
            </w:r>
            <w:r>
              <w:t xml:space="preserve">отбелязва заключенията в Специален доклад № 15/2025 на Сметната палата относно хуманитарната помощ от ЕС при дистанционно управление, в който се признава, че този подход на управление предоставя полезна рамка за осигуряване на животоспасяваща помощ в труднодостъпни райони, но че съществуват някои слабости при разработването и прилагането на този подход; отбелязва, че </w:t>
            </w:r>
            <w:r>
              <w:rPr>
                <w:b/>
                <w:i/>
              </w:rPr>
              <w:t>средствата на</w:t>
            </w:r>
            <w:r>
              <w:t xml:space="preserve"> Комисията </w:t>
            </w:r>
            <w:r>
              <w:rPr>
                <w:b/>
                <w:i/>
              </w:rPr>
              <w:t>се управляват дистанционно само като крайна мярка, т.е. в ситуации, в които хуманитарният достъп е ограничен от съображения за сигурност или от решения, наложени от законни или фактически управляващи органи;</w:t>
            </w:r>
            <w:r>
              <w:t xml:space="preserve"> </w:t>
            </w:r>
            <w:r>
              <w:rPr>
                <w:b/>
                <w:i/>
              </w:rPr>
              <w:t>подчертава, че присъщите трудни условия, при които се осъществява</w:t>
            </w:r>
            <w:r>
              <w:t xml:space="preserve"> дистанционното управление</w:t>
            </w:r>
            <w:r>
              <w:rPr>
                <w:b/>
                <w:i/>
              </w:rPr>
              <w:t>, го правят по-рисковано</w:t>
            </w:r>
            <w:r>
              <w:t xml:space="preserve"> от прякото изпълнение</w:t>
            </w:r>
            <w:r>
              <w:rPr>
                <w:b/>
                <w:i/>
              </w:rPr>
              <w:t>, към което Комисията се връща възможно най-скоро, и че то може също така понякога да ограничава способността</w:t>
            </w:r>
            <w:r>
              <w:t xml:space="preserve"> на хуманитарните организации и на донорите да проследяват дейностите на място; отбелязва, че Комисията, както всички донори, разполага с екип, отговарящ за разглеждането на случаи на предполагаема измама и злоупотреба с помощи; подчертава обаче, че в регистъра на рисковете не се взема предвид въздействието, което дистанционното управление може да окаже върху вероятността и въздействието на установените некритични рискове, като например рискът от увреждане на репутацията в случай на измама, злоупотреба с помощ или неспазване на етичните стандарти; подчертава по-специално, че недостатъчното интегриране на рисковете, присъщи за дистанционното управление, в стратегията на Комисията за управление на риска, контрола и одита може да ограничи нейната способност да предотвратява, открива и управлява адекватно тези рискове, което води до риск от накърняване на репутацията в случай на измама и злоупотреба с помощи; подчертава, че стратегията за контрол не предвижда специфични проверки за справяне с присъщите рискове във връзка с дистанционното управление и че тя не отчита въздействието на дистанционното управление върху задачите по контрол, свързани с борбата с измамите или одитите на място; подчертава, че всъщност стратегията за одит на Комисията за периода 2021–2027 г. не дава автоматично на дистанционно управляваните действия по-висок рейтинг на риск при подбора на действия, които ще бъдат одитирани въз основа на риска, въпреки специфичните предизвикателства, пред които те са изправени; изразява съгласие с препоръките на Сметната палата, които Комисията също напълно подкрепя, за подобряване на подхода и насоките за дистанционно управление, за укрепване на процеса за сертифициране на партньори от НПО, за проверка на информацията, предоставяна от партньорите, и за предоставяне на доклади за дистанционно управление на заинтересованите страни; настоятелно призовава Комисията да предприеме подходящи действия и да изпълни препоръката на Сметната палата, която е напълно подкрепена;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отбелязва заключенията в Специален доклад № 15/2025 на Сметната палата относно хуманитарната помощ от ЕС при дистанционно управление, в който се признава, че този подход на управление предоставя полезна рамка за осигуряване на животоспасяваща помощ в труднодостъпни райони, но че съществуват някои слабости при разработването и прилагането на този подход; отбелязва, че Комисията признава, че по своята същност дистанционното управление е по-рисково от прякото изпълнение и че измамите и отклоняването на помощ са сред основните рискове, като се има предвид, че невъзможността на хуманитарните организации и на донорите да проследяват дейностите на място увеличава равнището на риска; отбелязва, че Комисията, както всички донори, разполага с екип, отговарящ за разглеждането на случаи на предполагаема измама и злоупотреба с помощи; подчертава обаче, че в регистъра на рисковете не се взема предвид въздействието, което дистанционното управление може да окаже върху вероятността и въздействието на установените некритични рискове, като например рискът от увреждане на репутацията в случай на измама, злоупотреба с помощ или неспазване на етичните стандарти; подчертава по-специално, че недостатъчното интегриране на рисковете, присъщи за дистанционното управление, в стратегията на Комисията за управление на риска, контрола и одита може да ограничи нейната способност да предотвратява, открива и управлява адекватно тези рискове, което води до риск от накърняване на репутацията в случай на измама и злоупотреба с помощи; подчертава, че стратегията за контрол не предвижда специфични проверки за справяне с присъщите рискове във връзка с дистанционното управление и че тя не отчита въздействието на дистанционното управление върху задачите по контрол, свързани с борбата с измамите или одитите на място; подчертава, че всъщност стратегията за одит на Комисията за периода 2021–2027 г. не дава автоматично на дистанционно управляваните действия по-висок рейтинг на риск при подбора на действия, които ще бъдат одитирани въз основа на риска, въпреки специфичните предизвикателства, пред които те са изправени; изразява съгласие с препоръките на Сметната палата, които Комисията също напълно подкрепя, за подобряване на подхода и насоките за дистанционно управление, за укрепване на процеса за сертифициране на партньори от НПО, за проверка на информацията, предоставяна от партньорите, и за предоставяне на доклади за дистанционно управление на заинтересованите страни; настоятелно призовава Комисията да предприеме подходящи действия и да изпълни препоръката на Сметната палата, която е напълно подкрепена;</w:t>
            </w:r>
          </w:p>
        </w:tc>
        <w:tc>
          <w:tcPr>
            <w:tcW w:w="4876" w:type="dxa"/>
            <w:tcBorders>
              <w:top w:val="nil"/>
              <w:left w:val="nil"/>
              <w:bottom w:val="nil"/>
              <w:right w:val="nil"/>
            </w:tcBorders>
          </w:tcPr>
          <w:p>
            <w:pPr>
              <w:pStyle w:val="Normal6a"/>
            </w:pPr>
            <w:r>
              <w:t>48.</w:t>
            </w:r>
            <w:r>
              <w:tab/>
            </w:r>
            <w:r>
              <w:t>отбелязва заключенията в Специален доклад № 15/2025 на Сметната палата относно хуманитарната помощ от ЕС при дистанционно управление, в който се признава, че този подход на управление предоставя полезна рамка за осигуряване на животоспасяваща помощ в труднодостъпни райони, но че съществуват някои слабости при разработването и прилагането на този подход; отбелязва, че Комисията признава, че по своята същност дистанционното управление е по-рисково от прякото изпълнение и че измамите и отклоняването на помощ са сред основните рискове, като се има предвид, че невъзможността на хуманитарните организации и на донорите да проследяват дейностите на място увеличава равнището на риска; отбелязва, че Комисията, както всички донори, разполага с екип, отговарящ за разглеждането на случаи на предполагаема измама и злоупотреба с помощи; подчертава обаче, че в регистъра на рисковете не се взема предвид въздействието, което дистанционното управление може да окаже върху вероятността и въздействието на установените некритични рискове, като например рискът от увреждане на репутацията в случай на измама, злоупотреба с помощ или неспазване на етичните стандарти; подчертава по-специално, че недостатъчното интегриране на рисковете, присъщи за дистанционното управление, в стратегията на Комисията за управление на риска, контрола и одита може да ограничи нейната способност да предотвратява, открива и управлява адекватно тези рискове, което води до риск от накърняване на репутацията в случай на измама и злоупотреба с помощи; подчертава, че стратегията за контрол не предвижда специфични проверки за справяне с присъщите рискове във връзка с дистанционното управление и че тя не отчита въздействието на дистанционното управление върху задачите по контрол, свързани с борбата с измамите или одитите на място; подчертава, че всъщност стратегията за одит на Комисията за периода 2021–2027 г. не дава автоматично на дистанционно управляваните действия по-висок рейтинг на риск при подбора на действия, които ще бъдат одитирани въз основа на риска, въпреки специфичните предизвикателства, пред които те са изправени; изразява съгласие с препоръките на Сметната палата, които Комисията също напълно подкрепя, за подобряване на подхода и насоките за дистанционно управление, за укрепване на процеса за сертифициране на партньори от НПО, за проверка на информацията, предоставяна от партньорите, и за предоставяне на доклади за дистанционно управление на заинтересованите страни; настоятелно призовава Комисията да предприеме подходящи действия</w:t>
            </w:r>
            <w:r>
              <w:rPr>
                <w:b/>
                <w:i/>
              </w:rPr>
              <w:t>, включително като гарантира, че дистанционното управление систематично води до по-висока оценка на риска при подбора на одити, засилена проверка на докладваната от партньорите информация и засилени канали за предотвратяване на измами и подаване на сигнали за нередности във високорискова среда,</w:t>
            </w:r>
            <w:r>
              <w:t xml:space="preserve"> и да изпълни препоръката на Сметната палата, която е напълно подкрепена;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48a.</w:t>
            </w:r>
            <w:r>
              <w:tab/>
            </w:r>
            <w:r>
              <w:rPr>
                <w:b/>
                <w:i/>
              </w:rPr>
              <w:t>изтъква, че нуждите на Украйна от възстановяване и реконструкция са значителни и ще изискват постоянна международна подкрепа през следващите години;</w:t>
            </w:r>
            <w:r>
              <w:t xml:space="preserve"> </w:t>
            </w:r>
            <w:r>
              <w:rPr>
                <w:b/>
                <w:i/>
              </w:rPr>
              <w:t>припомня, че публичното финансиране само по себе си няма да бъде достатъчно и че участието на частния сектор ще бъде от съществено значение, наред с продължаващите реформи за подобряване на управлението, отчетността и бизнес средата;</w:t>
            </w:r>
            <w:r>
              <w:t xml:space="preserve"> </w:t>
            </w:r>
            <w:r>
              <w:rPr>
                <w:b/>
                <w:i/>
              </w:rPr>
              <w:t>изразява загриженост относно неотдавнашните доклади за случаи на корупция, включително твърдения, свързани с високопоставени длъжностни лица, като същевременно признава напредъка на Украйна във въвеждането на реформи за борба с корупцията, изпирането на пари и отчетността;</w:t>
            </w:r>
            <w:r>
              <w:t xml:space="preserve"> </w:t>
            </w:r>
            <w:r>
              <w:rPr>
                <w:b/>
                <w:i/>
              </w:rPr>
              <w:t>изтъква усилията на Украйна в разгара на пълноправно нахлуване;</w:t>
            </w:r>
            <w:r>
              <w:t xml:space="preserve"> </w:t>
            </w:r>
            <w:r>
              <w:rPr>
                <w:b/>
                <w:i/>
              </w:rPr>
              <w:t>насърчава Украйна да продължи тези реформи, включително усилията за справяне с влиянието на олигарсите, и призовава Комисията да засили допълнително надзора си върху финансираните от ЕС дейности в страната;</w:t>
            </w:r>
            <w:r>
              <w:t xml:space="preserve"> </w:t>
            </w:r>
            <w:r>
              <w:rPr>
                <w:b/>
                <w:i/>
              </w:rPr>
              <w:t>подчертава, че подкрепата на ЕС за Украйна трябва да бъде придружена от стабилни мерки за защита на финансовите интереси на Съюза, включително ефективно предотвратяване, разкриване и коригиране на измами, корупция, конфликти на интереси и нередности, за да се гарантира, че средствата на ЕС се наблюдават по подходящ начин и достигат до предвидените бенефициенти;</w:t>
            </w:r>
            <w:r>
              <w:t xml:space="preserve"> </w:t>
            </w:r>
            <w:r>
              <w:rPr>
                <w:b/>
                <w:i/>
              </w:rPr>
              <w:t>припомня, че механизмът за Украйна, създаден с Регламент (ЕС) 2024/792, е основният инструмент на Съюза за подкрепа на възстановяването, реконструкцията и реформите в Украйна, като предоставя до 50 милиарда евро за периода 2024 – 2027 г.;</w:t>
            </w:r>
            <w:r>
              <w:t xml:space="preserve"> </w:t>
            </w:r>
            <w:r>
              <w:rPr>
                <w:b/>
                <w:i/>
              </w:rPr>
              <w:t>изтъква обвързаността с условия, свързани с изпълнението на договорените реформи и зачитането на ценностите на ЕС;</w:t>
            </w:r>
            <w:r>
              <w:t xml:space="preserve"> </w:t>
            </w:r>
            <w:r>
              <w:rPr>
                <w:b/>
                <w:i/>
              </w:rPr>
              <w:t>отбелязва ролята на Рамковото споразумение между ЕС и Украйна за определяне на гаранции за предотвратяване и справяне с измамите и корупцията, засягащи финансовите интереси на Съюза, включително сътрудничеството с OLAF;</w:t>
            </w:r>
            <w:r>
              <w:t xml:space="preserve"> </w:t>
            </w:r>
            <w:r>
              <w:rPr>
                <w:b/>
                <w:i/>
              </w:rPr>
              <w:t>приветства определянето на украинската Държавна служба за одит за национално координационно звено за борба с измамите;</w:t>
            </w:r>
            <w:r>
              <w:t xml:space="preserve"> </w:t>
            </w:r>
            <w:r>
              <w:rPr>
                <w:b/>
                <w:i/>
              </w:rPr>
              <w:t>оценява работата на OLAF и Европейската прокуратура за защита на средствата на ЕС, използвани в Украйна, включително неотдавнашните разследвания на сериозни нередности във финансираните от ЕС обществени поръчки;</w:t>
            </w:r>
            <w:r>
              <w:t xml:space="preserve"> </w:t>
            </w:r>
            <w:r>
              <w:rPr>
                <w:b/>
                <w:i/>
              </w:rPr>
              <w:t>призовава Комисията да засили допълнително контрола върху подкрепата на ЕС за Украйна, включително когато рисковете от измами включват икономически оператори, намиращи се извън Украйна;</w:t>
            </w:r>
            <w:r>
              <w:t xml:space="preserve"> </w:t>
            </w:r>
            <w:r>
              <w:rPr>
                <w:b/>
                <w:i/>
              </w:rPr>
              <w:t>насърчава непрекъснатото сътрудничество между органите на ЕС и украинските органи;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48a.</w:t>
            </w:r>
            <w:r>
              <w:tab/>
            </w:r>
            <w:r>
              <w:rPr>
                <w:b/>
                <w:i/>
              </w:rPr>
              <w:t>подчертава, че безпрецедентният обем на финансовата подкрепа, предоставена от ЕС на Украйна през последните години, разгърната при изключително неблагоприятните условия, наложени от продължаващата война, изисква приемането на подходящи мерки, за да се гарантира, че тези ресурси се използват по предназначение, особено когато са насочени към подпомагане на хора в нужда;</w:t>
            </w:r>
            <w:r>
              <w:t xml:space="preserve"> </w:t>
            </w:r>
            <w:r>
              <w:rPr>
                <w:b/>
                <w:i/>
              </w:rPr>
              <w:t>в този контекст оценява важната работа, извършена от OLAF и Европейската прокуратура за защита на финансовите интереси на ЕС, като припомня, че правомощията на Европейската прокуратура обхващат и средствата на ЕС, дори когато се използват в трети държави;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Дик Ериксон, Берт-Ян Ройсен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48a.</w:t>
            </w:r>
            <w:r>
              <w:tab/>
            </w:r>
            <w:r>
              <w:rPr>
                <w:b/>
                <w:i/>
              </w:rPr>
              <w:t>призовава Комисията да проявява особена бдителност по отношение на управлението на средствата на ЕС във външното измерение, включително хуманитарната помощ и предприсъединителната помощ;</w:t>
            </w:r>
            <w:r>
              <w:t xml:space="preserve"> </w:t>
            </w:r>
            <w:r>
              <w:rPr>
                <w:b/>
                <w:i/>
              </w:rPr>
              <w:t>изтъква, че дистанционното управление на хуманитарната помощ, макар и необходимо в определени условия, увеличава риска от измами и отклоняване на средства;</w:t>
            </w:r>
            <w:r>
              <w:t xml:space="preserve"> </w:t>
            </w:r>
            <w:r>
              <w:rPr>
                <w:b/>
                <w:i/>
              </w:rPr>
              <w:t>призовава Комисията да изпълни изцяло препоръките на Сметната палата за подобряване на подхода към дистанционното управление, укрепване на процеса на сертифициране за партньорите от НПО и проверка на информацията, предоставена от партньорите;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Руди Кенес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48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48б.</w:t>
            </w:r>
            <w:r>
              <w:tab/>
            </w:r>
            <w:r>
              <w:rPr>
                <w:b/>
                <w:i/>
              </w:rPr>
              <w:t>приветства решението да не се приема законодателството, гласувано в украинския парламент, Върховната рада, през юли 2025 г., което щеше да отслаби ефективността на действията на украинската Специализирана прокуратура за борба с корупцията и Националното бюро за борба с корупцията, по-специално с оглед на неотдавнашните случаи на корупция на високо равнище, съобщени от медиите, което подчертава необходимостта от предпазлив и разумен подход при разглеждането на корупционни престъпления и значението на усилията на Украйна за ефективно следване на целите за прозрачност;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 Влад Василе-Войкулеску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48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48б.</w:t>
            </w:r>
            <w:r>
              <w:tab/>
            </w:r>
            <w:r>
              <w:rPr>
                <w:b/>
                <w:i/>
              </w:rPr>
              <w:t>отново изтъква необходимостта от засилване на прилагането на санкциите на ЕС срещу Русия и Беларус и подчертава ролята на държавите членки, OLAF и Европейската прокуратура за предотвратяване на заобикалянето на санкциите и за защита на финансовите интереси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784.234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144</w:t>
    </w:r>
    <w:r>
      <w:fldChar w:fldCharType="end"/>
    </w:r>
    <w:r>
      <w:t>/</w:t>
    </w:r>
    <w:r>
      <w:fldChar w:fldCharType="begin"/>
    </w:r>
    <w:r>
      <w:instrText xml:space="preserve"> NUMPAGES </w:instrText>
    </w:r>
    <w:r>
      <w:fldChar w:fldCharType="separate"/>
    </w:r>
    <w:r>
      <w:t>144</w:t>
    </w:r>
    <w:r>
      <w:fldChar w:fldCharType="end"/>
    </w:r>
    <w:r>
      <w:tab/>
    </w:r>
    <w:r>
      <w:rPr>
        <w:rStyle w:val="HideTWBExt"/>
      </w:rPr>
      <w:t>&lt;PathFdR&gt;</w:t>
    </w:r>
    <w:r>
      <w:t>AM\1336586BG.docx</w:t>
    </w:r>
    <w:r>
      <w:rPr>
        <w:rStyle w:val="HideTWBExt"/>
      </w:rPr>
      <w:t>&lt;/PathFdR&gt;</w:t>
    </w:r>
  </w:p>
  <w:p>
    <w:pPr>
      <w:pStyle w:val="EPFooter2"/>
    </w:pPr>
    <w: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AM\1336586BG.docx</w:t>
    </w:r>
    <w:r>
      <w:rPr>
        <w:rStyle w:val="HideTWBExt"/>
      </w:rPr>
      <w:t>&lt;/PathFdR&gt;</w:t>
    </w:r>
    <w:r>
      <w:tab/>
    </w:r>
    <w:r>
      <w:fldChar w:fldCharType="begin"/>
    </w:r>
    <w:r>
      <w:instrText xml:space="preserve"> PAGE </w:instrText>
    </w:r>
    <w:r>
      <w:fldChar w:fldCharType="separate"/>
    </w:r>
    <w:r>
      <w:t>143</w:t>
    </w:r>
    <w:r>
      <w:fldChar w:fldCharType="end"/>
    </w:r>
    <w:r>
      <w:t>/</w:t>
    </w:r>
    <w:r>
      <w:fldChar w:fldCharType="begin"/>
    </w:r>
    <w:r>
      <w:instrText xml:space="preserve"> NUMPAGES </w:instrText>
    </w:r>
    <w:r>
      <w:fldChar w:fldCharType="separate"/>
    </w:r>
    <w:r>
      <w:t>144</w:t>
    </w:r>
    <w:r>
      <w:fldChar w:fldCharType="end"/>
    </w:r>
    <w:r>
      <w:tab/>
    </w:r>
    <w:r>
      <w:t>PE</w:t>
    </w:r>
    <w:r>
      <w:rPr>
        <w:rStyle w:val="HideTWBExt"/>
      </w:rPr>
      <w:t>&lt;NoPE&gt;</w:t>
    </w:r>
    <w:r>
      <w:t>784.234</w:t>
    </w:r>
    <w:r>
      <w:rPr>
        <w:rStyle w:val="HideTWBExt"/>
      </w:rPr>
      <w:t>&lt;/NoPE&gt;</w:t>
    </w:r>
    <w:r>
      <w:rPr>
        <w:rStyle w:val="HideTWBExt"/>
      </w:rPr>
      <w:t>&lt;Version&gt;</w:t>
    </w:r>
    <w:r>
      <w:t>v01-00</w:t>
    </w:r>
    <w:r>
      <w:rPr>
        <w:rStyle w:val="HideTWBExt"/>
      </w:rPr>
      <w:t>&lt;/Version&gt;</w:t>
    </w:r>
  </w:p>
  <w:p>
    <w:pPr>
      <w:pStyle w:val="EPFooter2"/>
    </w:pPr>
    <w:r>
      <w:tab/>
    </w:r>
    <w:r>
      <w:tab/>
    </w:r>
    <w:r>
      <w:t>BG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AM\1336586BG.docx</w:t>
    </w:r>
    <w:r>
      <w:rPr>
        <w:rStyle w:val="HideTWBExt"/>
      </w:rPr>
      <w:t>&lt;/PathFdR&gt;</w:t>
    </w:r>
    <w:r>
      <w:tab/>
    </w:r>
    <w:r>
      <w:tab/>
    </w:r>
    <w:r>
      <w:t>PE</w:t>
    </w:r>
    <w:r>
      <w:rPr>
        <w:rStyle w:val="HideTWBExt"/>
      </w:rPr>
      <w:t>&lt;NoPE&gt;</w:t>
    </w:r>
    <w:r>
      <w:t>784.234</w:t>
    </w:r>
    <w:r>
      <w:rPr>
        <w:rStyle w:val="HideTWBExt"/>
      </w:rPr>
      <w:t>&lt;/NoPE&gt;</w:t>
    </w:r>
    <w:r>
      <w:rPr>
        <w:rStyle w:val="HideTWBExt"/>
      </w:rPr>
      <w:t>&lt;Version&gt;</w:t>
    </w:r>
    <w:r>
      <w:t>v01-00</w:t>
    </w:r>
    <w:r>
      <w:rPr>
        <w:rStyle w:val="HideTWBExt"/>
      </w:rPr>
      <w:t>&lt;/Version&gt;</w:t>
    </w:r>
  </w:p>
  <w:p>
    <w:pPr>
      <w:pStyle w:val="EPFooter2"/>
    </w:pPr>
    <w:r>
      <w:t>BG</w:t>
    </w:r>
    <w:r>
      <w:tab/>
    </w:r>
    <w:r>
      <w:rPr>
        <w:rStyle w:val="EPFooter2Motto"/>
      </w:rPr>
      <w:t>Единство в многообразието</w:t>
    </w:r>
    <w:r>
      <w:tab/>
    </w:r>
    <w:r>
      <w:t>BG</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144</Pages>
  <Words>36543</Words>
  <Characters>217891</Characters>
  <Application>Microsoft Office Word</Application>
  <DocSecurity>0</DocSecurity>
  <Lines>1</Lines>
  <Paragraphs>1515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1336586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390915</vt:lpwstr>
  </property>
  <property fmtid="{D5CDD505-2E9C-101B-9397-08002B2CF9AE}" pid="7" name="dmxml.render.traceId">
    <vt:lpwstr>699ebac9b632b3c72807e823a2d49a9d</vt:lpwstr>
  </property>
  <property fmtid="{D5CDD505-2E9C-101B-9397-08002B2CF9AE}" pid="8" name="FooterPath">
    <vt:lpwstr>AM\1336586BG.docx</vt:lpwstr>
  </property>
  <property fmtid="{D5CDD505-2E9C-101B-9397-08002B2CF9AE}" pid="9" name="PE Number">
    <vt:lpwstr>784.234</vt:lpwstr>
  </property>
  <property fmtid="{D5CDD505-2E9C-101B-9397-08002B2CF9AE}" pid="10" name="UID">
    <vt:lpwstr>eu.europa.europarl-DIN1-2026-0000023278_01.00-bg-01.00_text-xml</vt:lpwstr>
  </property>
</Properties>
</file>