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C656F" w:rsidRPr="005F046F" w14:paraId="220EE432" w14:textId="77777777">
        <w:trPr>
          <w:trHeight w:hRule="exact" w:val="1417"/>
          <w:jc w:val="center"/>
        </w:trPr>
        <w:tc>
          <w:tcPr>
            <w:tcW w:w="6804" w:type="dxa"/>
            <w:tcBorders>
              <w:top w:val="nil"/>
              <w:left w:val="nil"/>
              <w:bottom w:val="nil"/>
              <w:right w:val="nil"/>
            </w:tcBorders>
            <w:vAlign w:val="center"/>
          </w:tcPr>
          <w:p w14:paraId="2BC73DF3" w14:textId="77777777" w:rsidR="00F91304" w:rsidRPr="005F046F" w:rsidRDefault="00B341CB">
            <w:pPr>
              <w:pStyle w:val="EPName"/>
            </w:pPr>
            <w:r w:rsidRPr="005F046F">
              <w:t>Európai Parlament</w:t>
            </w:r>
          </w:p>
          <w:p w14:paraId="15A04BB4" w14:textId="77777777" w:rsidR="00F91304" w:rsidRPr="005F046F" w:rsidRDefault="00B341CB">
            <w:pPr>
              <w:pStyle w:val="EPTerm"/>
            </w:pPr>
            <w:r w:rsidRPr="005F046F">
              <w:t>2024-2029</w:t>
            </w:r>
          </w:p>
        </w:tc>
        <w:tc>
          <w:tcPr>
            <w:tcW w:w="2268" w:type="dxa"/>
            <w:tcBorders>
              <w:top w:val="nil"/>
              <w:left w:val="nil"/>
              <w:bottom w:val="nil"/>
              <w:right w:val="nil"/>
            </w:tcBorders>
          </w:tcPr>
          <w:p w14:paraId="4184E340" w14:textId="77777777" w:rsidR="00F91304" w:rsidRPr="005F046F" w:rsidRDefault="003A1A27">
            <w:pPr>
              <w:pStyle w:val="EPLogo"/>
            </w:pPr>
            <w:r w:rsidRPr="005F046F">
              <w:pict w14:anchorId="03E401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05512C1" w14:textId="43DF301C" w:rsidR="00F91304" w:rsidRPr="005F046F" w:rsidRDefault="00F91304">
      <w:pPr>
        <w:pStyle w:val="LineTop"/>
      </w:pPr>
    </w:p>
    <w:p w14:paraId="4ABD3F9E" w14:textId="77777777" w:rsidR="00F91304" w:rsidRPr="005F046F" w:rsidRDefault="00B341CB">
      <w:pPr>
        <w:pStyle w:val="EPBody"/>
      </w:pPr>
      <w:r w:rsidRPr="005F046F">
        <w:rPr>
          <w:rStyle w:val="HideTWBExt"/>
          <w:color w:val="auto"/>
        </w:rPr>
        <w:t>&lt;</w:t>
      </w:r>
      <w:proofErr w:type="spellStart"/>
      <w:r w:rsidRPr="005F046F">
        <w:rPr>
          <w:rStyle w:val="HideTWBExt"/>
          <w:color w:val="auto"/>
        </w:rPr>
        <w:t>Commission</w:t>
      </w:r>
      <w:proofErr w:type="spellEnd"/>
      <w:r w:rsidRPr="005F046F">
        <w:rPr>
          <w:rStyle w:val="HideTWBExt"/>
          <w:color w:val="auto"/>
        </w:rPr>
        <w:t>&gt;</w:t>
      </w:r>
      <w:r w:rsidRPr="005F046F">
        <w:rPr>
          <w:rStyle w:val="HideTWBInt"/>
          <w:color w:val="auto"/>
        </w:rPr>
        <w:t>{CONT}</w:t>
      </w:r>
      <w:r w:rsidRPr="005F046F">
        <w:t>Költségvetési Ellenőrző Bizottság</w:t>
      </w:r>
      <w:r w:rsidRPr="005F046F">
        <w:rPr>
          <w:rStyle w:val="HideTWBExt"/>
          <w:color w:val="auto"/>
        </w:rPr>
        <w:t>&lt;/</w:t>
      </w:r>
      <w:proofErr w:type="spellStart"/>
      <w:r w:rsidRPr="005F046F">
        <w:rPr>
          <w:rStyle w:val="HideTWBExt"/>
          <w:color w:val="auto"/>
        </w:rPr>
        <w:t>Commission</w:t>
      </w:r>
      <w:proofErr w:type="spellEnd"/>
      <w:r w:rsidRPr="005F046F">
        <w:rPr>
          <w:rStyle w:val="HideTWBExt"/>
          <w:color w:val="auto"/>
        </w:rPr>
        <w:t>&gt;</w:t>
      </w:r>
    </w:p>
    <w:p w14:paraId="593E7181" w14:textId="64457A10" w:rsidR="00F91304" w:rsidRPr="005F046F" w:rsidRDefault="00F91304">
      <w:pPr>
        <w:pStyle w:val="LineBottom"/>
      </w:pPr>
    </w:p>
    <w:p w14:paraId="4B954B49" w14:textId="77777777" w:rsidR="00F91304" w:rsidRPr="005F046F" w:rsidRDefault="00B341CB">
      <w:pPr>
        <w:pStyle w:val="CoverReference"/>
      </w:pPr>
      <w:r w:rsidRPr="005F046F">
        <w:rPr>
          <w:rStyle w:val="HideTWBExt"/>
          <w:color w:val="auto"/>
        </w:rPr>
        <w:t>&lt;</w:t>
      </w:r>
      <w:proofErr w:type="spellStart"/>
      <w:r w:rsidRPr="005F046F">
        <w:rPr>
          <w:rStyle w:val="HideTWBExt"/>
          <w:color w:val="auto"/>
        </w:rPr>
        <w:t>RefProc</w:t>
      </w:r>
      <w:proofErr w:type="spellEnd"/>
      <w:r w:rsidRPr="005F046F">
        <w:rPr>
          <w:rStyle w:val="HideTWBExt"/>
          <w:color w:val="auto"/>
        </w:rPr>
        <w:t>&gt;</w:t>
      </w:r>
      <w:r w:rsidRPr="005F046F">
        <w:t>2025/2238</w:t>
      </w:r>
      <w:r w:rsidRPr="005F046F">
        <w:rPr>
          <w:rStyle w:val="HideTWBExt"/>
          <w:color w:val="auto"/>
        </w:rPr>
        <w:t>&lt;/</w:t>
      </w:r>
      <w:proofErr w:type="spellStart"/>
      <w:r w:rsidRPr="005F046F">
        <w:rPr>
          <w:rStyle w:val="HideTWBExt"/>
          <w:color w:val="auto"/>
        </w:rPr>
        <w:t>RefProc</w:t>
      </w:r>
      <w:proofErr w:type="spellEnd"/>
      <w:r w:rsidRPr="005F046F">
        <w:rPr>
          <w:rStyle w:val="HideTWBExt"/>
          <w:color w:val="auto"/>
        </w:rPr>
        <w:t>&gt;&lt;</w:t>
      </w:r>
      <w:proofErr w:type="spellStart"/>
      <w:r w:rsidRPr="005F046F">
        <w:rPr>
          <w:rStyle w:val="HideTWBExt"/>
          <w:color w:val="auto"/>
        </w:rPr>
        <w:t>RefTypeProc</w:t>
      </w:r>
      <w:proofErr w:type="spellEnd"/>
      <w:r w:rsidRPr="005F046F">
        <w:rPr>
          <w:rStyle w:val="HideTWBExt"/>
          <w:color w:val="auto"/>
        </w:rPr>
        <w:t>&gt;</w:t>
      </w:r>
      <w:r w:rsidRPr="005F046F">
        <w:t>(INI)</w:t>
      </w:r>
      <w:r w:rsidRPr="005F046F">
        <w:rPr>
          <w:rStyle w:val="HideTWBExt"/>
          <w:color w:val="auto"/>
        </w:rPr>
        <w:t>&lt;/</w:t>
      </w:r>
      <w:proofErr w:type="spellStart"/>
      <w:r w:rsidRPr="005F046F">
        <w:rPr>
          <w:rStyle w:val="HideTWBExt"/>
          <w:color w:val="auto"/>
        </w:rPr>
        <w:t>RefTypeProc</w:t>
      </w:r>
      <w:proofErr w:type="spellEnd"/>
      <w:r w:rsidRPr="005F046F">
        <w:rPr>
          <w:rStyle w:val="HideTWBExt"/>
          <w:color w:val="auto"/>
        </w:rPr>
        <w:t>&gt;</w:t>
      </w:r>
    </w:p>
    <w:p w14:paraId="39761F2A" w14:textId="77777777" w:rsidR="00F91304" w:rsidRPr="005F046F" w:rsidRDefault="00B341CB">
      <w:pPr>
        <w:pStyle w:val="CoverDate"/>
      </w:pPr>
      <w:r w:rsidRPr="005F046F">
        <w:rPr>
          <w:rStyle w:val="HideTWBExt"/>
          <w:color w:val="auto"/>
        </w:rPr>
        <w:t>&lt;</w:t>
      </w:r>
      <w:proofErr w:type="spellStart"/>
      <w:r w:rsidRPr="005F046F">
        <w:rPr>
          <w:rStyle w:val="HideTWBExt"/>
          <w:color w:val="auto"/>
        </w:rPr>
        <w:t>Date</w:t>
      </w:r>
      <w:proofErr w:type="spellEnd"/>
      <w:r w:rsidRPr="005F046F">
        <w:rPr>
          <w:rStyle w:val="HideTWBExt"/>
          <w:color w:val="auto"/>
        </w:rPr>
        <w:t>&gt;</w:t>
      </w:r>
      <w:r w:rsidRPr="005F046F">
        <w:rPr>
          <w:rStyle w:val="HideTWBInt"/>
          <w:color w:val="auto"/>
        </w:rPr>
        <w:t>{03/02/2026}</w:t>
      </w:r>
      <w:r w:rsidRPr="005F046F">
        <w:t>3.2.2026</w:t>
      </w:r>
      <w:r w:rsidRPr="005F046F">
        <w:rPr>
          <w:rStyle w:val="HideTWBExt"/>
          <w:color w:val="auto"/>
        </w:rPr>
        <w:t>&lt;/</w:t>
      </w:r>
      <w:proofErr w:type="spellStart"/>
      <w:r w:rsidRPr="005F046F">
        <w:rPr>
          <w:rStyle w:val="HideTWBExt"/>
          <w:color w:val="auto"/>
        </w:rPr>
        <w:t>Date</w:t>
      </w:r>
      <w:proofErr w:type="spellEnd"/>
      <w:r w:rsidRPr="005F046F">
        <w:rPr>
          <w:rStyle w:val="HideTWBExt"/>
          <w:color w:val="auto"/>
        </w:rPr>
        <w:t>&gt;</w:t>
      </w:r>
    </w:p>
    <w:p w14:paraId="03965A77" w14:textId="70B1C653" w:rsidR="00F91304" w:rsidRPr="005F046F" w:rsidRDefault="00B341CB">
      <w:pPr>
        <w:pStyle w:val="CoverDocType"/>
      </w:pPr>
      <w:r w:rsidRPr="005F046F">
        <w:rPr>
          <w:rStyle w:val="HideTWBExt"/>
          <w:color w:val="auto"/>
        </w:rPr>
        <w:t>&lt;</w:t>
      </w:r>
      <w:proofErr w:type="spellStart"/>
      <w:r w:rsidRPr="005F046F">
        <w:rPr>
          <w:rStyle w:val="HideTWBExt"/>
          <w:color w:val="auto"/>
        </w:rPr>
        <w:t>TypeAM</w:t>
      </w:r>
      <w:proofErr w:type="spellEnd"/>
      <w:r w:rsidRPr="005F046F">
        <w:rPr>
          <w:rStyle w:val="HideTWBExt"/>
          <w:color w:val="auto"/>
        </w:rPr>
        <w:t>&gt;</w:t>
      </w:r>
      <w:r w:rsidRPr="005F046F">
        <w:t>MÓDOSÍTÁ</w:t>
      </w:r>
      <w:r w:rsidR="0024631A">
        <w:t>SOK:</w:t>
      </w:r>
      <w:r w:rsidRPr="005F046F">
        <w:rPr>
          <w:rStyle w:val="HideTWBExt"/>
          <w:color w:val="auto"/>
        </w:rPr>
        <w:t>&lt;/</w:t>
      </w:r>
      <w:proofErr w:type="spellStart"/>
      <w:r w:rsidRPr="005F046F">
        <w:rPr>
          <w:rStyle w:val="HideTWBExt"/>
          <w:color w:val="auto"/>
        </w:rPr>
        <w:t>TypeAM</w:t>
      </w:r>
      <w:proofErr w:type="spellEnd"/>
      <w:r w:rsidRPr="005F046F">
        <w:rPr>
          <w:rStyle w:val="HideTWBExt"/>
          <w:color w:val="auto"/>
        </w:rPr>
        <w:t>&gt;</w:t>
      </w:r>
    </w:p>
    <w:p w14:paraId="3A19304B" w14:textId="77777777" w:rsidR="00F91304" w:rsidRPr="005F046F" w:rsidRDefault="00B341CB">
      <w:pPr>
        <w:pStyle w:val="CoverDocType24a"/>
      </w:pPr>
      <w:r w:rsidRPr="005F046F">
        <w:rPr>
          <w:rStyle w:val="HideTWBExt"/>
          <w:color w:val="auto"/>
        </w:rPr>
        <w:t>&lt;</w:t>
      </w:r>
      <w:proofErr w:type="spellStart"/>
      <w:r w:rsidRPr="005F046F">
        <w:rPr>
          <w:rStyle w:val="HideTWBExt"/>
          <w:color w:val="auto"/>
        </w:rPr>
        <w:t>RangeAM</w:t>
      </w:r>
      <w:proofErr w:type="spellEnd"/>
      <w:r w:rsidRPr="005F046F">
        <w:rPr>
          <w:rStyle w:val="HideTWBExt"/>
          <w:color w:val="auto"/>
        </w:rPr>
        <w:t>&gt;</w:t>
      </w:r>
      <w:r w:rsidRPr="005F046F">
        <w:t>1 - 171</w:t>
      </w:r>
      <w:r w:rsidRPr="005F046F">
        <w:rPr>
          <w:rStyle w:val="HideTWBExt"/>
          <w:color w:val="auto"/>
        </w:rPr>
        <w:t>&lt;/</w:t>
      </w:r>
      <w:proofErr w:type="spellStart"/>
      <w:r w:rsidRPr="005F046F">
        <w:rPr>
          <w:rStyle w:val="HideTWBExt"/>
          <w:color w:val="auto"/>
        </w:rPr>
        <w:t>RangeAM</w:t>
      </w:r>
      <w:proofErr w:type="spellEnd"/>
      <w:r w:rsidRPr="005F046F">
        <w:rPr>
          <w:rStyle w:val="HideTWBExt"/>
          <w:color w:val="auto"/>
        </w:rPr>
        <w:t>&gt;</w:t>
      </w:r>
    </w:p>
    <w:p w14:paraId="735E7566" w14:textId="77777777" w:rsidR="00F91304" w:rsidRPr="005F046F" w:rsidRDefault="00B341CB">
      <w:pPr>
        <w:pStyle w:val="CoverBold"/>
      </w:pPr>
      <w:r w:rsidRPr="005F046F">
        <w:rPr>
          <w:rStyle w:val="HideTWBExt"/>
          <w:color w:val="auto"/>
        </w:rPr>
        <w:t>&lt;</w:t>
      </w:r>
      <w:proofErr w:type="spellStart"/>
      <w:r w:rsidRPr="005F046F">
        <w:rPr>
          <w:rStyle w:val="HideTWBExt"/>
          <w:color w:val="auto"/>
        </w:rPr>
        <w:t>TitreType</w:t>
      </w:r>
      <w:proofErr w:type="spellEnd"/>
      <w:r w:rsidRPr="005F046F">
        <w:rPr>
          <w:rStyle w:val="HideTWBExt"/>
          <w:color w:val="auto"/>
        </w:rPr>
        <w:t>&gt;</w:t>
      </w:r>
      <w:r w:rsidRPr="005F046F">
        <w:t>Jelentéstervezet</w:t>
      </w:r>
      <w:r w:rsidRPr="005F046F">
        <w:rPr>
          <w:rStyle w:val="HideTWBExt"/>
          <w:color w:val="auto"/>
        </w:rPr>
        <w:t>&lt;/</w:t>
      </w:r>
      <w:proofErr w:type="spellStart"/>
      <w:r w:rsidRPr="005F046F">
        <w:rPr>
          <w:rStyle w:val="HideTWBExt"/>
          <w:color w:val="auto"/>
        </w:rPr>
        <w:t>TitreType</w:t>
      </w:r>
      <w:proofErr w:type="spellEnd"/>
      <w:r w:rsidRPr="005F046F">
        <w:rPr>
          <w:rStyle w:val="HideTWBExt"/>
          <w:color w:val="auto"/>
        </w:rPr>
        <w:t>&gt;</w:t>
      </w:r>
    </w:p>
    <w:p w14:paraId="09CAC730" w14:textId="77777777" w:rsidR="00F91304" w:rsidRPr="005F046F" w:rsidRDefault="00B341CB">
      <w:pPr>
        <w:pStyle w:val="CoverBold"/>
      </w:pPr>
      <w:r w:rsidRPr="005F046F">
        <w:rPr>
          <w:rStyle w:val="HideTWBExt"/>
          <w:color w:val="auto"/>
        </w:rPr>
        <w:t>&lt;</w:t>
      </w:r>
      <w:proofErr w:type="spellStart"/>
      <w:r w:rsidRPr="005F046F">
        <w:rPr>
          <w:rStyle w:val="HideTWBExt"/>
          <w:color w:val="auto"/>
        </w:rPr>
        <w:t>Rapporteur</w:t>
      </w:r>
      <w:proofErr w:type="spellEnd"/>
      <w:r w:rsidRPr="005F046F">
        <w:rPr>
          <w:rStyle w:val="HideTWBExt"/>
          <w:color w:val="auto"/>
        </w:rPr>
        <w:t>&gt;</w:t>
      </w:r>
      <w:r w:rsidRPr="005F046F">
        <w:t xml:space="preserve">Julien </w:t>
      </w:r>
      <w:proofErr w:type="spellStart"/>
      <w:r w:rsidRPr="005F046F">
        <w:t>Sanchez</w:t>
      </w:r>
      <w:proofErr w:type="spellEnd"/>
      <w:r w:rsidRPr="005F046F">
        <w:rPr>
          <w:rStyle w:val="HideTWBExt"/>
          <w:color w:val="auto"/>
        </w:rPr>
        <w:t>&lt;/</w:t>
      </w:r>
      <w:proofErr w:type="spellStart"/>
      <w:r w:rsidRPr="005F046F">
        <w:rPr>
          <w:rStyle w:val="HideTWBExt"/>
          <w:color w:val="auto"/>
        </w:rPr>
        <w:t>Rapporteur</w:t>
      </w:r>
      <w:proofErr w:type="spellEnd"/>
      <w:r w:rsidRPr="005F046F">
        <w:rPr>
          <w:rStyle w:val="HideTWBExt"/>
          <w:color w:val="auto"/>
        </w:rPr>
        <w:t>&gt;</w:t>
      </w:r>
    </w:p>
    <w:p w14:paraId="43483D1A" w14:textId="77777777" w:rsidR="00F91304" w:rsidRPr="005F046F" w:rsidRDefault="00B341CB">
      <w:pPr>
        <w:pStyle w:val="CoverNormal24a"/>
      </w:pPr>
      <w:r w:rsidRPr="005F046F">
        <w:rPr>
          <w:rStyle w:val="HideTWBExt"/>
          <w:color w:val="auto"/>
        </w:rPr>
        <w:t>&lt;</w:t>
      </w:r>
      <w:proofErr w:type="spellStart"/>
      <w:r w:rsidRPr="005F046F">
        <w:rPr>
          <w:rStyle w:val="HideTWBExt"/>
          <w:color w:val="auto"/>
        </w:rPr>
        <w:t>DocRefPE</w:t>
      </w:r>
      <w:proofErr w:type="spellEnd"/>
      <w:r w:rsidRPr="005F046F">
        <w:rPr>
          <w:rStyle w:val="HideTWBExt"/>
          <w:color w:val="auto"/>
        </w:rPr>
        <w:t>&gt;</w:t>
      </w:r>
      <w:r w:rsidRPr="005F046F">
        <w:t>(PE781.476v01-00)</w:t>
      </w:r>
      <w:r w:rsidRPr="005F046F">
        <w:rPr>
          <w:rStyle w:val="HideTWBExt"/>
          <w:color w:val="auto"/>
        </w:rPr>
        <w:t>&lt;/</w:t>
      </w:r>
      <w:proofErr w:type="spellStart"/>
      <w:r w:rsidRPr="005F046F">
        <w:rPr>
          <w:rStyle w:val="HideTWBExt"/>
          <w:color w:val="auto"/>
        </w:rPr>
        <w:t>DocRefPE</w:t>
      </w:r>
      <w:proofErr w:type="spellEnd"/>
      <w:r w:rsidRPr="005F046F">
        <w:rPr>
          <w:rStyle w:val="HideTWBExt"/>
          <w:color w:val="auto"/>
        </w:rPr>
        <w:t>&gt;</w:t>
      </w:r>
    </w:p>
    <w:p w14:paraId="455CDEEB" w14:textId="77777777" w:rsidR="00F91304" w:rsidRPr="005F046F" w:rsidRDefault="00B341CB">
      <w:pPr>
        <w:pStyle w:val="CoverNormal"/>
      </w:pPr>
      <w:r w:rsidRPr="005F046F">
        <w:rPr>
          <w:rStyle w:val="HideTWBExt"/>
          <w:color w:val="auto"/>
        </w:rPr>
        <w:t>&lt;</w:t>
      </w:r>
      <w:proofErr w:type="spellStart"/>
      <w:r w:rsidRPr="005F046F">
        <w:rPr>
          <w:rStyle w:val="HideTWBExt"/>
          <w:color w:val="auto"/>
        </w:rPr>
        <w:t>Titre</w:t>
      </w:r>
      <w:proofErr w:type="spellEnd"/>
      <w:r w:rsidRPr="005F046F">
        <w:rPr>
          <w:rStyle w:val="HideTWBExt"/>
          <w:color w:val="auto"/>
        </w:rPr>
        <w:t>&gt;</w:t>
      </w:r>
      <w:r w:rsidRPr="005F046F">
        <w:t>Az Európai Unió pénzügyi érdekeinek védelme – Csalás elleni küzdelem – 2024. évi éves jelentés</w:t>
      </w:r>
      <w:r w:rsidRPr="005F046F">
        <w:rPr>
          <w:rStyle w:val="HideTWBExt"/>
          <w:color w:val="auto"/>
        </w:rPr>
        <w:t>&lt;/</w:t>
      </w:r>
      <w:proofErr w:type="spellStart"/>
      <w:r w:rsidRPr="005F046F">
        <w:rPr>
          <w:rStyle w:val="HideTWBExt"/>
          <w:color w:val="auto"/>
        </w:rPr>
        <w:t>Titre</w:t>
      </w:r>
      <w:proofErr w:type="spellEnd"/>
      <w:r w:rsidRPr="005F046F">
        <w:rPr>
          <w:rStyle w:val="HideTWBExt"/>
          <w:color w:val="auto"/>
        </w:rPr>
        <w:t>&gt;</w:t>
      </w:r>
    </w:p>
    <w:p w14:paraId="16E0BA5C" w14:textId="77777777" w:rsidR="00F91304" w:rsidRPr="005F046F" w:rsidRDefault="00B341CB">
      <w:pPr>
        <w:pStyle w:val="CoverNormal24a"/>
      </w:pPr>
      <w:r w:rsidRPr="005F046F">
        <w:rPr>
          <w:rStyle w:val="HideTWBExt"/>
          <w:color w:val="auto"/>
        </w:rPr>
        <w:t>&lt;</w:t>
      </w:r>
      <w:proofErr w:type="spellStart"/>
      <w:r w:rsidRPr="005F046F">
        <w:rPr>
          <w:rStyle w:val="HideTWBExt"/>
          <w:color w:val="auto"/>
        </w:rPr>
        <w:t>DocRef</w:t>
      </w:r>
      <w:proofErr w:type="spellEnd"/>
      <w:r w:rsidRPr="005F046F">
        <w:rPr>
          <w:rStyle w:val="HideTWBExt"/>
          <w:color w:val="auto"/>
        </w:rPr>
        <w:t>&gt;</w:t>
      </w:r>
      <w:r w:rsidRPr="005F046F">
        <w:t>(2025/2238(INI))</w:t>
      </w:r>
      <w:r w:rsidRPr="005F046F">
        <w:rPr>
          <w:rStyle w:val="HideTWBExt"/>
          <w:color w:val="auto"/>
        </w:rPr>
        <w:t>&lt;/</w:t>
      </w:r>
      <w:proofErr w:type="spellStart"/>
      <w:r w:rsidRPr="005F046F">
        <w:rPr>
          <w:rStyle w:val="HideTWBExt"/>
          <w:color w:val="auto"/>
        </w:rPr>
        <w:t>DocRef</w:t>
      </w:r>
      <w:proofErr w:type="spellEnd"/>
      <w:r w:rsidRPr="005F046F">
        <w:rPr>
          <w:rStyle w:val="HideTWBExt"/>
          <w:color w:val="auto"/>
        </w:rPr>
        <w:t>&gt;</w:t>
      </w:r>
    </w:p>
    <w:p w14:paraId="465A1EDB" w14:textId="77777777" w:rsidR="00F91304" w:rsidRPr="005F046F" w:rsidRDefault="00B341CB">
      <w:r w:rsidRPr="005F046F">
        <w:br w:type="page"/>
      </w:r>
      <w:proofErr w:type="spellStart"/>
      <w:r w:rsidRPr="005F046F">
        <w:lastRenderedPageBreak/>
        <w:t>AM_Com_NonLegReport</w:t>
      </w:r>
      <w:proofErr w:type="spellEnd"/>
    </w:p>
    <w:p w14:paraId="58820F33" w14:textId="0F73F2EA" w:rsidR="000104F2" w:rsidRPr="005F046F" w:rsidRDefault="00B341CB" w:rsidP="000104F2">
      <w:pPr>
        <w:pStyle w:val="AmNumberTabs"/>
      </w:pPr>
      <w:r w:rsidRPr="005F046F">
        <w:br w:type="page"/>
      </w:r>
      <w:r w:rsidR="000104F2" w:rsidRPr="005F046F">
        <w:rPr>
          <w:rStyle w:val="HideTWBExt"/>
          <w:b w:val="0"/>
          <w:color w:val="auto"/>
        </w:rPr>
        <w:lastRenderedPageBreak/>
        <w:t>&lt;</w:t>
      </w:r>
      <w:proofErr w:type="spellStart"/>
      <w:r w:rsidR="000104F2" w:rsidRPr="005F046F">
        <w:rPr>
          <w:rStyle w:val="HideTWBExt"/>
          <w:b w:val="0"/>
          <w:color w:val="auto"/>
        </w:rPr>
        <w:t>RepeatBlock-Amend</w:t>
      </w:r>
      <w:proofErr w:type="spellEnd"/>
      <w:r w:rsidR="000104F2" w:rsidRPr="005F046F">
        <w:rPr>
          <w:rStyle w:val="HideTWBExt"/>
          <w:b w:val="0"/>
          <w:color w:val="auto"/>
        </w:rPr>
        <w:t>&gt;</w:t>
      </w:r>
      <w:r w:rsidR="000104F2" w:rsidRPr="005F046F">
        <w:rPr>
          <w:rStyle w:val="HideTWBExt"/>
          <w:color w:val="auto"/>
        </w:rPr>
        <w:t>&lt;</w:t>
      </w:r>
      <w:proofErr w:type="spellStart"/>
      <w:r w:rsidR="000104F2" w:rsidRPr="005F046F">
        <w:rPr>
          <w:rStyle w:val="HideTWBExt"/>
          <w:color w:val="auto"/>
        </w:rPr>
        <w:t>Amend</w:t>
      </w:r>
      <w:proofErr w:type="spellEnd"/>
      <w:r w:rsidR="000104F2" w:rsidRPr="005F046F">
        <w:rPr>
          <w:rStyle w:val="HideTWBExt"/>
          <w:color w:val="auto"/>
        </w:rPr>
        <w:t>&gt;</w:t>
      </w:r>
      <w:r w:rsidR="000104F2" w:rsidRPr="005F046F">
        <w:t>Módosítás</w:t>
      </w:r>
      <w:r w:rsidR="000104F2" w:rsidRPr="005F046F">
        <w:tab/>
      </w:r>
      <w:r w:rsidR="000104F2" w:rsidRPr="005F046F">
        <w:tab/>
      </w:r>
      <w:r w:rsidR="000104F2" w:rsidRPr="005F046F">
        <w:rPr>
          <w:rStyle w:val="HideTWBExt"/>
          <w:color w:val="auto"/>
        </w:rPr>
        <w:t>&lt;</w:t>
      </w:r>
      <w:proofErr w:type="spellStart"/>
      <w:r w:rsidR="000104F2" w:rsidRPr="005F046F">
        <w:rPr>
          <w:rStyle w:val="HideTWBExt"/>
          <w:color w:val="auto"/>
        </w:rPr>
        <w:t>NumAm</w:t>
      </w:r>
      <w:proofErr w:type="spellEnd"/>
      <w:r w:rsidR="000104F2" w:rsidRPr="005F046F">
        <w:rPr>
          <w:rStyle w:val="HideTWBExt"/>
          <w:color w:val="auto"/>
        </w:rPr>
        <w:t>&gt;</w:t>
      </w:r>
      <w:r w:rsidR="000104F2" w:rsidRPr="005F046F">
        <w:t>1</w:t>
      </w:r>
      <w:r w:rsidR="000104F2" w:rsidRPr="005F046F">
        <w:rPr>
          <w:rStyle w:val="HideTWBExt"/>
          <w:color w:val="auto"/>
        </w:rPr>
        <w:t>&lt;/</w:t>
      </w:r>
      <w:proofErr w:type="spellStart"/>
      <w:r w:rsidR="000104F2" w:rsidRPr="005F046F">
        <w:rPr>
          <w:rStyle w:val="HideTWBExt"/>
          <w:color w:val="auto"/>
        </w:rPr>
        <w:t>NumAm</w:t>
      </w:r>
      <w:proofErr w:type="spellEnd"/>
      <w:r w:rsidR="000104F2" w:rsidRPr="005F046F">
        <w:rPr>
          <w:rStyle w:val="HideTWBExt"/>
          <w:color w:val="auto"/>
        </w:rPr>
        <w:t>&gt;</w:t>
      </w:r>
    </w:p>
    <w:p w14:paraId="108DEB1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F7FFFA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C80B6D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0F4116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5 a bevezető hivatkozás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85B7CE4" w14:textId="77777777" w:rsidTr="00565F8F">
        <w:trPr>
          <w:trHeight w:hRule="exact" w:val="240"/>
          <w:jc w:val="center"/>
        </w:trPr>
        <w:tc>
          <w:tcPr>
            <w:tcW w:w="9752" w:type="dxa"/>
            <w:gridSpan w:val="2"/>
            <w:tcBorders>
              <w:top w:val="nil"/>
              <w:left w:val="nil"/>
              <w:bottom w:val="nil"/>
              <w:right w:val="nil"/>
            </w:tcBorders>
          </w:tcPr>
          <w:p w14:paraId="3E4C8372" w14:textId="77777777" w:rsidR="000104F2" w:rsidRPr="005F046F" w:rsidRDefault="000104F2" w:rsidP="00565F8F"/>
        </w:tc>
      </w:tr>
      <w:tr w:rsidR="006C656F" w:rsidRPr="005F046F" w14:paraId="68297986" w14:textId="77777777" w:rsidTr="00565F8F">
        <w:trPr>
          <w:trHeight w:val="240"/>
          <w:jc w:val="center"/>
        </w:trPr>
        <w:tc>
          <w:tcPr>
            <w:tcW w:w="4876" w:type="dxa"/>
            <w:tcBorders>
              <w:top w:val="nil"/>
              <w:left w:val="nil"/>
              <w:bottom w:val="nil"/>
              <w:right w:val="nil"/>
            </w:tcBorders>
          </w:tcPr>
          <w:p w14:paraId="08D2ED7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EEC3E94" w14:textId="77777777" w:rsidR="000104F2" w:rsidRPr="005F046F" w:rsidRDefault="000104F2" w:rsidP="00565F8F">
            <w:pPr>
              <w:pStyle w:val="AmColumnHeading"/>
            </w:pPr>
            <w:r w:rsidRPr="005F046F">
              <w:t>Módosítás</w:t>
            </w:r>
          </w:p>
        </w:tc>
      </w:tr>
      <w:tr w:rsidR="006C656F" w:rsidRPr="005F046F" w14:paraId="5C7B2149" w14:textId="77777777" w:rsidTr="00565F8F">
        <w:trPr>
          <w:jc w:val="center"/>
        </w:trPr>
        <w:tc>
          <w:tcPr>
            <w:tcW w:w="4876" w:type="dxa"/>
            <w:tcBorders>
              <w:top w:val="nil"/>
              <w:left w:val="nil"/>
              <w:bottom w:val="nil"/>
              <w:right w:val="nil"/>
            </w:tcBorders>
          </w:tcPr>
          <w:p w14:paraId="1A27E7A4" w14:textId="77777777" w:rsidR="000104F2" w:rsidRPr="005F046F" w:rsidRDefault="000104F2" w:rsidP="00565F8F">
            <w:pPr>
              <w:pStyle w:val="Normal6a"/>
            </w:pPr>
          </w:p>
        </w:tc>
        <w:tc>
          <w:tcPr>
            <w:tcW w:w="4876" w:type="dxa"/>
            <w:tcBorders>
              <w:top w:val="nil"/>
              <w:left w:val="nil"/>
              <w:bottom w:val="nil"/>
              <w:right w:val="nil"/>
            </w:tcBorders>
          </w:tcPr>
          <w:p w14:paraId="07EE4FE1" w14:textId="77777777" w:rsidR="000104F2" w:rsidRPr="005F046F" w:rsidRDefault="000104F2" w:rsidP="00565F8F">
            <w:pPr>
              <w:pStyle w:val="Normal6a"/>
            </w:pPr>
            <w:r w:rsidRPr="005F046F">
              <w:rPr>
                <w:b/>
                <w:i/>
              </w:rPr>
              <w:t>–</w:t>
            </w:r>
            <w:r w:rsidRPr="005F046F">
              <w:tab/>
            </w:r>
            <w:r w:rsidRPr="005F046F">
              <w:rPr>
                <w:b/>
                <w:i/>
              </w:rPr>
              <w:t xml:space="preserve">tekintettel az Európai Regionális Fejlesztési Alapra, az Európai Szociális Alap Pluszra, a Kohéziós Alapra, az Igazságos Átmenet Alapra és az Európai Tengerügyi, Halászati és </w:t>
            </w:r>
            <w:proofErr w:type="spellStart"/>
            <w:r w:rsidRPr="005F046F">
              <w:rPr>
                <w:b/>
                <w:i/>
              </w:rPr>
              <w:t>Akvakultúra</w:t>
            </w:r>
            <w:proofErr w:type="spellEnd"/>
            <w:r w:rsidRPr="005F046F">
              <w:rPr>
                <w:b/>
                <w:i/>
              </w:rPr>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5F046F">
              <w:rPr>
                <w:b/>
                <w:i/>
                <w:vertAlign w:val="superscript"/>
              </w:rPr>
              <w:t>1a</w:t>
            </w:r>
            <w:r w:rsidRPr="005F046F">
              <w:rPr>
                <w:b/>
                <w:i/>
              </w:rPr>
              <w:t xml:space="preserve"> (a továbbiakban: a közös rendelkezésekről szóló rendelet),</w:t>
            </w:r>
          </w:p>
        </w:tc>
      </w:tr>
      <w:tr w:rsidR="006C656F" w:rsidRPr="005F046F" w14:paraId="56BDA323" w14:textId="77777777" w:rsidTr="00565F8F">
        <w:trPr>
          <w:jc w:val="center"/>
        </w:trPr>
        <w:tc>
          <w:tcPr>
            <w:tcW w:w="4876" w:type="dxa"/>
            <w:tcBorders>
              <w:top w:val="nil"/>
              <w:left w:val="nil"/>
              <w:bottom w:val="nil"/>
              <w:right w:val="nil"/>
            </w:tcBorders>
          </w:tcPr>
          <w:p w14:paraId="7AB8D059" w14:textId="77777777" w:rsidR="000104F2" w:rsidRPr="005F046F" w:rsidRDefault="000104F2" w:rsidP="00565F8F"/>
        </w:tc>
        <w:tc>
          <w:tcPr>
            <w:tcW w:w="4876" w:type="dxa"/>
            <w:tcBorders>
              <w:top w:val="nil"/>
              <w:left w:val="nil"/>
              <w:bottom w:val="nil"/>
              <w:right w:val="nil"/>
            </w:tcBorders>
          </w:tcPr>
          <w:p w14:paraId="1F1DD694" w14:textId="77777777" w:rsidR="000104F2" w:rsidRPr="005F046F" w:rsidRDefault="000104F2" w:rsidP="00565F8F">
            <w:pPr>
              <w:pStyle w:val="Normal6a"/>
            </w:pPr>
            <w:r w:rsidRPr="005F046F">
              <w:rPr>
                <w:b/>
                <w:i/>
              </w:rPr>
              <w:t>_________________</w:t>
            </w:r>
          </w:p>
        </w:tc>
      </w:tr>
      <w:tr w:rsidR="006C656F" w:rsidRPr="005F046F" w14:paraId="7FE4125A" w14:textId="77777777" w:rsidTr="00565F8F">
        <w:trPr>
          <w:jc w:val="center"/>
        </w:trPr>
        <w:tc>
          <w:tcPr>
            <w:tcW w:w="4876" w:type="dxa"/>
            <w:tcBorders>
              <w:top w:val="nil"/>
              <w:left w:val="nil"/>
              <w:bottom w:val="nil"/>
              <w:right w:val="nil"/>
            </w:tcBorders>
          </w:tcPr>
          <w:p w14:paraId="44285878" w14:textId="77777777" w:rsidR="000104F2" w:rsidRPr="005F046F" w:rsidRDefault="000104F2" w:rsidP="00565F8F"/>
        </w:tc>
        <w:tc>
          <w:tcPr>
            <w:tcW w:w="4876" w:type="dxa"/>
            <w:tcBorders>
              <w:top w:val="nil"/>
              <w:left w:val="nil"/>
              <w:bottom w:val="nil"/>
              <w:right w:val="nil"/>
            </w:tcBorders>
          </w:tcPr>
          <w:p w14:paraId="5AD6DCDE" w14:textId="77777777" w:rsidR="000104F2" w:rsidRPr="005F046F" w:rsidRDefault="000104F2" w:rsidP="00565F8F">
            <w:pPr>
              <w:pStyle w:val="Normal6a"/>
            </w:pPr>
            <w:r w:rsidRPr="005F046F">
              <w:rPr>
                <w:b/>
                <w:i/>
                <w:vertAlign w:val="superscript"/>
              </w:rPr>
              <w:t>1a</w:t>
            </w:r>
            <w:r w:rsidRPr="005F046F">
              <w:rPr>
                <w:b/>
                <w:i/>
              </w:rPr>
              <w:t xml:space="preserve"> HL L 231., 2021.6.30., 159. o., ELI: http://data.europa.eu/eli/reg/2021/1060/oj.</w:t>
            </w:r>
          </w:p>
        </w:tc>
      </w:tr>
    </w:tbl>
    <w:p w14:paraId="6BA10180"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AC3809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E18C08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6A0292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956C88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156DDD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C889CC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18 a bevezető hivatkozás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449D061" w14:textId="77777777" w:rsidTr="00565F8F">
        <w:trPr>
          <w:trHeight w:hRule="exact" w:val="240"/>
          <w:jc w:val="center"/>
        </w:trPr>
        <w:tc>
          <w:tcPr>
            <w:tcW w:w="9752" w:type="dxa"/>
            <w:gridSpan w:val="2"/>
            <w:tcBorders>
              <w:top w:val="nil"/>
              <w:left w:val="nil"/>
              <w:bottom w:val="nil"/>
              <w:right w:val="nil"/>
            </w:tcBorders>
          </w:tcPr>
          <w:p w14:paraId="7FF34FD0" w14:textId="77777777" w:rsidR="000104F2" w:rsidRPr="005F046F" w:rsidRDefault="000104F2" w:rsidP="00565F8F"/>
        </w:tc>
      </w:tr>
      <w:tr w:rsidR="006C656F" w:rsidRPr="005F046F" w14:paraId="523DF863" w14:textId="77777777" w:rsidTr="00565F8F">
        <w:trPr>
          <w:trHeight w:val="240"/>
          <w:jc w:val="center"/>
        </w:trPr>
        <w:tc>
          <w:tcPr>
            <w:tcW w:w="4876" w:type="dxa"/>
            <w:tcBorders>
              <w:top w:val="nil"/>
              <w:left w:val="nil"/>
              <w:bottom w:val="nil"/>
              <w:right w:val="nil"/>
            </w:tcBorders>
          </w:tcPr>
          <w:p w14:paraId="0ECBEFC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0BA9DA1" w14:textId="77777777" w:rsidR="000104F2" w:rsidRPr="005F046F" w:rsidRDefault="000104F2" w:rsidP="00565F8F">
            <w:pPr>
              <w:pStyle w:val="AmColumnHeading"/>
            </w:pPr>
            <w:r w:rsidRPr="005F046F">
              <w:t>Módosítás</w:t>
            </w:r>
          </w:p>
        </w:tc>
      </w:tr>
      <w:tr w:rsidR="006C656F" w:rsidRPr="005F046F" w14:paraId="30B32EA3" w14:textId="77777777" w:rsidTr="00565F8F">
        <w:trPr>
          <w:jc w:val="center"/>
        </w:trPr>
        <w:tc>
          <w:tcPr>
            <w:tcW w:w="4876" w:type="dxa"/>
            <w:tcBorders>
              <w:top w:val="nil"/>
              <w:left w:val="nil"/>
              <w:bottom w:val="nil"/>
              <w:right w:val="nil"/>
            </w:tcBorders>
          </w:tcPr>
          <w:p w14:paraId="2E6ED212" w14:textId="77777777" w:rsidR="000104F2" w:rsidRPr="005F046F" w:rsidRDefault="000104F2" w:rsidP="00565F8F">
            <w:pPr>
              <w:pStyle w:val="Normal6a"/>
            </w:pPr>
          </w:p>
        </w:tc>
        <w:tc>
          <w:tcPr>
            <w:tcW w:w="4876" w:type="dxa"/>
            <w:tcBorders>
              <w:top w:val="nil"/>
              <w:left w:val="nil"/>
              <w:bottom w:val="nil"/>
              <w:right w:val="nil"/>
            </w:tcBorders>
          </w:tcPr>
          <w:p w14:paraId="6C7DC9CA" w14:textId="77777777" w:rsidR="000104F2" w:rsidRPr="005F046F" w:rsidRDefault="000104F2" w:rsidP="00565F8F">
            <w:pPr>
              <w:pStyle w:val="Normal6a"/>
            </w:pPr>
            <w:r w:rsidRPr="005F046F">
              <w:rPr>
                <w:b/>
                <w:i/>
              </w:rPr>
              <w:t>–</w:t>
            </w:r>
            <w:r w:rsidRPr="005F046F">
              <w:tab/>
            </w:r>
            <w:r w:rsidRPr="005F046F">
              <w:rPr>
                <w:b/>
                <w:i/>
              </w:rPr>
              <w:t xml:space="preserve">tekintettel az Európai Számvevőszéknek a „Pénzügyi korrekciók a kohéziós politikában – Összetett keret; a Bizottság eddig egyetlen határozatot fogadott el” című, 22/2025. számú </w:t>
            </w:r>
            <w:proofErr w:type="spellStart"/>
            <w:r w:rsidRPr="005F046F">
              <w:rPr>
                <w:b/>
                <w:i/>
              </w:rPr>
              <w:t>különjelentésére</w:t>
            </w:r>
            <w:proofErr w:type="spellEnd"/>
            <w:r w:rsidRPr="005F046F">
              <w:rPr>
                <w:b/>
                <w:i/>
              </w:rPr>
              <w:t>,</w:t>
            </w:r>
          </w:p>
        </w:tc>
      </w:tr>
    </w:tbl>
    <w:p w14:paraId="6510FE8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802512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9017CA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9182E4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FB4D75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7B664F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B4B7C2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a bevezető hivatkozás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B4C98F5" w14:textId="77777777" w:rsidTr="00565F8F">
        <w:trPr>
          <w:trHeight w:hRule="exact" w:val="240"/>
          <w:jc w:val="center"/>
        </w:trPr>
        <w:tc>
          <w:tcPr>
            <w:tcW w:w="9752" w:type="dxa"/>
            <w:gridSpan w:val="2"/>
            <w:tcBorders>
              <w:top w:val="nil"/>
              <w:left w:val="nil"/>
              <w:bottom w:val="nil"/>
              <w:right w:val="nil"/>
            </w:tcBorders>
          </w:tcPr>
          <w:p w14:paraId="09E758F6" w14:textId="77777777" w:rsidR="000104F2" w:rsidRPr="005F046F" w:rsidRDefault="000104F2" w:rsidP="00565F8F"/>
        </w:tc>
      </w:tr>
      <w:tr w:rsidR="006C656F" w:rsidRPr="005F046F" w14:paraId="08B4036B" w14:textId="77777777" w:rsidTr="00565F8F">
        <w:trPr>
          <w:trHeight w:val="240"/>
          <w:jc w:val="center"/>
        </w:trPr>
        <w:tc>
          <w:tcPr>
            <w:tcW w:w="4876" w:type="dxa"/>
            <w:tcBorders>
              <w:top w:val="nil"/>
              <w:left w:val="nil"/>
              <w:bottom w:val="nil"/>
              <w:right w:val="nil"/>
            </w:tcBorders>
          </w:tcPr>
          <w:p w14:paraId="14949C5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43E64F6" w14:textId="77777777" w:rsidR="000104F2" w:rsidRPr="005F046F" w:rsidRDefault="000104F2" w:rsidP="00565F8F">
            <w:pPr>
              <w:pStyle w:val="AmColumnHeading"/>
            </w:pPr>
            <w:r w:rsidRPr="005F046F">
              <w:t>Módosítás</w:t>
            </w:r>
          </w:p>
        </w:tc>
      </w:tr>
      <w:tr w:rsidR="006C656F" w:rsidRPr="005F046F" w14:paraId="0C2146A0" w14:textId="77777777" w:rsidTr="00565F8F">
        <w:trPr>
          <w:jc w:val="center"/>
        </w:trPr>
        <w:tc>
          <w:tcPr>
            <w:tcW w:w="4876" w:type="dxa"/>
            <w:tcBorders>
              <w:top w:val="nil"/>
              <w:left w:val="nil"/>
              <w:bottom w:val="nil"/>
              <w:right w:val="nil"/>
            </w:tcBorders>
          </w:tcPr>
          <w:p w14:paraId="7CF3CF5F" w14:textId="77777777" w:rsidR="000104F2" w:rsidRPr="005F046F" w:rsidRDefault="000104F2" w:rsidP="00565F8F">
            <w:pPr>
              <w:pStyle w:val="Normal6a"/>
            </w:pPr>
          </w:p>
        </w:tc>
        <w:tc>
          <w:tcPr>
            <w:tcW w:w="4876" w:type="dxa"/>
            <w:tcBorders>
              <w:top w:val="nil"/>
              <w:left w:val="nil"/>
              <w:bottom w:val="nil"/>
              <w:right w:val="nil"/>
            </w:tcBorders>
          </w:tcPr>
          <w:p w14:paraId="306775DC" w14:textId="77777777" w:rsidR="000104F2" w:rsidRPr="005F046F" w:rsidRDefault="000104F2" w:rsidP="00565F8F">
            <w:pPr>
              <w:pStyle w:val="Normal6a"/>
            </w:pPr>
            <w:r w:rsidRPr="005F046F">
              <w:rPr>
                <w:b/>
                <w:i/>
              </w:rPr>
              <w:t>–</w:t>
            </w:r>
            <w:r w:rsidRPr="005F046F">
              <w:tab/>
            </w:r>
            <w:r w:rsidRPr="005F046F">
              <w:rPr>
                <w:b/>
                <w:i/>
              </w:rPr>
              <w:t>tekintettel a Költségvetési Ellenőrző Bizottság Elnökségnek címzett, „Identitás és Demokrácia képviselőcsoport – Megszüntetés és 2024. évi végleges pénzügyi jelentés” című véleményére (CONT/10/03763)</w:t>
            </w:r>
            <w:r w:rsidRPr="005F046F">
              <w:rPr>
                <w:b/>
                <w:i/>
                <w:vertAlign w:val="superscript"/>
              </w:rPr>
              <w:t>1c</w:t>
            </w:r>
            <w:r w:rsidRPr="005F046F">
              <w:rPr>
                <w:b/>
                <w:i/>
              </w:rPr>
              <w:t>,</w:t>
            </w:r>
          </w:p>
        </w:tc>
      </w:tr>
      <w:tr w:rsidR="006C656F" w:rsidRPr="005F046F" w14:paraId="5FEA70A2" w14:textId="77777777" w:rsidTr="00565F8F">
        <w:trPr>
          <w:jc w:val="center"/>
        </w:trPr>
        <w:tc>
          <w:tcPr>
            <w:tcW w:w="4876" w:type="dxa"/>
            <w:tcBorders>
              <w:top w:val="nil"/>
              <w:left w:val="nil"/>
              <w:bottom w:val="nil"/>
              <w:right w:val="nil"/>
            </w:tcBorders>
          </w:tcPr>
          <w:p w14:paraId="739F2976" w14:textId="77777777" w:rsidR="000104F2" w:rsidRPr="005F046F" w:rsidRDefault="000104F2" w:rsidP="00565F8F"/>
        </w:tc>
        <w:tc>
          <w:tcPr>
            <w:tcW w:w="4876" w:type="dxa"/>
            <w:tcBorders>
              <w:top w:val="nil"/>
              <w:left w:val="nil"/>
              <w:bottom w:val="nil"/>
              <w:right w:val="nil"/>
            </w:tcBorders>
          </w:tcPr>
          <w:p w14:paraId="3C067CB1" w14:textId="77777777" w:rsidR="000104F2" w:rsidRPr="005F046F" w:rsidRDefault="000104F2" w:rsidP="00565F8F">
            <w:pPr>
              <w:pStyle w:val="Normal6a"/>
            </w:pPr>
            <w:r w:rsidRPr="005F046F">
              <w:rPr>
                <w:b/>
                <w:i/>
              </w:rPr>
              <w:t>_________________</w:t>
            </w:r>
          </w:p>
        </w:tc>
      </w:tr>
      <w:tr w:rsidR="006C656F" w:rsidRPr="005F046F" w14:paraId="71CC4477" w14:textId="77777777" w:rsidTr="00565F8F">
        <w:trPr>
          <w:jc w:val="center"/>
        </w:trPr>
        <w:tc>
          <w:tcPr>
            <w:tcW w:w="4876" w:type="dxa"/>
            <w:tcBorders>
              <w:top w:val="nil"/>
              <w:left w:val="nil"/>
              <w:bottom w:val="nil"/>
              <w:right w:val="nil"/>
            </w:tcBorders>
          </w:tcPr>
          <w:p w14:paraId="3FEFEAFE" w14:textId="77777777" w:rsidR="000104F2" w:rsidRPr="005F046F" w:rsidRDefault="000104F2" w:rsidP="00565F8F"/>
        </w:tc>
        <w:tc>
          <w:tcPr>
            <w:tcW w:w="4876" w:type="dxa"/>
            <w:tcBorders>
              <w:top w:val="nil"/>
              <w:left w:val="nil"/>
              <w:bottom w:val="nil"/>
              <w:right w:val="nil"/>
            </w:tcBorders>
          </w:tcPr>
          <w:p w14:paraId="7216DA94" w14:textId="77777777" w:rsidR="000104F2" w:rsidRPr="005F046F" w:rsidRDefault="000104F2" w:rsidP="00565F8F">
            <w:pPr>
              <w:pStyle w:val="Normal6a"/>
            </w:pPr>
            <w:r w:rsidRPr="005F046F">
              <w:rPr>
                <w:b/>
                <w:i/>
                <w:vertAlign w:val="superscript"/>
              </w:rPr>
              <w:t>1c</w:t>
            </w:r>
            <w:r w:rsidRPr="005F046F">
              <w:t xml:space="preserve"> </w:t>
            </w:r>
            <w:r w:rsidRPr="005F046F">
              <w:rPr>
                <w:b/>
                <w:i/>
              </w:rPr>
              <w:t>Elfogadás időpontja: 2025. szeptember 4.</w:t>
            </w:r>
          </w:p>
        </w:tc>
      </w:tr>
    </w:tbl>
    <w:p w14:paraId="446B8E3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D3C30C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CD8568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27CB1F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4C435A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64B619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4EAFB5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B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1D85081" w14:textId="77777777" w:rsidTr="00565F8F">
        <w:trPr>
          <w:trHeight w:hRule="exact" w:val="240"/>
          <w:jc w:val="center"/>
        </w:trPr>
        <w:tc>
          <w:tcPr>
            <w:tcW w:w="9752" w:type="dxa"/>
            <w:gridSpan w:val="2"/>
            <w:tcBorders>
              <w:top w:val="nil"/>
              <w:left w:val="nil"/>
              <w:bottom w:val="nil"/>
              <w:right w:val="nil"/>
            </w:tcBorders>
          </w:tcPr>
          <w:p w14:paraId="15B87E77" w14:textId="77777777" w:rsidR="000104F2" w:rsidRPr="005F046F" w:rsidRDefault="000104F2" w:rsidP="00565F8F"/>
        </w:tc>
      </w:tr>
      <w:tr w:rsidR="006C656F" w:rsidRPr="005F046F" w14:paraId="673AB200" w14:textId="77777777" w:rsidTr="00565F8F">
        <w:trPr>
          <w:trHeight w:val="240"/>
          <w:jc w:val="center"/>
        </w:trPr>
        <w:tc>
          <w:tcPr>
            <w:tcW w:w="4876" w:type="dxa"/>
            <w:tcBorders>
              <w:top w:val="nil"/>
              <w:left w:val="nil"/>
              <w:bottom w:val="nil"/>
              <w:right w:val="nil"/>
            </w:tcBorders>
          </w:tcPr>
          <w:p w14:paraId="4295445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36AE75C" w14:textId="77777777" w:rsidR="000104F2" w:rsidRPr="005F046F" w:rsidRDefault="000104F2" w:rsidP="00565F8F">
            <w:pPr>
              <w:pStyle w:val="AmColumnHeading"/>
            </w:pPr>
            <w:r w:rsidRPr="005F046F">
              <w:t>Módosítás</w:t>
            </w:r>
          </w:p>
        </w:tc>
      </w:tr>
      <w:tr w:rsidR="006C656F" w:rsidRPr="005F046F" w14:paraId="23E0CBA1" w14:textId="77777777" w:rsidTr="00565F8F">
        <w:trPr>
          <w:jc w:val="center"/>
        </w:trPr>
        <w:tc>
          <w:tcPr>
            <w:tcW w:w="4876" w:type="dxa"/>
            <w:tcBorders>
              <w:top w:val="nil"/>
              <w:left w:val="nil"/>
              <w:bottom w:val="nil"/>
              <w:right w:val="nil"/>
            </w:tcBorders>
          </w:tcPr>
          <w:p w14:paraId="51CB9453" w14:textId="77777777" w:rsidR="000104F2" w:rsidRPr="005F046F" w:rsidRDefault="000104F2" w:rsidP="00565F8F">
            <w:pPr>
              <w:pStyle w:val="Normal6a"/>
            </w:pPr>
            <w:r w:rsidRPr="005F046F">
              <w:t>B.</w:t>
            </w:r>
            <w:r w:rsidRPr="005F046F">
              <w:tab/>
              <w:t xml:space="preserve">mivel az uniós forrásokkal való hatékony és eredményes gazdálkodásnak – mind a kiadások, mind a bevételek tekintetében –, valamint az EU pénzügyi érdekei védelmének minden uniós szakpolitika kulcsfontosságú elemét kell képeznie, a szakpolitikák hatékony végrehajtásának elősegítése, az adófizetők pénze </w:t>
            </w:r>
            <w:r w:rsidRPr="005F046F">
              <w:rPr>
                <w:b/>
                <w:bCs/>
                <w:i/>
                <w:iCs/>
              </w:rPr>
              <w:t>megfelelő és</w:t>
            </w:r>
            <w:r w:rsidRPr="005F046F">
              <w:t xml:space="preserve"> eredményes </w:t>
            </w:r>
            <w:r w:rsidRPr="005F046F">
              <w:rPr>
                <w:b/>
                <w:bCs/>
                <w:i/>
                <w:iCs/>
              </w:rPr>
              <w:t>felhasználásának</w:t>
            </w:r>
            <w:r w:rsidRPr="005F046F">
              <w:t xml:space="preserve"> biztosítása, valamint a polgárok európai intézményekbe vetett bizalmának növelése érdekében;</w:t>
            </w:r>
          </w:p>
        </w:tc>
        <w:tc>
          <w:tcPr>
            <w:tcW w:w="4876" w:type="dxa"/>
            <w:tcBorders>
              <w:top w:val="nil"/>
              <w:left w:val="nil"/>
              <w:bottom w:val="nil"/>
              <w:right w:val="nil"/>
            </w:tcBorders>
          </w:tcPr>
          <w:p w14:paraId="0A060454" w14:textId="77777777" w:rsidR="000104F2" w:rsidRPr="005F046F" w:rsidRDefault="000104F2" w:rsidP="00565F8F">
            <w:pPr>
              <w:pStyle w:val="Normal6a"/>
            </w:pPr>
            <w:r w:rsidRPr="005F046F">
              <w:t>B.</w:t>
            </w:r>
            <w:r w:rsidRPr="005F046F">
              <w:tab/>
              <w:t xml:space="preserve">mivel az uniós forrásokkal való hatékony és eredményes gazdálkodásnak – mind a kiadások, mind a bevételek tekintetében –, valamint az EU pénzügyi érdekei védelmének minden uniós szakpolitika kulcsfontosságú elemét kell képeznie, a szakpolitikák hatékony végrehajtásának elősegítése, az adófizetők pénze eredményes </w:t>
            </w:r>
            <w:r w:rsidRPr="005F046F">
              <w:rPr>
                <w:b/>
                <w:bCs/>
                <w:i/>
                <w:iCs/>
              </w:rPr>
              <w:t>és átlátható elköltésének</w:t>
            </w:r>
            <w:r w:rsidRPr="005F046F">
              <w:t xml:space="preserve"> biztosítása, valamint a polgárok európai intézményekbe vetett bizalmának növelése érdekében;</w:t>
            </w:r>
          </w:p>
        </w:tc>
      </w:tr>
    </w:tbl>
    <w:p w14:paraId="01F0B36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A1F8768"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291D304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FD2F30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AC34E4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19FE79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E84833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B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D0CA86D" w14:textId="77777777" w:rsidTr="00565F8F">
        <w:trPr>
          <w:trHeight w:hRule="exact" w:val="240"/>
          <w:jc w:val="center"/>
        </w:trPr>
        <w:tc>
          <w:tcPr>
            <w:tcW w:w="9752" w:type="dxa"/>
            <w:gridSpan w:val="2"/>
            <w:tcBorders>
              <w:top w:val="nil"/>
              <w:left w:val="nil"/>
              <w:bottom w:val="nil"/>
              <w:right w:val="nil"/>
            </w:tcBorders>
          </w:tcPr>
          <w:p w14:paraId="5CAABC74" w14:textId="77777777" w:rsidR="000104F2" w:rsidRPr="005F046F" w:rsidRDefault="000104F2" w:rsidP="00565F8F"/>
        </w:tc>
      </w:tr>
      <w:tr w:rsidR="006C656F" w:rsidRPr="005F046F" w14:paraId="1D9CA34E" w14:textId="77777777" w:rsidTr="00565F8F">
        <w:trPr>
          <w:trHeight w:val="240"/>
          <w:jc w:val="center"/>
        </w:trPr>
        <w:tc>
          <w:tcPr>
            <w:tcW w:w="4876" w:type="dxa"/>
            <w:tcBorders>
              <w:top w:val="nil"/>
              <w:left w:val="nil"/>
              <w:bottom w:val="nil"/>
              <w:right w:val="nil"/>
            </w:tcBorders>
          </w:tcPr>
          <w:p w14:paraId="09A621D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56DBA9B" w14:textId="77777777" w:rsidR="000104F2" w:rsidRPr="005F046F" w:rsidRDefault="000104F2" w:rsidP="00565F8F">
            <w:pPr>
              <w:pStyle w:val="AmColumnHeading"/>
            </w:pPr>
            <w:r w:rsidRPr="005F046F">
              <w:t>Módosítás</w:t>
            </w:r>
          </w:p>
        </w:tc>
      </w:tr>
      <w:tr w:rsidR="006C656F" w:rsidRPr="005F046F" w14:paraId="080842A4" w14:textId="77777777" w:rsidTr="00565F8F">
        <w:trPr>
          <w:jc w:val="center"/>
        </w:trPr>
        <w:tc>
          <w:tcPr>
            <w:tcW w:w="4876" w:type="dxa"/>
            <w:tcBorders>
              <w:top w:val="nil"/>
              <w:left w:val="nil"/>
              <w:bottom w:val="nil"/>
              <w:right w:val="nil"/>
            </w:tcBorders>
          </w:tcPr>
          <w:p w14:paraId="1D319665" w14:textId="77777777" w:rsidR="000104F2" w:rsidRPr="005F046F" w:rsidRDefault="000104F2" w:rsidP="00565F8F">
            <w:pPr>
              <w:pStyle w:val="Normal6a"/>
            </w:pPr>
          </w:p>
        </w:tc>
        <w:tc>
          <w:tcPr>
            <w:tcW w:w="4876" w:type="dxa"/>
            <w:tcBorders>
              <w:top w:val="nil"/>
              <w:left w:val="nil"/>
              <w:bottom w:val="nil"/>
              <w:right w:val="nil"/>
            </w:tcBorders>
          </w:tcPr>
          <w:p w14:paraId="126356DE" w14:textId="77777777" w:rsidR="000104F2" w:rsidRPr="005F046F" w:rsidRDefault="000104F2" w:rsidP="00565F8F">
            <w:pPr>
              <w:pStyle w:val="Normal6a"/>
            </w:pPr>
            <w:proofErr w:type="spellStart"/>
            <w:r w:rsidRPr="005F046F">
              <w:rPr>
                <w:b/>
                <w:i/>
              </w:rPr>
              <w:t>Ba</w:t>
            </w:r>
            <w:proofErr w:type="spellEnd"/>
            <w:r w:rsidRPr="005F046F">
              <w:rPr>
                <w:b/>
                <w:i/>
              </w:rPr>
              <w:t>.</w:t>
            </w:r>
            <w:r w:rsidRPr="005F046F">
              <w:tab/>
            </w:r>
            <w:r w:rsidRPr="005F046F">
              <w:rPr>
                <w:b/>
                <w:i/>
              </w:rPr>
              <w:t>mivel az EUB számos ítéletében megállapította és megerősítette a jogállamiság tiszteletben tartása és az uniós költségvetés hatékony végrehajtása közötti egyértelmű kapcsolatot, összhangban a hatékony és eredményes pénzgazdálkodás és az EU pénzügyi érdekeinek védelme elveivel;</w:t>
            </w:r>
          </w:p>
        </w:tc>
      </w:tr>
    </w:tbl>
    <w:p w14:paraId="3FF145B3"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60BBFB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01C054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E0248D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8B0F26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74FA61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5A3B04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B b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4918DE1" w14:textId="77777777" w:rsidTr="00565F8F">
        <w:trPr>
          <w:trHeight w:hRule="exact" w:val="240"/>
          <w:jc w:val="center"/>
        </w:trPr>
        <w:tc>
          <w:tcPr>
            <w:tcW w:w="9752" w:type="dxa"/>
            <w:gridSpan w:val="2"/>
            <w:tcBorders>
              <w:top w:val="nil"/>
              <w:left w:val="nil"/>
              <w:bottom w:val="nil"/>
              <w:right w:val="nil"/>
            </w:tcBorders>
          </w:tcPr>
          <w:p w14:paraId="13AF3BB0" w14:textId="77777777" w:rsidR="000104F2" w:rsidRPr="005F046F" w:rsidRDefault="000104F2" w:rsidP="00565F8F"/>
        </w:tc>
      </w:tr>
      <w:tr w:rsidR="006C656F" w:rsidRPr="005F046F" w14:paraId="48E186B2" w14:textId="77777777" w:rsidTr="00565F8F">
        <w:trPr>
          <w:trHeight w:val="240"/>
          <w:jc w:val="center"/>
        </w:trPr>
        <w:tc>
          <w:tcPr>
            <w:tcW w:w="4876" w:type="dxa"/>
            <w:tcBorders>
              <w:top w:val="nil"/>
              <w:left w:val="nil"/>
              <w:bottom w:val="nil"/>
              <w:right w:val="nil"/>
            </w:tcBorders>
          </w:tcPr>
          <w:p w14:paraId="1EFCBA6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0877D5F" w14:textId="77777777" w:rsidR="000104F2" w:rsidRPr="005F046F" w:rsidRDefault="000104F2" w:rsidP="00565F8F">
            <w:pPr>
              <w:pStyle w:val="AmColumnHeading"/>
            </w:pPr>
            <w:r w:rsidRPr="005F046F">
              <w:t>Módosítás</w:t>
            </w:r>
          </w:p>
        </w:tc>
      </w:tr>
      <w:tr w:rsidR="006C656F" w:rsidRPr="005F046F" w14:paraId="6077BC3A" w14:textId="77777777" w:rsidTr="00565F8F">
        <w:trPr>
          <w:jc w:val="center"/>
        </w:trPr>
        <w:tc>
          <w:tcPr>
            <w:tcW w:w="4876" w:type="dxa"/>
            <w:tcBorders>
              <w:top w:val="nil"/>
              <w:left w:val="nil"/>
              <w:bottom w:val="nil"/>
              <w:right w:val="nil"/>
            </w:tcBorders>
          </w:tcPr>
          <w:p w14:paraId="0EF924B2" w14:textId="77777777" w:rsidR="000104F2" w:rsidRPr="005F046F" w:rsidRDefault="000104F2" w:rsidP="00565F8F">
            <w:pPr>
              <w:pStyle w:val="Normal6a"/>
            </w:pPr>
          </w:p>
        </w:tc>
        <w:tc>
          <w:tcPr>
            <w:tcW w:w="4876" w:type="dxa"/>
            <w:tcBorders>
              <w:top w:val="nil"/>
              <w:left w:val="nil"/>
              <w:bottom w:val="nil"/>
              <w:right w:val="nil"/>
            </w:tcBorders>
          </w:tcPr>
          <w:p w14:paraId="070185D4" w14:textId="77777777" w:rsidR="000104F2" w:rsidRPr="005F046F" w:rsidRDefault="000104F2" w:rsidP="00565F8F">
            <w:pPr>
              <w:pStyle w:val="Normal6a"/>
            </w:pPr>
            <w:proofErr w:type="spellStart"/>
            <w:r w:rsidRPr="005F046F">
              <w:rPr>
                <w:b/>
                <w:i/>
              </w:rPr>
              <w:t>Bb</w:t>
            </w:r>
            <w:proofErr w:type="spellEnd"/>
            <w:r w:rsidRPr="005F046F">
              <w:rPr>
                <w:b/>
                <w:i/>
              </w:rPr>
              <w:t>.</w:t>
            </w:r>
            <w:r w:rsidRPr="005F046F">
              <w:tab/>
            </w:r>
            <w:r w:rsidRPr="005F046F">
              <w:rPr>
                <w:b/>
                <w:i/>
              </w:rPr>
              <w:t xml:space="preserve">mivel a feltételrendszerről szóló rendelet felhatalmazza az EU-t arra, hogy pénzügyi érdekeinek védelme érdekében még időben arányos pénzügyi intézkedéseket fogadjon el, amennyiben a jogállamiság megsértése valamely tagállamban érinti az uniós költségvetés hatékony és eredményes pénzgazdálkodását, illetve ha ennek komoly kockázata áll fenn; mivel a rendeletet a 2021–2027-es időszakra vonatkozó többéves pénzügyi keretről szóló csomag részeként fogadták el, a társjogalkotók közötti hosszú és nehéz tárgyalásokat követően, amelyek különösen egyes tagállamok arra irányuló kísérleteinek tudhatók be, hogy a többéves pénzügyi keretről szóló tárgyalásokat </w:t>
            </w:r>
            <w:r w:rsidRPr="005F046F">
              <w:rPr>
                <w:b/>
                <w:i/>
              </w:rPr>
              <w:lastRenderedPageBreak/>
              <w:t>függővé tegyék a jogállamisági feltételrendszerről folytatott tárgyalásoktól; mivel 2021. január 1-jei hatálybalépése óta a rendelet minden tagállamra nézve kötelező;</w:t>
            </w:r>
          </w:p>
        </w:tc>
      </w:tr>
    </w:tbl>
    <w:p w14:paraId="6C7CEF5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FF6902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B9C2DE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19B180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F63F5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2E851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8ABEF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C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B65FF2E" w14:textId="77777777" w:rsidTr="00565F8F">
        <w:trPr>
          <w:trHeight w:hRule="exact" w:val="240"/>
          <w:jc w:val="center"/>
        </w:trPr>
        <w:tc>
          <w:tcPr>
            <w:tcW w:w="9752" w:type="dxa"/>
            <w:gridSpan w:val="2"/>
            <w:tcBorders>
              <w:top w:val="nil"/>
              <w:left w:val="nil"/>
              <w:bottom w:val="nil"/>
              <w:right w:val="nil"/>
            </w:tcBorders>
          </w:tcPr>
          <w:p w14:paraId="46CCD722" w14:textId="77777777" w:rsidR="000104F2" w:rsidRPr="005F046F" w:rsidRDefault="000104F2" w:rsidP="00565F8F"/>
        </w:tc>
      </w:tr>
      <w:tr w:rsidR="006C656F" w:rsidRPr="005F046F" w14:paraId="7C1E2FA3" w14:textId="77777777" w:rsidTr="00565F8F">
        <w:trPr>
          <w:trHeight w:val="240"/>
          <w:jc w:val="center"/>
        </w:trPr>
        <w:tc>
          <w:tcPr>
            <w:tcW w:w="4876" w:type="dxa"/>
            <w:tcBorders>
              <w:top w:val="nil"/>
              <w:left w:val="nil"/>
              <w:bottom w:val="nil"/>
              <w:right w:val="nil"/>
            </w:tcBorders>
          </w:tcPr>
          <w:p w14:paraId="52FB5AA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FD1BBCC" w14:textId="77777777" w:rsidR="000104F2" w:rsidRPr="005F046F" w:rsidRDefault="000104F2" w:rsidP="00565F8F">
            <w:pPr>
              <w:pStyle w:val="AmColumnHeading"/>
            </w:pPr>
            <w:r w:rsidRPr="005F046F">
              <w:t>Módosítás</w:t>
            </w:r>
          </w:p>
        </w:tc>
      </w:tr>
      <w:tr w:rsidR="006C656F" w:rsidRPr="005F046F" w14:paraId="61CEC525" w14:textId="77777777" w:rsidTr="00565F8F">
        <w:trPr>
          <w:jc w:val="center"/>
        </w:trPr>
        <w:tc>
          <w:tcPr>
            <w:tcW w:w="4876" w:type="dxa"/>
            <w:tcBorders>
              <w:top w:val="nil"/>
              <w:left w:val="nil"/>
              <w:bottom w:val="nil"/>
              <w:right w:val="nil"/>
            </w:tcBorders>
          </w:tcPr>
          <w:p w14:paraId="2D1678B3" w14:textId="77777777" w:rsidR="000104F2" w:rsidRPr="005F046F" w:rsidRDefault="000104F2" w:rsidP="00565F8F">
            <w:pPr>
              <w:pStyle w:val="Normal6a"/>
            </w:pPr>
          </w:p>
        </w:tc>
        <w:tc>
          <w:tcPr>
            <w:tcW w:w="4876" w:type="dxa"/>
            <w:tcBorders>
              <w:top w:val="nil"/>
              <w:left w:val="nil"/>
              <w:bottom w:val="nil"/>
              <w:right w:val="nil"/>
            </w:tcBorders>
          </w:tcPr>
          <w:p w14:paraId="522147DD" w14:textId="77777777" w:rsidR="000104F2" w:rsidRPr="005F046F" w:rsidRDefault="000104F2" w:rsidP="00565F8F">
            <w:pPr>
              <w:pStyle w:val="Normal6a"/>
            </w:pPr>
            <w:proofErr w:type="spellStart"/>
            <w:r w:rsidRPr="005F046F">
              <w:rPr>
                <w:b/>
                <w:i/>
              </w:rPr>
              <w:t>Ca</w:t>
            </w:r>
            <w:proofErr w:type="spellEnd"/>
            <w:r w:rsidRPr="005F046F">
              <w:rPr>
                <w:b/>
                <w:i/>
              </w:rPr>
              <w:t>.</w:t>
            </w:r>
            <w:r w:rsidRPr="005F046F">
              <w:tab/>
            </w:r>
            <w:r w:rsidRPr="005F046F">
              <w:rPr>
                <w:b/>
                <w:i/>
              </w:rPr>
              <w:t>mivel 2025. május 6-án az Európai Parlament elfogadta az Unió pénzügyi érdekeinek védelméről szóló 2023. évi jelentésről szóló állásfoglalását, amelyben szorgalmazta, hogy a PIF-jelentés szolgáljon eszközként az uniós csalás elleni architektúra irányításának megerősítéséhez és egy holisztikusabb megközelítés elfogadásához;</w:t>
            </w:r>
          </w:p>
        </w:tc>
      </w:tr>
    </w:tbl>
    <w:p w14:paraId="546E10C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D878C0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7667A8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177426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73ADCC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833BD9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3FC3B4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D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D86E4CB" w14:textId="77777777" w:rsidTr="00565F8F">
        <w:trPr>
          <w:trHeight w:hRule="exact" w:val="240"/>
          <w:jc w:val="center"/>
        </w:trPr>
        <w:tc>
          <w:tcPr>
            <w:tcW w:w="9752" w:type="dxa"/>
            <w:gridSpan w:val="2"/>
            <w:tcBorders>
              <w:top w:val="nil"/>
              <w:left w:val="nil"/>
              <w:bottom w:val="nil"/>
              <w:right w:val="nil"/>
            </w:tcBorders>
          </w:tcPr>
          <w:p w14:paraId="1E7A8682" w14:textId="77777777" w:rsidR="000104F2" w:rsidRPr="005F046F" w:rsidRDefault="000104F2" w:rsidP="00565F8F"/>
        </w:tc>
      </w:tr>
      <w:tr w:rsidR="006C656F" w:rsidRPr="005F046F" w14:paraId="42CA0104" w14:textId="77777777" w:rsidTr="00565F8F">
        <w:trPr>
          <w:trHeight w:val="240"/>
          <w:jc w:val="center"/>
        </w:trPr>
        <w:tc>
          <w:tcPr>
            <w:tcW w:w="4876" w:type="dxa"/>
            <w:tcBorders>
              <w:top w:val="nil"/>
              <w:left w:val="nil"/>
              <w:bottom w:val="nil"/>
              <w:right w:val="nil"/>
            </w:tcBorders>
          </w:tcPr>
          <w:p w14:paraId="1B04291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9A96666" w14:textId="77777777" w:rsidR="000104F2" w:rsidRPr="005F046F" w:rsidRDefault="000104F2" w:rsidP="00565F8F">
            <w:pPr>
              <w:pStyle w:val="AmColumnHeading"/>
            </w:pPr>
            <w:r w:rsidRPr="005F046F">
              <w:t>Módosítás</w:t>
            </w:r>
          </w:p>
        </w:tc>
      </w:tr>
      <w:tr w:rsidR="006C656F" w:rsidRPr="005F046F" w14:paraId="6795E681" w14:textId="77777777" w:rsidTr="00565F8F">
        <w:trPr>
          <w:jc w:val="center"/>
        </w:trPr>
        <w:tc>
          <w:tcPr>
            <w:tcW w:w="4876" w:type="dxa"/>
            <w:tcBorders>
              <w:top w:val="nil"/>
              <w:left w:val="nil"/>
              <w:bottom w:val="nil"/>
              <w:right w:val="nil"/>
            </w:tcBorders>
          </w:tcPr>
          <w:p w14:paraId="5A95C580" w14:textId="77777777" w:rsidR="000104F2" w:rsidRPr="005F046F" w:rsidRDefault="000104F2" w:rsidP="00565F8F">
            <w:pPr>
              <w:pStyle w:val="Normal6a"/>
            </w:pPr>
            <w:r w:rsidRPr="005F046F">
              <w:t>D.</w:t>
            </w:r>
            <w:r w:rsidRPr="005F046F">
              <w:tab/>
              <w:t xml:space="preserve">mivel a PIF-jelentésben a csalás és a szabálytalanságok elleni küzdelem érdekében elfogadott intézkedések leírásának és elemzésének lehetővé kell tennie </w:t>
            </w:r>
            <w:proofErr w:type="spellStart"/>
            <w:r w:rsidRPr="005F046F">
              <w:t>célzottabb</w:t>
            </w:r>
            <w:proofErr w:type="spellEnd"/>
            <w:r w:rsidRPr="005F046F">
              <w:t xml:space="preserve"> fellépések azonosítását és végrehajtását mind uniós, mind nemzeti szinten;</w:t>
            </w:r>
          </w:p>
        </w:tc>
        <w:tc>
          <w:tcPr>
            <w:tcW w:w="4876" w:type="dxa"/>
            <w:tcBorders>
              <w:top w:val="nil"/>
              <w:left w:val="nil"/>
              <w:bottom w:val="nil"/>
              <w:right w:val="nil"/>
            </w:tcBorders>
          </w:tcPr>
          <w:p w14:paraId="3EC6B18B" w14:textId="77777777" w:rsidR="000104F2" w:rsidRPr="005F046F" w:rsidRDefault="000104F2" w:rsidP="00565F8F">
            <w:pPr>
              <w:pStyle w:val="Normal6a"/>
            </w:pPr>
            <w:r w:rsidRPr="005F046F">
              <w:t>D.</w:t>
            </w:r>
            <w:r w:rsidRPr="005F046F">
              <w:tab/>
              <w:t xml:space="preserve">mivel a PIF-jelentésben a csalás és a szabálytalanságok elleni küzdelem érdekében elfogadott intézkedések leírásának és elemzésének lehetővé kell tennie </w:t>
            </w:r>
            <w:proofErr w:type="spellStart"/>
            <w:r w:rsidRPr="005F046F">
              <w:t>célzottabb</w:t>
            </w:r>
            <w:proofErr w:type="spellEnd"/>
            <w:r w:rsidRPr="005F046F">
              <w:t xml:space="preserve"> fellépések azonosítását és végrehajtását mind uniós, mind nemzeti szinten; </w:t>
            </w:r>
            <w:r w:rsidRPr="005F046F">
              <w:rPr>
                <w:b/>
                <w:i/>
              </w:rPr>
              <w:t xml:space="preserve">mivel Unió-szerte tovább javul a csalárd szabálytalanságok felderítése, a visszafizettetési intézkedések azonban </w:t>
            </w:r>
            <w:r w:rsidRPr="005F046F">
              <w:rPr>
                <w:b/>
                <w:i/>
              </w:rPr>
              <w:lastRenderedPageBreak/>
              <w:t>továbbra is egyenlőtlenek az egyes tagállamokban; mivel az Unió pénzügyi érdekeinek hatékony védelméhez egyrészt átfogó felderítésre, másrészt következetes igazságügyi és közigazgatási nyomon követésre van szükség az uniós pénzeszközökkel való visszaélés megelőzése, korrekciója és az attól való elrettentés érdekében;</w:t>
            </w:r>
          </w:p>
        </w:tc>
      </w:tr>
    </w:tbl>
    <w:p w14:paraId="7CB8C7D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7D863C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7E818A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E06F6B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C32C25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256358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04F950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E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9F122C1" w14:textId="77777777" w:rsidTr="00565F8F">
        <w:trPr>
          <w:trHeight w:hRule="exact" w:val="240"/>
          <w:jc w:val="center"/>
        </w:trPr>
        <w:tc>
          <w:tcPr>
            <w:tcW w:w="9752" w:type="dxa"/>
            <w:gridSpan w:val="2"/>
            <w:tcBorders>
              <w:top w:val="nil"/>
              <w:left w:val="nil"/>
              <w:bottom w:val="nil"/>
              <w:right w:val="nil"/>
            </w:tcBorders>
          </w:tcPr>
          <w:p w14:paraId="58149DA8" w14:textId="77777777" w:rsidR="000104F2" w:rsidRPr="005F046F" w:rsidRDefault="000104F2" w:rsidP="00565F8F"/>
        </w:tc>
      </w:tr>
      <w:tr w:rsidR="006C656F" w:rsidRPr="005F046F" w14:paraId="4434B60E" w14:textId="77777777" w:rsidTr="00565F8F">
        <w:trPr>
          <w:trHeight w:val="240"/>
          <w:jc w:val="center"/>
        </w:trPr>
        <w:tc>
          <w:tcPr>
            <w:tcW w:w="4876" w:type="dxa"/>
            <w:tcBorders>
              <w:top w:val="nil"/>
              <w:left w:val="nil"/>
              <w:bottom w:val="nil"/>
              <w:right w:val="nil"/>
            </w:tcBorders>
          </w:tcPr>
          <w:p w14:paraId="22CF0F1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C82E268" w14:textId="77777777" w:rsidR="000104F2" w:rsidRPr="005F046F" w:rsidRDefault="000104F2" w:rsidP="00565F8F">
            <w:pPr>
              <w:pStyle w:val="AmColumnHeading"/>
            </w:pPr>
            <w:r w:rsidRPr="005F046F">
              <w:t>Módosítás</w:t>
            </w:r>
          </w:p>
        </w:tc>
      </w:tr>
      <w:tr w:rsidR="006C656F" w:rsidRPr="005F046F" w14:paraId="3C8AEBF2" w14:textId="77777777" w:rsidTr="00565F8F">
        <w:trPr>
          <w:jc w:val="center"/>
        </w:trPr>
        <w:tc>
          <w:tcPr>
            <w:tcW w:w="4876" w:type="dxa"/>
            <w:tcBorders>
              <w:top w:val="nil"/>
              <w:left w:val="nil"/>
              <w:bottom w:val="nil"/>
              <w:right w:val="nil"/>
            </w:tcBorders>
          </w:tcPr>
          <w:p w14:paraId="3538FDBF" w14:textId="77777777" w:rsidR="000104F2" w:rsidRPr="005F046F" w:rsidRDefault="000104F2" w:rsidP="00565F8F">
            <w:pPr>
              <w:pStyle w:val="Normal6a"/>
            </w:pPr>
            <w:r w:rsidRPr="005F046F">
              <w:t>E.</w:t>
            </w:r>
            <w:r w:rsidRPr="005F046F">
              <w:tab/>
              <w:t>mivel az EU pénzügyi érdekeinek védelmét megbízható adatokon alapuló elemzéssel kell alátámasztani;</w:t>
            </w:r>
          </w:p>
        </w:tc>
        <w:tc>
          <w:tcPr>
            <w:tcW w:w="4876" w:type="dxa"/>
            <w:tcBorders>
              <w:top w:val="nil"/>
              <w:left w:val="nil"/>
              <w:bottom w:val="nil"/>
              <w:right w:val="nil"/>
            </w:tcBorders>
          </w:tcPr>
          <w:p w14:paraId="666B46E0" w14:textId="77777777" w:rsidR="000104F2" w:rsidRPr="005F046F" w:rsidRDefault="000104F2" w:rsidP="00565F8F">
            <w:pPr>
              <w:pStyle w:val="Normal6a"/>
            </w:pPr>
            <w:r w:rsidRPr="005F046F">
              <w:t>E.</w:t>
            </w:r>
            <w:r w:rsidRPr="005F046F">
              <w:tab/>
              <w:t>mivel az EU pénzügyi érdekeinek védelmét megbízható adatokon</w:t>
            </w:r>
            <w:r w:rsidRPr="005F046F">
              <w:rPr>
                <w:b/>
                <w:bCs/>
                <w:i/>
                <w:iCs/>
              </w:rPr>
              <w:t>, valamint az átláthatóságra és az erős belső ellenőrzési mechanizmusokra vonatkozó koherens és szisztematikus szabályokon</w:t>
            </w:r>
            <w:r w:rsidRPr="005F046F">
              <w:t xml:space="preserve"> alapuló elemzéssel kell alátámasztani;</w:t>
            </w:r>
          </w:p>
        </w:tc>
      </w:tr>
    </w:tbl>
    <w:p w14:paraId="388A845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5031CB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AAEDF5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1BBE66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082BB5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258A0E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D2100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E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0A7E3F3" w14:textId="77777777" w:rsidTr="00565F8F">
        <w:trPr>
          <w:trHeight w:hRule="exact" w:val="240"/>
          <w:jc w:val="center"/>
        </w:trPr>
        <w:tc>
          <w:tcPr>
            <w:tcW w:w="9752" w:type="dxa"/>
            <w:gridSpan w:val="2"/>
            <w:tcBorders>
              <w:top w:val="nil"/>
              <w:left w:val="nil"/>
              <w:bottom w:val="nil"/>
              <w:right w:val="nil"/>
            </w:tcBorders>
          </w:tcPr>
          <w:p w14:paraId="161C2443" w14:textId="77777777" w:rsidR="000104F2" w:rsidRPr="005F046F" w:rsidRDefault="000104F2" w:rsidP="00565F8F"/>
        </w:tc>
      </w:tr>
      <w:tr w:rsidR="006C656F" w:rsidRPr="005F046F" w14:paraId="5EC66DC0" w14:textId="77777777" w:rsidTr="00565F8F">
        <w:trPr>
          <w:trHeight w:val="240"/>
          <w:jc w:val="center"/>
        </w:trPr>
        <w:tc>
          <w:tcPr>
            <w:tcW w:w="4876" w:type="dxa"/>
            <w:tcBorders>
              <w:top w:val="nil"/>
              <w:left w:val="nil"/>
              <w:bottom w:val="nil"/>
              <w:right w:val="nil"/>
            </w:tcBorders>
          </w:tcPr>
          <w:p w14:paraId="53E0B14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DFEB082" w14:textId="77777777" w:rsidR="000104F2" w:rsidRPr="005F046F" w:rsidRDefault="000104F2" w:rsidP="00565F8F">
            <w:pPr>
              <w:pStyle w:val="AmColumnHeading"/>
            </w:pPr>
            <w:r w:rsidRPr="005F046F">
              <w:t>Módosítás</w:t>
            </w:r>
          </w:p>
        </w:tc>
      </w:tr>
      <w:tr w:rsidR="006C656F" w:rsidRPr="005F046F" w14:paraId="2A6FCEF8" w14:textId="77777777" w:rsidTr="00565F8F">
        <w:trPr>
          <w:jc w:val="center"/>
        </w:trPr>
        <w:tc>
          <w:tcPr>
            <w:tcW w:w="4876" w:type="dxa"/>
            <w:tcBorders>
              <w:top w:val="nil"/>
              <w:left w:val="nil"/>
              <w:bottom w:val="nil"/>
              <w:right w:val="nil"/>
            </w:tcBorders>
          </w:tcPr>
          <w:p w14:paraId="7D6D48C5" w14:textId="77777777" w:rsidR="000104F2" w:rsidRPr="005F046F" w:rsidRDefault="000104F2" w:rsidP="00565F8F">
            <w:pPr>
              <w:pStyle w:val="Normal6a"/>
            </w:pPr>
          </w:p>
        </w:tc>
        <w:tc>
          <w:tcPr>
            <w:tcW w:w="4876" w:type="dxa"/>
            <w:tcBorders>
              <w:top w:val="nil"/>
              <w:left w:val="nil"/>
              <w:bottom w:val="nil"/>
              <w:right w:val="nil"/>
            </w:tcBorders>
          </w:tcPr>
          <w:p w14:paraId="648DAE97" w14:textId="77777777" w:rsidR="000104F2" w:rsidRPr="005F046F" w:rsidRDefault="000104F2" w:rsidP="00565F8F">
            <w:pPr>
              <w:pStyle w:val="Normal6a"/>
            </w:pPr>
            <w:proofErr w:type="spellStart"/>
            <w:r w:rsidRPr="005F046F">
              <w:rPr>
                <w:b/>
                <w:i/>
              </w:rPr>
              <w:t>Ea</w:t>
            </w:r>
            <w:proofErr w:type="spellEnd"/>
            <w:r w:rsidRPr="005F046F">
              <w:rPr>
                <w:b/>
                <w:i/>
              </w:rPr>
              <w:t>.</w:t>
            </w:r>
            <w:r w:rsidRPr="005F046F">
              <w:tab/>
            </w:r>
            <w:r w:rsidRPr="005F046F">
              <w:rPr>
                <w:b/>
                <w:i/>
              </w:rPr>
              <w:t xml:space="preserve">mivel elő kell mozdítani a digitális eszközökben – többek között a kockázatértékelési rendszerekben és az </w:t>
            </w:r>
            <w:proofErr w:type="spellStart"/>
            <w:r w:rsidRPr="005F046F">
              <w:rPr>
                <w:b/>
                <w:i/>
              </w:rPr>
              <w:t>interoperábilis</w:t>
            </w:r>
            <w:proofErr w:type="spellEnd"/>
            <w:r w:rsidRPr="005F046F">
              <w:rPr>
                <w:b/>
                <w:i/>
              </w:rPr>
              <w:t xml:space="preserve"> adatbázisokban – rejlő csalásmegelőzési és -felderítési lehetőségeket, megjegyezve ugyanakkor, hogy a fejlett elemzési és </w:t>
            </w:r>
            <w:proofErr w:type="spellStart"/>
            <w:r w:rsidRPr="005F046F">
              <w:rPr>
                <w:b/>
                <w:i/>
              </w:rPr>
              <w:t>előrejelző</w:t>
            </w:r>
            <w:proofErr w:type="spellEnd"/>
            <w:r w:rsidRPr="005F046F">
              <w:rPr>
                <w:b/>
                <w:i/>
              </w:rPr>
              <w:t xml:space="preserve"> eszközök alkalmazása továbbra is </w:t>
            </w:r>
            <w:r w:rsidRPr="005F046F">
              <w:rPr>
                <w:b/>
                <w:i/>
              </w:rPr>
              <w:lastRenderedPageBreak/>
              <w:t>korlátozott; mivel az ilyen eszközök fejlesztésének és elfogadásának előmozdítása hozzájárul az uniós pénzeszközök hatékonyabb és eredményesebb kezeléséhez, és megerősíti az Unió pénzügyi érdekeinek védelmét;</w:t>
            </w:r>
          </w:p>
        </w:tc>
      </w:tr>
    </w:tbl>
    <w:p w14:paraId="1E63BA1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2E6CE7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CD3CF7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4CA42F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7910C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585312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1BA97A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F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9F07114" w14:textId="77777777" w:rsidTr="00565F8F">
        <w:trPr>
          <w:trHeight w:hRule="exact" w:val="240"/>
          <w:jc w:val="center"/>
        </w:trPr>
        <w:tc>
          <w:tcPr>
            <w:tcW w:w="9752" w:type="dxa"/>
            <w:gridSpan w:val="2"/>
            <w:tcBorders>
              <w:top w:val="nil"/>
              <w:left w:val="nil"/>
              <w:bottom w:val="nil"/>
              <w:right w:val="nil"/>
            </w:tcBorders>
          </w:tcPr>
          <w:p w14:paraId="7E57D0C1" w14:textId="77777777" w:rsidR="000104F2" w:rsidRPr="005F046F" w:rsidRDefault="000104F2" w:rsidP="00565F8F"/>
        </w:tc>
      </w:tr>
      <w:tr w:rsidR="006C656F" w:rsidRPr="005F046F" w14:paraId="2B515CA9" w14:textId="77777777" w:rsidTr="00565F8F">
        <w:trPr>
          <w:trHeight w:val="240"/>
          <w:jc w:val="center"/>
        </w:trPr>
        <w:tc>
          <w:tcPr>
            <w:tcW w:w="4876" w:type="dxa"/>
            <w:tcBorders>
              <w:top w:val="nil"/>
              <w:left w:val="nil"/>
              <w:bottom w:val="nil"/>
              <w:right w:val="nil"/>
            </w:tcBorders>
          </w:tcPr>
          <w:p w14:paraId="682ED49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79DC9BE" w14:textId="77777777" w:rsidR="000104F2" w:rsidRPr="005F046F" w:rsidRDefault="000104F2" w:rsidP="00565F8F">
            <w:pPr>
              <w:pStyle w:val="AmColumnHeading"/>
            </w:pPr>
            <w:r w:rsidRPr="005F046F">
              <w:t>Módosítás</w:t>
            </w:r>
          </w:p>
        </w:tc>
      </w:tr>
      <w:tr w:rsidR="006C656F" w:rsidRPr="005F046F" w14:paraId="55A3A7F8" w14:textId="77777777" w:rsidTr="00565F8F">
        <w:trPr>
          <w:jc w:val="center"/>
        </w:trPr>
        <w:tc>
          <w:tcPr>
            <w:tcW w:w="4876" w:type="dxa"/>
            <w:tcBorders>
              <w:top w:val="nil"/>
              <w:left w:val="nil"/>
              <w:bottom w:val="nil"/>
              <w:right w:val="nil"/>
            </w:tcBorders>
          </w:tcPr>
          <w:p w14:paraId="6B5C82AE" w14:textId="77777777" w:rsidR="000104F2" w:rsidRPr="005F046F" w:rsidRDefault="000104F2" w:rsidP="00565F8F">
            <w:pPr>
              <w:pStyle w:val="Normal6a"/>
            </w:pPr>
            <w:r w:rsidRPr="005F046F">
              <w:t>F.</w:t>
            </w:r>
            <w:r w:rsidRPr="005F046F">
              <w:tab/>
              <w:t xml:space="preserve">mivel figyelembe véve a tagállamok közötti különbségeket, különösen a szabálytalanságok felderítése és jelentése tekintetében, a tagállamok közigazgatási rendszereinek sokfélesége akadályozza a nemzeti irányítási, ellenőrzési és jelentéstételi rendszerek egységes szintjére vonatkozó célkitűzés megvalósítását az Unióban; mivel ha a tagállamok közigazgatási rendszereinek sokféleségét nem kezelik következetesen az </w:t>
            </w:r>
            <w:proofErr w:type="spellStart"/>
            <w:r w:rsidRPr="005F046F">
              <w:t>interoperabilitás</w:t>
            </w:r>
            <w:proofErr w:type="spellEnd"/>
            <w:r w:rsidRPr="005F046F">
              <w:t xml:space="preserve"> és a digitalizáció fokozásával, az alááshatja az adatok és jelentések megbízhatóságát, összehasonlíthatóságát és hasznosságát; mivel e célból szükségesnek tűnik, hogy az európai alapok </w:t>
            </w:r>
            <w:proofErr w:type="spellStart"/>
            <w:r w:rsidRPr="005F046F">
              <w:t>szabványosítottabb</w:t>
            </w:r>
            <w:proofErr w:type="spellEnd"/>
            <w:r w:rsidRPr="005F046F">
              <w:t xml:space="preserve"> és egységesebb irányítása és kezelése, valamint az Unió pénzügyi érdekeinek valamennyi tagállamban azonos módon történő védelme érdekében az elnevezéshez méltó, valódi közös iránymutatásokat és szilárd szabványosított eljárásokat hajtsanak végre hatékonyan és eredményesebben;</w:t>
            </w:r>
          </w:p>
        </w:tc>
        <w:tc>
          <w:tcPr>
            <w:tcW w:w="4876" w:type="dxa"/>
            <w:tcBorders>
              <w:top w:val="nil"/>
              <w:left w:val="nil"/>
              <w:bottom w:val="nil"/>
              <w:right w:val="nil"/>
            </w:tcBorders>
          </w:tcPr>
          <w:p w14:paraId="570E2B65" w14:textId="77777777" w:rsidR="000104F2" w:rsidRPr="005F046F" w:rsidRDefault="000104F2" w:rsidP="00565F8F">
            <w:pPr>
              <w:pStyle w:val="Normal6a"/>
            </w:pPr>
            <w:r w:rsidRPr="005F046F">
              <w:t>F.</w:t>
            </w:r>
            <w:r w:rsidRPr="005F046F">
              <w:tab/>
              <w:t>mivel figyelembe véve a tagállamok közötti különbségeket, különösen a szabálytalanságok felderítése és jelentése tekintetében, a tagállamok közigazgatási rendszereinek sokfélesége akadályozza a nemzeti irányítási, ellenőrzési és jelentéstételi rendszerek egységes szintjére vonatkozó célkitűzés megvalósítását az Unióban;</w:t>
            </w:r>
            <w:r w:rsidRPr="005F046F">
              <w:rPr>
                <w:b/>
                <w:i/>
              </w:rPr>
              <w:t xml:space="preserve"> mivel néhány tagállam az összes érintett ágazatra kiterjedő, teljesen átfogó csalás elleni stratégiát fogadott el; </w:t>
            </w:r>
            <w:r w:rsidRPr="005F046F">
              <w:rPr>
                <w:b/>
                <w:bCs/>
                <w:i/>
                <w:iCs/>
              </w:rPr>
              <w:t>mivel az irányítási struktúrák megerősítése, a hatóságok közötti koordináció biztosítása és a mérhető nemzeti szintű célkitűzések meghatározása elengedhetetlen az uniós költségvetés védelméhez és az uniós szintű csalás elleni intézkedések hatékonyságának javításához;</w:t>
            </w:r>
            <w:r w:rsidRPr="005F046F">
              <w:t xml:space="preserve"> mivel ha a tagállamok közigazgatási rendszereinek sokféleségét nem kezelik következetesen az </w:t>
            </w:r>
            <w:proofErr w:type="spellStart"/>
            <w:r w:rsidRPr="005F046F">
              <w:t>interoperabilitás</w:t>
            </w:r>
            <w:proofErr w:type="spellEnd"/>
            <w:r w:rsidRPr="005F046F">
              <w:t xml:space="preserve"> és a digitalizáció fokozásával, az alááshatja az adatok és jelentések megbízhatóságát, összehasonlíthatóságát és hasznosságát; mivel e célból szükségesnek tűnik, hogy az európai alapok </w:t>
            </w:r>
            <w:proofErr w:type="spellStart"/>
            <w:r w:rsidRPr="005F046F">
              <w:t>szabványosítottabb</w:t>
            </w:r>
            <w:proofErr w:type="spellEnd"/>
            <w:r w:rsidRPr="005F046F">
              <w:t xml:space="preserve"> és egységesebb irányítása és kezelése, valamint az Unió pénzügyi érdekeinek </w:t>
            </w:r>
            <w:r w:rsidRPr="005F046F">
              <w:lastRenderedPageBreak/>
              <w:t>valamennyi tagállamban azonos módon történő védelme érdekében az elnevezéshez méltó, valódi közös iránymutatásokat és szilárd szabványosított eljárásokat hajtsanak végre hatékonyan és eredményesebben;</w:t>
            </w:r>
          </w:p>
        </w:tc>
      </w:tr>
    </w:tbl>
    <w:p w14:paraId="026FAC9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13DBC8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71B1CB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6285ED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5CA00F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194E94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8C68DA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F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29C03F0" w14:textId="77777777" w:rsidTr="00565F8F">
        <w:trPr>
          <w:trHeight w:hRule="exact" w:val="240"/>
          <w:jc w:val="center"/>
        </w:trPr>
        <w:tc>
          <w:tcPr>
            <w:tcW w:w="9752" w:type="dxa"/>
            <w:gridSpan w:val="2"/>
            <w:tcBorders>
              <w:top w:val="nil"/>
              <w:left w:val="nil"/>
              <w:bottom w:val="nil"/>
              <w:right w:val="nil"/>
            </w:tcBorders>
          </w:tcPr>
          <w:p w14:paraId="443439D9" w14:textId="77777777" w:rsidR="000104F2" w:rsidRPr="005F046F" w:rsidRDefault="000104F2" w:rsidP="00565F8F"/>
        </w:tc>
      </w:tr>
      <w:tr w:rsidR="006C656F" w:rsidRPr="005F046F" w14:paraId="04C23362" w14:textId="77777777" w:rsidTr="00565F8F">
        <w:trPr>
          <w:trHeight w:val="240"/>
          <w:jc w:val="center"/>
        </w:trPr>
        <w:tc>
          <w:tcPr>
            <w:tcW w:w="4876" w:type="dxa"/>
            <w:tcBorders>
              <w:top w:val="nil"/>
              <w:left w:val="nil"/>
              <w:bottom w:val="nil"/>
              <w:right w:val="nil"/>
            </w:tcBorders>
          </w:tcPr>
          <w:p w14:paraId="564FDA5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0771DE1" w14:textId="77777777" w:rsidR="000104F2" w:rsidRPr="005F046F" w:rsidRDefault="000104F2" w:rsidP="00565F8F">
            <w:pPr>
              <w:pStyle w:val="AmColumnHeading"/>
            </w:pPr>
            <w:r w:rsidRPr="005F046F">
              <w:t>Módosítás</w:t>
            </w:r>
          </w:p>
        </w:tc>
      </w:tr>
      <w:tr w:rsidR="006C656F" w:rsidRPr="005F046F" w14:paraId="2E63139C" w14:textId="77777777" w:rsidTr="00565F8F">
        <w:trPr>
          <w:jc w:val="center"/>
        </w:trPr>
        <w:tc>
          <w:tcPr>
            <w:tcW w:w="4876" w:type="dxa"/>
            <w:tcBorders>
              <w:top w:val="nil"/>
              <w:left w:val="nil"/>
              <w:bottom w:val="nil"/>
              <w:right w:val="nil"/>
            </w:tcBorders>
          </w:tcPr>
          <w:p w14:paraId="2939E6A2" w14:textId="77777777" w:rsidR="000104F2" w:rsidRPr="005F046F" w:rsidRDefault="000104F2" w:rsidP="00565F8F">
            <w:pPr>
              <w:pStyle w:val="Normal6a"/>
            </w:pPr>
            <w:r w:rsidRPr="005F046F">
              <w:t>F.</w:t>
            </w:r>
            <w:r w:rsidRPr="005F046F">
              <w:tab/>
              <w:t xml:space="preserve">mivel figyelembe véve a tagállamok közötti különbségeket, különösen a szabálytalanságok felderítése és jelentése tekintetében, a tagállamok közigazgatási rendszereinek sokfélesége akadályozza a nemzeti irányítási, ellenőrzési és jelentéstételi rendszerek egységes szintjére vonatkozó célkitűzés megvalósítását az Unióban; mivel ha a tagállamok közigazgatási rendszereinek sokféleségét nem kezelik következetesen az </w:t>
            </w:r>
            <w:proofErr w:type="spellStart"/>
            <w:r w:rsidRPr="005F046F">
              <w:t>interoperabilitás</w:t>
            </w:r>
            <w:proofErr w:type="spellEnd"/>
            <w:r w:rsidRPr="005F046F">
              <w:t xml:space="preserve"> és a digitalizáció fokozásával, az alááshatja az adatok és jelentések megbízhatóságát, összehasonlíthatóságát és hasznosságát; mivel e célból szükségesnek tűnik, hogy az európai </w:t>
            </w:r>
            <w:r w:rsidRPr="005F046F">
              <w:rPr>
                <w:b/>
                <w:bCs/>
                <w:i/>
                <w:iCs/>
              </w:rPr>
              <w:t>alapok</w:t>
            </w:r>
            <w:r w:rsidRPr="005F046F">
              <w:t xml:space="preserve"> </w:t>
            </w:r>
            <w:proofErr w:type="spellStart"/>
            <w:r w:rsidRPr="005F046F">
              <w:t>szabványosítottabb</w:t>
            </w:r>
            <w:proofErr w:type="spellEnd"/>
            <w:r w:rsidRPr="005F046F">
              <w:t xml:space="preserve"> és egységesebb irányítása és kezelése</w:t>
            </w:r>
            <w:r w:rsidRPr="005F046F">
              <w:rPr>
                <w:b/>
                <w:bCs/>
                <w:i/>
                <w:iCs/>
              </w:rPr>
              <w:t>, valamint az Unió pénzügyi érdekeinek valamennyi tagállamban azonos módon történő védelme</w:t>
            </w:r>
            <w:r w:rsidRPr="005F046F">
              <w:t xml:space="preserve"> érdekében </w:t>
            </w:r>
            <w:r w:rsidRPr="005F046F">
              <w:rPr>
                <w:b/>
                <w:bCs/>
                <w:i/>
                <w:iCs/>
              </w:rPr>
              <w:t>az elnevezéshez méltó, valódi</w:t>
            </w:r>
            <w:r w:rsidRPr="005F046F">
              <w:t xml:space="preserve"> közös iránymutatásokat és szilárd szabványosított eljárásokat hajtsanak végre hatékonyan és eredményesebben;</w:t>
            </w:r>
          </w:p>
        </w:tc>
        <w:tc>
          <w:tcPr>
            <w:tcW w:w="4876" w:type="dxa"/>
            <w:tcBorders>
              <w:top w:val="nil"/>
              <w:left w:val="nil"/>
              <w:bottom w:val="nil"/>
              <w:right w:val="nil"/>
            </w:tcBorders>
          </w:tcPr>
          <w:p w14:paraId="2D5198E3" w14:textId="77777777" w:rsidR="000104F2" w:rsidRPr="005F046F" w:rsidRDefault="000104F2" w:rsidP="00565F8F">
            <w:pPr>
              <w:pStyle w:val="Normal6a"/>
            </w:pPr>
            <w:r w:rsidRPr="005F046F">
              <w:t>F.</w:t>
            </w:r>
            <w:r w:rsidRPr="005F046F">
              <w:tab/>
              <w:t xml:space="preserve">mivel figyelembe véve a tagállamok közötti különbségeket, különösen a szabálytalanságok felderítése és jelentése tekintetében, a tagállamok közigazgatási rendszereinek sokfélesége akadályozza a nemzeti irányítási, ellenőrzési és jelentéstételi rendszerek egységes szintjére vonatkozó célkitűzés megvalósítását az Unióban; mivel ha a tagállamok közigazgatási rendszereinek sokféleségét nem kezelik következetesen az </w:t>
            </w:r>
            <w:proofErr w:type="spellStart"/>
            <w:r w:rsidRPr="005F046F">
              <w:t>interoperabilitás</w:t>
            </w:r>
            <w:proofErr w:type="spellEnd"/>
            <w:r w:rsidRPr="005F046F">
              <w:t xml:space="preserve"> és a digitalizáció fokozásával, az alááshatja az adatok és jelentések megbízhatóságát, összehasonlíthatóságát és hasznosságát; mivel e célból szükségesnek tűnik, hogy az európai </w:t>
            </w:r>
            <w:r w:rsidRPr="005F046F">
              <w:rPr>
                <w:b/>
                <w:bCs/>
                <w:i/>
                <w:iCs/>
              </w:rPr>
              <w:t>bevételek és kiadások</w:t>
            </w:r>
            <w:r w:rsidRPr="005F046F">
              <w:t xml:space="preserve"> </w:t>
            </w:r>
            <w:proofErr w:type="spellStart"/>
            <w:r w:rsidRPr="005F046F">
              <w:t>szabványosítottabb</w:t>
            </w:r>
            <w:proofErr w:type="spellEnd"/>
            <w:r w:rsidRPr="005F046F">
              <w:t xml:space="preserve"> és egységesebb irányítása és kezelése érdekében közös iránymutatásokat és szilárd szabványosított eljárásokat hajtsanak végre hatékonyan és eredményesebben;</w:t>
            </w:r>
          </w:p>
        </w:tc>
      </w:tr>
    </w:tbl>
    <w:p w14:paraId="29F404A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163C20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317AAF1" w14:textId="77777777" w:rsidR="000104F2" w:rsidRPr="005F046F" w:rsidRDefault="000104F2" w:rsidP="000104F2">
      <w:pPr>
        <w:pStyle w:val="AmNumberTabs"/>
      </w:pPr>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E05C6C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EA88BD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309FAD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0E80ED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G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246E5D6" w14:textId="77777777" w:rsidTr="00565F8F">
        <w:trPr>
          <w:trHeight w:hRule="exact" w:val="240"/>
          <w:jc w:val="center"/>
        </w:trPr>
        <w:tc>
          <w:tcPr>
            <w:tcW w:w="9752" w:type="dxa"/>
            <w:gridSpan w:val="2"/>
            <w:tcBorders>
              <w:top w:val="nil"/>
              <w:left w:val="nil"/>
              <w:bottom w:val="nil"/>
              <w:right w:val="nil"/>
            </w:tcBorders>
          </w:tcPr>
          <w:p w14:paraId="518E7C64" w14:textId="77777777" w:rsidR="000104F2" w:rsidRPr="005F046F" w:rsidRDefault="000104F2" w:rsidP="00565F8F"/>
        </w:tc>
      </w:tr>
      <w:tr w:rsidR="006C656F" w:rsidRPr="005F046F" w14:paraId="314D9860" w14:textId="77777777" w:rsidTr="00565F8F">
        <w:trPr>
          <w:trHeight w:val="240"/>
          <w:jc w:val="center"/>
        </w:trPr>
        <w:tc>
          <w:tcPr>
            <w:tcW w:w="4876" w:type="dxa"/>
            <w:tcBorders>
              <w:top w:val="nil"/>
              <w:left w:val="nil"/>
              <w:bottom w:val="nil"/>
              <w:right w:val="nil"/>
            </w:tcBorders>
          </w:tcPr>
          <w:p w14:paraId="54EC36F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5052448" w14:textId="77777777" w:rsidR="000104F2" w:rsidRPr="005F046F" w:rsidRDefault="000104F2" w:rsidP="00565F8F">
            <w:pPr>
              <w:pStyle w:val="AmColumnHeading"/>
            </w:pPr>
            <w:r w:rsidRPr="005F046F">
              <w:t>Módosítás</w:t>
            </w:r>
          </w:p>
        </w:tc>
      </w:tr>
      <w:tr w:rsidR="006C656F" w:rsidRPr="005F046F" w14:paraId="2FD1D604" w14:textId="77777777" w:rsidTr="00565F8F">
        <w:trPr>
          <w:jc w:val="center"/>
        </w:trPr>
        <w:tc>
          <w:tcPr>
            <w:tcW w:w="4876" w:type="dxa"/>
            <w:tcBorders>
              <w:top w:val="nil"/>
              <w:left w:val="nil"/>
              <w:bottom w:val="nil"/>
              <w:right w:val="nil"/>
            </w:tcBorders>
          </w:tcPr>
          <w:p w14:paraId="08DB79E3" w14:textId="77777777" w:rsidR="000104F2" w:rsidRPr="005F046F" w:rsidRDefault="000104F2" w:rsidP="00565F8F">
            <w:pPr>
              <w:pStyle w:val="Normal6a"/>
            </w:pPr>
          </w:p>
        </w:tc>
        <w:tc>
          <w:tcPr>
            <w:tcW w:w="4876" w:type="dxa"/>
            <w:tcBorders>
              <w:top w:val="nil"/>
              <w:left w:val="nil"/>
              <w:bottom w:val="nil"/>
              <w:right w:val="nil"/>
            </w:tcBorders>
          </w:tcPr>
          <w:p w14:paraId="66DFB93A" w14:textId="77777777" w:rsidR="000104F2" w:rsidRPr="005F046F" w:rsidRDefault="000104F2" w:rsidP="00565F8F">
            <w:pPr>
              <w:pStyle w:val="Normal6a"/>
            </w:pPr>
            <w:proofErr w:type="spellStart"/>
            <w:r w:rsidRPr="005F046F">
              <w:rPr>
                <w:b/>
                <w:i/>
              </w:rPr>
              <w:t>Ga</w:t>
            </w:r>
            <w:proofErr w:type="spellEnd"/>
            <w:r w:rsidRPr="005F046F">
              <w:rPr>
                <w:b/>
                <w:i/>
              </w:rPr>
              <w:t>.</w:t>
            </w:r>
            <w:r w:rsidRPr="005F046F">
              <w:tab/>
            </w:r>
            <w:r w:rsidRPr="005F046F">
              <w:rPr>
                <w:b/>
                <w:i/>
              </w:rPr>
              <w:t>mivel az uniós költségvetés hatékony védelméhez uniós és tagállami szinten egyaránt szilárd együttműködésre van szükség a közigazgatási vizsgálatokat végző hatóságok és a bűnügyi nyomozásokat folytató hatóságok között; mivel nemcsak együttműködésre, hanem szisztematikus koordinációra is szükség van; mivel a rendszeres információmegosztás és a közös kockázatelemzés révén elkerülhető a védelem széttagoltsága, és biztosítható a csalással és szabálytalanságokkal szembeni időszerű és következetes fellépés;</w:t>
            </w:r>
          </w:p>
        </w:tc>
      </w:tr>
    </w:tbl>
    <w:p w14:paraId="200C192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B2E459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8A4FCA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C7C865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03A163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F7208D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4C97B3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G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06200D8" w14:textId="77777777" w:rsidTr="00565F8F">
        <w:trPr>
          <w:trHeight w:hRule="exact" w:val="240"/>
          <w:jc w:val="center"/>
        </w:trPr>
        <w:tc>
          <w:tcPr>
            <w:tcW w:w="9752" w:type="dxa"/>
            <w:gridSpan w:val="2"/>
            <w:tcBorders>
              <w:top w:val="nil"/>
              <w:left w:val="nil"/>
              <w:bottom w:val="nil"/>
              <w:right w:val="nil"/>
            </w:tcBorders>
          </w:tcPr>
          <w:p w14:paraId="7089C546" w14:textId="77777777" w:rsidR="000104F2" w:rsidRPr="005F046F" w:rsidRDefault="000104F2" w:rsidP="00565F8F"/>
        </w:tc>
      </w:tr>
      <w:tr w:rsidR="006C656F" w:rsidRPr="005F046F" w14:paraId="5A7BB94A" w14:textId="77777777" w:rsidTr="00565F8F">
        <w:trPr>
          <w:trHeight w:val="240"/>
          <w:jc w:val="center"/>
        </w:trPr>
        <w:tc>
          <w:tcPr>
            <w:tcW w:w="4876" w:type="dxa"/>
            <w:tcBorders>
              <w:top w:val="nil"/>
              <w:left w:val="nil"/>
              <w:bottom w:val="nil"/>
              <w:right w:val="nil"/>
            </w:tcBorders>
          </w:tcPr>
          <w:p w14:paraId="7AC7466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9E46822" w14:textId="77777777" w:rsidR="000104F2" w:rsidRPr="005F046F" w:rsidRDefault="000104F2" w:rsidP="00565F8F">
            <w:pPr>
              <w:pStyle w:val="AmColumnHeading"/>
            </w:pPr>
            <w:r w:rsidRPr="005F046F">
              <w:t>Módosítás</w:t>
            </w:r>
          </w:p>
        </w:tc>
      </w:tr>
      <w:tr w:rsidR="006C656F" w:rsidRPr="005F046F" w14:paraId="5EDD641F" w14:textId="77777777" w:rsidTr="00565F8F">
        <w:trPr>
          <w:jc w:val="center"/>
        </w:trPr>
        <w:tc>
          <w:tcPr>
            <w:tcW w:w="4876" w:type="dxa"/>
            <w:tcBorders>
              <w:top w:val="nil"/>
              <w:left w:val="nil"/>
              <w:bottom w:val="nil"/>
              <w:right w:val="nil"/>
            </w:tcBorders>
          </w:tcPr>
          <w:p w14:paraId="57803D06" w14:textId="77777777" w:rsidR="000104F2" w:rsidRPr="005F046F" w:rsidRDefault="000104F2" w:rsidP="00565F8F">
            <w:pPr>
              <w:pStyle w:val="Normal6a"/>
            </w:pPr>
          </w:p>
        </w:tc>
        <w:tc>
          <w:tcPr>
            <w:tcW w:w="4876" w:type="dxa"/>
            <w:tcBorders>
              <w:top w:val="nil"/>
              <w:left w:val="nil"/>
              <w:bottom w:val="nil"/>
              <w:right w:val="nil"/>
            </w:tcBorders>
          </w:tcPr>
          <w:p w14:paraId="6DB1F3A8" w14:textId="77777777" w:rsidR="000104F2" w:rsidRPr="005F046F" w:rsidRDefault="000104F2" w:rsidP="00565F8F">
            <w:pPr>
              <w:pStyle w:val="Normal6a"/>
            </w:pPr>
            <w:proofErr w:type="spellStart"/>
            <w:r w:rsidRPr="005F046F">
              <w:rPr>
                <w:b/>
                <w:i/>
              </w:rPr>
              <w:t>Ga</w:t>
            </w:r>
            <w:proofErr w:type="spellEnd"/>
            <w:r w:rsidRPr="005F046F">
              <w:rPr>
                <w:b/>
                <w:i/>
              </w:rPr>
              <w:t>.</w:t>
            </w:r>
            <w:r w:rsidRPr="005F046F">
              <w:tab/>
            </w:r>
            <w:r w:rsidRPr="005F046F">
              <w:rPr>
                <w:b/>
                <w:i/>
              </w:rPr>
              <w:t>mivel az Európai Bizottság köteles pénzügyi korrekciókat alkalmazni a tagállamokkal szemben annak érdekében, hogy kizárja az uniós finanszírozásból az alkalmazandó jog megsértésével teljesített kiadásokat;</w:t>
            </w:r>
          </w:p>
        </w:tc>
      </w:tr>
    </w:tbl>
    <w:p w14:paraId="6E56EF45"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8262D7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9C331B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0567D5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Céline </w:t>
      </w:r>
      <w:proofErr w:type="spellStart"/>
      <w:r w:rsidRPr="005F046F">
        <w:t>Imart</w:t>
      </w:r>
      <w:proofErr w:type="spellEnd"/>
      <w:r w:rsidRPr="005F046F">
        <w:t xml:space="preserve">, </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1124573" w14:textId="77777777" w:rsidR="000104F2" w:rsidRPr="005F046F" w:rsidRDefault="000104F2" w:rsidP="000104F2">
      <w:pPr>
        <w:pStyle w:val="NormalBold"/>
      </w:pPr>
      <w:r w:rsidRPr="005F046F">
        <w:rPr>
          <w:rStyle w:val="HideTWBExt"/>
          <w:b w:val="0"/>
          <w:color w:val="auto"/>
        </w:rPr>
        <w:lastRenderedPageBreak/>
        <w:t>&lt;/</w:t>
      </w:r>
      <w:proofErr w:type="spellStart"/>
      <w:r w:rsidRPr="005F046F">
        <w:rPr>
          <w:rStyle w:val="HideTWBExt"/>
          <w:b w:val="0"/>
          <w:color w:val="auto"/>
        </w:rPr>
        <w:t>RepeatBlock-By</w:t>
      </w:r>
      <w:proofErr w:type="spellEnd"/>
      <w:r w:rsidRPr="005F046F">
        <w:rPr>
          <w:rStyle w:val="HideTWBExt"/>
          <w:b w:val="0"/>
          <w:color w:val="auto"/>
        </w:rPr>
        <w:t>&gt;</w:t>
      </w:r>
    </w:p>
    <w:p w14:paraId="54FF090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709E02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H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ACEAC97" w14:textId="77777777" w:rsidTr="00565F8F">
        <w:trPr>
          <w:trHeight w:hRule="exact" w:val="240"/>
          <w:jc w:val="center"/>
        </w:trPr>
        <w:tc>
          <w:tcPr>
            <w:tcW w:w="9752" w:type="dxa"/>
            <w:gridSpan w:val="2"/>
            <w:tcBorders>
              <w:top w:val="nil"/>
              <w:left w:val="nil"/>
              <w:bottom w:val="nil"/>
              <w:right w:val="nil"/>
            </w:tcBorders>
          </w:tcPr>
          <w:p w14:paraId="30E9221E" w14:textId="77777777" w:rsidR="000104F2" w:rsidRPr="005F046F" w:rsidRDefault="000104F2" w:rsidP="00565F8F"/>
        </w:tc>
      </w:tr>
      <w:tr w:rsidR="006C656F" w:rsidRPr="005F046F" w14:paraId="572FB0AA" w14:textId="77777777" w:rsidTr="00565F8F">
        <w:trPr>
          <w:trHeight w:val="240"/>
          <w:jc w:val="center"/>
        </w:trPr>
        <w:tc>
          <w:tcPr>
            <w:tcW w:w="4876" w:type="dxa"/>
            <w:tcBorders>
              <w:top w:val="nil"/>
              <w:left w:val="nil"/>
              <w:bottom w:val="nil"/>
              <w:right w:val="nil"/>
            </w:tcBorders>
          </w:tcPr>
          <w:p w14:paraId="65C018E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589813D" w14:textId="77777777" w:rsidR="000104F2" w:rsidRPr="005F046F" w:rsidRDefault="000104F2" w:rsidP="00565F8F">
            <w:pPr>
              <w:pStyle w:val="AmColumnHeading"/>
            </w:pPr>
            <w:r w:rsidRPr="005F046F">
              <w:t>Módosítás</w:t>
            </w:r>
          </w:p>
        </w:tc>
      </w:tr>
      <w:tr w:rsidR="006C656F" w:rsidRPr="005F046F" w14:paraId="26C7800A" w14:textId="77777777" w:rsidTr="00565F8F">
        <w:trPr>
          <w:jc w:val="center"/>
        </w:trPr>
        <w:tc>
          <w:tcPr>
            <w:tcW w:w="4876" w:type="dxa"/>
            <w:tcBorders>
              <w:top w:val="nil"/>
              <w:left w:val="nil"/>
              <w:bottom w:val="nil"/>
              <w:right w:val="nil"/>
            </w:tcBorders>
          </w:tcPr>
          <w:p w14:paraId="5B9949BD" w14:textId="77777777" w:rsidR="000104F2" w:rsidRPr="005F046F" w:rsidRDefault="000104F2" w:rsidP="00565F8F">
            <w:pPr>
              <w:pStyle w:val="Normal6a"/>
            </w:pPr>
          </w:p>
        </w:tc>
        <w:tc>
          <w:tcPr>
            <w:tcW w:w="4876" w:type="dxa"/>
            <w:tcBorders>
              <w:top w:val="nil"/>
              <w:left w:val="nil"/>
              <w:bottom w:val="nil"/>
              <w:right w:val="nil"/>
            </w:tcBorders>
          </w:tcPr>
          <w:p w14:paraId="22AECBA7" w14:textId="77777777" w:rsidR="000104F2" w:rsidRPr="005F046F" w:rsidRDefault="000104F2" w:rsidP="00565F8F">
            <w:pPr>
              <w:pStyle w:val="Normal6a"/>
            </w:pPr>
            <w:r w:rsidRPr="005F046F">
              <w:rPr>
                <w:b/>
                <w:i/>
              </w:rPr>
              <w:t>Ha.</w:t>
            </w:r>
            <w:r w:rsidRPr="005F046F">
              <w:tab/>
            </w:r>
            <w:r w:rsidRPr="005F046F">
              <w:rPr>
                <w:b/>
                <w:i/>
              </w:rPr>
              <w:t>mivel számos tagállamban a politikai beszivárgás aggasztó jelenségére hívták fel a figyelmet; kéri a Bizottságot, hogy a lehető legnagyobb éberséggel járjon el, és vezesse be a szükséges ellenőrzéseket annak biztosítása érdekében, hogy az uniós pénzeszközök ne ösztönözzék vagy támogassák közvetve az ilyen törekvéseket, amelyek ellentétesek az Európai Unió által fenntartott értékekkel;</w:t>
            </w:r>
          </w:p>
        </w:tc>
      </w:tr>
    </w:tbl>
    <w:p w14:paraId="4E87C637"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9CC09D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CC3EEC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3ACD6C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8B8AC3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FB3BA0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CF4AF0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L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048F61E" w14:textId="77777777" w:rsidTr="00565F8F">
        <w:trPr>
          <w:trHeight w:hRule="exact" w:val="240"/>
          <w:jc w:val="center"/>
        </w:trPr>
        <w:tc>
          <w:tcPr>
            <w:tcW w:w="9752" w:type="dxa"/>
            <w:gridSpan w:val="2"/>
            <w:tcBorders>
              <w:top w:val="nil"/>
              <w:left w:val="nil"/>
              <w:bottom w:val="nil"/>
              <w:right w:val="nil"/>
            </w:tcBorders>
          </w:tcPr>
          <w:p w14:paraId="31EA9AFF" w14:textId="77777777" w:rsidR="000104F2" w:rsidRPr="005F046F" w:rsidRDefault="000104F2" w:rsidP="00565F8F"/>
        </w:tc>
      </w:tr>
      <w:tr w:rsidR="006C656F" w:rsidRPr="005F046F" w14:paraId="53E7E687" w14:textId="77777777" w:rsidTr="00565F8F">
        <w:trPr>
          <w:trHeight w:val="240"/>
          <w:jc w:val="center"/>
        </w:trPr>
        <w:tc>
          <w:tcPr>
            <w:tcW w:w="4876" w:type="dxa"/>
            <w:tcBorders>
              <w:top w:val="nil"/>
              <w:left w:val="nil"/>
              <w:bottom w:val="nil"/>
              <w:right w:val="nil"/>
            </w:tcBorders>
          </w:tcPr>
          <w:p w14:paraId="5A16895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D9F50B4" w14:textId="77777777" w:rsidR="000104F2" w:rsidRPr="005F046F" w:rsidRDefault="000104F2" w:rsidP="00565F8F">
            <w:pPr>
              <w:pStyle w:val="AmColumnHeading"/>
            </w:pPr>
            <w:r w:rsidRPr="005F046F">
              <w:t>Módosítás</w:t>
            </w:r>
          </w:p>
        </w:tc>
      </w:tr>
      <w:tr w:rsidR="006C656F" w:rsidRPr="005F046F" w14:paraId="41F98CAD" w14:textId="77777777" w:rsidTr="00565F8F">
        <w:trPr>
          <w:jc w:val="center"/>
        </w:trPr>
        <w:tc>
          <w:tcPr>
            <w:tcW w:w="4876" w:type="dxa"/>
            <w:tcBorders>
              <w:top w:val="nil"/>
              <w:left w:val="nil"/>
              <w:bottom w:val="nil"/>
              <w:right w:val="nil"/>
            </w:tcBorders>
          </w:tcPr>
          <w:p w14:paraId="02839A6B" w14:textId="77777777" w:rsidR="000104F2" w:rsidRPr="005F046F" w:rsidRDefault="000104F2" w:rsidP="00565F8F">
            <w:pPr>
              <w:pStyle w:val="Normal6a"/>
            </w:pPr>
            <w:r w:rsidRPr="005F046F">
              <w:t>L.</w:t>
            </w:r>
            <w:r w:rsidRPr="005F046F">
              <w:tab/>
              <w:t xml:space="preserve">mivel </w:t>
            </w:r>
            <w:r w:rsidRPr="005F046F">
              <w:rPr>
                <w:b/>
                <w:bCs/>
                <w:i/>
                <w:iCs/>
              </w:rPr>
              <w:t>a jelenlegi ellenőrzési adatbázisokban nem</w:t>
            </w:r>
            <w:r w:rsidRPr="005F046F">
              <w:t xml:space="preserve"> számolnak be </w:t>
            </w:r>
            <w:r w:rsidRPr="005F046F">
              <w:rPr>
                <w:b/>
                <w:bCs/>
                <w:i/>
                <w:iCs/>
              </w:rPr>
              <w:t>megfelelően és teljes körűen</w:t>
            </w:r>
            <w:r w:rsidRPr="005F046F">
              <w:t xml:space="preserve"> az összeférhetetlenségekről; mivel az összeférhetetlenségek nagy figyelmet érdemelnek, mivel komoly fenyegetést jelentenek az intézmények és a támogató hatóságok hitelességére nézve, és sértik az adófizetők bizalmát;</w:t>
            </w:r>
          </w:p>
        </w:tc>
        <w:tc>
          <w:tcPr>
            <w:tcW w:w="4876" w:type="dxa"/>
            <w:tcBorders>
              <w:top w:val="nil"/>
              <w:left w:val="nil"/>
              <w:bottom w:val="nil"/>
              <w:right w:val="nil"/>
            </w:tcBorders>
          </w:tcPr>
          <w:p w14:paraId="0DC7B864" w14:textId="77777777" w:rsidR="000104F2" w:rsidRPr="005F046F" w:rsidRDefault="000104F2" w:rsidP="00565F8F">
            <w:pPr>
              <w:pStyle w:val="Normal6a"/>
            </w:pPr>
            <w:r w:rsidRPr="005F046F">
              <w:t>L.</w:t>
            </w:r>
            <w:r w:rsidRPr="005F046F">
              <w:tab/>
              <w:t xml:space="preserve">mivel </w:t>
            </w:r>
            <w:r w:rsidRPr="005F046F">
              <w:rPr>
                <w:b/>
                <w:bCs/>
                <w:i/>
                <w:iCs/>
              </w:rPr>
              <w:t>a szabálytalanságkezelő rendszeren keresztül ugyan</w:t>
            </w:r>
            <w:r w:rsidRPr="005F046F">
              <w:t xml:space="preserve"> számolnak be az összeférhetetlenségekről</w:t>
            </w:r>
            <w:r w:rsidRPr="005F046F">
              <w:rPr>
                <w:b/>
                <w:bCs/>
                <w:i/>
                <w:iCs/>
              </w:rPr>
              <w:t>, az adatok minősége és mennyisége azonban tagállamonként eltérő</w:t>
            </w:r>
            <w:r w:rsidRPr="005F046F">
              <w:t>; mivel az összeférhetetlenségek nagy figyelmet érdemelnek, mivel komoly fenyegetést jelentenek az intézmények és a támogató hatóságok hitelességére nézve, és sértik az adófizetők bizalmát;</w:t>
            </w:r>
          </w:p>
        </w:tc>
      </w:tr>
    </w:tbl>
    <w:p w14:paraId="1D96AA1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8089ECF"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90378D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53FFD6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Céline </w:t>
      </w:r>
      <w:proofErr w:type="spellStart"/>
      <w:r w:rsidRPr="005F046F">
        <w:t>Imart</w:t>
      </w:r>
      <w:proofErr w:type="spellEnd"/>
      <w:r w:rsidRPr="005F046F">
        <w:t xml:space="preserve">, </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2E9AA8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93F701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1BB9F4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L a preambulumbekezdés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9DB91B5" w14:textId="77777777" w:rsidTr="00565F8F">
        <w:trPr>
          <w:trHeight w:hRule="exact" w:val="240"/>
          <w:jc w:val="center"/>
        </w:trPr>
        <w:tc>
          <w:tcPr>
            <w:tcW w:w="9752" w:type="dxa"/>
            <w:gridSpan w:val="2"/>
            <w:tcBorders>
              <w:top w:val="nil"/>
              <w:left w:val="nil"/>
              <w:bottom w:val="nil"/>
              <w:right w:val="nil"/>
            </w:tcBorders>
          </w:tcPr>
          <w:p w14:paraId="75DA7C32" w14:textId="77777777" w:rsidR="000104F2" w:rsidRPr="005F046F" w:rsidRDefault="000104F2" w:rsidP="00565F8F"/>
        </w:tc>
      </w:tr>
      <w:tr w:rsidR="006C656F" w:rsidRPr="005F046F" w14:paraId="40877D33" w14:textId="77777777" w:rsidTr="00565F8F">
        <w:trPr>
          <w:trHeight w:val="240"/>
          <w:jc w:val="center"/>
        </w:trPr>
        <w:tc>
          <w:tcPr>
            <w:tcW w:w="4876" w:type="dxa"/>
            <w:tcBorders>
              <w:top w:val="nil"/>
              <w:left w:val="nil"/>
              <w:bottom w:val="nil"/>
              <w:right w:val="nil"/>
            </w:tcBorders>
          </w:tcPr>
          <w:p w14:paraId="5771BD3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174FFD6" w14:textId="77777777" w:rsidR="000104F2" w:rsidRPr="005F046F" w:rsidRDefault="000104F2" w:rsidP="00565F8F">
            <w:pPr>
              <w:pStyle w:val="AmColumnHeading"/>
            </w:pPr>
            <w:r w:rsidRPr="005F046F">
              <w:t>Módosítás</w:t>
            </w:r>
          </w:p>
        </w:tc>
      </w:tr>
      <w:tr w:rsidR="006C656F" w:rsidRPr="005F046F" w14:paraId="03DDBD79" w14:textId="77777777" w:rsidTr="00565F8F">
        <w:trPr>
          <w:jc w:val="center"/>
        </w:trPr>
        <w:tc>
          <w:tcPr>
            <w:tcW w:w="4876" w:type="dxa"/>
            <w:tcBorders>
              <w:top w:val="nil"/>
              <w:left w:val="nil"/>
              <w:bottom w:val="nil"/>
              <w:right w:val="nil"/>
            </w:tcBorders>
          </w:tcPr>
          <w:p w14:paraId="28DAD9CE" w14:textId="77777777" w:rsidR="000104F2" w:rsidRPr="005F046F" w:rsidRDefault="000104F2" w:rsidP="00565F8F">
            <w:pPr>
              <w:pStyle w:val="Normal6a"/>
            </w:pPr>
          </w:p>
        </w:tc>
        <w:tc>
          <w:tcPr>
            <w:tcW w:w="4876" w:type="dxa"/>
            <w:tcBorders>
              <w:top w:val="nil"/>
              <w:left w:val="nil"/>
              <w:bottom w:val="nil"/>
              <w:right w:val="nil"/>
            </w:tcBorders>
          </w:tcPr>
          <w:p w14:paraId="6EE28A3A" w14:textId="77777777" w:rsidR="000104F2" w:rsidRPr="005F046F" w:rsidRDefault="000104F2" w:rsidP="00565F8F">
            <w:pPr>
              <w:pStyle w:val="Normal6a"/>
            </w:pPr>
            <w:r w:rsidRPr="005F046F">
              <w:rPr>
                <w:b/>
                <w:i/>
              </w:rPr>
              <w:t>La.</w:t>
            </w:r>
            <w:r w:rsidRPr="005F046F">
              <w:tab/>
            </w:r>
            <w:r w:rsidRPr="005F046F">
              <w:rPr>
                <w:b/>
                <w:i/>
              </w:rPr>
              <w:t>mivel az európai források nem kormányzati szervezetek általi elosztásának átláthatósága elengedhetetlen a közforrásokkal való hatékony és eredményes gazdálkodás biztosításához és az uniós döntéshozatali folyamat jogtalan befolyásolásának megelőzéséhez;</w:t>
            </w:r>
          </w:p>
        </w:tc>
      </w:tr>
    </w:tbl>
    <w:p w14:paraId="6CBA7BBC"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929BEA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704FAF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51C923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421787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17EB3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7A853D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M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B201B37" w14:textId="77777777" w:rsidTr="00565F8F">
        <w:trPr>
          <w:trHeight w:hRule="exact" w:val="240"/>
          <w:jc w:val="center"/>
        </w:trPr>
        <w:tc>
          <w:tcPr>
            <w:tcW w:w="9752" w:type="dxa"/>
            <w:gridSpan w:val="2"/>
            <w:tcBorders>
              <w:top w:val="nil"/>
              <w:left w:val="nil"/>
              <w:bottom w:val="nil"/>
              <w:right w:val="nil"/>
            </w:tcBorders>
          </w:tcPr>
          <w:p w14:paraId="2FA5EA73" w14:textId="77777777" w:rsidR="000104F2" w:rsidRPr="005F046F" w:rsidRDefault="000104F2" w:rsidP="00565F8F"/>
        </w:tc>
      </w:tr>
      <w:tr w:rsidR="006C656F" w:rsidRPr="005F046F" w14:paraId="1DCA2B6C" w14:textId="77777777" w:rsidTr="00565F8F">
        <w:trPr>
          <w:trHeight w:val="240"/>
          <w:jc w:val="center"/>
        </w:trPr>
        <w:tc>
          <w:tcPr>
            <w:tcW w:w="4876" w:type="dxa"/>
            <w:tcBorders>
              <w:top w:val="nil"/>
              <w:left w:val="nil"/>
              <w:bottom w:val="nil"/>
              <w:right w:val="nil"/>
            </w:tcBorders>
          </w:tcPr>
          <w:p w14:paraId="69C0D3D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58C98AF" w14:textId="77777777" w:rsidR="000104F2" w:rsidRPr="005F046F" w:rsidRDefault="000104F2" w:rsidP="00565F8F">
            <w:pPr>
              <w:pStyle w:val="AmColumnHeading"/>
            </w:pPr>
            <w:r w:rsidRPr="005F046F">
              <w:t>Módosítás</w:t>
            </w:r>
          </w:p>
        </w:tc>
      </w:tr>
      <w:tr w:rsidR="006C656F" w:rsidRPr="005F046F" w14:paraId="161FBE3E" w14:textId="77777777" w:rsidTr="00565F8F">
        <w:trPr>
          <w:jc w:val="center"/>
        </w:trPr>
        <w:tc>
          <w:tcPr>
            <w:tcW w:w="4876" w:type="dxa"/>
            <w:tcBorders>
              <w:top w:val="nil"/>
              <w:left w:val="nil"/>
              <w:bottom w:val="nil"/>
              <w:right w:val="nil"/>
            </w:tcBorders>
          </w:tcPr>
          <w:p w14:paraId="6FF08A66" w14:textId="77777777" w:rsidR="000104F2" w:rsidRPr="005F046F" w:rsidRDefault="000104F2" w:rsidP="00565F8F">
            <w:pPr>
              <w:pStyle w:val="Normal6a"/>
            </w:pPr>
            <w:r w:rsidRPr="005F046F">
              <w:t>M.</w:t>
            </w:r>
            <w:r w:rsidRPr="005F046F">
              <w:tab/>
              <w:t xml:space="preserve">mivel az Unió pénzügyi érdekeinek védelmét teljes mértékben be kell építeni az EU valamennyi külső fellépési eszközébe, </w:t>
            </w:r>
            <w:r w:rsidRPr="005F046F">
              <w:rPr>
                <w:b/>
                <w:bCs/>
                <w:i/>
                <w:iCs/>
              </w:rPr>
              <w:t>mivel a nem uniós országoknak nyújtott pénzügyi támogatás a közvetlen irányításhoz képest eredendően növeli a csalás, a hűtlen kezelés és a pénzeszközökkel való visszaélés kockázatát,</w:t>
            </w:r>
            <w:r w:rsidRPr="005F046F">
              <w:t xml:space="preserve"> és </w:t>
            </w:r>
            <w:r w:rsidRPr="005F046F">
              <w:rPr>
                <w:b/>
                <w:bCs/>
                <w:i/>
                <w:iCs/>
              </w:rPr>
              <w:t>ezért</w:t>
            </w:r>
            <w:r w:rsidRPr="005F046F">
              <w:t xml:space="preserve"> azt az uniós források következetes felhasználását biztosító szilárd </w:t>
            </w:r>
            <w:proofErr w:type="spellStart"/>
            <w:r w:rsidRPr="005F046F">
              <w:t>védintézkedéseknek</w:t>
            </w:r>
            <w:proofErr w:type="spellEnd"/>
            <w:r w:rsidRPr="005F046F">
              <w:t>, valamint olyan mechanizmusoknak kell kísérniük, amelyek az esetleges jogsértések megelőzése, feltárása és korrekciója érdekében mindenkor lehetővé teszik a védelmi beavatkozásokat;</w:t>
            </w:r>
          </w:p>
        </w:tc>
        <w:tc>
          <w:tcPr>
            <w:tcW w:w="4876" w:type="dxa"/>
            <w:tcBorders>
              <w:top w:val="nil"/>
              <w:left w:val="nil"/>
              <w:bottom w:val="nil"/>
              <w:right w:val="nil"/>
            </w:tcBorders>
          </w:tcPr>
          <w:p w14:paraId="79FA65C9" w14:textId="77777777" w:rsidR="000104F2" w:rsidRPr="005F046F" w:rsidRDefault="000104F2" w:rsidP="00565F8F">
            <w:pPr>
              <w:pStyle w:val="Normal6a"/>
            </w:pPr>
            <w:r w:rsidRPr="005F046F">
              <w:t>M.</w:t>
            </w:r>
            <w:r w:rsidRPr="005F046F">
              <w:tab/>
              <w:t xml:space="preserve">mivel az Unió pénzügyi érdekeinek védelmét teljes mértékben be kell építeni az EU valamennyi külső fellépési eszközébe, és azt az uniós források következetes felhasználását biztosító szilárd </w:t>
            </w:r>
            <w:proofErr w:type="spellStart"/>
            <w:r w:rsidRPr="005F046F">
              <w:t>védintézkedéseknek</w:t>
            </w:r>
            <w:proofErr w:type="spellEnd"/>
            <w:r w:rsidRPr="005F046F">
              <w:t>, valamint olyan mechanizmusoknak kell kísérniük, amelyek az esetleges jogsértések megelőzése, feltárása és korrekciója érdekében mindenkor lehetővé teszik a védelmi beavatkozásokat;</w:t>
            </w:r>
          </w:p>
        </w:tc>
      </w:tr>
    </w:tbl>
    <w:p w14:paraId="5AD20B7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70FB8B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E273B1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212796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Céline </w:t>
      </w:r>
      <w:proofErr w:type="spellStart"/>
      <w:r w:rsidRPr="005F046F">
        <w:t>Imart</w:t>
      </w:r>
      <w:proofErr w:type="spellEnd"/>
      <w:r w:rsidRPr="005F046F">
        <w:t xml:space="preserve">, </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9C8706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98C452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544E18C"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Article</w:t>
      </w:r>
      <w:proofErr w:type="spellEnd"/>
      <w:r w:rsidRPr="005F046F">
        <w:rPr>
          <w:rStyle w:val="HideTWBExt"/>
          <w:color w:val="auto"/>
        </w:rPr>
        <w:t>&gt;</w:t>
      </w:r>
      <w:r w:rsidRPr="005F046F">
        <w:t>M preambulumbekezdés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96E8271" w14:textId="77777777" w:rsidTr="00565F8F">
        <w:trPr>
          <w:trHeight w:hRule="exact" w:val="240"/>
          <w:jc w:val="center"/>
        </w:trPr>
        <w:tc>
          <w:tcPr>
            <w:tcW w:w="9752" w:type="dxa"/>
            <w:gridSpan w:val="2"/>
            <w:tcBorders>
              <w:top w:val="nil"/>
              <w:left w:val="nil"/>
              <w:bottom w:val="nil"/>
              <w:right w:val="nil"/>
            </w:tcBorders>
          </w:tcPr>
          <w:p w14:paraId="7E8D9A89" w14:textId="77777777" w:rsidR="000104F2" w:rsidRPr="005F046F" w:rsidRDefault="000104F2" w:rsidP="00565F8F"/>
        </w:tc>
      </w:tr>
      <w:tr w:rsidR="006C656F" w:rsidRPr="005F046F" w14:paraId="4D8A8C60" w14:textId="77777777" w:rsidTr="00565F8F">
        <w:trPr>
          <w:trHeight w:val="240"/>
          <w:jc w:val="center"/>
        </w:trPr>
        <w:tc>
          <w:tcPr>
            <w:tcW w:w="4876" w:type="dxa"/>
            <w:tcBorders>
              <w:top w:val="nil"/>
              <w:left w:val="nil"/>
              <w:bottom w:val="nil"/>
              <w:right w:val="nil"/>
            </w:tcBorders>
          </w:tcPr>
          <w:p w14:paraId="3F8EE88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87AE405" w14:textId="77777777" w:rsidR="000104F2" w:rsidRPr="005F046F" w:rsidRDefault="000104F2" w:rsidP="00565F8F">
            <w:pPr>
              <w:pStyle w:val="AmColumnHeading"/>
            </w:pPr>
            <w:r w:rsidRPr="005F046F">
              <w:t>Módosítás</w:t>
            </w:r>
          </w:p>
        </w:tc>
      </w:tr>
      <w:tr w:rsidR="006C656F" w:rsidRPr="005F046F" w14:paraId="093D1305" w14:textId="77777777" w:rsidTr="00565F8F">
        <w:trPr>
          <w:jc w:val="center"/>
        </w:trPr>
        <w:tc>
          <w:tcPr>
            <w:tcW w:w="4876" w:type="dxa"/>
            <w:tcBorders>
              <w:top w:val="nil"/>
              <w:left w:val="nil"/>
              <w:bottom w:val="nil"/>
              <w:right w:val="nil"/>
            </w:tcBorders>
          </w:tcPr>
          <w:p w14:paraId="573822AE" w14:textId="77777777" w:rsidR="000104F2" w:rsidRPr="005F046F" w:rsidRDefault="000104F2" w:rsidP="00565F8F">
            <w:pPr>
              <w:pStyle w:val="Normal6a"/>
            </w:pPr>
            <w:r w:rsidRPr="005F046F">
              <w:t>M.</w:t>
            </w:r>
            <w:r w:rsidRPr="005F046F">
              <w:tab/>
              <w:t xml:space="preserve">mivel az Unió pénzügyi érdekeinek védelmét teljes mértékben be kell építeni az EU valamennyi külső fellépési eszközébe, mivel a nem uniós országoknak nyújtott pénzügyi támogatás a közvetlen irányításhoz képest eredendően növeli a csalás, a hűtlen kezelés és a pénzeszközökkel való visszaélés kockázatát, és ezért azt az uniós források következetes felhasználását biztosító szilárd </w:t>
            </w:r>
            <w:proofErr w:type="spellStart"/>
            <w:r w:rsidRPr="005F046F">
              <w:t>védintézkedéseknek</w:t>
            </w:r>
            <w:proofErr w:type="spellEnd"/>
            <w:r w:rsidRPr="005F046F">
              <w:t xml:space="preserve">, valamint olyan mechanizmusoknak kell kísérniük, amelyek </w:t>
            </w:r>
            <w:r w:rsidRPr="005F046F">
              <w:rPr>
                <w:b/>
                <w:bCs/>
                <w:i/>
                <w:iCs/>
              </w:rPr>
              <w:t>az</w:t>
            </w:r>
            <w:r w:rsidRPr="005F046F">
              <w:t xml:space="preserve"> esetleges </w:t>
            </w:r>
            <w:r w:rsidRPr="005F046F">
              <w:rPr>
                <w:b/>
                <w:bCs/>
                <w:i/>
                <w:iCs/>
              </w:rPr>
              <w:t>jogsértések</w:t>
            </w:r>
            <w:r w:rsidRPr="005F046F">
              <w:t xml:space="preserve"> megelőzése, feltárása és korrekciója érdekében mindenkor lehetővé teszik a védelmi beavatkozásokat;</w:t>
            </w:r>
          </w:p>
        </w:tc>
        <w:tc>
          <w:tcPr>
            <w:tcW w:w="4876" w:type="dxa"/>
            <w:tcBorders>
              <w:top w:val="nil"/>
              <w:left w:val="nil"/>
              <w:bottom w:val="nil"/>
              <w:right w:val="nil"/>
            </w:tcBorders>
          </w:tcPr>
          <w:p w14:paraId="1F9744F4" w14:textId="77777777" w:rsidR="000104F2" w:rsidRPr="005F046F" w:rsidRDefault="000104F2" w:rsidP="00565F8F">
            <w:pPr>
              <w:pStyle w:val="Normal6a"/>
            </w:pPr>
            <w:r w:rsidRPr="005F046F">
              <w:t>M.</w:t>
            </w:r>
            <w:r w:rsidRPr="005F046F">
              <w:tab/>
              <w:t xml:space="preserve">mivel az Unió pénzügyi érdekeinek védelmét teljes mértékben be kell építeni az EU valamennyi külső fellépési eszközébe, mivel a nem uniós országoknak nyújtott pénzügyi támogatás a közvetlen irányításhoz képest eredendően növeli a csalás, a hűtlen kezelés és a pénzeszközökkel való visszaélés kockázatát, és ezért azt az uniós források következetes felhasználását biztosító szilárd </w:t>
            </w:r>
            <w:proofErr w:type="spellStart"/>
            <w:r w:rsidRPr="005F046F">
              <w:t>védintézkedéseknek</w:t>
            </w:r>
            <w:proofErr w:type="spellEnd"/>
            <w:r w:rsidRPr="005F046F">
              <w:t xml:space="preserve">, valamint olyan mechanizmusoknak kell kísérniük, amelyek </w:t>
            </w:r>
            <w:r w:rsidRPr="005F046F">
              <w:rPr>
                <w:b/>
                <w:bCs/>
                <w:i/>
                <w:iCs/>
              </w:rPr>
              <w:t>a jogállamiság</w:t>
            </w:r>
            <w:r w:rsidRPr="005F046F">
              <w:t xml:space="preserve"> esetleges </w:t>
            </w:r>
            <w:r w:rsidRPr="005F046F">
              <w:rPr>
                <w:b/>
                <w:bCs/>
                <w:i/>
                <w:iCs/>
              </w:rPr>
              <w:t>megsértésének vagy a politikai beszivárgási kísérleteknek a</w:t>
            </w:r>
            <w:r w:rsidRPr="005F046F">
              <w:t xml:space="preserve"> megelőzése, feltárása és korrekciója érdekében mindenkor lehetővé teszik a védelmi beavatkozásokat;</w:t>
            </w:r>
          </w:p>
        </w:tc>
      </w:tr>
    </w:tbl>
    <w:p w14:paraId="070F5A25"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302012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DE7E2B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3F2390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82057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D17F30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AD437A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1CC983C" w14:textId="77777777" w:rsidTr="00565F8F">
        <w:trPr>
          <w:trHeight w:hRule="exact" w:val="240"/>
          <w:jc w:val="center"/>
        </w:trPr>
        <w:tc>
          <w:tcPr>
            <w:tcW w:w="9752" w:type="dxa"/>
            <w:gridSpan w:val="2"/>
            <w:tcBorders>
              <w:top w:val="nil"/>
              <w:left w:val="nil"/>
              <w:bottom w:val="nil"/>
              <w:right w:val="nil"/>
            </w:tcBorders>
          </w:tcPr>
          <w:p w14:paraId="6A68CEA6" w14:textId="77777777" w:rsidR="000104F2" w:rsidRPr="005F046F" w:rsidRDefault="000104F2" w:rsidP="00565F8F"/>
        </w:tc>
      </w:tr>
      <w:tr w:rsidR="006C656F" w:rsidRPr="005F046F" w14:paraId="2E79CA39" w14:textId="77777777" w:rsidTr="00565F8F">
        <w:trPr>
          <w:trHeight w:val="240"/>
          <w:jc w:val="center"/>
        </w:trPr>
        <w:tc>
          <w:tcPr>
            <w:tcW w:w="4876" w:type="dxa"/>
            <w:tcBorders>
              <w:top w:val="nil"/>
              <w:left w:val="nil"/>
              <w:bottom w:val="nil"/>
              <w:right w:val="nil"/>
            </w:tcBorders>
          </w:tcPr>
          <w:p w14:paraId="30F91F2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02CB71D" w14:textId="77777777" w:rsidR="000104F2" w:rsidRPr="005F046F" w:rsidRDefault="000104F2" w:rsidP="00565F8F">
            <w:pPr>
              <w:pStyle w:val="AmColumnHeading"/>
            </w:pPr>
            <w:r w:rsidRPr="005F046F">
              <w:t>Módosítás</w:t>
            </w:r>
          </w:p>
        </w:tc>
      </w:tr>
      <w:tr w:rsidR="006C656F" w:rsidRPr="005F046F" w14:paraId="29E53C8B" w14:textId="77777777" w:rsidTr="00565F8F">
        <w:trPr>
          <w:jc w:val="center"/>
        </w:trPr>
        <w:tc>
          <w:tcPr>
            <w:tcW w:w="4876" w:type="dxa"/>
            <w:tcBorders>
              <w:top w:val="nil"/>
              <w:left w:val="nil"/>
              <w:bottom w:val="nil"/>
              <w:right w:val="nil"/>
            </w:tcBorders>
          </w:tcPr>
          <w:p w14:paraId="114FBBC2" w14:textId="77777777" w:rsidR="000104F2" w:rsidRPr="005F046F" w:rsidRDefault="000104F2" w:rsidP="00565F8F">
            <w:pPr>
              <w:pStyle w:val="Normal6a"/>
            </w:pPr>
            <w:r w:rsidRPr="005F046F">
              <w:t>1.</w:t>
            </w:r>
            <w:r w:rsidRPr="005F046F">
              <w:tab/>
              <w:t xml:space="preserve">tudomásul veszi a 2024. évi PIF-jelentést, támogatja annak négy ajánlását, ugyanakkor </w:t>
            </w:r>
            <w:r w:rsidRPr="005F046F">
              <w:rPr>
                <w:b/>
                <w:bCs/>
                <w:i/>
                <w:iCs/>
              </w:rPr>
              <w:t>úgy véli, hogy azok</w:t>
            </w:r>
            <w:r w:rsidRPr="005F046F">
              <w:t xml:space="preserve"> nem kellően </w:t>
            </w:r>
            <w:proofErr w:type="spellStart"/>
            <w:r w:rsidRPr="005F046F">
              <w:t>ambiciózusak</w:t>
            </w:r>
            <w:proofErr w:type="spellEnd"/>
            <w:r w:rsidRPr="005F046F">
              <w:t xml:space="preserve">, különösen az átláthatóság és </w:t>
            </w:r>
            <w:r w:rsidRPr="005F046F">
              <w:rPr>
                <w:b/>
                <w:bCs/>
                <w:i/>
                <w:iCs/>
              </w:rPr>
              <w:t>azon eszközök</w:t>
            </w:r>
            <w:r w:rsidRPr="005F046F">
              <w:t xml:space="preserve"> tekintetében, </w:t>
            </w:r>
            <w:r w:rsidRPr="005F046F">
              <w:rPr>
                <w:b/>
                <w:bCs/>
                <w:i/>
                <w:iCs/>
              </w:rPr>
              <w:t>amelyek révén</w:t>
            </w:r>
            <w:r w:rsidRPr="005F046F">
              <w:t xml:space="preserve"> a </w:t>
            </w:r>
            <w:r w:rsidRPr="005F046F">
              <w:rPr>
                <w:b/>
                <w:bCs/>
                <w:i/>
                <w:iCs/>
              </w:rPr>
              <w:t>polgárok</w:t>
            </w:r>
            <w:r w:rsidRPr="005F046F">
              <w:t xml:space="preserve"> és választott </w:t>
            </w:r>
            <w:r w:rsidRPr="005F046F">
              <w:rPr>
                <w:b/>
                <w:bCs/>
                <w:i/>
                <w:iCs/>
              </w:rPr>
              <w:t xml:space="preserve">képviselőik </w:t>
            </w:r>
            <w:r w:rsidRPr="005F046F">
              <w:t xml:space="preserve">nyomon </w:t>
            </w:r>
            <w:r w:rsidRPr="005F046F">
              <w:rPr>
                <w:b/>
                <w:bCs/>
                <w:i/>
                <w:iCs/>
              </w:rPr>
              <w:t>követhetik a</w:t>
            </w:r>
            <w:r w:rsidRPr="005F046F">
              <w:t xml:space="preserve"> források felhasználását, </w:t>
            </w:r>
            <w:r w:rsidRPr="005F046F">
              <w:rPr>
                <w:b/>
                <w:bCs/>
                <w:i/>
                <w:iCs/>
              </w:rPr>
              <w:t>mivel</w:t>
            </w:r>
            <w:r w:rsidRPr="005F046F">
              <w:t xml:space="preserve"> az éves </w:t>
            </w:r>
            <w:r w:rsidRPr="005F046F">
              <w:rPr>
                <w:b/>
                <w:bCs/>
                <w:i/>
                <w:iCs/>
              </w:rPr>
              <w:t>jelentések önmagukban</w:t>
            </w:r>
            <w:r w:rsidRPr="005F046F">
              <w:t xml:space="preserve"> csak részleges </w:t>
            </w:r>
            <w:r w:rsidRPr="005F046F">
              <w:rPr>
                <w:b/>
                <w:bCs/>
                <w:i/>
                <w:iCs/>
              </w:rPr>
              <w:t>és szűrt</w:t>
            </w:r>
            <w:r w:rsidRPr="005F046F">
              <w:t xml:space="preserve"> áttekintést </w:t>
            </w:r>
            <w:r w:rsidRPr="005F046F">
              <w:rPr>
                <w:b/>
                <w:bCs/>
                <w:i/>
                <w:iCs/>
              </w:rPr>
              <w:t>nyújtanak</w:t>
            </w:r>
            <w:r w:rsidRPr="005F046F">
              <w:t xml:space="preserve"> a valódi problémákról;</w:t>
            </w:r>
          </w:p>
        </w:tc>
        <w:tc>
          <w:tcPr>
            <w:tcW w:w="4876" w:type="dxa"/>
            <w:tcBorders>
              <w:top w:val="nil"/>
              <w:left w:val="nil"/>
              <w:bottom w:val="nil"/>
              <w:right w:val="nil"/>
            </w:tcBorders>
          </w:tcPr>
          <w:p w14:paraId="3AE2CD28" w14:textId="77777777" w:rsidR="000104F2" w:rsidRPr="005F046F" w:rsidRDefault="000104F2" w:rsidP="00565F8F">
            <w:pPr>
              <w:pStyle w:val="Normal6a"/>
            </w:pPr>
            <w:r w:rsidRPr="005F046F">
              <w:t>1.</w:t>
            </w:r>
            <w:r w:rsidRPr="005F046F">
              <w:tab/>
              <w:t xml:space="preserve">tudomásul veszi a 2024. évi PIF-jelentést, </w:t>
            </w:r>
            <w:r w:rsidRPr="005F046F">
              <w:rPr>
                <w:b/>
                <w:bCs/>
                <w:i/>
                <w:iCs/>
              </w:rPr>
              <w:t>és</w:t>
            </w:r>
            <w:r w:rsidRPr="005F046F">
              <w:t xml:space="preserve"> támogatja annak négy ajánlását, ugyanakkor nem </w:t>
            </w:r>
            <w:r w:rsidRPr="005F046F">
              <w:rPr>
                <w:b/>
                <w:bCs/>
                <w:i/>
                <w:iCs/>
              </w:rPr>
              <w:t>tartja azokat</w:t>
            </w:r>
            <w:r w:rsidRPr="005F046F">
              <w:t xml:space="preserve"> kellően ambiciózusnak, különösen az átláthatóság és </w:t>
            </w:r>
            <w:r w:rsidRPr="005F046F">
              <w:rPr>
                <w:b/>
                <w:bCs/>
                <w:i/>
                <w:iCs/>
              </w:rPr>
              <w:t>az elszámoltathatóság</w:t>
            </w:r>
            <w:r w:rsidRPr="005F046F">
              <w:t xml:space="preserve"> tekintetében;</w:t>
            </w:r>
            <w:r w:rsidRPr="005F046F">
              <w:rPr>
                <w:b/>
                <w:i/>
              </w:rPr>
              <w:t xml:space="preserve"> </w:t>
            </w:r>
            <w:r w:rsidRPr="005F046F">
              <w:rPr>
                <w:b/>
                <w:bCs/>
                <w:i/>
                <w:iCs/>
              </w:rPr>
              <w:t>hangsúlyozza</w:t>
            </w:r>
            <w:r w:rsidRPr="005F046F">
              <w:t xml:space="preserve">, </w:t>
            </w:r>
            <w:r w:rsidRPr="005F046F">
              <w:rPr>
                <w:b/>
                <w:bCs/>
                <w:i/>
                <w:iCs/>
              </w:rPr>
              <w:t>hogy</w:t>
            </w:r>
            <w:r w:rsidRPr="005F046F">
              <w:t xml:space="preserve"> a </w:t>
            </w:r>
            <w:r w:rsidRPr="005F046F">
              <w:rPr>
                <w:b/>
                <w:bCs/>
                <w:i/>
                <w:iCs/>
              </w:rPr>
              <w:t>polgároknak</w:t>
            </w:r>
            <w:r w:rsidRPr="005F046F">
              <w:t xml:space="preserve"> és választott </w:t>
            </w:r>
            <w:r w:rsidRPr="005F046F">
              <w:rPr>
                <w:b/>
                <w:bCs/>
                <w:i/>
                <w:iCs/>
              </w:rPr>
              <w:t xml:space="preserve">képviselőiknek képesnek kell lenniük hatékonyan </w:t>
            </w:r>
            <w:r w:rsidRPr="005F046F">
              <w:t xml:space="preserve">nyomon </w:t>
            </w:r>
            <w:r w:rsidRPr="005F046F">
              <w:rPr>
                <w:b/>
                <w:bCs/>
                <w:i/>
                <w:iCs/>
              </w:rPr>
              <w:t>követni az uniós</w:t>
            </w:r>
            <w:r w:rsidRPr="005F046F">
              <w:t xml:space="preserve"> források felhasználását</w:t>
            </w:r>
            <w:r w:rsidRPr="005F046F">
              <w:rPr>
                <w:b/>
                <w:bCs/>
                <w:i/>
                <w:iCs/>
              </w:rPr>
              <w:t>;</w:t>
            </w:r>
            <w:r w:rsidRPr="005F046F">
              <w:rPr>
                <w:b/>
                <w:i/>
              </w:rPr>
              <w:t xml:space="preserve"> </w:t>
            </w:r>
            <w:r w:rsidRPr="005F046F">
              <w:rPr>
                <w:b/>
                <w:bCs/>
                <w:i/>
                <w:iCs/>
              </w:rPr>
              <w:t>megjegyzi</w:t>
            </w:r>
            <w:r w:rsidRPr="005F046F">
              <w:t xml:space="preserve">, </w:t>
            </w:r>
            <w:r w:rsidRPr="005F046F">
              <w:rPr>
                <w:b/>
                <w:bCs/>
                <w:i/>
                <w:iCs/>
              </w:rPr>
              <w:t>hogy</w:t>
            </w:r>
            <w:r w:rsidRPr="005F046F">
              <w:t xml:space="preserve"> az éves</w:t>
            </w:r>
            <w:r w:rsidRPr="005F046F">
              <w:rPr>
                <w:b/>
                <w:bCs/>
                <w:i/>
                <w:iCs/>
              </w:rPr>
              <w:t xml:space="preserve"> jelentéstétel önmagában</w:t>
            </w:r>
            <w:r w:rsidRPr="005F046F">
              <w:t xml:space="preserve"> csak részleges áttekintést </w:t>
            </w:r>
            <w:r w:rsidRPr="005F046F">
              <w:rPr>
                <w:b/>
                <w:bCs/>
                <w:i/>
                <w:iCs/>
              </w:rPr>
              <w:t>nyújt</w:t>
            </w:r>
            <w:r w:rsidRPr="005F046F">
              <w:t xml:space="preserve"> a valódi problémákról;</w:t>
            </w:r>
          </w:p>
        </w:tc>
      </w:tr>
    </w:tbl>
    <w:p w14:paraId="5A505F23"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85E95D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1328ED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B9E93D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D9B633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D3B392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40D9CF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0011D1E" w14:textId="77777777" w:rsidTr="00565F8F">
        <w:trPr>
          <w:trHeight w:hRule="exact" w:val="240"/>
          <w:jc w:val="center"/>
        </w:trPr>
        <w:tc>
          <w:tcPr>
            <w:tcW w:w="9752" w:type="dxa"/>
            <w:gridSpan w:val="2"/>
            <w:tcBorders>
              <w:top w:val="nil"/>
              <w:left w:val="nil"/>
              <w:bottom w:val="nil"/>
              <w:right w:val="nil"/>
            </w:tcBorders>
          </w:tcPr>
          <w:p w14:paraId="394C5261" w14:textId="77777777" w:rsidR="000104F2" w:rsidRPr="005F046F" w:rsidRDefault="000104F2" w:rsidP="00565F8F"/>
        </w:tc>
      </w:tr>
      <w:tr w:rsidR="006C656F" w:rsidRPr="005F046F" w14:paraId="5A6801CD" w14:textId="77777777" w:rsidTr="00565F8F">
        <w:trPr>
          <w:trHeight w:val="240"/>
          <w:jc w:val="center"/>
        </w:trPr>
        <w:tc>
          <w:tcPr>
            <w:tcW w:w="4876" w:type="dxa"/>
            <w:tcBorders>
              <w:top w:val="nil"/>
              <w:left w:val="nil"/>
              <w:bottom w:val="nil"/>
              <w:right w:val="nil"/>
            </w:tcBorders>
          </w:tcPr>
          <w:p w14:paraId="05C6E57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A5E9ADE" w14:textId="77777777" w:rsidR="000104F2" w:rsidRPr="005F046F" w:rsidRDefault="000104F2" w:rsidP="00565F8F">
            <w:pPr>
              <w:pStyle w:val="AmColumnHeading"/>
            </w:pPr>
            <w:r w:rsidRPr="005F046F">
              <w:t>Módosítás</w:t>
            </w:r>
          </w:p>
        </w:tc>
      </w:tr>
      <w:tr w:rsidR="006C656F" w:rsidRPr="005F046F" w14:paraId="53B0CE4C" w14:textId="77777777" w:rsidTr="00565F8F">
        <w:trPr>
          <w:jc w:val="center"/>
        </w:trPr>
        <w:tc>
          <w:tcPr>
            <w:tcW w:w="4876" w:type="dxa"/>
            <w:tcBorders>
              <w:top w:val="nil"/>
              <w:left w:val="nil"/>
              <w:bottom w:val="nil"/>
              <w:right w:val="nil"/>
            </w:tcBorders>
          </w:tcPr>
          <w:p w14:paraId="6319F66E" w14:textId="77777777" w:rsidR="000104F2" w:rsidRPr="005F046F" w:rsidRDefault="000104F2" w:rsidP="00565F8F">
            <w:pPr>
              <w:pStyle w:val="Normal6a"/>
            </w:pPr>
            <w:r w:rsidRPr="005F046F">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t>, különösen az átláthatóság és azon eszközök tekintetében, amelyek révén a polgárok és választott képviselőik nyomon követhetik a források felhasználását, mivel az éves jelentések önmagukban csak részleges és szűrt áttekintést nyújtanak a valódi problémákról;</w:t>
            </w:r>
          </w:p>
        </w:tc>
        <w:tc>
          <w:tcPr>
            <w:tcW w:w="4876" w:type="dxa"/>
            <w:tcBorders>
              <w:top w:val="nil"/>
              <w:left w:val="nil"/>
              <w:bottom w:val="nil"/>
              <w:right w:val="nil"/>
            </w:tcBorders>
          </w:tcPr>
          <w:p w14:paraId="760FB572" w14:textId="77777777" w:rsidR="000104F2" w:rsidRPr="005F046F" w:rsidRDefault="000104F2" w:rsidP="00565F8F">
            <w:pPr>
              <w:pStyle w:val="Normal6a"/>
            </w:pPr>
            <w:r w:rsidRPr="005F046F">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t xml:space="preserve">, különösen az átláthatóság és azon eszközök tekintetében, amelyek révén a polgárok és választott képviselőik nyomon követhetik a források felhasználását, mivel az éves jelentések önmagukban csak részleges és szűrt áttekintést nyújtanak a valódi problémákról; </w:t>
            </w:r>
            <w:r w:rsidRPr="005F046F">
              <w:rPr>
                <w:b/>
                <w:i/>
              </w:rPr>
              <w:t>hangsúlyozza, hogy a fokozott átláthatóság elengedhetetlen az ár-érték arány igazolásához, valamint annak biztosításához, hogy az uniós pénzeszközök kedvezően hatnak a gazdasági növekedésre és a versenyképességre;</w:t>
            </w:r>
          </w:p>
        </w:tc>
      </w:tr>
    </w:tbl>
    <w:p w14:paraId="40E72B6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F79CB1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3A3AAF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8E386F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BBCE65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8DDEEE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21DB9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D1BF641" w14:textId="77777777" w:rsidTr="00565F8F">
        <w:trPr>
          <w:trHeight w:hRule="exact" w:val="240"/>
          <w:jc w:val="center"/>
        </w:trPr>
        <w:tc>
          <w:tcPr>
            <w:tcW w:w="9752" w:type="dxa"/>
            <w:gridSpan w:val="2"/>
            <w:tcBorders>
              <w:top w:val="nil"/>
              <w:left w:val="nil"/>
              <w:bottom w:val="nil"/>
              <w:right w:val="nil"/>
            </w:tcBorders>
          </w:tcPr>
          <w:p w14:paraId="0EF2365B" w14:textId="77777777" w:rsidR="000104F2" w:rsidRPr="005F046F" w:rsidRDefault="000104F2" w:rsidP="00565F8F"/>
        </w:tc>
      </w:tr>
      <w:tr w:rsidR="006C656F" w:rsidRPr="005F046F" w14:paraId="638D1ECF" w14:textId="77777777" w:rsidTr="00565F8F">
        <w:trPr>
          <w:trHeight w:val="240"/>
          <w:jc w:val="center"/>
        </w:trPr>
        <w:tc>
          <w:tcPr>
            <w:tcW w:w="4876" w:type="dxa"/>
            <w:tcBorders>
              <w:top w:val="nil"/>
              <w:left w:val="nil"/>
              <w:bottom w:val="nil"/>
              <w:right w:val="nil"/>
            </w:tcBorders>
          </w:tcPr>
          <w:p w14:paraId="34C31A7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BDB3500" w14:textId="77777777" w:rsidR="000104F2" w:rsidRPr="005F046F" w:rsidRDefault="000104F2" w:rsidP="00565F8F">
            <w:pPr>
              <w:pStyle w:val="AmColumnHeading"/>
            </w:pPr>
            <w:r w:rsidRPr="005F046F">
              <w:t>Módosítás</w:t>
            </w:r>
          </w:p>
        </w:tc>
      </w:tr>
      <w:tr w:rsidR="006C656F" w:rsidRPr="005F046F" w14:paraId="66E8548B" w14:textId="77777777" w:rsidTr="00565F8F">
        <w:trPr>
          <w:jc w:val="center"/>
        </w:trPr>
        <w:tc>
          <w:tcPr>
            <w:tcW w:w="4876" w:type="dxa"/>
            <w:tcBorders>
              <w:top w:val="nil"/>
              <w:left w:val="nil"/>
              <w:bottom w:val="nil"/>
              <w:right w:val="nil"/>
            </w:tcBorders>
          </w:tcPr>
          <w:p w14:paraId="37E3D4ED" w14:textId="77777777" w:rsidR="000104F2" w:rsidRPr="005F046F" w:rsidRDefault="000104F2" w:rsidP="00565F8F">
            <w:pPr>
              <w:pStyle w:val="Normal6a"/>
            </w:pPr>
            <w:r w:rsidRPr="005F046F">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t xml:space="preserve">, </w:t>
            </w:r>
            <w:r w:rsidRPr="005F046F">
              <w:rPr>
                <w:b/>
                <w:bCs/>
                <w:i/>
                <w:iCs/>
              </w:rPr>
              <w:t>különösen</w:t>
            </w:r>
            <w:r w:rsidRPr="005F046F">
              <w:t xml:space="preserve"> az átláthatóság és</w:t>
            </w:r>
            <w:r w:rsidRPr="005F046F">
              <w:rPr>
                <w:b/>
                <w:bCs/>
                <w:i/>
                <w:iCs/>
              </w:rPr>
              <w:t xml:space="preserve"> azon eszközök tekintetében, amelyek révén a polgárok és választott képviselőik nyomon követhetik</w:t>
            </w:r>
            <w:r w:rsidRPr="005F046F">
              <w:t xml:space="preserve"> a források </w:t>
            </w:r>
            <w:r w:rsidRPr="005F046F">
              <w:lastRenderedPageBreak/>
              <w:t xml:space="preserve">felhasználását, </w:t>
            </w:r>
            <w:r w:rsidRPr="005F046F">
              <w:rPr>
                <w:b/>
                <w:bCs/>
                <w:i/>
                <w:iCs/>
              </w:rPr>
              <w:t>mivel</w:t>
            </w:r>
            <w:r w:rsidRPr="005F046F">
              <w:t xml:space="preserve"> az éves </w:t>
            </w:r>
            <w:r w:rsidRPr="005F046F">
              <w:rPr>
                <w:b/>
                <w:bCs/>
                <w:i/>
                <w:iCs/>
              </w:rPr>
              <w:t>jelentések önmagukban</w:t>
            </w:r>
            <w:r w:rsidRPr="005F046F">
              <w:t xml:space="preserve"> csak részleges </w:t>
            </w:r>
            <w:r w:rsidRPr="005F046F">
              <w:rPr>
                <w:b/>
                <w:bCs/>
                <w:i/>
                <w:iCs/>
              </w:rPr>
              <w:t>és szűrt</w:t>
            </w:r>
            <w:r w:rsidRPr="005F046F">
              <w:t xml:space="preserve"> áttekintést </w:t>
            </w:r>
            <w:r w:rsidRPr="005F046F">
              <w:rPr>
                <w:b/>
                <w:bCs/>
                <w:i/>
                <w:iCs/>
              </w:rPr>
              <w:t>nyújtanak a valódi problémákról</w:t>
            </w:r>
            <w:r w:rsidRPr="005F046F">
              <w:t>;</w:t>
            </w:r>
          </w:p>
        </w:tc>
        <w:tc>
          <w:tcPr>
            <w:tcW w:w="4876" w:type="dxa"/>
            <w:tcBorders>
              <w:top w:val="nil"/>
              <w:left w:val="nil"/>
              <w:bottom w:val="nil"/>
              <w:right w:val="nil"/>
            </w:tcBorders>
          </w:tcPr>
          <w:p w14:paraId="3A6C46E3" w14:textId="77777777" w:rsidR="000104F2" w:rsidRPr="005F046F" w:rsidRDefault="000104F2" w:rsidP="00565F8F">
            <w:pPr>
              <w:pStyle w:val="Normal6a"/>
            </w:pPr>
            <w:r w:rsidRPr="005F046F">
              <w:lastRenderedPageBreak/>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rPr>
                <w:b/>
                <w:i/>
              </w:rPr>
              <w:t xml:space="preserve">; </w:t>
            </w:r>
            <w:r w:rsidRPr="005F046F">
              <w:rPr>
                <w:b/>
                <w:bCs/>
                <w:i/>
                <w:iCs/>
              </w:rPr>
              <w:t>hangsúlyozza</w:t>
            </w:r>
            <w:r w:rsidRPr="005F046F">
              <w:t xml:space="preserve">, hogy </w:t>
            </w:r>
            <w:r w:rsidRPr="005F046F">
              <w:rPr>
                <w:b/>
                <w:bCs/>
                <w:i/>
                <w:iCs/>
              </w:rPr>
              <w:t>több erőfeszítést kell tenni</w:t>
            </w:r>
            <w:r w:rsidRPr="005F046F">
              <w:t xml:space="preserve"> az átláthatóság </w:t>
            </w:r>
            <w:r w:rsidRPr="005F046F">
              <w:rPr>
                <w:b/>
                <w:bCs/>
                <w:i/>
                <w:iCs/>
              </w:rPr>
              <w:t>növelése</w:t>
            </w:r>
            <w:r w:rsidRPr="005F046F">
              <w:t xml:space="preserve"> és </w:t>
            </w:r>
            <w:r w:rsidRPr="005F046F">
              <w:rPr>
                <w:b/>
                <w:bCs/>
                <w:i/>
                <w:iCs/>
              </w:rPr>
              <w:t xml:space="preserve">annak lehetővé tétele érdekében, hogy az e kérdésekre </w:t>
            </w:r>
            <w:r w:rsidRPr="005F046F">
              <w:rPr>
                <w:b/>
                <w:bCs/>
                <w:i/>
                <w:iCs/>
              </w:rPr>
              <w:lastRenderedPageBreak/>
              <w:t>összpontosító civil társadalmi és médiaszervezetek, valamint az Európai Parlament jobban ellenőrizhessék az uniós</w:t>
            </w:r>
            <w:r w:rsidRPr="005F046F">
              <w:t xml:space="preserve"> források felhasználását</w:t>
            </w:r>
            <w:r w:rsidRPr="005F046F">
              <w:rPr>
                <w:b/>
                <w:bCs/>
                <w:i/>
                <w:iCs/>
              </w:rPr>
              <w:t>;</w:t>
            </w:r>
            <w:r w:rsidRPr="005F046F">
              <w:rPr>
                <w:b/>
                <w:i/>
              </w:rPr>
              <w:t xml:space="preserve"> </w:t>
            </w:r>
            <w:r w:rsidRPr="005F046F">
              <w:rPr>
                <w:b/>
                <w:bCs/>
                <w:i/>
                <w:iCs/>
              </w:rPr>
              <w:t>úgy véli</w:t>
            </w:r>
            <w:r w:rsidRPr="005F046F">
              <w:t xml:space="preserve">, </w:t>
            </w:r>
            <w:r w:rsidRPr="005F046F">
              <w:rPr>
                <w:b/>
                <w:bCs/>
                <w:i/>
                <w:iCs/>
              </w:rPr>
              <w:t>hogy</w:t>
            </w:r>
            <w:r w:rsidRPr="005F046F">
              <w:t xml:space="preserve"> az éves</w:t>
            </w:r>
            <w:r w:rsidRPr="005F046F">
              <w:rPr>
                <w:b/>
                <w:bCs/>
                <w:i/>
                <w:iCs/>
              </w:rPr>
              <w:t xml:space="preserve"> jelentés fontos eszköz, amely azonban</w:t>
            </w:r>
            <w:r w:rsidRPr="005F046F">
              <w:t xml:space="preserve"> csak részleges áttekintést </w:t>
            </w:r>
            <w:r w:rsidRPr="005F046F">
              <w:rPr>
                <w:b/>
                <w:bCs/>
                <w:i/>
                <w:iCs/>
              </w:rPr>
              <w:t>nyújt az uniós finanszírozási rendszerek összetett összefüggéseiről, és nem tartalmazza az e kérdések kezeléséhez szükséges célzott elemzést</w:t>
            </w:r>
            <w:r w:rsidRPr="005F046F">
              <w:t>;</w:t>
            </w:r>
          </w:p>
        </w:tc>
      </w:tr>
    </w:tbl>
    <w:p w14:paraId="7A004FC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9018C1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1E53AE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21192F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740393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5E0D0C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CB5055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5C11B3F" w14:textId="77777777" w:rsidTr="00565F8F">
        <w:trPr>
          <w:trHeight w:hRule="exact" w:val="240"/>
          <w:jc w:val="center"/>
        </w:trPr>
        <w:tc>
          <w:tcPr>
            <w:tcW w:w="9752" w:type="dxa"/>
            <w:gridSpan w:val="2"/>
            <w:tcBorders>
              <w:top w:val="nil"/>
              <w:left w:val="nil"/>
              <w:bottom w:val="nil"/>
              <w:right w:val="nil"/>
            </w:tcBorders>
          </w:tcPr>
          <w:p w14:paraId="779A4E77" w14:textId="77777777" w:rsidR="000104F2" w:rsidRPr="005F046F" w:rsidRDefault="000104F2" w:rsidP="00565F8F"/>
        </w:tc>
      </w:tr>
      <w:tr w:rsidR="006C656F" w:rsidRPr="005F046F" w14:paraId="33446ABC" w14:textId="77777777" w:rsidTr="00565F8F">
        <w:trPr>
          <w:trHeight w:val="240"/>
          <w:jc w:val="center"/>
        </w:trPr>
        <w:tc>
          <w:tcPr>
            <w:tcW w:w="4876" w:type="dxa"/>
            <w:tcBorders>
              <w:top w:val="nil"/>
              <w:left w:val="nil"/>
              <w:bottom w:val="nil"/>
              <w:right w:val="nil"/>
            </w:tcBorders>
          </w:tcPr>
          <w:p w14:paraId="0C3F2F0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EFB2196" w14:textId="77777777" w:rsidR="000104F2" w:rsidRPr="005F046F" w:rsidRDefault="000104F2" w:rsidP="00565F8F">
            <w:pPr>
              <w:pStyle w:val="AmColumnHeading"/>
            </w:pPr>
            <w:r w:rsidRPr="005F046F">
              <w:t>Módosítás</w:t>
            </w:r>
          </w:p>
        </w:tc>
      </w:tr>
      <w:tr w:rsidR="006C656F" w:rsidRPr="005F046F" w14:paraId="75B742C7" w14:textId="77777777" w:rsidTr="00565F8F">
        <w:trPr>
          <w:jc w:val="center"/>
        </w:trPr>
        <w:tc>
          <w:tcPr>
            <w:tcW w:w="4876" w:type="dxa"/>
            <w:tcBorders>
              <w:top w:val="nil"/>
              <w:left w:val="nil"/>
              <w:bottom w:val="nil"/>
              <w:right w:val="nil"/>
            </w:tcBorders>
          </w:tcPr>
          <w:p w14:paraId="62BF6FDB" w14:textId="77777777" w:rsidR="000104F2" w:rsidRPr="005F046F" w:rsidRDefault="000104F2" w:rsidP="00565F8F">
            <w:pPr>
              <w:pStyle w:val="Normal6a"/>
            </w:pPr>
            <w:r w:rsidRPr="005F046F">
              <w:t>1.</w:t>
            </w:r>
            <w:r w:rsidRPr="005F046F">
              <w:tab/>
            </w:r>
            <w:r w:rsidRPr="005F046F">
              <w:rPr>
                <w:b/>
                <w:bCs/>
                <w:i/>
                <w:iCs/>
              </w:rPr>
              <w:t>tudomásul veszi</w:t>
            </w:r>
            <w:r w:rsidRPr="005F046F">
              <w:t xml:space="preserve"> a 2024. évi PIF-jelentést, támogatja annak </w:t>
            </w:r>
            <w:r w:rsidRPr="005F046F">
              <w:rPr>
                <w:b/>
                <w:bCs/>
                <w:i/>
                <w:iCs/>
              </w:rPr>
              <w:t>négy</w:t>
            </w:r>
            <w:r w:rsidRPr="005F046F">
              <w:t xml:space="preserve"> </w:t>
            </w:r>
            <w:r w:rsidRPr="005F046F">
              <w:rPr>
                <w:b/>
                <w:bCs/>
                <w:i/>
                <w:iCs/>
              </w:rPr>
              <w:t>ajánlását,</w:t>
            </w:r>
            <w:r w:rsidRPr="005F046F">
              <w:t xml:space="preserve"> </w:t>
            </w:r>
            <w:r w:rsidRPr="005F046F">
              <w:rPr>
                <w:b/>
                <w:bCs/>
                <w:i/>
                <w:iCs/>
              </w:rPr>
              <w:t>ugyanakkor úgy véli</w:t>
            </w:r>
            <w:r w:rsidRPr="005F046F">
              <w:t xml:space="preserve">, hogy </w:t>
            </w:r>
            <w:r w:rsidRPr="005F046F">
              <w:rPr>
                <w:b/>
                <w:bCs/>
                <w:i/>
                <w:iCs/>
              </w:rPr>
              <w:t xml:space="preserve">azok nem kellően </w:t>
            </w:r>
            <w:proofErr w:type="spellStart"/>
            <w:r w:rsidRPr="005F046F">
              <w:rPr>
                <w:b/>
                <w:bCs/>
                <w:i/>
                <w:iCs/>
              </w:rPr>
              <w:t>ambiciózusak</w:t>
            </w:r>
            <w:proofErr w:type="spellEnd"/>
            <w:r w:rsidRPr="005F046F">
              <w:rPr>
                <w:b/>
                <w:bCs/>
                <w:i/>
                <w:iCs/>
              </w:rPr>
              <w:t>, különösen</w:t>
            </w:r>
            <w:r w:rsidRPr="005F046F">
              <w:t xml:space="preserve"> az átláthatóság és </w:t>
            </w:r>
            <w:r w:rsidRPr="005F046F">
              <w:rPr>
                <w:b/>
                <w:bCs/>
                <w:i/>
                <w:iCs/>
              </w:rPr>
              <w:t>azon eszközök tekintetében, amelyek révén a polgárok és választott képviselőik nyomon követhetik a források felhasználását, mivel az éves jelentések önmagukban csak részleges és szűrt áttekintést nyújtanak a valódi problémákról</w:t>
            </w:r>
            <w:r w:rsidRPr="005F046F">
              <w:t>;</w:t>
            </w:r>
          </w:p>
        </w:tc>
        <w:tc>
          <w:tcPr>
            <w:tcW w:w="4876" w:type="dxa"/>
            <w:tcBorders>
              <w:top w:val="nil"/>
              <w:left w:val="nil"/>
              <w:bottom w:val="nil"/>
              <w:right w:val="nil"/>
            </w:tcBorders>
          </w:tcPr>
          <w:p w14:paraId="65332249" w14:textId="77777777" w:rsidR="000104F2" w:rsidRPr="005F046F" w:rsidRDefault="000104F2" w:rsidP="00565F8F">
            <w:pPr>
              <w:pStyle w:val="Normal6a"/>
            </w:pPr>
            <w:r w:rsidRPr="005F046F">
              <w:t>1.</w:t>
            </w:r>
            <w:r w:rsidRPr="005F046F">
              <w:tab/>
            </w:r>
            <w:r w:rsidRPr="005F046F">
              <w:rPr>
                <w:b/>
                <w:bCs/>
                <w:i/>
                <w:iCs/>
              </w:rPr>
              <w:t>üdvözli</w:t>
            </w:r>
            <w:r w:rsidRPr="005F046F">
              <w:t xml:space="preserve"> a 2024. évi PIF-jelentést</w:t>
            </w:r>
            <w:r w:rsidRPr="005F046F">
              <w:rPr>
                <w:b/>
                <w:i/>
              </w:rPr>
              <w:t xml:space="preserve">; </w:t>
            </w:r>
            <w:r w:rsidRPr="005F046F">
              <w:rPr>
                <w:b/>
                <w:bCs/>
                <w:i/>
                <w:iCs/>
              </w:rPr>
              <w:t>tudomásul veszi a vonatkozó megállapításokkal kapcsolatos elemzését</w:t>
            </w:r>
            <w:r w:rsidRPr="005F046F">
              <w:t xml:space="preserve">, </w:t>
            </w:r>
            <w:r w:rsidRPr="005F046F">
              <w:rPr>
                <w:b/>
                <w:bCs/>
                <w:i/>
                <w:iCs/>
              </w:rPr>
              <w:t>és</w:t>
            </w:r>
            <w:r w:rsidRPr="005F046F">
              <w:t xml:space="preserve"> támogatja annak </w:t>
            </w:r>
            <w:r w:rsidRPr="005F046F">
              <w:rPr>
                <w:b/>
                <w:bCs/>
                <w:i/>
                <w:iCs/>
              </w:rPr>
              <w:t>ajánlásait;</w:t>
            </w:r>
            <w:r w:rsidRPr="005F046F">
              <w:rPr>
                <w:b/>
                <w:i/>
              </w:rPr>
              <w:t xml:space="preserve"> emlékeztet arra, hogy az éves PIF-jelentés fontos információforrást jelent az Unió pénzügyi érdekeinek védelmét illetően; </w:t>
            </w:r>
            <w:r w:rsidRPr="005F046F">
              <w:rPr>
                <w:b/>
                <w:bCs/>
                <w:i/>
                <w:iCs/>
              </w:rPr>
              <w:t>ösztönzi a Bizottságot</w:t>
            </w:r>
            <w:r w:rsidRPr="005F046F">
              <w:t xml:space="preserve">, hogy az </w:t>
            </w:r>
            <w:r w:rsidRPr="005F046F">
              <w:rPr>
                <w:b/>
                <w:bCs/>
                <w:i/>
                <w:iCs/>
              </w:rPr>
              <w:t>érdemi</w:t>
            </w:r>
            <w:r w:rsidRPr="005F046F">
              <w:t xml:space="preserve"> átláthatóság és </w:t>
            </w:r>
            <w:r w:rsidRPr="005F046F">
              <w:rPr>
                <w:b/>
                <w:bCs/>
                <w:i/>
                <w:iCs/>
              </w:rPr>
              <w:t>a hatékony demokratikus ellenőrzés támogatása érdekében javítsa tovább a jelentésben használt adatok minőségét, következetességét és elemzési értékét</w:t>
            </w:r>
            <w:r w:rsidRPr="005F046F">
              <w:t>;</w:t>
            </w:r>
          </w:p>
        </w:tc>
      </w:tr>
    </w:tbl>
    <w:p w14:paraId="1289BA97"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8C7F4B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A99ED4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E30524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D20C7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B352FC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27703E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50A7033" w14:textId="77777777" w:rsidTr="00565F8F">
        <w:trPr>
          <w:trHeight w:hRule="exact" w:val="240"/>
          <w:jc w:val="center"/>
        </w:trPr>
        <w:tc>
          <w:tcPr>
            <w:tcW w:w="9752" w:type="dxa"/>
            <w:gridSpan w:val="2"/>
            <w:tcBorders>
              <w:top w:val="nil"/>
              <w:left w:val="nil"/>
              <w:bottom w:val="nil"/>
              <w:right w:val="nil"/>
            </w:tcBorders>
          </w:tcPr>
          <w:p w14:paraId="7ADE164D" w14:textId="77777777" w:rsidR="000104F2" w:rsidRPr="005F046F" w:rsidRDefault="000104F2" w:rsidP="00565F8F"/>
        </w:tc>
      </w:tr>
      <w:tr w:rsidR="006C656F" w:rsidRPr="005F046F" w14:paraId="41BE35A2" w14:textId="77777777" w:rsidTr="00565F8F">
        <w:trPr>
          <w:trHeight w:val="240"/>
          <w:jc w:val="center"/>
        </w:trPr>
        <w:tc>
          <w:tcPr>
            <w:tcW w:w="4876" w:type="dxa"/>
            <w:tcBorders>
              <w:top w:val="nil"/>
              <w:left w:val="nil"/>
              <w:bottom w:val="nil"/>
              <w:right w:val="nil"/>
            </w:tcBorders>
          </w:tcPr>
          <w:p w14:paraId="6C7F217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4343410" w14:textId="77777777" w:rsidR="000104F2" w:rsidRPr="005F046F" w:rsidRDefault="000104F2" w:rsidP="00565F8F">
            <w:pPr>
              <w:pStyle w:val="AmColumnHeading"/>
            </w:pPr>
            <w:r w:rsidRPr="005F046F">
              <w:t>Módosítás</w:t>
            </w:r>
          </w:p>
        </w:tc>
      </w:tr>
      <w:tr w:rsidR="006C656F" w:rsidRPr="005F046F" w14:paraId="78EE9686" w14:textId="77777777" w:rsidTr="00565F8F">
        <w:trPr>
          <w:jc w:val="center"/>
        </w:trPr>
        <w:tc>
          <w:tcPr>
            <w:tcW w:w="4876" w:type="dxa"/>
            <w:tcBorders>
              <w:top w:val="nil"/>
              <w:left w:val="nil"/>
              <w:bottom w:val="nil"/>
              <w:right w:val="nil"/>
            </w:tcBorders>
          </w:tcPr>
          <w:p w14:paraId="391C704D" w14:textId="77777777" w:rsidR="000104F2" w:rsidRPr="005F046F" w:rsidRDefault="000104F2" w:rsidP="00565F8F">
            <w:pPr>
              <w:pStyle w:val="Normal6a"/>
            </w:pPr>
            <w:r w:rsidRPr="005F046F">
              <w:lastRenderedPageBreak/>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t xml:space="preserve">, különösen az átláthatóság és azon eszközök tekintetében, amelyek révén a polgárok és választott képviselőik nyomon követhetik a források felhasználását, mivel az éves jelentések önmagukban csak részleges </w:t>
            </w:r>
            <w:r w:rsidRPr="005F046F">
              <w:rPr>
                <w:b/>
                <w:bCs/>
                <w:i/>
                <w:iCs/>
              </w:rPr>
              <w:t>és szűrt</w:t>
            </w:r>
            <w:r w:rsidRPr="005F046F">
              <w:t xml:space="preserve"> áttekintést nyújtanak a valódi problémákról;</w:t>
            </w:r>
          </w:p>
        </w:tc>
        <w:tc>
          <w:tcPr>
            <w:tcW w:w="4876" w:type="dxa"/>
            <w:tcBorders>
              <w:top w:val="nil"/>
              <w:left w:val="nil"/>
              <w:bottom w:val="nil"/>
              <w:right w:val="nil"/>
            </w:tcBorders>
          </w:tcPr>
          <w:p w14:paraId="130D1BC2" w14:textId="77777777" w:rsidR="000104F2" w:rsidRPr="005F046F" w:rsidRDefault="000104F2" w:rsidP="00565F8F">
            <w:pPr>
              <w:pStyle w:val="Normal6a"/>
            </w:pPr>
            <w:r w:rsidRPr="005F046F">
              <w:t>1.</w:t>
            </w:r>
            <w:r w:rsidRPr="005F046F">
              <w:tab/>
              <w:t xml:space="preserve">tudomásul veszi a 2024. évi PIF-jelentést, támogatja annak négy ajánlását, ugyanakkor úgy véli, hogy azok nem kellően </w:t>
            </w:r>
            <w:proofErr w:type="spellStart"/>
            <w:r w:rsidRPr="005F046F">
              <w:t>ambiciózusak</w:t>
            </w:r>
            <w:proofErr w:type="spellEnd"/>
            <w:r w:rsidRPr="005F046F">
              <w:t>, különösen az átláthatóság és azon eszközök tekintetében, amelyek révén a polgárok és választott képviselőik nyomon követhetik a források felhasználását, mivel az éves jelentések önmagukban csak részleges áttekintést nyújtanak a valódi problémákról;</w:t>
            </w:r>
          </w:p>
        </w:tc>
      </w:tr>
    </w:tbl>
    <w:p w14:paraId="7411839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EF2543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26515D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B03281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3265AB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1720BB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F378BE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7121D09" w14:textId="77777777" w:rsidTr="00565F8F">
        <w:trPr>
          <w:trHeight w:hRule="exact" w:val="240"/>
          <w:jc w:val="center"/>
        </w:trPr>
        <w:tc>
          <w:tcPr>
            <w:tcW w:w="9752" w:type="dxa"/>
            <w:gridSpan w:val="2"/>
            <w:tcBorders>
              <w:top w:val="nil"/>
              <w:left w:val="nil"/>
              <w:bottom w:val="nil"/>
              <w:right w:val="nil"/>
            </w:tcBorders>
          </w:tcPr>
          <w:p w14:paraId="50FDE39F" w14:textId="77777777" w:rsidR="000104F2" w:rsidRPr="005F046F" w:rsidRDefault="000104F2" w:rsidP="00565F8F"/>
        </w:tc>
      </w:tr>
      <w:tr w:rsidR="006C656F" w:rsidRPr="005F046F" w14:paraId="2BF29E21" w14:textId="77777777" w:rsidTr="00565F8F">
        <w:trPr>
          <w:trHeight w:val="240"/>
          <w:jc w:val="center"/>
        </w:trPr>
        <w:tc>
          <w:tcPr>
            <w:tcW w:w="4876" w:type="dxa"/>
            <w:tcBorders>
              <w:top w:val="nil"/>
              <w:left w:val="nil"/>
              <w:bottom w:val="nil"/>
              <w:right w:val="nil"/>
            </w:tcBorders>
          </w:tcPr>
          <w:p w14:paraId="4CF0A6A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73734D5" w14:textId="77777777" w:rsidR="000104F2" w:rsidRPr="005F046F" w:rsidRDefault="000104F2" w:rsidP="00565F8F">
            <w:pPr>
              <w:pStyle w:val="AmColumnHeading"/>
            </w:pPr>
            <w:r w:rsidRPr="005F046F">
              <w:t>Módosítás</w:t>
            </w:r>
          </w:p>
        </w:tc>
      </w:tr>
      <w:tr w:rsidR="006C656F" w:rsidRPr="005F046F" w14:paraId="7727EBAE" w14:textId="77777777" w:rsidTr="00565F8F">
        <w:trPr>
          <w:jc w:val="center"/>
        </w:trPr>
        <w:tc>
          <w:tcPr>
            <w:tcW w:w="4876" w:type="dxa"/>
            <w:tcBorders>
              <w:top w:val="nil"/>
              <w:left w:val="nil"/>
              <w:bottom w:val="nil"/>
              <w:right w:val="nil"/>
            </w:tcBorders>
          </w:tcPr>
          <w:p w14:paraId="15A92E29" w14:textId="77777777" w:rsidR="000104F2" w:rsidRPr="005F046F" w:rsidRDefault="000104F2" w:rsidP="00565F8F">
            <w:pPr>
              <w:pStyle w:val="Normal6a"/>
            </w:pPr>
          </w:p>
        </w:tc>
        <w:tc>
          <w:tcPr>
            <w:tcW w:w="4876" w:type="dxa"/>
            <w:tcBorders>
              <w:top w:val="nil"/>
              <w:left w:val="nil"/>
              <w:bottom w:val="nil"/>
              <w:right w:val="nil"/>
            </w:tcBorders>
          </w:tcPr>
          <w:p w14:paraId="165C8A07" w14:textId="77777777" w:rsidR="000104F2" w:rsidRPr="005F046F" w:rsidRDefault="000104F2" w:rsidP="00565F8F">
            <w:pPr>
              <w:pStyle w:val="Normal6a"/>
            </w:pPr>
            <w:r w:rsidRPr="005F046F">
              <w:rPr>
                <w:b/>
                <w:i/>
              </w:rPr>
              <w:t>1a.</w:t>
            </w:r>
            <w:r w:rsidRPr="005F046F">
              <w:tab/>
            </w:r>
            <w:r w:rsidRPr="005F046F">
              <w:rPr>
                <w:b/>
                <w:i/>
              </w:rPr>
              <w:t>úgy véli, hogy az Unió pénzügyi érdekeinek védelme terén az elszámoltathatóság nem támaszkodhat kizárólag az összesített éves jelentéstételre; kéri a Bizottságot, hogy vizsgálja meg az időszakos, strukturált és a Parlament számára hozzáférhető jelentéstételi mechanizmusokat, amelyek erőteljesebben a kockázatokra és az eredményekre összpontosítanak, és amelyek a vizsgálatok bizalmas jellegének sérelme nélkül lehetővé tennék a fő kockázatok, a folyamatban lévő vizsgálatok, a korrekciós intézkedések és a visszafizettetések terén elért eredmények időben történő nyomon követését;</w:t>
            </w:r>
          </w:p>
        </w:tc>
      </w:tr>
    </w:tbl>
    <w:p w14:paraId="51897AC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2390FC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46AF9A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6F91BF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DB3B75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28C624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EA46044"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Article</w:t>
      </w:r>
      <w:proofErr w:type="spellEnd"/>
      <w:r w:rsidRPr="005F046F">
        <w:rPr>
          <w:rStyle w:val="HideTWBExt"/>
          <w:color w:val="auto"/>
        </w:rPr>
        <w:t>&gt;</w:t>
      </w:r>
      <w:r w:rsidRPr="005F046F">
        <w:t>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A94E985" w14:textId="77777777" w:rsidTr="00565F8F">
        <w:trPr>
          <w:trHeight w:hRule="exact" w:val="240"/>
          <w:jc w:val="center"/>
        </w:trPr>
        <w:tc>
          <w:tcPr>
            <w:tcW w:w="9752" w:type="dxa"/>
            <w:gridSpan w:val="2"/>
            <w:tcBorders>
              <w:top w:val="nil"/>
              <w:left w:val="nil"/>
              <w:bottom w:val="nil"/>
              <w:right w:val="nil"/>
            </w:tcBorders>
          </w:tcPr>
          <w:p w14:paraId="330DFC4D" w14:textId="77777777" w:rsidR="000104F2" w:rsidRPr="005F046F" w:rsidRDefault="000104F2" w:rsidP="00565F8F"/>
        </w:tc>
      </w:tr>
      <w:tr w:rsidR="006C656F" w:rsidRPr="005F046F" w14:paraId="29D619B5" w14:textId="77777777" w:rsidTr="00565F8F">
        <w:trPr>
          <w:trHeight w:val="240"/>
          <w:jc w:val="center"/>
        </w:trPr>
        <w:tc>
          <w:tcPr>
            <w:tcW w:w="4876" w:type="dxa"/>
            <w:tcBorders>
              <w:top w:val="nil"/>
              <w:left w:val="nil"/>
              <w:bottom w:val="nil"/>
              <w:right w:val="nil"/>
            </w:tcBorders>
          </w:tcPr>
          <w:p w14:paraId="7DCF5B1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6E6A860" w14:textId="77777777" w:rsidR="000104F2" w:rsidRPr="005F046F" w:rsidRDefault="000104F2" w:rsidP="00565F8F">
            <w:pPr>
              <w:pStyle w:val="AmColumnHeading"/>
            </w:pPr>
            <w:r w:rsidRPr="005F046F">
              <w:t>Módosítás</w:t>
            </w:r>
          </w:p>
        </w:tc>
      </w:tr>
      <w:tr w:rsidR="006C656F" w:rsidRPr="005F046F" w14:paraId="5EC4B6C9" w14:textId="77777777" w:rsidTr="00565F8F">
        <w:trPr>
          <w:jc w:val="center"/>
        </w:trPr>
        <w:tc>
          <w:tcPr>
            <w:tcW w:w="4876" w:type="dxa"/>
            <w:tcBorders>
              <w:top w:val="nil"/>
              <w:left w:val="nil"/>
              <w:bottom w:val="nil"/>
              <w:right w:val="nil"/>
            </w:tcBorders>
          </w:tcPr>
          <w:p w14:paraId="15A4FC63" w14:textId="77777777" w:rsidR="000104F2" w:rsidRPr="005F046F" w:rsidRDefault="000104F2" w:rsidP="00565F8F">
            <w:pPr>
              <w:pStyle w:val="Normal6a"/>
            </w:pPr>
          </w:p>
        </w:tc>
        <w:tc>
          <w:tcPr>
            <w:tcW w:w="4876" w:type="dxa"/>
            <w:tcBorders>
              <w:top w:val="nil"/>
              <w:left w:val="nil"/>
              <w:bottom w:val="nil"/>
              <w:right w:val="nil"/>
            </w:tcBorders>
          </w:tcPr>
          <w:p w14:paraId="75732E50" w14:textId="77777777" w:rsidR="000104F2" w:rsidRPr="005F046F" w:rsidRDefault="000104F2" w:rsidP="00565F8F">
            <w:pPr>
              <w:pStyle w:val="Normal6a"/>
            </w:pPr>
            <w:r w:rsidRPr="005F046F">
              <w:rPr>
                <w:b/>
                <w:i/>
              </w:rPr>
              <w:t>1a.</w:t>
            </w:r>
            <w:r w:rsidRPr="005F046F">
              <w:tab/>
            </w:r>
            <w:r w:rsidRPr="005F046F">
              <w:rPr>
                <w:b/>
                <w:i/>
              </w:rPr>
              <w:t>hangsúlyozza, hogy az átláthatóság fontos szerepet játszik a közpénzek kezelésében; ösztönzi a Bizottságot és a tagállamokat, hogy a pénzeszközök felhasználása terén a lehető legnagyobb átláthatóságra törekedjenek, többek között a végső kedvezményezettekre vonatkozó információk tekintetében; ezzel összefüggésben emlékeztet arra, hogy a Parlament mint mentesítésért felelős hatóság a polgárok irányában fontos szerepet játszik annak biztosításában, hogy az uniós pénzeszközökkel ne éljenek vissza;</w:t>
            </w:r>
          </w:p>
        </w:tc>
      </w:tr>
    </w:tbl>
    <w:p w14:paraId="3BA5237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94DB1D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434EC0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D4ED1A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3CD039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B0F026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9DD229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30D2062" w14:textId="77777777" w:rsidTr="00565F8F">
        <w:trPr>
          <w:trHeight w:hRule="exact" w:val="240"/>
          <w:jc w:val="center"/>
        </w:trPr>
        <w:tc>
          <w:tcPr>
            <w:tcW w:w="9752" w:type="dxa"/>
            <w:gridSpan w:val="2"/>
            <w:tcBorders>
              <w:top w:val="nil"/>
              <w:left w:val="nil"/>
              <w:bottom w:val="nil"/>
              <w:right w:val="nil"/>
            </w:tcBorders>
          </w:tcPr>
          <w:p w14:paraId="43857CAF" w14:textId="77777777" w:rsidR="000104F2" w:rsidRPr="005F046F" w:rsidRDefault="000104F2" w:rsidP="00565F8F"/>
        </w:tc>
      </w:tr>
      <w:tr w:rsidR="006C656F" w:rsidRPr="005F046F" w14:paraId="5D3A9B2D" w14:textId="77777777" w:rsidTr="00565F8F">
        <w:trPr>
          <w:trHeight w:val="240"/>
          <w:jc w:val="center"/>
        </w:trPr>
        <w:tc>
          <w:tcPr>
            <w:tcW w:w="4876" w:type="dxa"/>
            <w:tcBorders>
              <w:top w:val="nil"/>
              <w:left w:val="nil"/>
              <w:bottom w:val="nil"/>
              <w:right w:val="nil"/>
            </w:tcBorders>
          </w:tcPr>
          <w:p w14:paraId="59A0557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6FCD9C0" w14:textId="77777777" w:rsidR="000104F2" w:rsidRPr="005F046F" w:rsidRDefault="000104F2" w:rsidP="00565F8F">
            <w:pPr>
              <w:pStyle w:val="AmColumnHeading"/>
            </w:pPr>
            <w:r w:rsidRPr="005F046F">
              <w:t>Módosítás</w:t>
            </w:r>
          </w:p>
        </w:tc>
      </w:tr>
      <w:tr w:rsidR="006C656F" w:rsidRPr="005F046F" w14:paraId="7EEEA6C0" w14:textId="77777777" w:rsidTr="00565F8F">
        <w:trPr>
          <w:jc w:val="center"/>
        </w:trPr>
        <w:tc>
          <w:tcPr>
            <w:tcW w:w="4876" w:type="dxa"/>
            <w:tcBorders>
              <w:top w:val="nil"/>
              <w:left w:val="nil"/>
              <w:bottom w:val="nil"/>
              <w:right w:val="nil"/>
            </w:tcBorders>
          </w:tcPr>
          <w:p w14:paraId="2C5FF413" w14:textId="77777777" w:rsidR="000104F2" w:rsidRPr="005F046F" w:rsidRDefault="000104F2" w:rsidP="00565F8F">
            <w:pPr>
              <w:pStyle w:val="Normal6a"/>
            </w:pPr>
          </w:p>
        </w:tc>
        <w:tc>
          <w:tcPr>
            <w:tcW w:w="4876" w:type="dxa"/>
            <w:tcBorders>
              <w:top w:val="nil"/>
              <w:left w:val="nil"/>
              <w:bottom w:val="nil"/>
              <w:right w:val="nil"/>
            </w:tcBorders>
          </w:tcPr>
          <w:p w14:paraId="782357DD" w14:textId="77777777" w:rsidR="000104F2" w:rsidRPr="005F046F" w:rsidRDefault="000104F2" w:rsidP="00565F8F">
            <w:pPr>
              <w:pStyle w:val="Normal6a"/>
            </w:pPr>
            <w:r w:rsidRPr="005F046F">
              <w:rPr>
                <w:b/>
                <w:i/>
              </w:rPr>
              <w:t>1b.</w:t>
            </w:r>
            <w:r w:rsidRPr="005F046F">
              <w:tab/>
            </w:r>
            <w:r w:rsidRPr="005F046F">
              <w:rPr>
                <w:b/>
                <w:i/>
              </w:rPr>
              <w:t xml:space="preserve">megismétli, hogy az uniós források felhasználásáról és az átláthatóságról való kommunikáció elengedhetetlen a csalás és a korrupció kezeléséhez; hangsúlyozza a civil társadalom, általában a média és különösen az oknyomozó újságírás bevonásának fontosságát a tudatosság növelése szempontjából; hangsúlyozza, hogy a média és az oknyomozó újságírás központi szerepet tölt be a csalás, a korrupció, az összeférhetetlenség és a pénzeszközök egyéb hűtlen kezelése elleni küzdelemben; elengedhetetlennek tartja a média politikai nyomással és befolyással szembeni védelmét, valamint függetlenségének védelmét, a demokrácia őreként betöltött szerepét és a </w:t>
            </w:r>
            <w:r w:rsidRPr="005F046F">
              <w:rPr>
                <w:b/>
                <w:i/>
              </w:rPr>
              <w:lastRenderedPageBreak/>
              <w:t>közpénzekkel való hatékony és eredményes gazdálkodást;</w:t>
            </w:r>
          </w:p>
        </w:tc>
      </w:tr>
    </w:tbl>
    <w:p w14:paraId="2480227E"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2B7F04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DB1F24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EA809A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F87E5B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B83D22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B22F37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88F214E" w14:textId="77777777" w:rsidTr="00565F8F">
        <w:trPr>
          <w:trHeight w:hRule="exact" w:val="240"/>
          <w:jc w:val="center"/>
        </w:trPr>
        <w:tc>
          <w:tcPr>
            <w:tcW w:w="9752" w:type="dxa"/>
            <w:gridSpan w:val="2"/>
            <w:tcBorders>
              <w:top w:val="nil"/>
              <w:left w:val="nil"/>
              <w:bottom w:val="nil"/>
              <w:right w:val="nil"/>
            </w:tcBorders>
          </w:tcPr>
          <w:p w14:paraId="16E41F3D" w14:textId="77777777" w:rsidR="000104F2" w:rsidRPr="005F046F" w:rsidRDefault="000104F2" w:rsidP="00565F8F"/>
        </w:tc>
      </w:tr>
      <w:tr w:rsidR="006C656F" w:rsidRPr="005F046F" w14:paraId="4BA8FAD4" w14:textId="77777777" w:rsidTr="00565F8F">
        <w:trPr>
          <w:trHeight w:val="240"/>
          <w:jc w:val="center"/>
        </w:trPr>
        <w:tc>
          <w:tcPr>
            <w:tcW w:w="4876" w:type="dxa"/>
            <w:tcBorders>
              <w:top w:val="nil"/>
              <w:left w:val="nil"/>
              <w:bottom w:val="nil"/>
              <w:right w:val="nil"/>
            </w:tcBorders>
          </w:tcPr>
          <w:p w14:paraId="35FD856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9F29E1F" w14:textId="77777777" w:rsidR="000104F2" w:rsidRPr="005F046F" w:rsidRDefault="000104F2" w:rsidP="00565F8F">
            <w:pPr>
              <w:pStyle w:val="AmColumnHeading"/>
            </w:pPr>
            <w:r w:rsidRPr="005F046F">
              <w:t>Módosítás</w:t>
            </w:r>
          </w:p>
        </w:tc>
      </w:tr>
      <w:tr w:rsidR="006C656F" w:rsidRPr="005F046F" w14:paraId="0C56DFEA" w14:textId="77777777" w:rsidTr="00565F8F">
        <w:trPr>
          <w:jc w:val="center"/>
        </w:trPr>
        <w:tc>
          <w:tcPr>
            <w:tcW w:w="4876" w:type="dxa"/>
            <w:tcBorders>
              <w:top w:val="nil"/>
              <w:left w:val="nil"/>
              <w:bottom w:val="nil"/>
              <w:right w:val="nil"/>
            </w:tcBorders>
          </w:tcPr>
          <w:p w14:paraId="2CAB829D" w14:textId="77777777" w:rsidR="000104F2" w:rsidRPr="005F046F" w:rsidRDefault="000104F2" w:rsidP="00565F8F">
            <w:pPr>
              <w:pStyle w:val="Normal6a"/>
            </w:pPr>
          </w:p>
        </w:tc>
        <w:tc>
          <w:tcPr>
            <w:tcW w:w="4876" w:type="dxa"/>
            <w:tcBorders>
              <w:top w:val="nil"/>
              <w:left w:val="nil"/>
              <w:bottom w:val="nil"/>
              <w:right w:val="nil"/>
            </w:tcBorders>
          </w:tcPr>
          <w:p w14:paraId="4ABE9494" w14:textId="77777777" w:rsidR="000104F2" w:rsidRPr="005F046F" w:rsidRDefault="000104F2" w:rsidP="00565F8F">
            <w:pPr>
              <w:pStyle w:val="Normal6a"/>
            </w:pPr>
            <w:r w:rsidRPr="005F046F">
              <w:rPr>
                <w:b/>
                <w:i/>
              </w:rPr>
              <w:t>1b.</w:t>
            </w:r>
            <w:r w:rsidRPr="005F046F">
              <w:tab/>
            </w:r>
            <w:r w:rsidRPr="005F046F">
              <w:rPr>
                <w:b/>
                <w:i/>
              </w:rPr>
              <w:t>úgy véli, hogy az Európai Parlamentnek, különösen a Költségvetési Ellenőrző Bizottságnak strukturáltabb és folyamatos szerepet kell játszania az Unió pénzügyi érdekei védelmének nyomon követésében; felkéri a Bizottságot, hogy vizsgálja meg az időszakos jelentéstételi formátumokat, amelyek az éves PIF-jelentéstételi cikluson túl is lehetővé tennék a hatékony parlamenti ellenőrzést;</w:t>
            </w:r>
          </w:p>
        </w:tc>
      </w:tr>
    </w:tbl>
    <w:p w14:paraId="7BD8C7E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67AF0F1"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25817B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29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92007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4280E1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FB2AD0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4A3CF0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E393993" w14:textId="77777777" w:rsidTr="00565F8F">
        <w:trPr>
          <w:trHeight w:hRule="exact" w:val="240"/>
          <w:jc w:val="center"/>
        </w:trPr>
        <w:tc>
          <w:tcPr>
            <w:tcW w:w="9752" w:type="dxa"/>
            <w:gridSpan w:val="2"/>
            <w:tcBorders>
              <w:top w:val="nil"/>
              <w:left w:val="nil"/>
              <w:bottom w:val="nil"/>
              <w:right w:val="nil"/>
            </w:tcBorders>
          </w:tcPr>
          <w:p w14:paraId="5B498326" w14:textId="77777777" w:rsidR="000104F2" w:rsidRPr="005F046F" w:rsidRDefault="000104F2" w:rsidP="00565F8F"/>
        </w:tc>
      </w:tr>
      <w:tr w:rsidR="006C656F" w:rsidRPr="005F046F" w14:paraId="1B92AEDF" w14:textId="77777777" w:rsidTr="00565F8F">
        <w:trPr>
          <w:trHeight w:val="240"/>
          <w:jc w:val="center"/>
        </w:trPr>
        <w:tc>
          <w:tcPr>
            <w:tcW w:w="4876" w:type="dxa"/>
            <w:tcBorders>
              <w:top w:val="nil"/>
              <w:left w:val="nil"/>
              <w:bottom w:val="nil"/>
              <w:right w:val="nil"/>
            </w:tcBorders>
          </w:tcPr>
          <w:p w14:paraId="64627E0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18A23F8" w14:textId="77777777" w:rsidR="000104F2" w:rsidRPr="005F046F" w:rsidRDefault="000104F2" w:rsidP="00565F8F">
            <w:pPr>
              <w:pStyle w:val="AmColumnHeading"/>
            </w:pPr>
            <w:r w:rsidRPr="005F046F">
              <w:t>Módosítás</w:t>
            </w:r>
          </w:p>
        </w:tc>
      </w:tr>
      <w:tr w:rsidR="006C656F" w:rsidRPr="005F046F" w14:paraId="361429A0" w14:textId="77777777" w:rsidTr="00565F8F">
        <w:trPr>
          <w:jc w:val="center"/>
        </w:trPr>
        <w:tc>
          <w:tcPr>
            <w:tcW w:w="4876" w:type="dxa"/>
            <w:tcBorders>
              <w:top w:val="nil"/>
              <w:left w:val="nil"/>
              <w:bottom w:val="nil"/>
              <w:right w:val="nil"/>
            </w:tcBorders>
          </w:tcPr>
          <w:p w14:paraId="654B6951" w14:textId="77777777" w:rsidR="000104F2" w:rsidRPr="005F046F" w:rsidRDefault="000104F2" w:rsidP="00565F8F">
            <w:pPr>
              <w:pStyle w:val="Normal6a"/>
            </w:pPr>
            <w:r w:rsidRPr="005F046F">
              <w:t>2.</w:t>
            </w:r>
            <w:r w:rsidRPr="005F046F">
              <w:tab/>
              <w:t>megismétli, hogy az Unió pénzügyi érdekeinek védelme jelentős kihívásokkal néz szembe az egyre összetettebb és gyorsan változó környezetben, és hogy a védelem hatékonysága csak az igazságügyi és közigazgatási hatóságok, az európai intézmények és szervezetek, valamint a tagállamok közös és összehangolt fellépésével</w:t>
            </w:r>
            <w:r w:rsidRPr="005F046F">
              <w:rPr>
                <w:b/>
                <w:bCs/>
                <w:i/>
                <w:iCs/>
              </w:rPr>
              <w:t xml:space="preserve"> érhető el</w:t>
            </w:r>
            <w:r w:rsidRPr="005F046F">
              <w:t>;</w:t>
            </w:r>
          </w:p>
        </w:tc>
        <w:tc>
          <w:tcPr>
            <w:tcW w:w="4876" w:type="dxa"/>
            <w:tcBorders>
              <w:top w:val="nil"/>
              <w:left w:val="nil"/>
              <w:bottom w:val="nil"/>
              <w:right w:val="nil"/>
            </w:tcBorders>
          </w:tcPr>
          <w:p w14:paraId="19142D22" w14:textId="77777777" w:rsidR="000104F2" w:rsidRPr="005F046F" w:rsidRDefault="000104F2" w:rsidP="00565F8F">
            <w:pPr>
              <w:pStyle w:val="Normal6a"/>
            </w:pPr>
            <w:r w:rsidRPr="005F046F">
              <w:t>2.</w:t>
            </w:r>
            <w:r w:rsidRPr="005F046F">
              <w:tab/>
              <w:t xml:space="preserve">megismétli, hogy az Unió pénzügyi érdekeinek védelme jelentős kihívásokkal néz szembe az egyre összetettebb és gyorsan változó környezetben, és hogy a védelem hatékonysága csak az igazságügyi és közigazgatási hatóságok, az európai intézmények és szervezetek, valamint a tagállamok közös és összehangolt fellépésével </w:t>
            </w:r>
            <w:r w:rsidRPr="005F046F">
              <w:rPr>
                <w:b/>
                <w:bCs/>
                <w:i/>
                <w:iCs/>
              </w:rPr>
              <w:t>biztosítható</w:t>
            </w:r>
            <w:r w:rsidRPr="005F046F">
              <w:t xml:space="preserve">; </w:t>
            </w:r>
            <w:r w:rsidRPr="005F046F">
              <w:rPr>
                <w:b/>
                <w:i/>
              </w:rPr>
              <w:t xml:space="preserve">hangsúlyozza, hogy az együttműködésnek a szisztematikus információmegosztásra, a </w:t>
            </w:r>
            <w:r w:rsidRPr="005F046F">
              <w:rPr>
                <w:b/>
                <w:i/>
              </w:rPr>
              <w:lastRenderedPageBreak/>
              <w:t>közös kockázatértékelésre és az operatív koordinációra is ki kell terjednie; sürgeti a tagállamokat, hogy a felmerülő kockázatok és csalási minták gyors felderítése és kezelése érdekében fogadjanak el proaktív álláspontot az Unió pénzügyi érdekeinek védelme terén, megerősítve mind a nemzeti hatóságok közötti, mind az uniós szervekkel és ügynökségekkel folytatott információcserét;</w:t>
            </w:r>
          </w:p>
        </w:tc>
      </w:tr>
    </w:tbl>
    <w:p w14:paraId="3E8DA269"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A9C745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593CC8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21A3A6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33F2F5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A08506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C02A0C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0495BC8" w14:textId="77777777" w:rsidTr="00565F8F">
        <w:trPr>
          <w:trHeight w:hRule="exact" w:val="240"/>
          <w:jc w:val="center"/>
        </w:trPr>
        <w:tc>
          <w:tcPr>
            <w:tcW w:w="9752" w:type="dxa"/>
            <w:gridSpan w:val="2"/>
            <w:tcBorders>
              <w:top w:val="nil"/>
              <w:left w:val="nil"/>
              <w:bottom w:val="nil"/>
              <w:right w:val="nil"/>
            </w:tcBorders>
          </w:tcPr>
          <w:p w14:paraId="6BDE755D" w14:textId="77777777" w:rsidR="000104F2" w:rsidRPr="005F046F" w:rsidRDefault="000104F2" w:rsidP="00565F8F"/>
        </w:tc>
      </w:tr>
      <w:tr w:rsidR="006C656F" w:rsidRPr="005F046F" w14:paraId="1F0C6F29" w14:textId="77777777" w:rsidTr="00565F8F">
        <w:trPr>
          <w:trHeight w:val="240"/>
          <w:jc w:val="center"/>
        </w:trPr>
        <w:tc>
          <w:tcPr>
            <w:tcW w:w="4876" w:type="dxa"/>
            <w:tcBorders>
              <w:top w:val="nil"/>
              <w:left w:val="nil"/>
              <w:bottom w:val="nil"/>
              <w:right w:val="nil"/>
            </w:tcBorders>
          </w:tcPr>
          <w:p w14:paraId="2952F02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DD4FD75" w14:textId="77777777" w:rsidR="000104F2" w:rsidRPr="005F046F" w:rsidRDefault="000104F2" w:rsidP="00565F8F">
            <w:pPr>
              <w:pStyle w:val="AmColumnHeading"/>
            </w:pPr>
            <w:r w:rsidRPr="005F046F">
              <w:t>Módosítás</w:t>
            </w:r>
          </w:p>
        </w:tc>
      </w:tr>
      <w:tr w:rsidR="006C656F" w:rsidRPr="005F046F" w14:paraId="5C939F21" w14:textId="77777777" w:rsidTr="00565F8F">
        <w:trPr>
          <w:jc w:val="center"/>
        </w:trPr>
        <w:tc>
          <w:tcPr>
            <w:tcW w:w="4876" w:type="dxa"/>
            <w:tcBorders>
              <w:top w:val="nil"/>
              <w:left w:val="nil"/>
              <w:bottom w:val="nil"/>
              <w:right w:val="nil"/>
            </w:tcBorders>
          </w:tcPr>
          <w:p w14:paraId="3B1142E6" w14:textId="77777777" w:rsidR="000104F2" w:rsidRPr="005F046F" w:rsidRDefault="000104F2" w:rsidP="00565F8F">
            <w:pPr>
              <w:pStyle w:val="Normal6a"/>
            </w:pPr>
            <w:r w:rsidRPr="005F046F">
              <w:t>2.</w:t>
            </w:r>
            <w:r w:rsidRPr="005F046F">
              <w:tab/>
              <w:t xml:space="preserve">megismétli, hogy az Unió pénzügyi érdekeinek védelme jelentős kihívásokkal néz szembe az egyre összetettebb és gyorsan változó környezetben, és hogy a védelem hatékonysága </w:t>
            </w:r>
            <w:r w:rsidRPr="005F046F">
              <w:rPr>
                <w:b/>
                <w:bCs/>
                <w:i/>
                <w:iCs/>
              </w:rPr>
              <w:t>csak</w:t>
            </w:r>
            <w:r w:rsidRPr="005F046F">
              <w:t xml:space="preserve"> az igazságügyi és közigazgatási hatóságok, az európai intézmények és szervezetek, valamint a tagállamok közös és összehangolt fellépésével érhető el;</w:t>
            </w:r>
          </w:p>
        </w:tc>
        <w:tc>
          <w:tcPr>
            <w:tcW w:w="4876" w:type="dxa"/>
            <w:tcBorders>
              <w:top w:val="nil"/>
              <w:left w:val="nil"/>
              <w:bottom w:val="nil"/>
              <w:right w:val="nil"/>
            </w:tcBorders>
          </w:tcPr>
          <w:p w14:paraId="20404494" w14:textId="77777777" w:rsidR="000104F2" w:rsidRPr="005F046F" w:rsidRDefault="000104F2" w:rsidP="00565F8F">
            <w:pPr>
              <w:pStyle w:val="Normal6a"/>
            </w:pPr>
            <w:r w:rsidRPr="005F046F">
              <w:t>2.</w:t>
            </w:r>
            <w:r w:rsidRPr="005F046F">
              <w:tab/>
              <w:t>megismétli, hogy az Unió pénzügyi érdekeinek védelme jelentős kihívásokkal néz szembe az egyre összetettebb és gyorsan változó környezetben, és hogy a védelem hatékonysága az igazságügyi és közigazgatási hatóságok, az európai intézmények és szervezetek, valamint a tagállamok közös és összehangolt fellépésével</w:t>
            </w:r>
            <w:r w:rsidRPr="005F046F">
              <w:rPr>
                <w:b/>
                <w:bCs/>
                <w:i/>
                <w:iCs/>
              </w:rPr>
              <w:t>, valamint a civil társadalmi szervezetek, a kutatóintézetek és a független médiaszervezetek bevonásával</w:t>
            </w:r>
            <w:r w:rsidRPr="005F046F">
              <w:t xml:space="preserve"> érhető el;</w:t>
            </w:r>
          </w:p>
        </w:tc>
      </w:tr>
    </w:tbl>
    <w:p w14:paraId="264CAC20"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6741A1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F9CD00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DE461D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D899C9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4A1F6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DA2BF1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BEFDE0F" w14:textId="77777777" w:rsidTr="00565F8F">
        <w:trPr>
          <w:trHeight w:hRule="exact" w:val="240"/>
          <w:jc w:val="center"/>
        </w:trPr>
        <w:tc>
          <w:tcPr>
            <w:tcW w:w="9752" w:type="dxa"/>
            <w:gridSpan w:val="2"/>
            <w:tcBorders>
              <w:top w:val="nil"/>
              <w:left w:val="nil"/>
              <w:bottom w:val="nil"/>
              <w:right w:val="nil"/>
            </w:tcBorders>
          </w:tcPr>
          <w:p w14:paraId="078A33BF" w14:textId="77777777" w:rsidR="000104F2" w:rsidRPr="005F046F" w:rsidRDefault="000104F2" w:rsidP="00565F8F"/>
        </w:tc>
      </w:tr>
      <w:tr w:rsidR="006C656F" w:rsidRPr="005F046F" w14:paraId="29E9B046" w14:textId="77777777" w:rsidTr="00565F8F">
        <w:trPr>
          <w:trHeight w:val="240"/>
          <w:jc w:val="center"/>
        </w:trPr>
        <w:tc>
          <w:tcPr>
            <w:tcW w:w="4876" w:type="dxa"/>
            <w:tcBorders>
              <w:top w:val="nil"/>
              <w:left w:val="nil"/>
              <w:bottom w:val="nil"/>
              <w:right w:val="nil"/>
            </w:tcBorders>
          </w:tcPr>
          <w:p w14:paraId="1C26BDB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548EE46" w14:textId="77777777" w:rsidR="000104F2" w:rsidRPr="005F046F" w:rsidRDefault="000104F2" w:rsidP="00565F8F">
            <w:pPr>
              <w:pStyle w:val="AmColumnHeading"/>
            </w:pPr>
            <w:r w:rsidRPr="005F046F">
              <w:t>Módosítás</w:t>
            </w:r>
          </w:p>
        </w:tc>
      </w:tr>
      <w:tr w:rsidR="006C656F" w:rsidRPr="005F046F" w14:paraId="3F9DE77A" w14:textId="77777777" w:rsidTr="00565F8F">
        <w:trPr>
          <w:jc w:val="center"/>
        </w:trPr>
        <w:tc>
          <w:tcPr>
            <w:tcW w:w="4876" w:type="dxa"/>
            <w:tcBorders>
              <w:top w:val="nil"/>
              <w:left w:val="nil"/>
              <w:bottom w:val="nil"/>
              <w:right w:val="nil"/>
            </w:tcBorders>
          </w:tcPr>
          <w:p w14:paraId="051C33CB" w14:textId="77777777" w:rsidR="000104F2" w:rsidRPr="005F046F" w:rsidRDefault="000104F2" w:rsidP="00565F8F">
            <w:pPr>
              <w:pStyle w:val="Normal6a"/>
            </w:pPr>
          </w:p>
        </w:tc>
        <w:tc>
          <w:tcPr>
            <w:tcW w:w="4876" w:type="dxa"/>
            <w:tcBorders>
              <w:top w:val="nil"/>
              <w:left w:val="nil"/>
              <w:bottom w:val="nil"/>
              <w:right w:val="nil"/>
            </w:tcBorders>
          </w:tcPr>
          <w:p w14:paraId="25FB955D" w14:textId="77777777" w:rsidR="000104F2" w:rsidRPr="005F046F" w:rsidRDefault="000104F2" w:rsidP="00565F8F">
            <w:pPr>
              <w:pStyle w:val="Normal6a"/>
            </w:pPr>
            <w:r w:rsidRPr="005F046F">
              <w:rPr>
                <w:b/>
                <w:i/>
              </w:rPr>
              <w:t>2a.</w:t>
            </w:r>
            <w:r w:rsidRPr="005F046F">
              <w:tab/>
            </w:r>
            <w:r w:rsidRPr="005F046F">
              <w:rPr>
                <w:b/>
                <w:i/>
              </w:rPr>
              <w:t>emlékeztet arra, hogy a jogállamiság az EU egyik alapvető értéke, valamint a jogállamiság tiszteletben tartása valamennyi tagállamban alapvető előfeltétele a hatékony és eredményes pénzgazdálkodásnak és az EU pénzügyi érdekei védelmének; úgy véli továbbá, hogy bár a feltételrendszerről szóló rendelet elsődleges célja az uniós költségvetés védelme a jogállamiságot érintő jogsértésekből eredő kockázatokkal szemben, érdemes megvizsgálni, hogy miként lehetne megerősíteni az uniós költségvetés védelmét az EUSZ 2. cikkében foglalt egyéb értékek megsértésével szemben; emlékeztet arra, hogy az uniós költségvetés nem semleges a demokrácia, az egyenlőség és az alapvető jogok megsértésével szemben, ami kézzelfogható pénzügyi következményekkel járhat; úgy véli, hogy a költségvetési rendelet 6. cikke jogalapot biztosít az ilyen jogsértések esetén történő fellépéshez; felkéri a Bizottságot, hogy értékelje a feltételrendszer eszközeinek kiterjesztését azokra az esetekre, amikor az EUSZ 2. cikkében foglalt egyéb értékek súlyos és rendszerszintű megsértése érinti az uniós költségvetést;</w:t>
            </w:r>
          </w:p>
        </w:tc>
      </w:tr>
    </w:tbl>
    <w:p w14:paraId="27C6133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4DC851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33F624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1AADA7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28B2346"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0ED528C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28AD0F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27F1F5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28C88A9" w14:textId="77777777" w:rsidTr="00565F8F">
        <w:trPr>
          <w:trHeight w:hRule="exact" w:val="240"/>
          <w:jc w:val="center"/>
        </w:trPr>
        <w:tc>
          <w:tcPr>
            <w:tcW w:w="9752" w:type="dxa"/>
            <w:gridSpan w:val="2"/>
            <w:tcBorders>
              <w:top w:val="nil"/>
              <w:left w:val="nil"/>
              <w:bottom w:val="nil"/>
              <w:right w:val="nil"/>
            </w:tcBorders>
          </w:tcPr>
          <w:p w14:paraId="21E252BB" w14:textId="77777777" w:rsidR="000104F2" w:rsidRPr="005F046F" w:rsidRDefault="000104F2" w:rsidP="00565F8F"/>
        </w:tc>
      </w:tr>
      <w:tr w:rsidR="006C656F" w:rsidRPr="005F046F" w14:paraId="4BFED9D9" w14:textId="77777777" w:rsidTr="00565F8F">
        <w:trPr>
          <w:trHeight w:val="240"/>
          <w:jc w:val="center"/>
        </w:trPr>
        <w:tc>
          <w:tcPr>
            <w:tcW w:w="4876" w:type="dxa"/>
            <w:tcBorders>
              <w:top w:val="nil"/>
              <w:left w:val="nil"/>
              <w:bottom w:val="nil"/>
              <w:right w:val="nil"/>
            </w:tcBorders>
          </w:tcPr>
          <w:p w14:paraId="64635BC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2C433AA" w14:textId="77777777" w:rsidR="000104F2" w:rsidRPr="005F046F" w:rsidRDefault="000104F2" w:rsidP="00565F8F">
            <w:pPr>
              <w:pStyle w:val="AmColumnHeading"/>
            </w:pPr>
            <w:r w:rsidRPr="005F046F">
              <w:t>Módosítás</w:t>
            </w:r>
          </w:p>
        </w:tc>
      </w:tr>
      <w:tr w:rsidR="006C656F" w:rsidRPr="005F046F" w14:paraId="240EE690" w14:textId="77777777" w:rsidTr="00565F8F">
        <w:trPr>
          <w:jc w:val="center"/>
        </w:trPr>
        <w:tc>
          <w:tcPr>
            <w:tcW w:w="4876" w:type="dxa"/>
            <w:tcBorders>
              <w:top w:val="nil"/>
              <w:left w:val="nil"/>
              <w:bottom w:val="nil"/>
              <w:right w:val="nil"/>
            </w:tcBorders>
          </w:tcPr>
          <w:p w14:paraId="0AF8328D" w14:textId="77777777" w:rsidR="000104F2" w:rsidRPr="005F046F" w:rsidRDefault="000104F2" w:rsidP="00565F8F">
            <w:pPr>
              <w:pStyle w:val="Normal6a"/>
            </w:pPr>
          </w:p>
        </w:tc>
        <w:tc>
          <w:tcPr>
            <w:tcW w:w="4876" w:type="dxa"/>
            <w:tcBorders>
              <w:top w:val="nil"/>
              <w:left w:val="nil"/>
              <w:bottom w:val="nil"/>
              <w:right w:val="nil"/>
            </w:tcBorders>
          </w:tcPr>
          <w:p w14:paraId="6EB80118" w14:textId="77777777" w:rsidR="000104F2" w:rsidRPr="005F046F" w:rsidRDefault="000104F2" w:rsidP="00565F8F">
            <w:pPr>
              <w:pStyle w:val="Normal6a"/>
            </w:pPr>
            <w:r w:rsidRPr="005F046F">
              <w:rPr>
                <w:b/>
                <w:i/>
              </w:rPr>
              <w:t>2a.</w:t>
            </w:r>
            <w:r w:rsidRPr="005F046F">
              <w:tab/>
            </w:r>
            <w:r w:rsidRPr="005F046F">
              <w:rPr>
                <w:b/>
                <w:i/>
              </w:rPr>
              <w:t xml:space="preserve">sajnálatát fejezi ki amiatt, hogy nem minden tagállam vesz részt az Európai Ügyészségben, ami jogérvényesítési hiányosságokat okoz az Unió pénzügyi érdekeit érintő </w:t>
            </w:r>
            <w:r w:rsidRPr="005F046F">
              <w:rPr>
                <w:b/>
                <w:i/>
              </w:rPr>
              <w:lastRenderedPageBreak/>
              <w:t>bűncselekmények tekintetében; megjegyzi, hogy 2024-ben az Európai Ügyészség jelentős számú európai nyomozási határozatot és kölcsönös jogsegély iránti kérelmeket adott ki a részt nem vevő tagállamok bevonásával; ismételten kéri azokat a tagállamokat, amelyek még mindig nem vesznek részt az Európai Ügyészségben, hogy csatlakozzanak az Európai Ügyészséghez;</w:t>
            </w:r>
          </w:p>
        </w:tc>
      </w:tr>
    </w:tbl>
    <w:p w14:paraId="6AAFEB1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9D9D35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20CBA7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D5A07E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1EDE3E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E4C536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129863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526010E" w14:textId="77777777" w:rsidTr="00565F8F">
        <w:trPr>
          <w:trHeight w:hRule="exact" w:val="240"/>
          <w:jc w:val="center"/>
        </w:trPr>
        <w:tc>
          <w:tcPr>
            <w:tcW w:w="9752" w:type="dxa"/>
            <w:gridSpan w:val="2"/>
            <w:tcBorders>
              <w:top w:val="nil"/>
              <w:left w:val="nil"/>
              <w:bottom w:val="nil"/>
              <w:right w:val="nil"/>
            </w:tcBorders>
          </w:tcPr>
          <w:p w14:paraId="010FC5DB" w14:textId="77777777" w:rsidR="000104F2" w:rsidRPr="005F046F" w:rsidRDefault="000104F2" w:rsidP="00565F8F"/>
        </w:tc>
      </w:tr>
      <w:tr w:rsidR="006C656F" w:rsidRPr="005F046F" w14:paraId="3CCDC537" w14:textId="77777777" w:rsidTr="00565F8F">
        <w:trPr>
          <w:trHeight w:val="240"/>
          <w:jc w:val="center"/>
        </w:trPr>
        <w:tc>
          <w:tcPr>
            <w:tcW w:w="4876" w:type="dxa"/>
            <w:tcBorders>
              <w:top w:val="nil"/>
              <w:left w:val="nil"/>
              <w:bottom w:val="nil"/>
              <w:right w:val="nil"/>
            </w:tcBorders>
          </w:tcPr>
          <w:p w14:paraId="2E034D2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FB3B905" w14:textId="77777777" w:rsidR="000104F2" w:rsidRPr="005F046F" w:rsidRDefault="000104F2" w:rsidP="00565F8F">
            <w:pPr>
              <w:pStyle w:val="AmColumnHeading"/>
            </w:pPr>
            <w:r w:rsidRPr="005F046F">
              <w:t>Módosítás</w:t>
            </w:r>
          </w:p>
        </w:tc>
      </w:tr>
      <w:tr w:rsidR="006C656F" w:rsidRPr="005F046F" w14:paraId="648E0B55" w14:textId="77777777" w:rsidTr="00565F8F">
        <w:trPr>
          <w:jc w:val="center"/>
        </w:trPr>
        <w:tc>
          <w:tcPr>
            <w:tcW w:w="4876" w:type="dxa"/>
            <w:tcBorders>
              <w:top w:val="nil"/>
              <w:left w:val="nil"/>
              <w:bottom w:val="nil"/>
              <w:right w:val="nil"/>
            </w:tcBorders>
          </w:tcPr>
          <w:p w14:paraId="3D13A500" w14:textId="77777777" w:rsidR="000104F2" w:rsidRPr="005F046F" w:rsidRDefault="000104F2" w:rsidP="00565F8F">
            <w:pPr>
              <w:pStyle w:val="Normal6a"/>
            </w:pPr>
            <w:r w:rsidRPr="005F046F">
              <w:t>3.</w:t>
            </w:r>
            <w:r w:rsidRPr="005F046F">
              <w:tab/>
              <w:t xml:space="preserve">hangsúlyozza, hogy </w:t>
            </w:r>
            <w:r w:rsidRPr="005F046F">
              <w:rPr>
                <w:b/>
                <w:bCs/>
                <w:i/>
                <w:iCs/>
              </w:rPr>
              <w:t>csak</w:t>
            </w:r>
            <w:r w:rsidRPr="005F046F">
              <w:t xml:space="preserve"> a fokozott digitalizáció – többek között a csalás elleni nemzeti stratégiák, a folyamatok digitalizációja és a közös digitális eszközök használata révén – </w:t>
            </w:r>
            <w:r w:rsidRPr="005F046F">
              <w:rPr>
                <w:b/>
                <w:bCs/>
                <w:i/>
                <w:iCs/>
              </w:rPr>
              <w:t>teszi</w:t>
            </w:r>
            <w:r w:rsidRPr="005F046F">
              <w:t xml:space="preserve"> lehetővé a tudásmegosztást, </w:t>
            </w:r>
            <w:r w:rsidRPr="005F046F">
              <w:rPr>
                <w:b/>
                <w:bCs/>
                <w:i/>
                <w:iCs/>
              </w:rPr>
              <w:t>a</w:t>
            </w:r>
            <w:r w:rsidRPr="005F046F">
              <w:t xml:space="preserve"> </w:t>
            </w:r>
            <w:r w:rsidRPr="005F046F">
              <w:rPr>
                <w:b/>
                <w:bCs/>
                <w:i/>
                <w:iCs/>
              </w:rPr>
              <w:t>hozzáférhetőséget</w:t>
            </w:r>
            <w:r w:rsidRPr="005F046F">
              <w:t xml:space="preserve"> és az adatfeldolgozást, valamint az Unió pénzügyi érdekeinek védelme terén az eredményalapú irányításhoz szükséges átfogó jelentéstételt; </w:t>
            </w:r>
            <w:r w:rsidRPr="005F046F">
              <w:rPr>
                <w:b/>
                <w:bCs/>
                <w:i/>
                <w:iCs/>
              </w:rPr>
              <w:t>megjegyzi</w:t>
            </w:r>
            <w:r w:rsidRPr="005F046F">
              <w:t xml:space="preserve">, hogy </w:t>
            </w:r>
            <w:r w:rsidRPr="005F046F">
              <w:rPr>
                <w:b/>
                <w:bCs/>
                <w:i/>
                <w:iCs/>
              </w:rPr>
              <w:t xml:space="preserve">csak </w:t>
            </w:r>
            <w:r w:rsidRPr="005F046F">
              <w:t xml:space="preserve">a </w:t>
            </w:r>
            <w:r w:rsidRPr="005F046F">
              <w:rPr>
                <w:b/>
                <w:bCs/>
                <w:i/>
                <w:iCs/>
              </w:rPr>
              <w:t>fokozott</w:t>
            </w:r>
            <w:r w:rsidRPr="005F046F">
              <w:t xml:space="preserve"> digitalizáció biztosíthatja a valódi átláthatóság alapját a polgárok és választott képviselőik számára, ami elengedhetetlen, ha közpénzekről van szó;</w:t>
            </w:r>
          </w:p>
        </w:tc>
        <w:tc>
          <w:tcPr>
            <w:tcW w:w="4876" w:type="dxa"/>
            <w:tcBorders>
              <w:top w:val="nil"/>
              <w:left w:val="nil"/>
              <w:bottom w:val="nil"/>
              <w:right w:val="nil"/>
            </w:tcBorders>
          </w:tcPr>
          <w:p w14:paraId="35ADB88F" w14:textId="77777777" w:rsidR="000104F2" w:rsidRPr="005F046F" w:rsidRDefault="000104F2" w:rsidP="00565F8F">
            <w:pPr>
              <w:pStyle w:val="Normal6a"/>
            </w:pPr>
            <w:r w:rsidRPr="005F046F">
              <w:t>3.</w:t>
            </w:r>
            <w:r w:rsidRPr="005F046F">
              <w:tab/>
              <w:t xml:space="preserve">hangsúlyozza, hogy a fokozott digitalizáció – többek között a csalás elleni nemzeti stratégiák, a folyamatok digitalizációja és a közös digitális eszközök használata révén – </w:t>
            </w:r>
            <w:r w:rsidRPr="005F046F">
              <w:rPr>
                <w:b/>
                <w:bCs/>
                <w:i/>
                <w:iCs/>
              </w:rPr>
              <w:t>elengedhetetlen ahhoz, hogy</w:t>
            </w:r>
            <w:r w:rsidRPr="005F046F">
              <w:t xml:space="preserve"> lehetővé </w:t>
            </w:r>
            <w:r w:rsidRPr="005F046F">
              <w:rPr>
                <w:b/>
                <w:bCs/>
                <w:i/>
                <w:iCs/>
              </w:rPr>
              <w:t xml:space="preserve">tegyék </w:t>
            </w:r>
            <w:r w:rsidRPr="005F046F">
              <w:t xml:space="preserve">a </w:t>
            </w:r>
            <w:r w:rsidRPr="005F046F">
              <w:rPr>
                <w:b/>
                <w:bCs/>
                <w:i/>
                <w:iCs/>
              </w:rPr>
              <w:t xml:space="preserve">hatékony </w:t>
            </w:r>
            <w:r w:rsidRPr="005F046F">
              <w:t xml:space="preserve">tudásmegosztást, </w:t>
            </w:r>
            <w:r w:rsidRPr="005F046F">
              <w:rPr>
                <w:b/>
                <w:bCs/>
                <w:i/>
                <w:iCs/>
              </w:rPr>
              <w:t>az adatok</w:t>
            </w:r>
            <w:r w:rsidRPr="005F046F">
              <w:t xml:space="preserve"> </w:t>
            </w:r>
            <w:r w:rsidRPr="005F046F">
              <w:rPr>
                <w:b/>
                <w:bCs/>
                <w:i/>
                <w:iCs/>
              </w:rPr>
              <w:t>hozzáférhetőségét</w:t>
            </w:r>
            <w:r w:rsidRPr="005F046F">
              <w:t xml:space="preserve"> és az adatfeldolgozást, valamint az Unió pénzügyi érdekeinek védelme terén az eredményalapú irányításhoz szükséges átfogó jelentéstételt; </w:t>
            </w:r>
            <w:r w:rsidRPr="005F046F">
              <w:rPr>
                <w:b/>
                <w:bCs/>
                <w:i/>
                <w:iCs/>
              </w:rPr>
              <w:t>hangsúlyozza</w:t>
            </w:r>
            <w:r w:rsidRPr="005F046F">
              <w:t xml:space="preserve">, hogy a digitalizáció biztosíthatja a valódi átláthatóság alapját a polgárok és választott képviselőik számára, ami elengedhetetlen, ha közpénzekről van szó; </w:t>
            </w:r>
            <w:r w:rsidRPr="005F046F">
              <w:rPr>
                <w:b/>
                <w:i/>
              </w:rPr>
              <w:t xml:space="preserve">emlékeztet arra, hogy például a digitalizációnak az elemző gondolkodástól az operatív kiépítés felé kell elmozdulnia, tiszteletben tartva ugyanakkor az adatvédelmet, a </w:t>
            </w:r>
            <w:proofErr w:type="spellStart"/>
            <w:r w:rsidRPr="005F046F">
              <w:rPr>
                <w:b/>
                <w:i/>
              </w:rPr>
              <w:t>kiberbiztonságot</w:t>
            </w:r>
            <w:proofErr w:type="spellEnd"/>
            <w:r w:rsidRPr="005F046F">
              <w:rPr>
                <w:b/>
                <w:i/>
              </w:rPr>
              <w:t xml:space="preserve"> és a megfelelő emberi felügyeletet;</w:t>
            </w:r>
          </w:p>
        </w:tc>
      </w:tr>
    </w:tbl>
    <w:p w14:paraId="38559D5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782B853"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7598840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70F1BA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9A588C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E7DE8E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F5DBEB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CFEAFDD" w14:textId="77777777" w:rsidTr="00565F8F">
        <w:trPr>
          <w:trHeight w:hRule="exact" w:val="240"/>
          <w:jc w:val="center"/>
        </w:trPr>
        <w:tc>
          <w:tcPr>
            <w:tcW w:w="9752" w:type="dxa"/>
            <w:gridSpan w:val="2"/>
            <w:tcBorders>
              <w:top w:val="nil"/>
              <w:left w:val="nil"/>
              <w:bottom w:val="nil"/>
              <w:right w:val="nil"/>
            </w:tcBorders>
          </w:tcPr>
          <w:p w14:paraId="0A6B2F35" w14:textId="77777777" w:rsidR="000104F2" w:rsidRPr="005F046F" w:rsidRDefault="000104F2" w:rsidP="00565F8F"/>
        </w:tc>
      </w:tr>
      <w:tr w:rsidR="006C656F" w:rsidRPr="005F046F" w14:paraId="2F8504F7" w14:textId="77777777" w:rsidTr="00565F8F">
        <w:trPr>
          <w:trHeight w:val="240"/>
          <w:jc w:val="center"/>
        </w:trPr>
        <w:tc>
          <w:tcPr>
            <w:tcW w:w="4876" w:type="dxa"/>
            <w:tcBorders>
              <w:top w:val="nil"/>
              <w:left w:val="nil"/>
              <w:bottom w:val="nil"/>
              <w:right w:val="nil"/>
            </w:tcBorders>
          </w:tcPr>
          <w:p w14:paraId="61AD802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81B6F2D" w14:textId="77777777" w:rsidR="000104F2" w:rsidRPr="005F046F" w:rsidRDefault="000104F2" w:rsidP="00565F8F">
            <w:pPr>
              <w:pStyle w:val="AmColumnHeading"/>
            </w:pPr>
            <w:r w:rsidRPr="005F046F">
              <w:t>Módosítás</w:t>
            </w:r>
          </w:p>
        </w:tc>
      </w:tr>
      <w:tr w:rsidR="006C656F" w:rsidRPr="005F046F" w14:paraId="229F194B" w14:textId="77777777" w:rsidTr="00565F8F">
        <w:trPr>
          <w:jc w:val="center"/>
        </w:trPr>
        <w:tc>
          <w:tcPr>
            <w:tcW w:w="4876" w:type="dxa"/>
            <w:tcBorders>
              <w:top w:val="nil"/>
              <w:left w:val="nil"/>
              <w:bottom w:val="nil"/>
              <w:right w:val="nil"/>
            </w:tcBorders>
          </w:tcPr>
          <w:p w14:paraId="1D1C35A0" w14:textId="77777777" w:rsidR="000104F2" w:rsidRPr="005F046F" w:rsidRDefault="000104F2" w:rsidP="00565F8F">
            <w:pPr>
              <w:pStyle w:val="Normal6a"/>
            </w:pPr>
            <w:r w:rsidRPr="005F046F">
              <w:t>3.</w:t>
            </w:r>
            <w:r w:rsidRPr="005F046F">
              <w:tab/>
              <w:t>hangsúlyozza, hogy csak a fokozott digitalizáció – többek között a csalás elleni nemzeti stratégiák, a folyamatok digitalizációja és a közös digitális eszközök használata révén – teszi lehetővé a tudásmegosztást, a hozzáférhetőséget és az adatfeldolgozást, valamint az Unió pénzügyi érdekeinek védelme terén az eredményalapú irányításhoz szükséges átfogó jelentéstételt; megjegyzi, hogy csak a fokozott digitalizáció biztosíthatja a valódi átláthatóság alapját a polgárok és választott képviselőik számára, ami elengedhetetlen, ha közpénzekről van szó;</w:t>
            </w:r>
          </w:p>
        </w:tc>
        <w:tc>
          <w:tcPr>
            <w:tcW w:w="4876" w:type="dxa"/>
            <w:tcBorders>
              <w:top w:val="nil"/>
              <w:left w:val="nil"/>
              <w:bottom w:val="nil"/>
              <w:right w:val="nil"/>
            </w:tcBorders>
          </w:tcPr>
          <w:p w14:paraId="5E41EFF3" w14:textId="77777777" w:rsidR="000104F2" w:rsidRPr="005F046F" w:rsidRDefault="000104F2" w:rsidP="00565F8F">
            <w:pPr>
              <w:pStyle w:val="Normal6a"/>
            </w:pPr>
            <w:r w:rsidRPr="005F046F">
              <w:t>3.</w:t>
            </w:r>
            <w:r w:rsidRPr="005F046F">
              <w:tab/>
              <w:t xml:space="preserve">hangsúlyozza, hogy csak a fokozott digitalizáció – többek között a csalás elleni nemzeti stratégiák, a folyamatok digitalizációja és a közös digitális eszközök használata révén – teszi lehetővé a tudásmegosztást, a hozzáférhetőséget és az adatfeldolgozást, valamint az Unió pénzügyi érdekeinek védelme terén az eredményalapú irányításhoz szükséges átfogó jelentéstételt; megjegyzi, hogy csak a fokozott digitalizáció biztosíthatja a valódi átláthatóság alapját a polgárok és választott képviselőik számára, ami elengedhetetlen, ha közpénzekről van szó; </w:t>
            </w:r>
            <w:r w:rsidRPr="005F046F">
              <w:rPr>
                <w:b/>
                <w:i/>
              </w:rPr>
              <w:t xml:space="preserve">hangsúlyozza, hogy a digitalizáció csak akkor teremt hozzáadott értéket, ha azt egyértelmű operatív célkitűzések, a nemzeti és az uniós rendszerek közötti tényleges </w:t>
            </w:r>
            <w:proofErr w:type="spellStart"/>
            <w:r w:rsidRPr="005F046F">
              <w:rPr>
                <w:b/>
                <w:i/>
              </w:rPr>
              <w:t>interoperabilitás</w:t>
            </w:r>
            <w:proofErr w:type="spellEnd"/>
            <w:r w:rsidRPr="005F046F">
              <w:rPr>
                <w:b/>
                <w:i/>
              </w:rPr>
              <w:t>, valamint az adatok korai felismeréssé, kockázatok rangsorolásává és mérhető korrekciós intézkedésekké történő átalakításához szükséges kellő elemzési kapacitás kísérik;</w:t>
            </w:r>
          </w:p>
        </w:tc>
      </w:tr>
    </w:tbl>
    <w:p w14:paraId="4C9A07D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C2AD84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3AAE12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D8BF18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CBCAA0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CD3589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2FA330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A286D92" w14:textId="77777777" w:rsidTr="00565F8F">
        <w:trPr>
          <w:trHeight w:hRule="exact" w:val="240"/>
          <w:jc w:val="center"/>
        </w:trPr>
        <w:tc>
          <w:tcPr>
            <w:tcW w:w="9752" w:type="dxa"/>
            <w:gridSpan w:val="2"/>
            <w:tcBorders>
              <w:top w:val="nil"/>
              <w:left w:val="nil"/>
              <w:bottom w:val="nil"/>
              <w:right w:val="nil"/>
            </w:tcBorders>
          </w:tcPr>
          <w:p w14:paraId="13839644" w14:textId="77777777" w:rsidR="000104F2" w:rsidRPr="005F046F" w:rsidRDefault="000104F2" w:rsidP="00565F8F"/>
        </w:tc>
      </w:tr>
      <w:tr w:rsidR="006C656F" w:rsidRPr="005F046F" w14:paraId="0EE4B553" w14:textId="77777777" w:rsidTr="00565F8F">
        <w:trPr>
          <w:trHeight w:val="240"/>
          <w:jc w:val="center"/>
        </w:trPr>
        <w:tc>
          <w:tcPr>
            <w:tcW w:w="4876" w:type="dxa"/>
            <w:tcBorders>
              <w:top w:val="nil"/>
              <w:left w:val="nil"/>
              <w:bottom w:val="nil"/>
              <w:right w:val="nil"/>
            </w:tcBorders>
          </w:tcPr>
          <w:p w14:paraId="3C003CB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026785F" w14:textId="77777777" w:rsidR="000104F2" w:rsidRPr="005F046F" w:rsidRDefault="000104F2" w:rsidP="00565F8F">
            <w:pPr>
              <w:pStyle w:val="AmColumnHeading"/>
            </w:pPr>
            <w:r w:rsidRPr="005F046F">
              <w:t>Módosítás</w:t>
            </w:r>
          </w:p>
        </w:tc>
      </w:tr>
      <w:tr w:rsidR="006C656F" w:rsidRPr="005F046F" w14:paraId="67C2165D" w14:textId="77777777" w:rsidTr="00565F8F">
        <w:trPr>
          <w:jc w:val="center"/>
        </w:trPr>
        <w:tc>
          <w:tcPr>
            <w:tcW w:w="4876" w:type="dxa"/>
            <w:tcBorders>
              <w:top w:val="nil"/>
              <w:left w:val="nil"/>
              <w:bottom w:val="nil"/>
              <w:right w:val="nil"/>
            </w:tcBorders>
          </w:tcPr>
          <w:p w14:paraId="770CD856" w14:textId="77777777" w:rsidR="000104F2" w:rsidRPr="005F046F" w:rsidRDefault="000104F2" w:rsidP="00565F8F">
            <w:pPr>
              <w:pStyle w:val="Normal6a"/>
            </w:pPr>
            <w:r w:rsidRPr="005F046F">
              <w:t>3.</w:t>
            </w:r>
            <w:r w:rsidRPr="005F046F">
              <w:tab/>
              <w:t xml:space="preserve">hangsúlyozza, hogy csak a fokozott digitalizáció – többek között a csalás elleni nemzeti stratégiák, a folyamatok </w:t>
            </w:r>
            <w:r w:rsidRPr="005F046F">
              <w:lastRenderedPageBreak/>
              <w:t>digitalizációja és a közös digitális eszközök használata révén – teszi lehetővé a tudásmegosztást, a hozzáférhetőséget és az adatfeldolgozást, valamint az Unió pénzügyi érdekeinek védelme terén az eredményalapú irányításhoz szükséges átfogó jelentéstételt; megjegyzi, hogy csak a fokozott digitalizáció biztosíthatja a valódi átláthatóság alapját a polgárok és választott képviselőik számára, ami elengedhetetlen, ha közpénzekről van szó;</w:t>
            </w:r>
          </w:p>
        </w:tc>
        <w:tc>
          <w:tcPr>
            <w:tcW w:w="4876" w:type="dxa"/>
            <w:tcBorders>
              <w:top w:val="nil"/>
              <w:left w:val="nil"/>
              <w:bottom w:val="nil"/>
              <w:right w:val="nil"/>
            </w:tcBorders>
          </w:tcPr>
          <w:p w14:paraId="42D45B5F" w14:textId="77777777" w:rsidR="000104F2" w:rsidRPr="005F046F" w:rsidRDefault="000104F2" w:rsidP="00565F8F">
            <w:pPr>
              <w:pStyle w:val="Normal6a"/>
            </w:pPr>
            <w:r w:rsidRPr="005F046F">
              <w:lastRenderedPageBreak/>
              <w:t>3.</w:t>
            </w:r>
            <w:r w:rsidRPr="005F046F">
              <w:tab/>
              <w:t xml:space="preserve">hangsúlyozza, hogy csak a fokozott digitalizáció – többek között a csalás elleni nemzeti stratégiák, a folyamatok </w:t>
            </w:r>
            <w:r w:rsidRPr="005F046F">
              <w:lastRenderedPageBreak/>
              <w:t xml:space="preserve">digitalizációja és a közös digitális eszközök használata révén – teszi lehetővé a tudásmegosztást, a hozzáférhetőséget és az adatfeldolgozást, valamint az Unió pénzügyi érdekeinek védelme terén az eredményalapú irányításhoz szükséges átfogó jelentéstételt; megjegyzi, hogy csak a fokozott digitalizáció biztosíthatja a valódi átláthatóság alapját a polgárok és választott képviselőik számára, ami elengedhetetlen, ha közpénzekről van szó; </w:t>
            </w:r>
            <w:r w:rsidRPr="005F046F">
              <w:rPr>
                <w:b/>
                <w:i/>
              </w:rPr>
              <w:t>hangsúlyozza, hogy a digitalizáció és az eredményorientált mutatók lényegesen egyszerűsíthetik az ellenőrzéseket, csökkenthetik a bürokráciát a kedvezményezettek számára, és biztosíthatják az adófizetők pénzének hatékonyabb felhasználását; úgy véli, hogy ha az Európai Bizottság eredményorientált, mérhető mutatókat vezetne be programjaiba, az egyszerűsítené az ellenőrzéseket, csökkentené a bürokráciát a kedvezményezettek számára, és biztosítaná az adófizetők pénzének hatékonyabb felhasználását;</w:t>
            </w:r>
          </w:p>
        </w:tc>
      </w:tr>
    </w:tbl>
    <w:p w14:paraId="1BE0D93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BFA986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0A0EDA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8CAAB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2266E7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769A40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AC75D1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972A6F6" w14:textId="77777777" w:rsidTr="00565F8F">
        <w:trPr>
          <w:trHeight w:hRule="exact" w:val="240"/>
          <w:jc w:val="center"/>
        </w:trPr>
        <w:tc>
          <w:tcPr>
            <w:tcW w:w="9752" w:type="dxa"/>
            <w:gridSpan w:val="2"/>
            <w:tcBorders>
              <w:top w:val="nil"/>
              <w:left w:val="nil"/>
              <w:bottom w:val="nil"/>
              <w:right w:val="nil"/>
            </w:tcBorders>
          </w:tcPr>
          <w:p w14:paraId="4D4C0BEF" w14:textId="77777777" w:rsidR="000104F2" w:rsidRPr="005F046F" w:rsidRDefault="000104F2" w:rsidP="00565F8F"/>
        </w:tc>
      </w:tr>
      <w:tr w:rsidR="006C656F" w:rsidRPr="005F046F" w14:paraId="225FD45D" w14:textId="77777777" w:rsidTr="00565F8F">
        <w:trPr>
          <w:trHeight w:val="240"/>
          <w:jc w:val="center"/>
        </w:trPr>
        <w:tc>
          <w:tcPr>
            <w:tcW w:w="4876" w:type="dxa"/>
            <w:tcBorders>
              <w:top w:val="nil"/>
              <w:left w:val="nil"/>
              <w:bottom w:val="nil"/>
              <w:right w:val="nil"/>
            </w:tcBorders>
          </w:tcPr>
          <w:p w14:paraId="3E7C351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E0D6170" w14:textId="77777777" w:rsidR="000104F2" w:rsidRPr="005F046F" w:rsidRDefault="000104F2" w:rsidP="00565F8F">
            <w:pPr>
              <w:pStyle w:val="AmColumnHeading"/>
            </w:pPr>
            <w:r w:rsidRPr="005F046F">
              <w:t>Módosítás</w:t>
            </w:r>
          </w:p>
        </w:tc>
      </w:tr>
      <w:tr w:rsidR="006C656F" w:rsidRPr="005F046F" w14:paraId="0D886307" w14:textId="77777777" w:rsidTr="00565F8F">
        <w:trPr>
          <w:jc w:val="center"/>
        </w:trPr>
        <w:tc>
          <w:tcPr>
            <w:tcW w:w="4876" w:type="dxa"/>
            <w:tcBorders>
              <w:top w:val="nil"/>
              <w:left w:val="nil"/>
              <w:bottom w:val="nil"/>
              <w:right w:val="nil"/>
            </w:tcBorders>
          </w:tcPr>
          <w:p w14:paraId="5162C2FC" w14:textId="2F32146C" w:rsidR="000104F2" w:rsidRPr="005F046F" w:rsidRDefault="000104F2" w:rsidP="00565F8F">
            <w:pPr>
              <w:pStyle w:val="Normal6a"/>
            </w:pPr>
            <w:r w:rsidRPr="005F046F">
              <w:t>4.</w:t>
            </w:r>
            <w:r w:rsidRPr="005F046F">
              <w:tab/>
              <w:t xml:space="preserve">megjegyzi, hogy az uniós illetékes hatóságok és a nemzeti hatóságok által 2024-ben bejelentett szabálytalanságok száma valamivel alacsonyabb volt, mint 2023-ban (összesen 13 589 2024-ben, 13 947 2023-ban és 12 455 2022-ben), míg a kapcsolódó szabálytalan összegek viszonylag változatlanok voltak (2024-ben </w:t>
            </w:r>
            <w:r w:rsidRPr="005F046F">
              <w:lastRenderedPageBreak/>
              <w:t>1,84 milliárd EUR, szemben a 2023. évi 1,90 milliárd EUR-val, és a 2022. évi 1,77 milliárd EUR-val); megállapítja, hogy a csalási ügyek a bejelentett összes szabálytalanság mintegy 10 %-át teszik ki, és számuk meredeken, 1 364-re nőtt (26 %</w:t>
            </w:r>
            <w:r w:rsidR="00B321FB">
              <w:noBreakHyphen/>
            </w:r>
            <w:r w:rsidRPr="005F046F">
              <w:t>kal több, mint 2023-ban); megjegyzi, hogy az e csalási ügyekhez kapcsolódó pénzösszegek is nőttek, 2024</w:t>
            </w:r>
            <w:r w:rsidR="00B321FB">
              <w:noBreakHyphen/>
            </w:r>
            <w:r w:rsidRPr="005F046F">
              <w:t>ben 548,8 millió EUR-ra (+ 138,7</w:t>
            </w:r>
            <w:r w:rsidR="00B321FB">
              <w:t> </w:t>
            </w:r>
            <w:r w:rsidRPr="005F046F">
              <w:t xml:space="preserve">% 2023-hoz képest); </w:t>
            </w:r>
            <w:r w:rsidRPr="005F046F">
              <w:rPr>
                <w:b/>
                <w:bCs/>
                <w:i/>
                <w:iCs/>
              </w:rPr>
              <w:t>rámutat</w:t>
            </w:r>
            <w:r w:rsidRPr="005F046F">
              <w:t xml:space="preserve"> arra, hogy mivel az ellenőrzések </w:t>
            </w:r>
            <w:r w:rsidRPr="005F046F">
              <w:rPr>
                <w:b/>
                <w:bCs/>
                <w:i/>
                <w:iCs/>
              </w:rPr>
              <w:t>nem szisztematikusak, hanem gyakran mintavétellel végzik őket</w:t>
            </w:r>
            <w:r w:rsidRPr="005F046F">
              <w:t xml:space="preserve">, ezeket a számadatokat </w:t>
            </w:r>
            <w:r w:rsidRPr="005F046F">
              <w:rPr>
                <w:b/>
                <w:bCs/>
                <w:i/>
                <w:iCs/>
              </w:rPr>
              <w:t>óvatosan</w:t>
            </w:r>
            <w:r w:rsidRPr="005F046F">
              <w:t xml:space="preserve"> kell értelmezni;</w:t>
            </w:r>
          </w:p>
        </w:tc>
        <w:tc>
          <w:tcPr>
            <w:tcW w:w="4876" w:type="dxa"/>
            <w:tcBorders>
              <w:top w:val="nil"/>
              <w:left w:val="nil"/>
              <w:bottom w:val="nil"/>
              <w:right w:val="nil"/>
            </w:tcBorders>
          </w:tcPr>
          <w:p w14:paraId="54DF1729" w14:textId="749198FC" w:rsidR="000104F2" w:rsidRPr="005F046F" w:rsidRDefault="000104F2" w:rsidP="00565F8F">
            <w:pPr>
              <w:pStyle w:val="Normal6a"/>
            </w:pPr>
            <w:r w:rsidRPr="005F046F">
              <w:lastRenderedPageBreak/>
              <w:t>4.</w:t>
            </w:r>
            <w:r w:rsidRPr="005F046F">
              <w:tab/>
              <w:t xml:space="preserve">megjegyzi, hogy az uniós illetékes hatóságok és a nemzeti hatóságok által 2024-ben bejelentett szabálytalanságok száma valamivel alacsonyabb volt, mint 2023-ban (összesen 13 589 2024-ben, 13 947 2023-ban és 12 455 2022-ben), míg a kapcsolódó szabálytalan összegek viszonylag változatlanok voltak (2024-ben </w:t>
            </w:r>
            <w:r w:rsidRPr="005F046F">
              <w:lastRenderedPageBreak/>
              <w:t>1,84 milliárd EUR, szemben a 2023. évi 1,90 milliárd EUR-val, és a 2022. évi 1,77 milliárd EUR-val); megállapítja, hogy a csalási ügyek a bejelentett összes szabálytalanság mintegy 10 %-át teszik ki, és számuk meredeken, 1 364-re nőtt (26 %</w:t>
            </w:r>
            <w:r w:rsidR="00B321FB">
              <w:noBreakHyphen/>
            </w:r>
            <w:r w:rsidRPr="005F046F">
              <w:t>kal több, mint 2023-ban); megjegyzi, hogy az e csalási ügyekhez kapcsolódó pénzösszegek is nőttek, 2024</w:t>
            </w:r>
            <w:r w:rsidR="00B321FB">
              <w:noBreakHyphen/>
            </w:r>
            <w:r w:rsidRPr="005F046F">
              <w:t>ben 548,8 millió EUR-ra (+ 138,7</w:t>
            </w:r>
            <w:r w:rsidR="00B321FB">
              <w:t> </w:t>
            </w:r>
            <w:r w:rsidRPr="005F046F">
              <w:t xml:space="preserve">% 2023-hoz képest); </w:t>
            </w:r>
            <w:r w:rsidRPr="005F046F">
              <w:rPr>
                <w:b/>
                <w:i/>
              </w:rPr>
              <w:t xml:space="preserve">emlékeztet arra, hogy a szabálytalanságkezelő rendszer keretében bejelentett információk elsősorban a tagállamok által továbbított adatokon alapulnak, amelyek különböző felderítési forrásokra és módszerekre támaszkodnak; </w:t>
            </w:r>
            <w:r w:rsidRPr="005F046F">
              <w:rPr>
                <w:b/>
                <w:bCs/>
                <w:i/>
                <w:iCs/>
              </w:rPr>
              <w:t>emlékeztet</w:t>
            </w:r>
            <w:r w:rsidRPr="005F046F">
              <w:t xml:space="preserve"> arra, hogy mivel az ellenőrzések </w:t>
            </w:r>
            <w:r w:rsidRPr="005F046F">
              <w:rPr>
                <w:b/>
                <w:bCs/>
                <w:i/>
                <w:iCs/>
              </w:rPr>
              <w:t>gyakran kockázatalapú elemzésen alapulnak</w:t>
            </w:r>
            <w:r w:rsidRPr="005F046F">
              <w:t xml:space="preserve">, ezeket a számadatokat </w:t>
            </w:r>
            <w:r w:rsidRPr="005F046F">
              <w:rPr>
                <w:b/>
                <w:bCs/>
                <w:i/>
                <w:iCs/>
              </w:rPr>
              <w:t xml:space="preserve">a megfelelő módszertani összefüggésben </w:t>
            </w:r>
            <w:r w:rsidRPr="005F046F">
              <w:t xml:space="preserve">kell értelmezni; </w:t>
            </w:r>
            <w:r w:rsidRPr="005F046F">
              <w:rPr>
                <w:b/>
                <w:i/>
              </w:rPr>
              <w:t xml:space="preserve">ezért megerősített kockázatértékelést, </w:t>
            </w:r>
            <w:proofErr w:type="spellStart"/>
            <w:r w:rsidRPr="005F046F">
              <w:rPr>
                <w:b/>
                <w:i/>
              </w:rPr>
              <w:t>összehangoltabb</w:t>
            </w:r>
            <w:proofErr w:type="spellEnd"/>
            <w:r w:rsidRPr="005F046F">
              <w:rPr>
                <w:b/>
                <w:i/>
              </w:rPr>
              <w:t xml:space="preserve"> tagállami ellenőrzési gyakorlatokat és az esetek jobb minőségi értékelését szorgalmazza a bejelentett adatok megbízhatóságának és összehasonlíthatóságának javítása érdekében;</w:t>
            </w:r>
          </w:p>
        </w:tc>
      </w:tr>
    </w:tbl>
    <w:p w14:paraId="444BC2E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98217E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77E36E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00D8DA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2FFB63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6FEAD4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3497CD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071BBEA" w14:textId="77777777" w:rsidTr="00565F8F">
        <w:trPr>
          <w:trHeight w:hRule="exact" w:val="240"/>
          <w:jc w:val="center"/>
        </w:trPr>
        <w:tc>
          <w:tcPr>
            <w:tcW w:w="9752" w:type="dxa"/>
            <w:gridSpan w:val="2"/>
            <w:tcBorders>
              <w:top w:val="nil"/>
              <w:left w:val="nil"/>
              <w:bottom w:val="nil"/>
              <w:right w:val="nil"/>
            </w:tcBorders>
          </w:tcPr>
          <w:p w14:paraId="75462E79" w14:textId="77777777" w:rsidR="000104F2" w:rsidRPr="005F046F" w:rsidRDefault="000104F2" w:rsidP="00565F8F"/>
        </w:tc>
      </w:tr>
      <w:tr w:rsidR="006C656F" w:rsidRPr="005F046F" w14:paraId="003C33BE" w14:textId="77777777" w:rsidTr="00565F8F">
        <w:trPr>
          <w:trHeight w:val="240"/>
          <w:jc w:val="center"/>
        </w:trPr>
        <w:tc>
          <w:tcPr>
            <w:tcW w:w="4876" w:type="dxa"/>
            <w:tcBorders>
              <w:top w:val="nil"/>
              <w:left w:val="nil"/>
              <w:bottom w:val="nil"/>
              <w:right w:val="nil"/>
            </w:tcBorders>
          </w:tcPr>
          <w:p w14:paraId="4642BF7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9B85908" w14:textId="77777777" w:rsidR="000104F2" w:rsidRPr="005F046F" w:rsidRDefault="000104F2" w:rsidP="00565F8F">
            <w:pPr>
              <w:pStyle w:val="AmColumnHeading"/>
            </w:pPr>
            <w:r w:rsidRPr="005F046F">
              <w:t>Módosítás</w:t>
            </w:r>
          </w:p>
        </w:tc>
      </w:tr>
      <w:tr w:rsidR="006C656F" w:rsidRPr="005F046F" w14:paraId="1F1D0E38" w14:textId="77777777" w:rsidTr="00565F8F">
        <w:trPr>
          <w:jc w:val="center"/>
        </w:trPr>
        <w:tc>
          <w:tcPr>
            <w:tcW w:w="4876" w:type="dxa"/>
            <w:tcBorders>
              <w:top w:val="nil"/>
              <w:left w:val="nil"/>
              <w:bottom w:val="nil"/>
              <w:right w:val="nil"/>
            </w:tcBorders>
          </w:tcPr>
          <w:p w14:paraId="2099BD78" w14:textId="77777777" w:rsidR="000104F2" w:rsidRPr="005F046F" w:rsidRDefault="000104F2" w:rsidP="00565F8F">
            <w:pPr>
              <w:pStyle w:val="Normal6a"/>
            </w:pPr>
          </w:p>
        </w:tc>
        <w:tc>
          <w:tcPr>
            <w:tcW w:w="4876" w:type="dxa"/>
            <w:tcBorders>
              <w:top w:val="nil"/>
              <w:left w:val="nil"/>
              <w:bottom w:val="nil"/>
              <w:right w:val="nil"/>
            </w:tcBorders>
          </w:tcPr>
          <w:p w14:paraId="450655F9" w14:textId="77777777" w:rsidR="000104F2" w:rsidRPr="005F046F" w:rsidRDefault="000104F2" w:rsidP="00565F8F">
            <w:pPr>
              <w:pStyle w:val="Normal6a"/>
            </w:pPr>
            <w:r w:rsidRPr="005F046F">
              <w:rPr>
                <w:b/>
                <w:i/>
              </w:rPr>
              <w:t>4a.</w:t>
            </w:r>
            <w:r w:rsidRPr="005F046F">
              <w:tab/>
            </w:r>
            <w:r w:rsidRPr="005F046F">
              <w:rPr>
                <w:b/>
                <w:i/>
              </w:rPr>
              <w:t xml:space="preserve">megjegyzi, hogy a felderített csalások számának jelentős növekedése a felderítés javulását tükrözheti, ugyanakkor arra is rámutat, hogy a korábbi pénzügyi években strukturálisan </w:t>
            </w:r>
            <w:proofErr w:type="spellStart"/>
            <w:r w:rsidRPr="005F046F">
              <w:rPr>
                <w:b/>
                <w:i/>
              </w:rPr>
              <w:t>alulbecsülték</w:t>
            </w:r>
            <w:proofErr w:type="spellEnd"/>
            <w:r w:rsidRPr="005F046F">
              <w:rPr>
                <w:b/>
                <w:i/>
              </w:rPr>
              <w:t xml:space="preserve"> a csalásokat; úgy véli, hogy a rendelkezésre álló adatok még nem </w:t>
            </w:r>
            <w:r w:rsidRPr="005F046F">
              <w:rPr>
                <w:b/>
                <w:i/>
              </w:rPr>
              <w:lastRenderedPageBreak/>
              <w:t>teszik lehetővé az uniós költségvetést érintő csalások tényleges mértékének értékelését, és arra kéri a Bizottságot, hogy kifejezetten foglalkozzon ezzel az elemzési hiányossággal;</w:t>
            </w:r>
          </w:p>
        </w:tc>
      </w:tr>
    </w:tbl>
    <w:p w14:paraId="38B74F3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B67A94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7B2A2B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B1895A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9310AD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979D3A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1B905E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5B15519" w14:textId="77777777" w:rsidTr="00565F8F">
        <w:trPr>
          <w:trHeight w:hRule="exact" w:val="240"/>
          <w:jc w:val="center"/>
        </w:trPr>
        <w:tc>
          <w:tcPr>
            <w:tcW w:w="9752" w:type="dxa"/>
            <w:gridSpan w:val="2"/>
            <w:tcBorders>
              <w:top w:val="nil"/>
              <w:left w:val="nil"/>
              <w:bottom w:val="nil"/>
              <w:right w:val="nil"/>
            </w:tcBorders>
          </w:tcPr>
          <w:p w14:paraId="722377A1" w14:textId="77777777" w:rsidR="000104F2" w:rsidRPr="005F046F" w:rsidRDefault="000104F2" w:rsidP="00565F8F"/>
        </w:tc>
      </w:tr>
      <w:tr w:rsidR="006C656F" w:rsidRPr="005F046F" w14:paraId="3D34261B" w14:textId="77777777" w:rsidTr="00565F8F">
        <w:trPr>
          <w:trHeight w:val="240"/>
          <w:jc w:val="center"/>
        </w:trPr>
        <w:tc>
          <w:tcPr>
            <w:tcW w:w="4876" w:type="dxa"/>
            <w:tcBorders>
              <w:top w:val="nil"/>
              <w:left w:val="nil"/>
              <w:bottom w:val="nil"/>
              <w:right w:val="nil"/>
            </w:tcBorders>
          </w:tcPr>
          <w:p w14:paraId="0F1A726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4A4B158" w14:textId="77777777" w:rsidR="000104F2" w:rsidRPr="005F046F" w:rsidRDefault="000104F2" w:rsidP="00565F8F">
            <w:pPr>
              <w:pStyle w:val="AmColumnHeading"/>
            </w:pPr>
            <w:r w:rsidRPr="005F046F">
              <w:t>Módosítás</w:t>
            </w:r>
          </w:p>
        </w:tc>
      </w:tr>
      <w:tr w:rsidR="006C656F" w:rsidRPr="005F046F" w14:paraId="4CDE01D8" w14:textId="77777777" w:rsidTr="00565F8F">
        <w:trPr>
          <w:jc w:val="center"/>
        </w:trPr>
        <w:tc>
          <w:tcPr>
            <w:tcW w:w="4876" w:type="dxa"/>
            <w:tcBorders>
              <w:top w:val="nil"/>
              <w:left w:val="nil"/>
              <w:bottom w:val="nil"/>
              <w:right w:val="nil"/>
            </w:tcBorders>
          </w:tcPr>
          <w:p w14:paraId="14A6A8F0" w14:textId="653585BF" w:rsidR="000104F2" w:rsidRPr="005F046F" w:rsidRDefault="000104F2" w:rsidP="00565F8F">
            <w:pPr>
              <w:pStyle w:val="Normal6a"/>
            </w:pPr>
            <w:r w:rsidRPr="005F046F">
              <w:t>7.</w:t>
            </w:r>
            <w:r w:rsidRPr="005F046F">
              <w:tab/>
              <w:t>megjegyzi, hogy az Európai Ügyészség tevékenységei 2021 júniusa óta folyamatosan fokozódtak a következők tekintetében: a megindított nyomozások száma (2024-ben 1 504 vizsgálat, szemben a 2023. évi 1 371-gyel és a 2022. évi 865</w:t>
            </w:r>
            <w:r w:rsidR="00FE3101">
              <w:noBreakHyphen/>
            </w:r>
            <w:r w:rsidRPr="005F046F">
              <w:t>tel), a jelenleg folyamatban lévő nyomozások száma (2024-ben 2 666, szemben a 2023. évi 1 927-tel és a 2022. évi 1 117-tel), a vádemelések száma (2024</w:t>
            </w:r>
            <w:r w:rsidR="00FE3101">
              <w:noBreakHyphen/>
            </w:r>
            <w:r w:rsidRPr="005F046F">
              <w:t>ben 205, szemben a 2023. évi 139-cel és a 2022. évi 87-tel), a bírósági ítéletek száma (2024-ben 102 büntetőügyet zártak le egy ítélettel, szemben a 2023. évi 48 üggyel és a 2022. évi 20 üggyel), valamint a befagyasztást elrendelő határozatok száma (2024-ben 2,42 milliárd EUR, szemben a 2023. évi 1,5 milliárd EUR-val, és a 2022. évi 359,1 millió EUR-val);</w:t>
            </w:r>
          </w:p>
        </w:tc>
        <w:tc>
          <w:tcPr>
            <w:tcW w:w="4876" w:type="dxa"/>
            <w:tcBorders>
              <w:top w:val="nil"/>
              <w:left w:val="nil"/>
              <w:bottom w:val="nil"/>
              <w:right w:val="nil"/>
            </w:tcBorders>
          </w:tcPr>
          <w:p w14:paraId="58ABAB78" w14:textId="59F9262D" w:rsidR="000104F2" w:rsidRPr="005F046F" w:rsidRDefault="000104F2" w:rsidP="00565F8F">
            <w:pPr>
              <w:pStyle w:val="Normal6a"/>
            </w:pPr>
            <w:r w:rsidRPr="005F046F">
              <w:t>7.</w:t>
            </w:r>
            <w:r w:rsidRPr="005F046F">
              <w:tab/>
              <w:t>megjegyzi, hogy az Európai Ügyészség tevékenységei 2021 júniusa óta folyamatosan fokozódtak a következők tekintetében: a megindított nyomozások száma (2024-ben 1 504 vizsgálat, szemben a 2023. évi 1 371-gyel és a 2022. évi 865</w:t>
            </w:r>
            <w:r w:rsidR="00FE3101">
              <w:noBreakHyphen/>
            </w:r>
            <w:r w:rsidRPr="005F046F">
              <w:t>tel), a jelenleg folyamatban lévő nyomozások száma (2024-ben 2 666, szemben a 2023. évi 1 927-tel és a 2022. évi 1 117-tel), a vádemelések száma (2024</w:t>
            </w:r>
            <w:r w:rsidR="00FE3101">
              <w:noBreakHyphen/>
            </w:r>
            <w:r w:rsidRPr="005F046F">
              <w:t xml:space="preserve">ben 205, szemben a 2023. évi 139-cel és a 2022. évi 87-tel), a bírósági ítéletek száma (2024-ben 102 büntetőügyet zártak le egy ítélettel, szemben a 2023. évi 48 üggyel és a 2022. évi 20 üggyel), valamint a befagyasztást elrendelő határozatok száma (2024-ben 2,42 milliárd EUR, szemben a 2023. évi 1,5 milliárd EUR-val, és a 2022. évi 359,1 millió EUR-val); </w:t>
            </w:r>
            <w:r w:rsidRPr="005F046F">
              <w:rPr>
                <w:b/>
                <w:i/>
              </w:rPr>
              <w:t>hangsúlyozza azonban, hogy az Európai Ügyészség tevékenységeinek tartós növekedését nemcsak a vizsgálatok és az ítéletek száma, hanem a tényleges költségvetési hatás, többek között a pénzeszközök visszafizettetése és az elrettentő hatás szempontjából is értékelni kell; kéri, hogy ezt a dimenziót szisztematikusan építsék be a jövőbeli PIF-jelentésekbe;</w:t>
            </w:r>
          </w:p>
        </w:tc>
      </w:tr>
    </w:tbl>
    <w:p w14:paraId="7BF9A0D8"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29C757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C578E7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39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600272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EEA82B8"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75A5A33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E741F3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7DD984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7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71DF98B" w14:textId="77777777" w:rsidTr="00565F8F">
        <w:trPr>
          <w:trHeight w:hRule="exact" w:val="240"/>
          <w:jc w:val="center"/>
        </w:trPr>
        <w:tc>
          <w:tcPr>
            <w:tcW w:w="9752" w:type="dxa"/>
            <w:gridSpan w:val="2"/>
            <w:tcBorders>
              <w:top w:val="nil"/>
              <w:left w:val="nil"/>
              <w:bottom w:val="nil"/>
              <w:right w:val="nil"/>
            </w:tcBorders>
          </w:tcPr>
          <w:p w14:paraId="0B28CBC5" w14:textId="77777777" w:rsidR="000104F2" w:rsidRPr="005F046F" w:rsidRDefault="000104F2" w:rsidP="00565F8F"/>
        </w:tc>
      </w:tr>
      <w:tr w:rsidR="006C656F" w:rsidRPr="005F046F" w14:paraId="0A92EFE0" w14:textId="77777777" w:rsidTr="00565F8F">
        <w:trPr>
          <w:trHeight w:val="240"/>
          <w:jc w:val="center"/>
        </w:trPr>
        <w:tc>
          <w:tcPr>
            <w:tcW w:w="4876" w:type="dxa"/>
            <w:tcBorders>
              <w:top w:val="nil"/>
              <w:left w:val="nil"/>
              <w:bottom w:val="nil"/>
              <w:right w:val="nil"/>
            </w:tcBorders>
          </w:tcPr>
          <w:p w14:paraId="13FB0D1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131B253" w14:textId="77777777" w:rsidR="000104F2" w:rsidRPr="005F046F" w:rsidRDefault="000104F2" w:rsidP="00565F8F">
            <w:pPr>
              <w:pStyle w:val="AmColumnHeading"/>
            </w:pPr>
            <w:r w:rsidRPr="005F046F">
              <w:t>Módosítás</w:t>
            </w:r>
          </w:p>
        </w:tc>
      </w:tr>
      <w:tr w:rsidR="006C656F" w:rsidRPr="005F046F" w14:paraId="269F3469" w14:textId="77777777" w:rsidTr="00565F8F">
        <w:trPr>
          <w:jc w:val="center"/>
        </w:trPr>
        <w:tc>
          <w:tcPr>
            <w:tcW w:w="4876" w:type="dxa"/>
            <w:tcBorders>
              <w:top w:val="nil"/>
              <w:left w:val="nil"/>
              <w:bottom w:val="nil"/>
              <w:right w:val="nil"/>
            </w:tcBorders>
          </w:tcPr>
          <w:p w14:paraId="4209100F" w14:textId="77777777" w:rsidR="000104F2" w:rsidRPr="005F046F" w:rsidRDefault="000104F2" w:rsidP="00565F8F">
            <w:pPr>
              <w:pStyle w:val="Normal6a"/>
            </w:pPr>
          </w:p>
        </w:tc>
        <w:tc>
          <w:tcPr>
            <w:tcW w:w="4876" w:type="dxa"/>
            <w:tcBorders>
              <w:top w:val="nil"/>
              <w:left w:val="nil"/>
              <w:bottom w:val="nil"/>
              <w:right w:val="nil"/>
            </w:tcBorders>
          </w:tcPr>
          <w:p w14:paraId="70B9E550" w14:textId="77777777" w:rsidR="000104F2" w:rsidRPr="005F046F" w:rsidRDefault="000104F2" w:rsidP="00565F8F">
            <w:pPr>
              <w:pStyle w:val="Normal6a"/>
            </w:pPr>
            <w:r w:rsidRPr="005F046F">
              <w:rPr>
                <w:b/>
                <w:i/>
              </w:rPr>
              <w:t>7a.</w:t>
            </w:r>
            <w:r w:rsidRPr="005F046F">
              <w:tab/>
            </w:r>
            <w:r w:rsidRPr="005F046F">
              <w:rPr>
                <w:b/>
                <w:i/>
              </w:rPr>
              <w:t>megjegyzi, hogy 2024-ben tovább nőtt az Európai Ügyészség ügyforgalma és a becsült kár; hangsúlyozza, hogy a büntetőeljárások hatékonysága és az ügyek időben történő kezelése a központi hivatal és a delegált európai ügyészek megfelelő személyzeti létszámától függ; kéri a Bizottságot és a költségvetési hatóságot, hogy biztosítsanak elegendő – a munkaterheléssel és az ügyek összetettségével arányos mértékű – erőforrást;</w:t>
            </w:r>
          </w:p>
        </w:tc>
      </w:tr>
    </w:tbl>
    <w:p w14:paraId="44AA6DD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944DF2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4085D5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FF0D5D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548D58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635557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71CAED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418F613" w14:textId="77777777" w:rsidTr="00565F8F">
        <w:trPr>
          <w:trHeight w:hRule="exact" w:val="240"/>
          <w:jc w:val="center"/>
        </w:trPr>
        <w:tc>
          <w:tcPr>
            <w:tcW w:w="9752" w:type="dxa"/>
            <w:gridSpan w:val="2"/>
            <w:tcBorders>
              <w:top w:val="nil"/>
              <w:left w:val="nil"/>
              <w:bottom w:val="nil"/>
              <w:right w:val="nil"/>
            </w:tcBorders>
          </w:tcPr>
          <w:p w14:paraId="126D3F10" w14:textId="77777777" w:rsidR="000104F2" w:rsidRPr="005F046F" w:rsidRDefault="000104F2" w:rsidP="00565F8F"/>
        </w:tc>
      </w:tr>
      <w:tr w:rsidR="006C656F" w:rsidRPr="005F046F" w14:paraId="4703F837" w14:textId="77777777" w:rsidTr="00565F8F">
        <w:trPr>
          <w:trHeight w:val="240"/>
          <w:jc w:val="center"/>
        </w:trPr>
        <w:tc>
          <w:tcPr>
            <w:tcW w:w="4876" w:type="dxa"/>
            <w:tcBorders>
              <w:top w:val="nil"/>
              <w:left w:val="nil"/>
              <w:bottom w:val="nil"/>
              <w:right w:val="nil"/>
            </w:tcBorders>
          </w:tcPr>
          <w:p w14:paraId="4CA4DF4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C16F00C" w14:textId="77777777" w:rsidR="000104F2" w:rsidRPr="005F046F" w:rsidRDefault="000104F2" w:rsidP="00565F8F">
            <w:pPr>
              <w:pStyle w:val="AmColumnHeading"/>
            </w:pPr>
            <w:r w:rsidRPr="005F046F">
              <w:t>Módosítás</w:t>
            </w:r>
          </w:p>
        </w:tc>
      </w:tr>
      <w:tr w:rsidR="006C656F" w:rsidRPr="005F046F" w14:paraId="703DE88A" w14:textId="77777777" w:rsidTr="00565F8F">
        <w:trPr>
          <w:jc w:val="center"/>
        </w:trPr>
        <w:tc>
          <w:tcPr>
            <w:tcW w:w="4876" w:type="dxa"/>
            <w:tcBorders>
              <w:top w:val="nil"/>
              <w:left w:val="nil"/>
              <w:bottom w:val="nil"/>
              <w:right w:val="nil"/>
            </w:tcBorders>
          </w:tcPr>
          <w:p w14:paraId="7E56398F" w14:textId="77777777" w:rsidR="000104F2" w:rsidRPr="005F046F" w:rsidRDefault="000104F2" w:rsidP="00565F8F">
            <w:pPr>
              <w:pStyle w:val="Normal6a"/>
            </w:pPr>
            <w:r w:rsidRPr="005F046F">
              <w:t>8.</w:t>
            </w:r>
            <w:r w:rsidRPr="005F046F">
              <w:tab/>
              <w:t xml:space="preserve">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 és szakértelem), és hogy 2024 végéig 25 ügy volt folyamatban az </w:t>
            </w:r>
            <w:proofErr w:type="spellStart"/>
            <w:r w:rsidRPr="005F046F">
              <w:t>Eurojust</w:t>
            </w:r>
            <w:proofErr w:type="spellEnd"/>
            <w:r w:rsidRPr="005F046F">
              <w:t xml:space="preserve"> nemzeti irodáinak támogatásával; megjegyzi, hogy 2024-ben az OLAF 74 ügyet továbbított az Európai Ügyészségnek bűnügyi nyomozás megindítása céljából, és hogy az Európai Ügyészség 69 ügyet </w:t>
            </w:r>
            <w:r w:rsidRPr="005F046F">
              <w:lastRenderedPageBreak/>
              <w:t xml:space="preserve">indított az OLAF </w:t>
            </w:r>
            <w:r w:rsidRPr="005F046F">
              <w:rPr>
                <w:b/>
                <w:bCs/>
                <w:i/>
                <w:iCs/>
              </w:rPr>
              <w:t>hozzájárulásai</w:t>
            </w:r>
            <w:r w:rsidRPr="005F046F">
              <w:t xml:space="preserve"> alapján, és hogy ugyanebben az évben az OLAF 26 </w:t>
            </w:r>
            <w:r w:rsidRPr="005F046F">
              <w:rPr>
                <w:b/>
                <w:bCs/>
                <w:i/>
                <w:iCs/>
              </w:rPr>
              <w:t>további</w:t>
            </w:r>
            <w:r w:rsidRPr="005F046F">
              <w:t xml:space="preserve"> vizsgálatot zárt le és 17-et indított; elvárja, hogy a csalás elleni architektúra felülvizsgálata lehetőséget kínáljon ezen együttműködés megerősítésére és az </w:t>
            </w:r>
            <w:r w:rsidRPr="005F046F">
              <w:rPr>
                <w:b/>
                <w:bCs/>
                <w:i/>
                <w:iCs/>
              </w:rPr>
              <w:t>uniós prioritásokkal</w:t>
            </w:r>
            <w:r w:rsidRPr="005F046F">
              <w:t xml:space="preserve"> összhangban lévő ambiciózus célok kitűzésére;</w:t>
            </w:r>
          </w:p>
        </w:tc>
        <w:tc>
          <w:tcPr>
            <w:tcW w:w="4876" w:type="dxa"/>
            <w:tcBorders>
              <w:top w:val="nil"/>
              <w:left w:val="nil"/>
              <w:bottom w:val="nil"/>
              <w:right w:val="nil"/>
            </w:tcBorders>
          </w:tcPr>
          <w:p w14:paraId="4CEB0C26" w14:textId="77777777" w:rsidR="000104F2" w:rsidRPr="005F046F" w:rsidRDefault="000104F2" w:rsidP="00565F8F">
            <w:pPr>
              <w:pStyle w:val="Normal6a"/>
            </w:pPr>
            <w:r w:rsidRPr="005F046F">
              <w:lastRenderedPageBreak/>
              <w:t>8.</w:t>
            </w:r>
            <w:r w:rsidRPr="005F046F">
              <w:tab/>
            </w:r>
            <w:r w:rsidRPr="005F046F">
              <w:rPr>
                <w:b/>
                <w:i/>
              </w:rPr>
              <w:t>megállapítja, hogy a csalás elleni architektúra részét képező hatóságok némelyike között jelentős mértékű az együttműködés;</w:t>
            </w:r>
            <w:r w:rsidRPr="005F046F">
              <w:t xml:space="preserve"> 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 és szakértelem), és hogy 2024 végéig 25 ügy volt folyamatban az </w:t>
            </w:r>
            <w:proofErr w:type="spellStart"/>
            <w:r w:rsidRPr="005F046F">
              <w:t>Eurojust</w:t>
            </w:r>
            <w:proofErr w:type="spellEnd"/>
            <w:r w:rsidRPr="005F046F">
              <w:t xml:space="preserve"> nemzeti irodáinak támogatásával; megjegyzi, hogy 2024-ben </w:t>
            </w:r>
            <w:r w:rsidRPr="005F046F">
              <w:lastRenderedPageBreak/>
              <w:t xml:space="preserve">az OLAF 74 ügyet továbbított az Európai Ügyészségnek bűnügyi nyomozás megindítása céljából, és hogy az Európai Ügyészség 69 ügyet indított az OLAF </w:t>
            </w:r>
            <w:r w:rsidRPr="005F046F">
              <w:rPr>
                <w:b/>
                <w:bCs/>
                <w:i/>
                <w:iCs/>
              </w:rPr>
              <w:t>hozzájárulása</w:t>
            </w:r>
            <w:r w:rsidRPr="005F046F">
              <w:t xml:space="preserve"> alapján, és hogy ugyanebben az évben az OLAF 26 </w:t>
            </w:r>
            <w:r w:rsidRPr="005F046F">
              <w:rPr>
                <w:b/>
                <w:bCs/>
                <w:i/>
                <w:iCs/>
              </w:rPr>
              <w:t>kiegészítő</w:t>
            </w:r>
            <w:r w:rsidRPr="005F046F">
              <w:t xml:space="preserve"> vizsgálatot zárt le és 17-et indított </w:t>
            </w:r>
            <w:r w:rsidRPr="005F046F">
              <w:rPr>
                <w:b/>
                <w:i/>
              </w:rPr>
              <w:t>(2023-ban az OLAF 22 kiegészítő vizsgálatot indított, az Európai Ügyészség pedig négy támogató vizsgálatot kért)</w:t>
            </w:r>
            <w:r w:rsidRPr="005F046F">
              <w:t>;</w:t>
            </w:r>
            <w:r w:rsidRPr="005F046F">
              <w:rPr>
                <w:b/>
                <w:i/>
              </w:rPr>
              <w:t xml:space="preserve"> </w:t>
            </w:r>
            <w:r w:rsidRPr="005F046F">
              <w:rPr>
                <w:b/>
                <w:bCs/>
                <w:i/>
                <w:iCs/>
              </w:rPr>
              <w:t>fenntartja, hogy az (OLAF-rendelet korábbi 12f. cikke szerinti) kiegészítő vizsgálatok és az (OLAF-rendelet korábbi 12e. cikke szerinti) támogató vizsgálatok alkalmazása még mindig elmarad az optimálistól, és ismételten arra kéri a Bizottságot, hogy a vonatkozó rendeletek felülvizsgálata során foglalkozzon ennek jogi és operatív okaival;</w:t>
            </w:r>
            <w:r w:rsidRPr="005F046F">
              <w:t xml:space="preserve"> </w:t>
            </w:r>
            <w:r w:rsidRPr="005F046F">
              <w:rPr>
                <w:b/>
                <w:bCs/>
                <w:i/>
                <w:iCs/>
              </w:rPr>
              <w:t>ennélfogva</w:t>
            </w:r>
            <w:r w:rsidRPr="005F046F">
              <w:t xml:space="preserve"> elvárja, hogy a csalás elleni architektúra felülvizsgálata lehetőséget kínáljon ezen együttműködés megerősítésére és az </w:t>
            </w:r>
            <w:r w:rsidRPr="005F046F">
              <w:rPr>
                <w:b/>
                <w:bCs/>
                <w:i/>
                <w:iCs/>
              </w:rPr>
              <w:t>EU pénzügyi érdekeivel</w:t>
            </w:r>
            <w:r w:rsidRPr="005F046F">
              <w:t xml:space="preserve"> összhangban lévő ambiciózus célok kitűzésére;</w:t>
            </w:r>
          </w:p>
        </w:tc>
      </w:tr>
    </w:tbl>
    <w:p w14:paraId="120EF51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2DC354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3DCD20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971D5C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F23ADA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6C8CE0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093F85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1479DB7" w14:textId="77777777" w:rsidTr="00565F8F">
        <w:trPr>
          <w:trHeight w:hRule="exact" w:val="240"/>
          <w:jc w:val="center"/>
        </w:trPr>
        <w:tc>
          <w:tcPr>
            <w:tcW w:w="9752" w:type="dxa"/>
            <w:gridSpan w:val="2"/>
            <w:tcBorders>
              <w:top w:val="nil"/>
              <w:left w:val="nil"/>
              <w:bottom w:val="nil"/>
              <w:right w:val="nil"/>
            </w:tcBorders>
          </w:tcPr>
          <w:p w14:paraId="17AC1FAB" w14:textId="77777777" w:rsidR="000104F2" w:rsidRPr="005F046F" w:rsidRDefault="000104F2" w:rsidP="00565F8F"/>
        </w:tc>
      </w:tr>
      <w:tr w:rsidR="006C656F" w:rsidRPr="005F046F" w14:paraId="0FA777DB" w14:textId="77777777" w:rsidTr="00565F8F">
        <w:trPr>
          <w:trHeight w:val="240"/>
          <w:jc w:val="center"/>
        </w:trPr>
        <w:tc>
          <w:tcPr>
            <w:tcW w:w="4876" w:type="dxa"/>
            <w:tcBorders>
              <w:top w:val="nil"/>
              <w:left w:val="nil"/>
              <w:bottom w:val="nil"/>
              <w:right w:val="nil"/>
            </w:tcBorders>
          </w:tcPr>
          <w:p w14:paraId="737A50F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6810B9E" w14:textId="77777777" w:rsidR="000104F2" w:rsidRPr="005F046F" w:rsidRDefault="000104F2" w:rsidP="00565F8F">
            <w:pPr>
              <w:pStyle w:val="AmColumnHeading"/>
            </w:pPr>
            <w:r w:rsidRPr="005F046F">
              <w:t>Módosítás</w:t>
            </w:r>
          </w:p>
        </w:tc>
      </w:tr>
      <w:tr w:rsidR="006C656F" w:rsidRPr="005F046F" w14:paraId="0C5D5BDD" w14:textId="77777777" w:rsidTr="00565F8F">
        <w:trPr>
          <w:jc w:val="center"/>
        </w:trPr>
        <w:tc>
          <w:tcPr>
            <w:tcW w:w="4876" w:type="dxa"/>
            <w:tcBorders>
              <w:top w:val="nil"/>
              <w:left w:val="nil"/>
              <w:bottom w:val="nil"/>
              <w:right w:val="nil"/>
            </w:tcBorders>
          </w:tcPr>
          <w:p w14:paraId="26ADBCAA" w14:textId="77777777" w:rsidR="000104F2" w:rsidRPr="005F046F" w:rsidRDefault="000104F2" w:rsidP="00565F8F">
            <w:pPr>
              <w:pStyle w:val="Normal6a"/>
            </w:pPr>
            <w:r w:rsidRPr="005F046F">
              <w:t>8.</w:t>
            </w:r>
            <w:r w:rsidRPr="005F046F">
              <w:tab/>
              <w:t xml:space="preserve">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 és szakértelem), és hogy 2024 végéig 25 ügy volt folyamatban az </w:t>
            </w:r>
            <w:proofErr w:type="spellStart"/>
            <w:r w:rsidRPr="005F046F">
              <w:t>Eurojust</w:t>
            </w:r>
            <w:proofErr w:type="spellEnd"/>
            <w:r w:rsidRPr="005F046F">
              <w:t xml:space="preserve"> nemzeti irodáinak támogatásával; megjegyzi, hogy 2024-ben az OLAF 74 ügyet továbbított az Európai Ügyészségnek bűnügyi nyomozás megindítása céljából, és hogy az Európai Ügyészség 69 ügyet </w:t>
            </w:r>
            <w:r w:rsidRPr="005F046F">
              <w:lastRenderedPageBreak/>
              <w:t xml:space="preserve">indított az OLAF hozzájárulásai alapján, és hogy ugyanebben az évben az OLAF 26 további vizsgálatot zárt le és 17-et indított; elvárja, hogy a csalás elleni architektúra felülvizsgálata </w:t>
            </w:r>
            <w:r w:rsidRPr="005F046F">
              <w:rPr>
                <w:b/>
                <w:bCs/>
                <w:i/>
                <w:iCs/>
              </w:rPr>
              <w:t>lehetőséget kínáljon ezen</w:t>
            </w:r>
            <w:r w:rsidRPr="005F046F">
              <w:t xml:space="preserve"> </w:t>
            </w:r>
            <w:r w:rsidRPr="005F046F">
              <w:rPr>
                <w:b/>
                <w:bCs/>
                <w:i/>
                <w:iCs/>
              </w:rPr>
              <w:t>együttműködés</w:t>
            </w:r>
            <w:r w:rsidRPr="005F046F">
              <w:t xml:space="preserve"> </w:t>
            </w:r>
            <w:r w:rsidRPr="005F046F">
              <w:rPr>
                <w:b/>
                <w:bCs/>
                <w:i/>
                <w:iCs/>
              </w:rPr>
              <w:t>megerősítésére</w:t>
            </w:r>
            <w:r w:rsidRPr="005F046F">
              <w:t xml:space="preserve"> és az uniós prioritásokkal összhangban lévő ambiciózus </w:t>
            </w:r>
            <w:r w:rsidRPr="005F046F">
              <w:rPr>
                <w:b/>
                <w:bCs/>
                <w:i/>
                <w:iCs/>
              </w:rPr>
              <w:t>célok kitűzésére</w:t>
            </w:r>
            <w:r w:rsidRPr="005F046F">
              <w:t>;</w:t>
            </w:r>
          </w:p>
        </w:tc>
        <w:tc>
          <w:tcPr>
            <w:tcW w:w="4876" w:type="dxa"/>
            <w:tcBorders>
              <w:top w:val="nil"/>
              <w:left w:val="nil"/>
              <w:bottom w:val="nil"/>
              <w:right w:val="nil"/>
            </w:tcBorders>
          </w:tcPr>
          <w:p w14:paraId="722B90C2" w14:textId="77777777" w:rsidR="000104F2" w:rsidRPr="005F046F" w:rsidRDefault="000104F2" w:rsidP="00565F8F">
            <w:pPr>
              <w:pStyle w:val="Normal6a"/>
            </w:pPr>
            <w:r w:rsidRPr="005F046F">
              <w:lastRenderedPageBreak/>
              <w:t>8.</w:t>
            </w:r>
            <w:r w:rsidRPr="005F046F">
              <w:tab/>
              <w:t xml:space="preserve">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w:t>
            </w:r>
            <w:r w:rsidRPr="005F046F">
              <w:rPr>
                <w:b/>
                <w:i/>
              </w:rPr>
              <w:t>, többek között pénzügyi információk, közös műveletek, operatív ülések, akciónapok</w:t>
            </w:r>
            <w:r w:rsidRPr="005F046F">
              <w:t xml:space="preserve"> és szakértelem), és hogy 2024 végéig </w:t>
            </w:r>
            <w:r w:rsidRPr="005F046F">
              <w:rPr>
                <w:b/>
                <w:bCs/>
                <w:i/>
                <w:iCs/>
              </w:rPr>
              <w:t>– 2023-hoz képest meredek növekedést mutatva –</w:t>
            </w:r>
            <w:r w:rsidRPr="005F046F">
              <w:t xml:space="preserve"> 25 ügy volt folyamatban az </w:t>
            </w:r>
            <w:proofErr w:type="spellStart"/>
            <w:r w:rsidRPr="005F046F">
              <w:t>Eurojust</w:t>
            </w:r>
            <w:proofErr w:type="spellEnd"/>
            <w:r w:rsidRPr="005F046F">
              <w:t xml:space="preserve"> nemzeti irodáinak támogatásával; megjegyzi, hogy 2024-ben </w:t>
            </w:r>
            <w:r w:rsidRPr="005F046F">
              <w:lastRenderedPageBreak/>
              <w:t xml:space="preserve">az OLAF 74 ügyet továbbított az Európai Ügyészségnek bűnügyi nyomozás megindítása céljából, és hogy az Európai Ügyészség 69 ügyet indított az OLAF hozzájárulásai alapján, és hogy ugyanebben az évben az OLAF 26 további vizsgálatot zárt le és 17-et indított; elvárja, hogy a </w:t>
            </w:r>
            <w:r w:rsidRPr="005F046F">
              <w:rPr>
                <w:b/>
                <w:bCs/>
                <w:i/>
                <w:iCs/>
              </w:rPr>
              <w:t>Bizottság által az Unió pénzügyi érdekeinek jobb védelme, valamint az uniós csalás elleni szereplők és a tagállamok közötti hatékonyabb együttműködés biztosítása érdekében létrehozott</w:t>
            </w:r>
            <w:r w:rsidRPr="005F046F">
              <w:t xml:space="preserve"> csalás elleni architektúra felülvizsgálata </w:t>
            </w:r>
            <w:r w:rsidRPr="005F046F">
              <w:rPr>
                <w:b/>
                <w:bCs/>
                <w:i/>
                <w:iCs/>
              </w:rPr>
              <w:t xml:space="preserve">érdemben erősítse meg az OLAF, az Európai Ügyészség, az </w:t>
            </w:r>
            <w:proofErr w:type="spellStart"/>
            <w:r w:rsidRPr="005F046F">
              <w:rPr>
                <w:b/>
                <w:bCs/>
                <w:i/>
                <w:iCs/>
              </w:rPr>
              <w:t>Eurojust</w:t>
            </w:r>
            <w:proofErr w:type="spellEnd"/>
            <w:r w:rsidRPr="005F046F">
              <w:rPr>
                <w:b/>
                <w:bCs/>
                <w:i/>
                <w:iCs/>
              </w:rPr>
              <w:t xml:space="preserve">, az </w:t>
            </w:r>
            <w:proofErr w:type="spellStart"/>
            <w:r w:rsidRPr="005F046F">
              <w:rPr>
                <w:b/>
                <w:bCs/>
                <w:i/>
                <w:iCs/>
              </w:rPr>
              <w:t>Europol</w:t>
            </w:r>
            <w:proofErr w:type="spellEnd"/>
            <w:r w:rsidRPr="005F046F">
              <w:rPr>
                <w:b/>
                <w:bCs/>
                <w:i/>
                <w:iCs/>
              </w:rPr>
              <w:t xml:space="preserve"> és a nemzeti hatóságok közötti operatív együttműködést, stratégiai koordinációt és adatmegosztást, </w:t>
            </w:r>
            <w:r w:rsidRPr="005F046F">
              <w:t xml:space="preserve">és </w:t>
            </w:r>
            <w:proofErr w:type="spellStart"/>
            <w:r w:rsidRPr="005F046F">
              <w:rPr>
                <w:b/>
                <w:bCs/>
                <w:i/>
                <w:iCs/>
              </w:rPr>
              <w:t>tűzzön</w:t>
            </w:r>
            <w:proofErr w:type="spellEnd"/>
            <w:r w:rsidRPr="005F046F">
              <w:rPr>
                <w:b/>
                <w:bCs/>
                <w:i/>
                <w:iCs/>
              </w:rPr>
              <w:t xml:space="preserve"> ki </w:t>
            </w:r>
            <w:r w:rsidRPr="005F046F">
              <w:t xml:space="preserve">az uniós prioritásokkal összhangban lévő ambiciózus </w:t>
            </w:r>
            <w:r w:rsidRPr="005F046F">
              <w:rPr>
                <w:b/>
                <w:bCs/>
                <w:i/>
                <w:iCs/>
              </w:rPr>
              <w:t>és eredményorientált célokat</w:t>
            </w:r>
            <w:r w:rsidRPr="005F046F">
              <w:t xml:space="preserve">; </w:t>
            </w:r>
            <w:r w:rsidRPr="005F046F">
              <w:rPr>
                <w:b/>
                <w:i/>
              </w:rPr>
              <w:t xml:space="preserve">hangsúlyozza, hogy e felülvizsgálat során prioritásként kell kezelni az </w:t>
            </w:r>
            <w:proofErr w:type="spellStart"/>
            <w:r w:rsidRPr="005F046F">
              <w:rPr>
                <w:b/>
                <w:i/>
              </w:rPr>
              <w:t>interoperabilitást</w:t>
            </w:r>
            <w:proofErr w:type="spellEnd"/>
            <w:r w:rsidRPr="005F046F">
              <w:rPr>
                <w:b/>
                <w:i/>
              </w:rPr>
              <w:t>, a kockázatértékelést és a korszerű technológiák alkalmazását, ugyanakkor tiszteletben kell tartani az adatvédelmet és a jogállamiságot;</w:t>
            </w:r>
          </w:p>
        </w:tc>
      </w:tr>
    </w:tbl>
    <w:p w14:paraId="7499EAA6"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FCBD971"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3DF897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1AA44E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C21DFC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A92C64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BCDB51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00005EB" w14:textId="77777777" w:rsidTr="00565F8F">
        <w:trPr>
          <w:trHeight w:hRule="exact" w:val="240"/>
          <w:jc w:val="center"/>
        </w:trPr>
        <w:tc>
          <w:tcPr>
            <w:tcW w:w="9752" w:type="dxa"/>
            <w:gridSpan w:val="2"/>
            <w:tcBorders>
              <w:top w:val="nil"/>
              <w:left w:val="nil"/>
              <w:bottom w:val="nil"/>
              <w:right w:val="nil"/>
            </w:tcBorders>
          </w:tcPr>
          <w:p w14:paraId="3DA7F8C9" w14:textId="77777777" w:rsidR="000104F2" w:rsidRPr="005F046F" w:rsidRDefault="000104F2" w:rsidP="00565F8F"/>
        </w:tc>
      </w:tr>
      <w:tr w:rsidR="006C656F" w:rsidRPr="005F046F" w14:paraId="6727B24B" w14:textId="77777777" w:rsidTr="00565F8F">
        <w:trPr>
          <w:trHeight w:val="240"/>
          <w:jc w:val="center"/>
        </w:trPr>
        <w:tc>
          <w:tcPr>
            <w:tcW w:w="4876" w:type="dxa"/>
            <w:tcBorders>
              <w:top w:val="nil"/>
              <w:left w:val="nil"/>
              <w:bottom w:val="nil"/>
              <w:right w:val="nil"/>
            </w:tcBorders>
          </w:tcPr>
          <w:p w14:paraId="4BEFEC7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E4FD192" w14:textId="77777777" w:rsidR="000104F2" w:rsidRPr="005F046F" w:rsidRDefault="000104F2" w:rsidP="00565F8F">
            <w:pPr>
              <w:pStyle w:val="AmColumnHeading"/>
            </w:pPr>
            <w:r w:rsidRPr="005F046F">
              <w:t>Módosítás</w:t>
            </w:r>
          </w:p>
        </w:tc>
      </w:tr>
      <w:tr w:rsidR="006C656F" w:rsidRPr="005F046F" w14:paraId="09FDD72F" w14:textId="77777777" w:rsidTr="00565F8F">
        <w:trPr>
          <w:jc w:val="center"/>
        </w:trPr>
        <w:tc>
          <w:tcPr>
            <w:tcW w:w="4876" w:type="dxa"/>
            <w:tcBorders>
              <w:top w:val="nil"/>
              <w:left w:val="nil"/>
              <w:bottom w:val="nil"/>
              <w:right w:val="nil"/>
            </w:tcBorders>
          </w:tcPr>
          <w:p w14:paraId="78EFC26E" w14:textId="77777777" w:rsidR="000104F2" w:rsidRPr="005F046F" w:rsidRDefault="000104F2" w:rsidP="00565F8F">
            <w:pPr>
              <w:pStyle w:val="Normal6a"/>
            </w:pPr>
            <w:r w:rsidRPr="005F046F">
              <w:t>8.</w:t>
            </w:r>
            <w:r w:rsidRPr="005F046F">
              <w:tab/>
              <w:t xml:space="preserve">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 és szakértelem), és hogy 2024 végéig 25 ügy volt folyamatban az </w:t>
            </w:r>
            <w:proofErr w:type="spellStart"/>
            <w:r w:rsidRPr="005F046F">
              <w:t>Eurojust</w:t>
            </w:r>
            <w:proofErr w:type="spellEnd"/>
            <w:r w:rsidRPr="005F046F">
              <w:t xml:space="preserve"> nemzeti irodáinak támogatásával; megjegyzi, hogy 2024-ben az OLAF 74 </w:t>
            </w:r>
            <w:r w:rsidRPr="005F046F">
              <w:lastRenderedPageBreak/>
              <w:t>ügyet továbbított az Európai Ügyészségnek bűnügyi nyomozás megindítása céljából, és hogy az Európai Ügyészség 69 ügyet indított az OLAF hozzájárulásai alapján, és hogy ugyanebben az évben az OLAF 26 további vizsgálatot zárt le és 17-et indított; elvárja, hogy a csalás elleni architektúra felülvizsgálata lehetőséget kínáljon ezen együttműködés megerősítésére és az uniós prioritásokkal összhangban lévő ambiciózus célok kitűzésére;</w:t>
            </w:r>
          </w:p>
        </w:tc>
        <w:tc>
          <w:tcPr>
            <w:tcW w:w="4876" w:type="dxa"/>
            <w:tcBorders>
              <w:top w:val="nil"/>
              <w:left w:val="nil"/>
              <w:bottom w:val="nil"/>
              <w:right w:val="nil"/>
            </w:tcBorders>
          </w:tcPr>
          <w:p w14:paraId="2102F857" w14:textId="77777777" w:rsidR="000104F2" w:rsidRPr="005F046F" w:rsidRDefault="000104F2" w:rsidP="00565F8F">
            <w:pPr>
              <w:pStyle w:val="Normal6a"/>
            </w:pPr>
            <w:r w:rsidRPr="005F046F">
              <w:lastRenderedPageBreak/>
              <w:t>8.</w:t>
            </w:r>
            <w:r w:rsidRPr="005F046F">
              <w:tab/>
              <w:t xml:space="preserve">megjegyzi, hogy 2024-ben az Európai Ügyészség arról számolt be, hogy az </w:t>
            </w:r>
            <w:proofErr w:type="spellStart"/>
            <w:r w:rsidRPr="005F046F">
              <w:t>Europol</w:t>
            </w:r>
            <w:proofErr w:type="spellEnd"/>
            <w:r w:rsidRPr="005F046F">
              <w:t xml:space="preserve"> 83 felkérésre válaszul nyújtott támogatást (információcsere, elemzési támogatás és szakértelem), és hogy 2024 végéig 25 ügy volt folyamatban az </w:t>
            </w:r>
            <w:proofErr w:type="spellStart"/>
            <w:r w:rsidRPr="005F046F">
              <w:t>Eurojust</w:t>
            </w:r>
            <w:proofErr w:type="spellEnd"/>
            <w:r w:rsidRPr="005F046F">
              <w:t xml:space="preserve"> nemzeti irodáinak támogatásával; megjegyzi, hogy 2024-ben az OLAF 74 </w:t>
            </w:r>
            <w:r w:rsidRPr="005F046F">
              <w:lastRenderedPageBreak/>
              <w:t xml:space="preserve">ügyet továbbított az Európai Ügyészségnek bűnügyi nyomozás megindítása céljából, és hogy az Európai Ügyészség 69 ügyet indított az OLAF hozzájárulásai alapján, és hogy ugyanebben az évben az OLAF 26 további vizsgálatot zárt le és 17-et indított; </w:t>
            </w:r>
            <w:r w:rsidRPr="005F046F">
              <w:rPr>
                <w:b/>
                <w:bCs/>
                <w:i/>
                <w:iCs/>
              </w:rPr>
              <w:t>megjegyzi, hogy az Európai Számvevőszék</w:t>
            </w:r>
            <w:r w:rsidRPr="005F046F">
              <w:rPr>
                <w:b/>
                <w:bCs/>
                <w:i/>
                <w:iCs/>
                <w:vertAlign w:val="superscript"/>
              </w:rPr>
              <w:t>1b</w:t>
            </w:r>
            <w:r w:rsidRPr="005F046F">
              <w:rPr>
                <w:b/>
                <w:bCs/>
                <w:i/>
                <w:iCs/>
              </w:rPr>
              <w:t xml:space="preserve"> 40 esetben állapította meg, hogy az OLAF függetlenül, az Európai Ügyészséggel folytatott konzultáció nélkül jutott arra a következtetésre, hogy nem áll fenn bűncselekmény gyanúja;</w:t>
            </w:r>
            <w:r w:rsidRPr="005F046F">
              <w:t xml:space="preserve"> </w:t>
            </w:r>
            <w:r w:rsidRPr="005F046F">
              <w:rPr>
                <w:b/>
                <w:i/>
              </w:rPr>
              <w:t>rámutat, hogy csak az Európai Ügyészség és a nemzeti ügyészségek rendelkeznek hatáskörrel annak értékelésére, hogy a magatartás valószínűsíthetően bűncselekménynek minősül-e;</w:t>
            </w:r>
            <w:r w:rsidRPr="005F046F">
              <w:t xml:space="preserve"> </w:t>
            </w:r>
            <w:r w:rsidRPr="005F046F">
              <w:rPr>
                <w:b/>
                <w:i/>
              </w:rPr>
              <w:t>megjegyzi, hogy az OLAF nem fér hozzá az Európai Ügyészség által elutasított jelentésekhez, ami a Számvevőszék szerint akadályozza az OLAF-ot abban, hogy megtegye a megfelelő közigazgatási intézkedéseket;</w:t>
            </w:r>
            <w:r w:rsidRPr="005F046F">
              <w:t xml:space="preserve"> elvárja, hogy a csalás elleni architektúra felülvizsgálata lehetőséget kínáljon ezen együttműködés megerősítésére és az uniós prioritásokkal összhangban lévő ambiciózus célok kitűzésére; </w:t>
            </w:r>
            <w:r w:rsidRPr="005F046F">
              <w:rPr>
                <w:b/>
                <w:bCs/>
                <w:i/>
                <w:iCs/>
              </w:rPr>
              <w:t>kéri a Bizottságot, hogy a Számvevőszék elemzésével összhangban kezelje prioritásként a koordinációs folyamat javítását;</w:t>
            </w:r>
          </w:p>
        </w:tc>
      </w:tr>
      <w:tr w:rsidR="006C656F" w:rsidRPr="005F046F" w14:paraId="4F4292B0" w14:textId="77777777" w:rsidTr="00565F8F">
        <w:trPr>
          <w:jc w:val="center"/>
        </w:trPr>
        <w:tc>
          <w:tcPr>
            <w:tcW w:w="4876" w:type="dxa"/>
            <w:tcBorders>
              <w:top w:val="nil"/>
              <w:left w:val="nil"/>
              <w:bottom w:val="nil"/>
              <w:right w:val="nil"/>
            </w:tcBorders>
          </w:tcPr>
          <w:p w14:paraId="6A34D4AD" w14:textId="77777777" w:rsidR="000104F2" w:rsidRPr="005F046F" w:rsidRDefault="000104F2" w:rsidP="00565F8F"/>
        </w:tc>
        <w:tc>
          <w:tcPr>
            <w:tcW w:w="4876" w:type="dxa"/>
            <w:tcBorders>
              <w:top w:val="nil"/>
              <w:left w:val="nil"/>
              <w:bottom w:val="nil"/>
              <w:right w:val="nil"/>
            </w:tcBorders>
          </w:tcPr>
          <w:p w14:paraId="07CFF04E" w14:textId="77777777" w:rsidR="000104F2" w:rsidRPr="005F046F" w:rsidRDefault="000104F2" w:rsidP="00565F8F">
            <w:pPr>
              <w:pStyle w:val="Normal6a"/>
            </w:pPr>
            <w:r w:rsidRPr="005F046F">
              <w:rPr>
                <w:b/>
                <w:i/>
              </w:rPr>
              <w:t>_________________</w:t>
            </w:r>
          </w:p>
        </w:tc>
      </w:tr>
      <w:tr w:rsidR="006C656F" w:rsidRPr="005F046F" w14:paraId="48EBEB9F" w14:textId="77777777" w:rsidTr="00565F8F">
        <w:trPr>
          <w:jc w:val="center"/>
        </w:trPr>
        <w:tc>
          <w:tcPr>
            <w:tcW w:w="4876" w:type="dxa"/>
            <w:tcBorders>
              <w:top w:val="nil"/>
              <w:left w:val="nil"/>
              <w:bottom w:val="nil"/>
              <w:right w:val="nil"/>
            </w:tcBorders>
          </w:tcPr>
          <w:p w14:paraId="4802462D" w14:textId="77777777" w:rsidR="000104F2" w:rsidRPr="005F046F" w:rsidRDefault="000104F2" w:rsidP="00565F8F"/>
        </w:tc>
        <w:tc>
          <w:tcPr>
            <w:tcW w:w="4876" w:type="dxa"/>
            <w:tcBorders>
              <w:top w:val="nil"/>
              <w:left w:val="nil"/>
              <w:bottom w:val="nil"/>
              <w:right w:val="nil"/>
            </w:tcBorders>
          </w:tcPr>
          <w:p w14:paraId="1A4AF6D4" w14:textId="463A6117" w:rsidR="000104F2" w:rsidRPr="005F046F" w:rsidRDefault="000104F2" w:rsidP="00565F8F">
            <w:pPr>
              <w:pStyle w:val="Normal6a"/>
            </w:pPr>
            <w:r w:rsidRPr="005F046F">
              <w:rPr>
                <w:b/>
                <w:bCs/>
                <w:i/>
                <w:iCs/>
                <w:vertAlign w:val="superscript"/>
              </w:rPr>
              <w:t>1b</w:t>
            </w:r>
            <w:r w:rsidRPr="005F046F">
              <w:t xml:space="preserve"> </w:t>
            </w:r>
            <w:r w:rsidRPr="005F046F">
              <w:rPr>
                <w:b/>
                <w:bCs/>
                <w:i/>
                <w:iCs/>
              </w:rPr>
              <w:t xml:space="preserve">Az Európai Számvevőszék 26/2025. sz. </w:t>
            </w:r>
            <w:proofErr w:type="spellStart"/>
            <w:r w:rsidRPr="005F046F">
              <w:rPr>
                <w:b/>
                <w:bCs/>
                <w:i/>
                <w:iCs/>
              </w:rPr>
              <w:t>különjelentése</w:t>
            </w:r>
            <w:proofErr w:type="spellEnd"/>
            <w:r w:rsidR="00FE3101">
              <w:rPr>
                <w:b/>
                <w:bCs/>
                <w:i/>
                <w:iCs/>
              </w:rPr>
              <w:t>.</w:t>
            </w:r>
          </w:p>
        </w:tc>
      </w:tr>
    </w:tbl>
    <w:p w14:paraId="1DBB0CF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BEDA0F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1AAA54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A94452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2DBC4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69C411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7AC92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426EA53" w14:textId="77777777" w:rsidTr="00565F8F">
        <w:trPr>
          <w:trHeight w:hRule="exact" w:val="240"/>
          <w:jc w:val="center"/>
        </w:trPr>
        <w:tc>
          <w:tcPr>
            <w:tcW w:w="9752" w:type="dxa"/>
            <w:gridSpan w:val="2"/>
            <w:tcBorders>
              <w:top w:val="nil"/>
              <w:left w:val="nil"/>
              <w:bottom w:val="nil"/>
              <w:right w:val="nil"/>
            </w:tcBorders>
          </w:tcPr>
          <w:p w14:paraId="6883D247" w14:textId="77777777" w:rsidR="000104F2" w:rsidRPr="005F046F" w:rsidRDefault="000104F2" w:rsidP="00565F8F"/>
        </w:tc>
      </w:tr>
      <w:tr w:rsidR="006C656F" w:rsidRPr="005F046F" w14:paraId="7070BFA4" w14:textId="77777777" w:rsidTr="00565F8F">
        <w:trPr>
          <w:trHeight w:val="240"/>
          <w:jc w:val="center"/>
        </w:trPr>
        <w:tc>
          <w:tcPr>
            <w:tcW w:w="4876" w:type="dxa"/>
            <w:tcBorders>
              <w:top w:val="nil"/>
              <w:left w:val="nil"/>
              <w:bottom w:val="nil"/>
              <w:right w:val="nil"/>
            </w:tcBorders>
          </w:tcPr>
          <w:p w14:paraId="03F847A6"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66E16872" w14:textId="77777777" w:rsidR="000104F2" w:rsidRPr="005F046F" w:rsidRDefault="000104F2" w:rsidP="00565F8F">
            <w:pPr>
              <w:pStyle w:val="AmColumnHeading"/>
            </w:pPr>
            <w:r w:rsidRPr="005F046F">
              <w:t>Módosítás</w:t>
            </w:r>
          </w:p>
        </w:tc>
      </w:tr>
      <w:tr w:rsidR="006C656F" w:rsidRPr="005F046F" w14:paraId="1F876E53" w14:textId="77777777" w:rsidTr="00565F8F">
        <w:trPr>
          <w:jc w:val="center"/>
        </w:trPr>
        <w:tc>
          <w:tcPr>
            <w:tcW w:w="4876" w:type="dxa"/>
            <w:tcBorders>
              <w:top w:val="nil"/>
              <w:left w:val="nil"/>
              <w:bottom w:val="nil"/>
              <w:right w:val="nil"/>
            </w:tcBorders>
          </w:tcPr>
          <w:p w14:paraId="3074FBCD" w14:textId="77777777" w:rsidR="000104F2" w:rsidRPr="005F046F" w:rsidRDefault="000104F2" w:rsidP="00565F8F">
            <w:pPr>
              <w:pStyle w:val="Normal6a"/>
            </w:pPr>
          </w:p>
        </w:tc>
        <w:tc>
          <w:tcPr>
            <w:tcW w:w="4876" w:type="dxa"/>
            <w:tcBorders>
              <w:top w:val="nil"/>
              <w:left w:val="nil"/>
              <w:bottom w:val="nil"/>
              <w:right w:val="nil"/>
            </w:tcBorders>
          </w:tcPr>
          <w:p w14:paraId="12ECBFD1" w14:textId="77777777" w:rsidR="000104F2" w:rsidRPr="005F046F" w:rsidRDefault="000104F2" w:rsidP="00565F8F">
            <w:pPr>
              <w:pStyle w:val="Normal6a"/>
            </w:pPr>
            <w:r w:rsidRPr="005F046F">
              <w:rPr>
                <w:b/>
                <w:i/>
              </w:rPr>
              <w:t>8a.</w:t>
            </w:r>
            <w:r w:rsidRPr="005F046F">
              <w:tab/>
            </w:r>
            <w:r w:rsidRPr="005F046F">
              <w:rPr>
                <w:b/>
                <w:i/>
              </w:rPr>
              <w:t xml:space="preserve">emlékeztet arra, hogy az Európai Parlament belső szabályzatával összhangban a Parlament igazgatása kockázatalapú utólagos ellenőrzést végzett a korábbi Identitás és Demokrácia (ID) képviselőcsoport 2024. évi beszámolója kapcsán, és megállapította, hogy a képviselőcsoport a 400. költségvetési jogcím előirányzataiból legalább 4 333 635,78 EUR-t jogosulatlanul költött el a 2019–2024-es ciklusban, ami jelentős pénzügyi és reputációs kockázatoknak teszi ki a Parlamentet; megjegyzi, hogy az Európai Ügyészség bejelentette, hogy vizsgálatot indított az ID képviselőcsoport által 2019 és 2024 között elkövetett, uniós pénzeszközökkel való állítólagos visszaélés ügyében; emlékeztet arra, hogy a Költségvetési Ellenőrző Bizottság továbbította véleményét az Elnökségnek, amely úgy határozott, hogy megvárja az Európai Ügyészség vizsgálatának eredményét, mielőtt bármilyen visszafizettetési intézkedést hozna; úgy véli, hogy a Parlament igazgatása – az Európai Ügyészség bűnügyi nyomozásával párhuzamosan – közigazgatási intézkedéseket hozhat az Unió pénzügyi érdekeinek és a Parlament hírnevének védelme érdekében; rendkívül fontosnak tartja, hogy az Európai Parlament és az Európai Ügyészség közötti munkamegállapodás 3. cikkének (3) bekezdésével teljes összhangban mielőbb visszafizettetési intézkedéseket kezdeményezzenek; emlékeztet arra, hogy a Költségvetési Ellenőrző Bizottság az Elnökséghez intézett véleményében megjegyezte, hogy ellenkező bizonyíték hiányában több elem együttesen kielégítheti a gazdasági folytonosság elvének logikai alapját, ezért indokolt lehet, hogy a Patrióták Európáért képviselőcsoportot behajtás céljából annak jogutódjaként kezeljék; felkéri az Európai Parlament igazgatását, hogy </w:t>
            </w:r>
            <w:r w:rsidRPr="005F046F">
              <w:rPr>
                <w:b/>
                <w:i/>
              </w:rPr>
              <w:lastRenderedPageBreak/>
              <w:t>gondosan elemezze a Patrióták Európáért képviselőcsoport 2024. évi beszámolóját annak biztosítása érdekében, hogy a Pénzügyi Főigazgatóság által az ID képviselőcsoport tekintetében azonosított szabálytalanságokat az új képviselőcsoport ne ismételje meg;</w:t>
            </w:r>
          </w:p>
        </w:tc>
      </w:tr>
    </w:tbl>
    <w:p w14:paraId="29A01EE0"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ECD3E1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F04CDF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65DE8C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BB8CE2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BCA55B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C46036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24C703B" w14:textId="77777777" w:rsidTr="00565F8F">
        <w:trPr>
          <w:trHeight w:hRule="exact" w:val="240"/>
          <w:jc w:val="center"/>
        </w:trPr>
        <w:tc>
          <w:tcPr>
            <w:tcW w:w="9752" w:type="dxa"/>
            <w:gridSpan w:val="2"/>
            <w:tcBorders>
              <w:top w:val="nil"/>
              <w:left w:val="nil"/>
              <w:bottom w:val="nil"/>
              <w:right w:val="nil"/>
            </w:tcBorders>
          </w:tcPr>
          <w:p w14:paraId="64FD3E50" w14:textId="77777777" w:rsidR="000104F2" w:rsidRPr="005F046F" w:rsidRDefault="000104F2" w:rsidP="00565F8F"/>
        </w:tc>
      </w:tr>
      <w:tr w:rsidR="006C656F" w:rsidRPr="005F046F" w14:paraId="238D586D" w14:textId="77777777" w:rsidTr="00565F8F">
        <w:trPr>
          <w:trHeight w:val="240"/>
          <w:jc w:val="center"/>
        </w:trPr>
        <w:tc>
          <w:tcPr>
            <w:tcW w:w="4876" w:type="dxa"/>
            <w:tcBorders>
              <w:top w:val="nil"/>
              <w:left w:val="nil"/>
              <w:bottom w:val="nil"/>
              <w:right w:val="nil"/>
            </w:tcBorders>
          </w:tcPr>
          <w:p w14:paraId="297A7A3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AAFC109" w14:textId="77777777" w:rsidR="000104F2" w:rsidRPr="005F046F" w:rsidRDefault="000104F2" w:rsidP="00565F8F">
            <w:pPr>
              <w:pStyle w:val="AmColumnHeading"/>
            </w:pPr>
            <w:r w:rsidRPr="005F046F">
              <w:t>Módosítás</w:t>
            </w:r>
          </w:p>
        </w:tc>
      </w:tr>
      <w:tr w:rsidR="006C656F" w:rsidRPr="005F046F" w14:paraId="33B072A8" w14:textId="77777777" w:rsidTr="00565F8F">
        <w:trPr>
          <w:jc w:val="center"/>
        </w:trPr>
        <w:tc>
          <w:tcPr>
            <w:tcW w:w="4876" w:type="dxa"/>
            <w:tcBorders>
              <w:top w:val="nil"/>
              <w:left w:val="nil"/>
              <w:bottom w:val="nil"/>
              <w:right w:val="nil"/>
            </w:tcBorders>
          </w:tcPr>
          <w:p w14:paraId="0086257E" w14:textId="77777777" w:rsidR="000104F2" w:rsidRPr="005F046F" w:rsidRDefault="000104F2" w:rsidP="00565F8F">
            <w:pPr>
              <w:pStyle w:val="Normal6a"/>
            </w:pPr>
          </w:p>
        </w:tc>
        <w:tc>
          <w:tcPr>
            <w:tcW w:w="4876" w:type="dxa"/>
            <w:tcBorders>
              <w:top w:val="nil"/>
              <w:left w:val="nil"/>
              <w:bottom w:val="nil"/>
              <w:right w:val="nil"/>
            </w:tcBorders>
          </w:tcPr>
          <w:p w14:paraId="355908B9" w14:textId="6F124121" w:rsidR="000104F2" w:rsidRPr="005F046F" w:rsidRDefault="000104F2" w:rsidP="00565F8F">
            <w:pPr>
              <w:pStyle w:val="Normal6a"/>
            </w:pPr>
            <w:r w:rsidRPr="005F046F">
              <w:rPr>
                <w:b/>
                <w:i/>
              </w:rPr>
              <w:t>8a.</w:t>
            </w:r>
            <w:r w:rsidRPr="005F046F">
              <w:tab/>
            </w:r>
            <w:r w:rsidRPr="005F046F">
              <w:rPr>
                <w:b/>
                <w:i/>
              </w:rPr>
              <w:t xml:space="preserve">emlékeztet arra, hogy az EU pénzügyi érdekeinek csalással, szabálytalanságokkal és egyéb tiltott tevékenységekkel szembeni operatív védelmével a nemzeti hatóságokat, az OLAF-ot és az EPPO-t bízták meg; hangsúlyozza, hogy az uniós szervek hozzáadott értéket képviselnek az Unió pénzügyi érdekeinek védelme és a csalás, különösen a határokon átnyúló bűnözés elleni küzdelem terén, ahogy azt az Európai Ügyészség és az OLAF műveleti eredményei is mutatják; üdvözli e tekintetben, hogy az OLAF és az EPPO megállapításait beépítették a 2024. évi PIF-jelentésbe; hangsúlyozza, hogy a csalás elleni architektúra elemei közötti kölcsönhatás mélyrehatóbb elemzésére van szükség, és ösztönzi e holisztikus jelentéstételben való további részvételt annak érdekében, hogy nemzeti és uniós szinten egyaránt világosabb, teljesebb és konkrétabb képet adjon az uniós pénzügyi érdekek védelmének általános helyzetéről, felölelve a csalás elleni fellépések egészét; úgy véli, hogy a csalás elleni architektúra felülvizsgálatának keretében elvégzendő elemzés lehetőséget kínál annak a </w:t>
            </w:r>
            <w:r w:rsidRPr="005F046F">
              <w:rPr>
                <w:b/>
                <w:i/>
              </w:rPr>
              <w:lastRenderedPageBreak/>
              <w:t>problémának a kezelésére, hogy a jelenlegi jelentéstétel teljessége még elmarad a kielégítőtől;</w:t>
            </w:r>
          </w:p>
        </w:tc>
      </w:tr>
    </w:tbl>
    <w:p w14:paraId="132B670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31BEDB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9917C3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D56AD5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1456D6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F83C19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CA7AE2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08A0335" w14:textId="77777777" w:rsidTr="00565F8F">
        <w:trPr>
          <w:trHeight w:hRule="exact" w:val="240"/>
          <w:jc w:val="center"/>
        </w:trPr>
        <w:tc>
          <w:tcPr>
            <w:tcW w:w="9752" w:type="dxa"/>
            <w:gridSpan w:val="2"/>
            <w:tcBorders>
              <w:top w:val="nil"/>
              <w:left w:val="nil"/>
              <w:bottom w:val="nil"/>
              <w:right w:val="nil"/>
            </w:tcBorders>
          </w:tcPr>
          <w:p w14:paraId="37CFF8D6" w14:textId="77777777" w:rsidR="000104F2" w:rsidRPr="005F046F" w:rsidRDefault="000104F2" w:rsidP="00565F8F"/>
        </w:tc>
      </w:tr>
      <w:tr w:rsidR="006C656F" w:rsidRPr="005F046F" w14:paraId="4AFD247F" w14:textId="77777777" w:rsidTr="00565F8F">
        <w:trPr>
          <w:trHeight w:val="240"/>
          <w:jc w:val="center"/>
        </w:trPr>
        <w:tc>
          <w:tcPr>
            <w:tcW w:w="4876" w:type="dxa"/>
            <w:tcBorders>
              <w:top w:val="nil"/>
              <w:left w:val="nil"/>
              <w:bottom w:val="nil"/>
              <w:right w:val="nil"/>
            </w:tcBorders>
          </w:tcPr>
          <w:p w14:paraId="09A9DD7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4A14C68" w14:textId="77777777" w:rsidR="000104F2" w:rsidRPr="005F046F" w:rsidRDefault="000104F2" w:rsidP="00565F8F">
            <w:pPr>
              <w:pStyle w:val="AmColumnHeading"/>
            </w:pPr>
            <w:r w:rsidRPr="005F046F">
              <w:t>Módosítás</w:t>
            </w:r>
          </w:p>
        </w:tc>
      </w:tr>
      <w:tr w:rsidR="006C656F" w:rsidRPr="005F046F" w14:paraId="4D37B119" w14:textId="77777777" w:rsidTr="00565F8F">
        <w:trPr>
          <w:jc w:val="center"/>
        </w:trPr>
        <w:tc>
          <w:tcPr>
            <w:tcW w:w="4876" w:type="dxa"/>
            <w:tcBorders>
              <w:top w:val="nil"/>
              <w:left w:val="nil"/>
              <w:bottom w:val="nil"/>
              <w:right w:val="nil"/>
            </w:tcBorders>
          </w:tcPr>
          <w:p w14:paraId="6C6DF97F" w14:textId="77777777" w:rsidR="000104F2" w:rsidRPr="005F046F" w:rsidRDefault="000104F2" w:rsidP="00565F8F">
            <w:pPr>
              <w:pStyle w:val="Normal6a"/>
            </w:pPr>
          </w:p>
        </w:tc>
        <w:tc>
          <w:tcPr>
            <w:tcW w:w="4876" w:type="dxa"/>
            <w:tcBorders>
              <w:top w:val="nil"/>
              <w:left w:val="nil"/>
              <w:bottom w:val="nil"/>
              <w:right w:val="nil"/>
            </w:tcBorders>
          </w:tcPr>
          <w:p w14:paraId="5209636A" w14:textId="77777777" w:rsidR="000104F2" w:rsidRPr="005F046F" w:rsidRDefault="000104F2" w:rsidP="00565F8F">
            <w:pPr>
              <w:pStyle w:val="Normal6a"/>
            </w:pPr>
            <w:r w:rsidRPr="005F046F">
              <w:rPr>
                <w:b/>
                <w:i/>
              </w:rPr>
              <w:t>8a.</w:t>
            </w:r>
            <w:r w:rsidRPr="005F046F">
              <w:tab/>
            </w:r>
            <w:r w:rsidRPr="005F046F">
              <w:rPr>
                <w:b/>
                <w:i/>
              </w:rPr>
              <w:t>úgy véli, hogy hatékonyságon, a csalás elleni ciklus koherenciáján és a közforrások optimális felhasználásán alapuló strukturális értékelést kíván meg az a helyzet, hogy az Unió csalás elleni architektúráján belül a több szereplő – különösen az OLAF és az Európai Ügyészség – együtt van jelen; kéri a Bizottságot, hogy a csalás elleni architektúra felülvizsgálatával összefüggésben átlátható módon értékelje, hogy a funkciók jelenlegi elosztása lehetővé teszi-e a felderítés, a vizsgálat, a behajtás és az elrettentés maximalizálását, vagy hogy szükség van-e a modell mélyrehatóbb kiigazítására;</w:t>
            </w:r>
          </w:p>
        </w:tc>
      </w:tr>
    </w:tbl>
    <w:p w14:paraId="6C91F2E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61FAA0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AEE753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9130AC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A90772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338533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2DD06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AAFC136" w14:textId="77777777" w:rsidTr="00565F8F">
        <w:trPr>
          <w:trHeight w:hRule="exact" w:val="240"/>
          <w:jc w:val="center"/>
        </w:trPr>
        <w:tc>
          <w:tcPr>
            <w:tcW w:w="9752" w:type="dxa"/>
            <w:gridSpan w:val="2"/>
            <w:tcBorders>
              <w:top w:val="nil"/>
              <w:left w:val="nil"/>
              <w:bottom w:val="nil"/>
              <w:right w:val="nil"/>
            </w:tcBorders>
          </w:tcPr>
          <w:p w14:paraId="5462504F" w14:textId="77777777" w:rsidR="000104F2" w:rsidRPr="005F046F" w:rsidRDefault="000104F2" w:rsidP="00565F8F"/>
        </w:tc>
      </w:tr>
      <w:tr w:rsidR="006C656F" w:rsidRPr="005F046F" w14:paraId="3174A01F" w14:textId="77777777" w:rsidTr="00565F8F">
        <w:trPr>
          <w:trHeight w:val="240"/>
          <w:jc w:val="center"/>
        </w:trPr>
        <w:tc>
          <w:tcPr>
            <w:tcW w:w="4876" w:type="dxa"/>
            <w:tcBorders>
              <w:top w:val="nil"/>
              <w:left w:val="nil"/>
              <w:bottom w:val="nil"/>
              <w:right w:val="nil"/>
            </w:tcBorders>
          </w:tcPr>
          <w:p w14:paraId="23941EA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468543F" w14:textId="77777777" w:rsidR="000104F2" w:rsidRPr="005F046F" w:rsidRDefault="000104F2" w:rsidP="00565F8F">
            <w:pPr>
              <w:pStyle w:val="AmColumnHeading"/>
            </w:pPr>
            <w:r w:rsidRPr="005F046F">
              <w:t>Módosítás</w:t>
            </w:r>
          </w:p>
        </w:tc>
      </w:tr>
      <w:tr w:rsidR="006C656F" w:rsidRPr="005F046F" w14:paraId="26D9B71D" w14:textId="77777777" w:rsidTr="00565F8F">
        <w:trPr>
          <w:jc w:val="center"/>
        </w:trPr>
        <w:tc>
          <w:tcPr>
            <w:tcW w:w="4876" w:type="dxa"/>
            <w:tcBorders>
              <w:top w:val="nil"/>
              <w:left w:val="nil"/>
              <w:bottom w:val="nil"/>
              <w:right w:val="nil"/>
            </w:tcBorders>
          </w:tcPr>
          <w:p w14:paraId="622F97AE" w14:textId="77777777" w:rsidR="000104F2" w:rsidRPr="005F046F" w:rsidRDefault="000104F2" w:rsidP="00565F8F">
            <w:pPr>
              <w:pStyle w:val="Normal6a"/>
            </w:pPr>
          </w:p>
        </w:tc>
        <w:tc>
          <w:tcPr>
            <w:tcW w:w="4876" w:type="dxa"/>
            <w:tcBorders>
              <w:top w:val="nil"/>
              <w:left w:val="nil"/>
              <w:bottom w:val="nil"/>
              <w:right w:val="nil"/>
            </w:tcBorders>
          </w:tcPr>
          <w:p w14:paraId="56DAE6EB" w14:textId="77777777" w:rsidR="000104F2" w:rsidRPr="005F046F" w:rsidRDefault="000104F2" w:rsidP="00565F8F">
            <w:pPr>
              <w:pStyle w:val="Normal6a"/>
            </w:pPr>
            <w:r w:rsidRPr="005F046F">
              <w:rPr>
                <w:b/>
                <w:i/>
              </w:rPr>
              <w:t>8a.</w:t>
            </w:r>
            <w:r w:rsidRPr="005F046F">
              <w:tab/>
            </w:r>
            <w:r w:rsidRPr="005F046F">
              <w:rPr>
                <w:b/>
                <w:i/>
              </w:rPr>
              <w:t xml:space="preserve">rámutat, hogy az Európai Számvevőszék arra a következtetésre jutott, hogy az Európai Ügyészség és az OLAF közötti jelentéscserére irányuló </w:t>
            </w:r>
            <w:r w:rsidRPr="005F046F">
              <w:rPr>
                <w:b/>
                <w:i/>
              </w:rPr>
              <w:lastRenderedPageBreak/>
              <w:t>eljárások nem elég hatékonyak, és javasolja, hogy az eljárások hatékony végrehajtása érdekében a feltételezett csalásra vonatkozó jelentéseket központilag vegyék nyilvántartásba;</w:t>
            </w:r>
            <w:r w:rsidRPr="005F046F">
              <w:t xml:space="preserve"> </w:t>
            </w:r>
            <w:r w:rsidRPr="005F046F">
              <w:rPr>
                <w:b/>
                <w:i/>
              </w:rPr>
              <w:t>kéri a Bizottságot, hogy ezen ajánlás alapján gyorsan cselekedjen;</w:t>
            </w:r>
          </w:p>
        </w:tc>
      </w:tr>
    </w:tbl>
    <w:p w14:paraId="0952A30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2455F6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B45342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8EEA3A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608C4E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977F66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A35287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F199511" w14:textId="77777777" w:rsidTr="00565F8F">
        <w:trPr>
          <w:trHeight w:hRule="exact" w:val="240"/>
          <w:jc w:val="center"/>
        </w:trPr>
        <w:tc>
          <w:tcPr>
            <w:tcW w:w="9752" w:type="dxa"/>
            <w:gridSpan w:val="2"/>
            <w:tcBorders>
              <w:top w:val="nil"/>
              <w:left w:val="nil"/>
              <w:bottom w:val="nil"/>
              <w:right w:val="nil"/>
            </w:tcBorders>
          </w:tcPr>
          <w:p w14:paraId="345D01C4" w14:textId="77777777" w:rsidR="000104F2" w:rsidRPr="005F046F" w:rsidRDefault="000104F2" w:rsidP="00565F8F"/>
        </w:tc>
      </w:tr>
      <w:tr w:rsidR="006C656F" w:rsidRPr="005F046F" w14:paraId="03198F0E" w14:textId="77777777" w:rsidTr="00565F8F">
        <w:trPr>
          <w:trHeight w:val="240"/>
          <w:jc w:val="center"/>
        </w:trPr>
        <w:tc>
          <w:tcPr>
            <w:tcW w:w="4876" w:type="dxa"/>
            <w:tcBorders>
              <w:top w:val="nil"/>
              <w:left w:val="nil"/>
              <w:bottom w:val="nil"/>
              <w:right w:val="nil"/>
            </w:tcBorders>
          </w:tcPr>
          <w:p w14:paraId="4378975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4531A03" w14:textId="77777777" w:rsidR="000104F2" w:rsidRPr="005F046F" w:rsidRDefault="000104F2" w:rsidP="00565F8F">
            <w:pPr>
              <w:pStyle w:val="AmColumnHeading"/>
            </w:pPr>
            <w:r w:rsidRPr="005F046F">
              <w:t>Módosítás</w:t>
            </w:r>
          </w:p>
        </w:tc>
      </w:tr>
      <w:tr w:rsidR="006C656F" w:rsidRPr="005F046F" w14:paraId="4D85CBAD" w14:textId="77777777" w:rsidTr="00565F8F">
        <w:trPr>
          <w:jc w:val="center"/>
        </w:trPr>
        <w:tc>
          <w:tcPr>
            <w:tcW w:w="4876" w:type="dxa"/>
            <w:tcBorders>
              <w:top w:val="nil"/>
              <w:left w:val="nil"/>
              <w:bottom w:val="nil"/>
              <w:right w:val="nil"/>
            </w:tcBorders>
          </w:tcPr>
          <w:p w14:paraId="0691B4C7" w14:textId="77777777" w:rsidR="000104F2" w:rsidRPr="005F046F" w:rsidRDefault="000104F2" w:rsidP="00565F8F">
            <w:pPr>
              <w:pStyle w:val="Normal6a"/>
            </w:pPr>
          </w:p>
        </w:tc>
        <w:tc>
          <w:tcPr>
            <w:tcW w:w="4876" w:type="dxa"/>
            <w:tcBorders>
              <w:top w:val="nil"/>
              <w:left w:val="nil"/>
              <w:bottom w:val="nil"/>
              <w:right w:val="nil"/>
            </w:tcBorders>
          </w:tcPr>
          <w:p w14:paraId="1ED0DB9D" w14:textId="77777777" w:rsidR="000104F2" w:rsidRPr="005F046F" w:rsidRDefault="000104F2" w:rsidP="00565F8F">
            <w:pPr>
              <w:pStyle w:val="Normal6a"/>
            </w:pPr>
            <w:r w:rsidRPr="005F046F">
              <w:rPr>
                <w:b/>
                <w:i/>
              </w:rPr>
              <w:t>8a.</w:t>
            </w:r>
            <w:r w:rsidRPr="005F046F">
              <w:tab/>
            </w:r>
            <w:r w:rsidRPr="005F046F">
              <w:rPr>
                <w:b/>
                <w:i/>
              </w:rPr>
              <w:t xml:space="preserve">kiemeli, hogy a kulcsfontosságú uniós szervezetek, például az </w:t>
            </w:r>
            <w:proofErr w:type="spellStart"/>
            <w:r w:rsidRPr="005F046F">
              <w:rPr>
                <w:b/>
                <w:i/>
              </w:rPr>
              <w:t>Europol</w:t>
            </w:r>
            <w:proofErr w:type="spellEnd"/>
            <w:r w:rsidRPr="005F046F">
              <w:rPr>
                <w:b/>
                <w:i/>
              </w:rPr>
              <w:t xml:space="preserve"> és az Európai Ügyészség megbízatásának 2026-ra tervezett közelgő felülvizsgálata egyedülálló lehetőséget kínál arra, hogy – többek között a PIF-</w:t>
            </w:r>
            <w:proofErr w:type="spellStart"/>
            <w:r w:rsidRPr="005F046F">
              <w:rPr>
                <w:b/>
                <w:i/>
              </w:rPr>
              <w:t>hez</w:t>
            </w:r>
            <w:proofErr w:type="spellEnd"/>
            <w:r w:rsidRPr="005F046F">
              <w:rPr>
                <w:b/>
                <w:i/>
              </w:rPr>
              <w:t xml:space="preserve"> kapcsolódó szervezett bűnözői szervezetek elleni küzdelem érdekében – megszilárdítsák a jól működő és hatékony ügynökségközi operatív keretet;</w:t>
            </w:r>
          </w:p>
        </w:tc>
      </w:tr>
    </w:tbl>
    <w:p w14:paraId="20E3788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194094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B1FF21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396A22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4D6ED6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45DAC2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8A349E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ECD6A2A" w14:textId="77777777" w:rsidTr="00565F8F">
        <w:trPr>
          <w:trHeight w:hRule="exact" w:val="240"/>
          <w:jc w:val="center"/>
        </w:trPr>
        <w:tc>
          <w:tcPr>
            <w:tcW w:w="9752" w:type="dxa"/>
            <w:gridSpan w:val="2"/>
            <w:tcBorders>
              <w:top w:val="nil"/>
              <w:left w:val="nil"/>
              <w:bottom w:val="nil"/>
              <w:right w:val="nil"/>
            </w:tcBorders>
          </w:tcPr>
          <w:p w14:paraId="4B574A62" w14:textId="77777777" w:rsidR="000104F2" w:rsidRPr="005F046F" w:rsidRDefault="000104F2" w:rsidP="00565F8F"/>
        </w:tc>
      </w:tr>
      <w:tr w:rsidR="006C656F" w:rsidRPr="005F046F" w14:paraId="1E35293C" w14:textId="77777777" w:rsidTr="00565F8F">
        <w:trPr>
          <w:trHeight w:val="240"/>
          <w:jc w:val="center"/>
        </w:trPr>
        <w:tc>
          <w:tcPr>
            <w:tcW w:w="4876" w:type="dxa"/>
            <w:tcBorders>
              <w:top w:val="nil"/>
              <w:left w:val="nil"/>
              <w:bottom w:val="nil"/>
              <w:right w:val="nil"/>
            </w:tcBorders>
          </w:tcPr>
          <w:p w14:paraId="596EC1E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9124D89" w14:textId="77777777" w:rsidR="000104F2" w:rsidRPr="005F046F" w:rsidRDefault="000104F2" w:rsidP="00565F8F">
            <w:pPr>
              <w:pStyle w:val="AmColumnHeading"/>
            </w:pPr>
            <w:r w:rsidRPr="005F046F">
              <w:t>Módosítás</w:t>
            </w:r>
          </w:p>
        </w:tc>
      </w:tr>
      <w:tr w:rsidR="006C656F" w:rsidRPr="005F046F" w14:paraId="1D236B2D" w14:textId="77777777" w:rsidTr="00565F8F">
        <w:trPr>
          <w:jc w:val="center"/>
        </w:trPr>
        <w:tc>
          <w:tcPr>
            <w:tcW w:w="4876" w:type="dxa"/>
            <w:tcBorders>
              <w:top w:val="nil"/>
              <w:left w:val="nil"/>
              <w:bottom w:val="nil"/>
              <w:right w:val="nil"/>
            </w:tcBorders>
          </w:tcPr>
          <w:p w14:paraId="787B9991" w14:textId="77777777" w:rsidR="000104F2" w:rsidRPr="005F046F" w:rsidRDefault="000104F2" w:rsidP="00565F8F">
            <w:pPr>
              <w:pStyle w:val="Normal6a"/>
            </w:pPr>
          </w:p>
        </w:tc>
        <w:tc>
          <w:tcPr>
            <w:tcW w:w="4876" w:type="dxa"/>
            <w:tcBorders>
              <w:top w:val="nil"/>
              <w:left w:val="nil"/>
              <w:bottom w:val="nil"/>
              <w:right w:val="nil"/>
            </w:tcBorders>
          </w:tcPr>
          <w:p w14:paraId="38BF4769" w14:textId="77777777" w:rsidR="000104F2" w:rsidRPr="005F046F" w:rsidRDefault="000104F2" w:rsidP="00565F8F">
            <w:pPr>
              <w:pStyle w:val="Normal6a"/>
            </w:pPr>
            <w:r w:rsidRPr="005F046F">
              <w:rPr>
                <w:b/>
                <w:i/>
              </w:rPr>
              <w:t>8b.</w:t>
            </w:r>
            <w:r w:rsidRPr="005F046F">
              <w:tab/>
            </w:r>
            <w:r w:rsidRPr="005F046F">
              <w:rPr>
                <w:b/>
                <w:i/>
              </w:rPr>
              <w:t xml:space="preserve">hangsúlyozza, hogy meg kell szüntetni a nemzeti hatóságok, az OLAF és az Európai Ügyészség közötti tartós információhiányt; kéri a Bizottságot, hogy erősítse meg az operatív információmegosztási csatornákat, és a </w:t>
            </w:r>
            <w:r w:rsidRPr="005F046F">
              <w:rPr>
                <w:b/>
                <w:i/>
              </w:rPr>
              <w:lastRenderedPageBreak/>
              <w:t>csalás elleni küzdelem teljes ciklusa során biztosítsa a releváns információk időben történő, strukturált és biztonságos cseréjét a késedelmek, a széttöredezettség és a hatékonyság csökkenésének elkerülése érdekében;</w:t>
            </w:r>
          </w:p>
        </w:tc>
      </w:tr>
    </w:tbl>
    <w:p w14:paraId="72D363A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2A1FFD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C3C588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49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21D550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A542F3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AA4D90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126BF4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9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4008922" w14:textId="77777777" w:rsidTr="00565F8F">
        <w:trPr>
          <w:trHeight w:hRule="exact" w:val="240"/>
          <w:jc w:val="center"/>
        </w:trPr>
        <w:tc>
          <w:tcPr>
            <w:tcW w:w="9752" w:type="dxa"/>
            <w:gridSpan w:val="2"/>
            <w:tcBorders>
              <w:top w:val="nil"/>
              <w:left w:val="nil"/>
              <w:bottom w:val="nil"/>
              <w:right w:val="nil"/>
            </w:tcBorders>
          </w:tcPr>
          <w:p w14:paraId="0684E98D" w14:textId="77777777" w:rsidR="000104F2" w:rsidRPr="005F046F" w:rsidRDefault="000104F2" w:rsidP="00565F8F"/>
        </w:tc>
      </w:tr>
      <w:tr w:rsidR="006C656F" w:rsidRPr="005F046F" w14:paraId="1334FDDF" w14:textId="77777777" w:rsidTr="00565F8F">
        <w:trPr>
          <w:trHeight w:val="240"/>
          <w:jc w:val="center"/>
        </w:trPr>
        <w:tc>
          <w:tcPr>
            <w:tcW w:w="4876" w:type="dxa"/>
            <w:tcBorders>
              <w:top w:val="nil"/>
              <w:left w:val="nil"/>
              <w:bottom w:val="nil"/>
              <w:right w:val="nil"/>
            </w:tcBorders>
          </w:tcPr>
          <w:p w14:paraId="1399BF1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C4376E6" w14:textId="77777777" w:rsidR="000104F2" w:rsidRPr="005F046F" w:rsidRDefault="000104F2" w:rsidP="00565F8F">
            <w:pPr>
              <w:pStyle w:val="AmColumnHeading"/>
            </w:pPr>
            <w:r w:rsidRPr="005F046F">
              <w:t>Módosítás</w:t>
            </w:r>
          </w:p>
        </w:tc>
      </w:tr>
      <w:tr w:rsidR="006C656F" w:rsidRPr="005F046F" w14:paraId="0B71FA8C" w14:textId="77777777" w:rsidTr="00565F8F">
        <w:trPr>
          <w:jc w:val="center"/>
        </w:trPr>
        <w:tc>
          <w:tcPr>
            <w:tcW w:w="4876" w:type="dxa"/>
            <w:tcBorders>
              <w:top w:val="nil"/>
              <w:left w:val="nil"/>
              <w:bottom w:val="nil"/>
              <w:right w:val="nil"/>
            </w:tcBorders>
          </w:tcPr>
          <w:p w14:paraId="72FBFCD8" w14:textId="77777777" w:rsidR="000104F2" w:rsidRPr="005F046F" w:rsidRDefault="000104F2" w:rsidP="00565F8F">
            <w:pPr>
              <w:pStyle w:val="Normal6a"/>
            </w:pPr>
            <w:r w:rsidRPr="005F046F">
              <w:t>9.</w:t>
            </w:r>
            <w:r w:rsidRPr="005F046F">
              <w:tab/>
              <w:t>hangsúlyozza, hogy a csalás elleni küzdelem átfogó megközelítést igényel, amely a szereplők széles körét és egymással összefüggő folyamatokat foglal magában, amelyek befolyásolják egymást, és lefedik a csalás elleni küzdelem ciklusának négy fő szakaszát, nevezetesen a megelőzést, a felderítést, a nyomozást és a büntetőeljárás alá vonást, valamint a behajtást és a szankciókat;</w:t>
            </w:r>
          </w:p>
        </w:tc>
        <w:tc>
          <w:tcPr>
            <w:tcW w:w="4876" w:type="dxa"/>
            <w:tcBorders>
              <w:top w:val="nil"/>
              <w:left w:val="nil"/>
              <w:bottom w:val="nil"/>
              <w:right w:val="nil"/>
            </w:tcBorders>
          </w:tcPr>
          <w:p w14:paraId="481FEA72" w14:textId="77777777" w:rsidR="000104F2" w:rsidRPr="005F046F" w:rsidRDefault="000104F2" w:rsidP="00565F8F">
            <w:pPr>
              <w:pStyle w:val="Normal6a"/>
            </w:pPr>
            <w:r w:rsidRPr="005F046F">
              <w:t>9.</w:t>
            </w:r>
            <w:r w:rsidRPr="005F046F">
              <w:tab/>
              <w:t xml:space="preserve">hangsúlyozza, hogy a csalás elleni küzdelem átfogó megközelítést igényel, amely a szereplők széles körét és egymással összefüggő folyamatokat foglal magában, amelyek befolyásolják egymást, és lefedik a csalás elleni küzdelem ciklusának négy fő szakaszát, nevezetesen a megelőzést, a felderítést, a nyomozást és a büntetőeljárás alá vonást, valamint a behajtást és a szankciókat; </w:t>
            </w:r>
            <w:r w:rsidRPr="005F046F">
              <w:rPr>
                <w:b/>
                <w:i/>
              </w:rPr>
              <w:t>kitart amellett, hogy továbbra is a pénzeszközök hatékony és időben történő visszafizettetése és a megfelelő szankciók alkalmazása jelenti a leggyengébb láncszemet a csalás elleni ciklusban, és az e szakaszokon belüli jelentős előrehaladás nélkül a megelőzésre és felderítésre irányuló erőfeszítések részben elveszítik elrettentő hatásukat;</w:t>
            </w:r>
          </w:p>
        </w:tc>
      </w:tr>
    </w:tbl>
    <w:p w14:paraId="2EA58C40"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002405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66E3EA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E6600F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A406A2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434891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E7C496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9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E883120" w14:textId="77777777" w:rsidTr="00565F8F">
        <w:trPr>
          <w:trHeight w:hRule="exact" w:val="240"/>
          <w:jc w:val="center"/>
        </w:trPr>
        <w:tc>
          <w:tcPr>
            <w:tcW w:w="9752" w:type="dxa"/>
            <w:gridSpan w:val="2"/>
            <w:tcBorders>
              <w:top w:val="nil"/>
              <w:left w:val="nil"/>
              <w:bottom w:val="nil"/>
              <w:right w:val="nil"/>
            </w:tcBorders>
          </w:tcPr>
          <w:p w14:paraId="11185BD8" w14:textId="77777777" w:rsidR="000104F2" w:rsidRPr="005F046F" w:rsidRDefault="000104F2" w:rsidP="00565F8F"/>
        </w:tc>
      </w:tr>
      <w:tr w:rsidR="006C656F" w:rsidRPr="005F046F" w14:paraId="20725BF1" w14:textId="77777777" w:rsidTr="00565F8F">
        <w:trPr>
          <w:trHeight w:val="240"/>
          <w:jc w:val="center"/>
        </w:trPr>
        <w:tc>
          <w:tcPr>
            <w:tcW w:w="4876" w:type="dxa"/>
            <w:tcBorders>
              <w:top w:val="nil"/>
              <w:left w:val="nil"/>
              <w:bottom w:val="nil"/>
              <w:right w:val="nil"/>
            </w:tcBorders>
          </w:tcPr>
          <w:p w14:paraId="79D199A6"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79006D69" w14:textId="77777777" w:rsidR="000104F2" w:rsidRPr="005F046F" w:rsidRDefault="000104F2" w:rsidP="00565F8F">
            <w:pPr>
              <w:pStyle w:val="AmColumnHeading"/>
            </w:pPr>
            <w:r w:rsidRPr="005F046F">
              <w:t>Módosítás</w:t>
            </w:r>
          </w:p>
        </w:tc>
      </w:tr>
      <w:tr w:rsidR="006C656F" w:rsidRPr="005F046F" w14:paraId="5FF36A12" w14:textId="77777777" w:rsidTr="00565F8F">
        <w:trPr>
          <w:jc w:val="center"/>
        </w:trPr>
        <w:tc>
          <w:tcPr>
            <w:tcW w:w="4876" w:type="dxa"/>
            <w:tcBorders>
              <w:top w:val="nil"/>
              <w:left w:val="nil"/>
              <w:bottom w:val="nil"/>
              <w:right w:val="nil"/>
            </w:tcBorders>
          </w:tcPr>
          <w:p w14:paraId="5E3DFDB2" w14:textId="77777777" w:rsidR="000104F2" w:rsidRPr="005F046F" w:rsidRDefault="000104F2" w:rsidP="00565F8F">
            <w:pPr>
              <w:pStyle w:val="Normal6a"/>
            </w:pPr>
            <w:r w:rsidRPr="005F046F">
              <w:t>9.</w:t>
            </w:r>
            <w:r w:rsidRPr="005F046F">
              <w:tab/>
              <w:t xml:space="preserve">hangsúlyozza, hogy a csalás elleni küzdelem átfogó megközelítést igényel, amely a szereplők széles körét és egymással összefüggő folyamatokat foglal magában, amelyek </w:t>
            </w:r>
            <w:r w:rsidRPr="005F046F">
              <w:rPr>
                <w:b/>
                <w:bCs/>
                <w:i/>
                <w:iCs/>
              </w:rPr>
              <w:t>befolyásolják egymást, és lefedik</w:t>
            </w:r>
            <w:r w:rsidRPr="005F046F">
              <w:t xml:space="preserve"> a csalás elleni küzdelem ciklusának </w:t>
            </w:r>
            <w:r w:rsidRPr="005F046F">
              <w:rPr>
                <w:b/>
                <w:bCs/>
                <w:i/>
                <w:iCs/>
              </w:rPr>
              <w:t>négy</w:t>
            </w:r>
            <w:r w:rsidRPr="005F046F">
              <w:t xml:space="preserve"> fő </w:t>
            </w:r>
            <w:r w:rsidRPr="005F046F">
              <w:rPr>
                <w:b/>
                <w:bCs/>
                <w:i/>
                <w:iCs/>
              </w:rPr>
              <w:t>szakaszát</w:t>
            </w:r>
            <w:r w:rsidRPr="005F046F">
              <w:t xml:space="preserve">, nevezetesen a </w:t>
            </w:r>
            <w:r w:rsidRPr="005F046F">
              <w:rPr>
                <w:b/>
                <w:bCs/>
                <w:i/>
                <w:iCs/>
              </w:rPr>
              <w:t>megelőzést</w:t>
            </w:r>
            <w:r w:rsidRPr="005F046F">
              <w:t xml:space="preserve">, a </w:t>
            </w:r>
            <w:r w:rsidRPr="005F046F">
              <w:rPr>
                <w:b/>
                <w:bCs/>
                <w:i/>
                <w:iCs/>
              </w:rPr>
              <w:t>felderítést</w:t>
            </w:r>
            <w:r w:rsidRPr="005F046F">
              <w:t xml:space="preserve">, a </w:t>
            </w:r>
            <w:r w:rsidRPr="005F046F">
              <w:rPr>
                <w:b/>
                <w:bCs/>
                <w:i/>
                <w:iCs/>
              </w:rPr>
              <w:t xml:space="preserve">nyomozást és </w:t>
            </w:r>
            <w:r w:rsidRPr="005F046F">
              <w:t>a büntetőeljárás alá</w:t>
            </w:r>
            <w:r w:rsidRPr="005F046F">
              <w:rPr>
                <w:b/>
                <w:bCs/>
                <w:i/>
                <w:iCs/>
              </w:rPr>
              <w:t xml:space="preserve"> vonást,</w:t>
            </w:r>
            <w:r w:rsidRPr="005F046F">
              <w:t xml:space="preserve"> </w:t>
            </w:r>
            <w:r w:rsidRPr="005F046F">
              <w:rPr>
                <w:b/>
                <w:bCs/>
                <w:i/>
                <w:iCs/>
              </w:rPr>
              <w:t>valamint</w:t>
            </w:r>
            <w:r w:rsidRPr="005F046F">
              <w:t xml:space="preserve"> a </w:t>
            </w:r>
            <w:r w:rsidRPr="005F046F">
              <w:rPr>
                <w:b/>
                <w:bCs/>
                <w:i/>
                <w:iCs/>
              </w:rPr>
              <w:t>behajtást</w:t>
            </w:r>
            <w:r w:rsidRPr="005F046F">
              <w:t xml:space="preserve"> és a </w:t>
            </w:r>
            <w:r w:rsidRPr="005F046F">
              <w:rPr>
                <w:b/>
                <w:bCs/>
                <w:i/>
                <w:iCs/>
              </w:rPr>
              <w:t>szankciókat</w:t>
            </w:r>
            <w:r w:rsidRPr="005F046F">
              <w:t>;</w:t>
            </w:r>
          </w:p>
        </w:tc>
        <w:tc>
          <w:tcPr>
            <w:tcW w:w="4876" w:type="dxa"/>
            <w:tcBorders>
              <w:top w:val="nil"/>
              <w:left w:val="nil"/>
              <w:bottom w:val="nil"/>
              <w:right w:val="nil"/>
            </w:tcBorders>
          </w:tcPr>
          <w:p w14:paraId="0B3A8B01" w14:textId="77777777" w:rsidR="000104F2" w:rsidRPr="005F046F" w:rsidRDefault="000104F2" w:rsidP="00565F8F">
            <w:pPr>
              <w:pStyle w:val="Normal6a"/>
            </w:pPr>
            <w:r w:rsidRPr="005F046F">
              <w:t>9.</w:t>
            </w:r>
            <w:r w:rsidRPr="005F046F">
              <w:tab/>
              <w:t xml:space="preserve">hangsúlyozza, hogy a csalás elleni küzdelem átfogó </w:t>
            </w:r>
            <w:r w:rsidRPr="005F046F">
              <w:rPr>
                <w:b/>
                <w:bCs/>
                <w:i/>
                <w:iCs/>
              </w:rPr>
              <w:t>és koherens irányítási</w:t>
            </w:r>
            <w:r w:rsidRPr="005F046F">
              <w:t xml:space="preserve"> megközelítést igényel, amely a szereplők széles körét és egymással összefüggő folyamatokat foglal magában, amelyek</w:t>
            </w:r>
            <w:r w:rsidRPr="005F046F">
              <w:rPr>
                <w:b/>
                <w:bCs/>
                <w:i/>
                <w:iCs/>
              </w:rPr>
              <w:t xml:space="preserve"> kiterjednek</w:t>
            </w:r>
            <w:r w:rsidRPr="005F046F">
              <w:t xml:space="preserve"> a csalás elleni küzdelem ciklusának </w:t>
            </w:r>
            <w:r w:rsidRPr="005F046F">
              <w:rPr>
                <w:b/>
                <w:bCs/>
                <w:i/>
                <w:iCs/>
              </w:rPr>
              <w:t>valamennyi</w:t>
            </w:r>
            <w:r w:rsidRPr="005F046F">
              <w:t xml:space="preserve"> fő </w:t>
            </w:r>
            <w:r w:rsidRPr="005F046F">
              <w:rPr>
                <w:b/>
                <w:bCs/>
                <w:i/>
                <w:iCs/>
              </w:rPr>
              <w:t>szakaszára</w:t>
            </w:r>
            <w:r w:rsidRPr="005F046F">
              <w:t xml:space="preserve">, nevezetesen a </w:t>
            </w:r>
            <w:r w:rsidRPr="005F046F">
              <w:rPr>
                <w:b/>
                <w:bCs/>
                <w:i/>
                <w:iCs/>
              </w:rPr>
              <w:t>megelőzésre</w:t>
            </w:r>
            <w:r w:rsidRPr="005F046F">
              <w:t xml:space="preserve">, a </w:t>
            </w:r>
            <w:r w:rsidRPr="005F046F">
              <w:rPr>
                <w:b/>
                <w:bCs/>
                <w:i/>
                <w:iCs/>
              </w:rPr>
              <w:t>felderítésre</w:t>
            </w:r>
            <w:r w:rsidRPr="005F046F">
              <w:t xml:space="preserve">, a </w:t>
            </w:r>
            <w:r w:rsidRPr="005F046F">
              <w:rPr>
                <w:b/>
                <w:bCs/>
                <w:i/>
                <w:iCs/>
              </w:rPr>
              <w:t xml:space="preserve">nyomozásra, </w:t>
            </w:r>
            <w:r w:rsidRPr="005F046F">
              <w:t xml:space="preserve">a büntetőeljárás alá </w:t>
            </w:r>
            <w:r w:rsidRPr="005F046F">
              <w:rPr>
                <w:b/>
                <w:bCs/>
                <w:i/>
                <w:iCs/>
              </w:rPr>
              <w:t>vonásra,</w:t>
            </w:r>
            <w:r w:rsidRPr="005F046F">
              <w:t xml:space="preserve"> a behajtásra és a szankciókra; </w:t>
            </w:r>
            <w:r w:rsidRPr="005F046F">
              <w:rPr>
                <w:b/>
                <w:i/>
              </w:rPr>
              <w:t>hangsúlyozza, hogy a gyenge pontok vagy a széttagoltság minden szakaszban csökkentik az egész rendszer hatékonyságát;</w:t>
            </w:r>
          </w:p>
        </w:tc>
      </w:tr>
    </w:tbl>
    <w:p w14:paraId="1839240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3282B8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7E0FF7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DB4DCB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E84D8B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97B863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2D9487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9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D734A13" w14:textId="77777777" w:rsidTr="00565F8F">
        <w:trPr>
          <w:trHeight w:hRule="exact" w:val="240"/>
          <w:jc w:val="center"/>
        </w:trPr>
        <w:tc>
          <w:tcPr>
            <w:tcW w:w="9752" w:type="dxa"/>
            <w:gridSpan w:val="2"/>
            <w:tcBorders>
              <w:top w:val="nil"/>
              <w:left w:val="nil"/>
              <w:bottom w:val="nil"/>
              <w:right w:val="nil"/>
            </w:tcBorders>
          </w:tcPr>
          <w:p w14:paraId="04BEF96C" w14:textId="77777777" w:rsidR="000104F2" w:rsidRPr="005F046F" w:rsidRDefault="000104F2" w:rsidP="00565F8F"/>
        </w:tc>
      </w:tr>
      <w:tr w:rsidR="006C656F" w:rsidRPr="005F046F" w14:paraId="50B51D40" w14:textId="77777777" w:rsidTr="00565F8F">
        <w:trPr>
          <w:trHeight w:val="240"/>
          <w:jc w:val="center"/>
        </w:trPr>
        <w:tc>
          <w:tcPr>
            <w:tcW w:w="4876" w:type="dxa"/>
            <w:tcBorders>
              <w:top w:val="nil"/>
              <w:left w:val="nil"/>
              <w:bottom w:val="nil"/>
              <w:right w:val="nil"/>
            </w:tcBorders>
          </w:tcPr>
          <w:p w14:paraId="3AED8A5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5E080AC" w14:textId="77777777" w:rsidR="000104F2" w:rsidRPr="005F046F" w:rsidRDefault="000104F2" w:rsidP="00565F8F">
            <w:pPr>
              <w:pStyle w:val="AmColumnHeading"/>
            </w:pPr>
            <w:r w:rsidRPr="005F046F">
              <w:t>Módosítás</w:t>
            </w:r>
          </w:p>
        </w:tc>
      </w:tr>
      <w:tr w:rsidR="006C656F" w:rsidRPr="005F046F" w14:paraId="6C27DCE8" w14:textId="77777777" w:rsidTr="00565F8F">
        <w:trPr>
          <w:jc w:val="center"/>
        </w:trPr>
        <w:tc>
          <w:tcPr>
            <w:tcW w:w="4876" w:type="dxa"/>
            <w:tcBorders>
              <w:top w:val="nil"/>
              <w:left w:val="nil"/>
              <w:bottom w:val="nil"/>
              <w:right w:val="nil"/>
            </w:tcBorders>
          </w:tcPr>
          <w:p w14:paraId="4F300720" w14:textId="77777777" w:rsidR="000104F2" w:rsidRPr="005F046F" w:rsidRDefault="000104F2" w:rsidP="00565F8F">
            <w:pPr>
              <w:pStyle w:val="Normal6a"/>
            </w:pPr>
          </w:p>
        </w:tc>
        <w:tc>
          <w:tcPr>
            <w:tcW w:w="4876" w:type="dxa"/>
            <w:tcBorders>
              <w:top w:val="nil"/>
              <w:left w:val="nil"/>
              <w:bottom w:val="nil"/>
              <w:right w:val="nil"/>
            </w:tcBorders>
          </w:tcPr>
          <w:p w14:paraId="008E3F87" w14:textId="77777777" w:rsidR="000104F2" w:rsidRPr="005F046F" w:rsidRDefault="000104F2" w:rsidP="00565F8F">
            <w:pPr>
              <w:pStyle w:val="Normal6a"/>
            </w:pPr>
            <w:r w:rsidRPr="005F046F">
              <w:rPr>
                <w:b/>
                <w:i/>
              </w:rPr>
              <w:t>9a.</w:t>
            </w:r>
            <w:r w:rsidRPr="005F046F">
              <w:tab/>
            </w:r>
            <w:r w:rsidRPr="005F046F">
              <w:rPr>
                <w:b/>
                <w:i/>
              </w:rPr>
              <w:t xml:space="preserve">úgy véli, hogy a csalás elleni küzdelem valóban átfogó megközelítéséhez nemcsak a csalás elleni küzdelem ciklusának különböző szakaszai közötti koordinációra lesz szükség, hanem az eredménymutatók közös keretére is, amely lehetővé teszi a megelőzés, a felderítés, a vizsgálat, a visszafizettetés és a szankcionálás terén hozott intézkedések hatékonyságának koherens és összehasonlítható értékelését; kéri a Bizottságot, hogy az OLAF-fal, az Európai Ügyészséggel és az illetékes nemzeti hatóságokkal együttműködésben dolgozzon ki és alkalmazzon uniós szinten harmonizált mutatókat, amelyek lehetővé teszik a csalás elleni politikák tényleges költségvetési hatásának értékelését, valamint a döntéshozatal és a </w:t>
            </w:r>
            <w:r w:rsidRPr="005F046F">
              <w:rPr>
                <w:b/>
                <w:i/>
              </w:rPr>
              <w:lastRenderedPageBreak/>
              <w:t>forráselosztás irányítását;</w:t>
            </w:r>
          </w:p>
        </w:tc>
      </w:tr>
    </w:tbl>
    <w:p w14:paraId="5052995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BD12A3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19F575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8E681E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E11E72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FDD055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D232D2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9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576C252" w14:textId="77777777" w:rsidTr="00565F8F">
        <w:trPr>
          <w:trHeight w:hRule="exact" w:val="240"/>
          <w:jc w:val="center"/>
        </w:trPr>
        <w:tc>
          <w:tcPr>
            <w:tcW w:w="9752" w:type="dxa"/>
            <w:gridSpan w:val="2"/>
            <w:tcBorders>
              <w:top w:val="nil"/>
              <w:left w:val="nil"/>
              <w:bottom w:val="nil"/>
              <w:right w:val="nil"/>
            </w:tcBorders>
          </w:tcPr>
          <w:p w14:paraId="49881ABE" w14:textId="77777777" w:rsidR="000104F2" w:rsidRPr="005F046F" w:rsidRDefault="000104F2" w:rsidP="00565F8F"/>
        </w:tc>
      </w:tr>
      <w:tr w:rsidR="006C656F" w:rsidRPr="005F046F" w14:paraId="69501505" w14:textId="77777777" w:rsidTr="00565F8F">
        <w:trPr>
          <w:trHeight w:val="240"/>
          <w:jc w:val="center"/>
        </w:trPr>
        <w:tc>
          <w:tcPr>
            <w:tcW w:w="4876" w:type="dxa"/>
            <w:tcBorders>
              <w:top w:val="nil"/>
              <w:left w:val="nil"/>
              <w:bottom w:val="nil"/>
              <w:right w:val="nil"/>
            </w:tcBorders>
          </w:tcPr>
          <w:p w14:paraId="3809685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BF5371C" w14:textId="77777777" w:rsidR="000104F2" w:rsidRPr="005F046F" w:rsidRDefault="000104F2" w:rsidP="00565F8F">
            <w:pPr>
              <w:pStyle w:val="AmColumnHeading"/>
            </w:pPr>
            <w:r w:rsidRPr="005F046F">
              <w:t>Módosítás</w:t>
            </w:r>
          </w:p>
        </w:tc>
      </w:tr>
      <w:tr w:rsidR="006C656F" w:rsidRPr="005F046F" w14:paraId="3E6F4C94" w14:textId="77777777" w:rsidTr="00565F8F">
        <w:trPr>
          <w:jc w:val="center"/>
        </w:trPr>
        <w:tc>
          <w:tcPr>
            <w:tcW w:w="4876" w:type="dxa"/>
            <w:tcBorders>
              <w:top w:val="nil"/>
              <w:left w:val="nil"/>
              <w:bottom w:val="nil"/>
              <w:right w:val="nil"/>
            </w:tcBorders>
          </w:tcPr>
          <w:p w14:paraId="40435794" w14:textId="77777777" w:rsidR="000104F2" w:rsidRPr="005F046F" w:rsidRDefault="000104F2" w:rsidP="00565F8F">
            <w:pPr>
              <w:pStyle w:val="Normal6a"/>
            </w:pPr>
          </w:p>
        </w:tc>
        <w:tc>
          <w:tcPr>
            <w:tcW w:w="4876" w:type="dxa"/>
            <w:tcBorders>
              <w:top w:val="nil"/>
              <w:left w:val="nil"/>
              <w:bottom w:val="nil"/>
              <w:right w:val="nil"/>
            </w:tcBorders>
          </w:tcPr>
          <w:p w14:paraId="72839EC8" w14:textId="77777777" w:rsidR="000104F2" w:rsidRPr="005F046F" w:rsidRDefault="000104F2" w:rsidP="00565F8F">
            <w:pPr>
              <w:pStyle w:val="Normal6a"/>
            </w:pPr>
            <w:r w:rsidRPr="005F046F">
              <w:rPr>
                <w:b/>
                <w:i/>
              </w:rPr>
              <w:t>9a.</w:t>
            </w:r>
            <w:r w:rsidRPr="005F046F">
              <w:tab/>
            </w:r>
            <w:r w:rsidRPr="005F046F">
              <w:rPr>
                <w:b/>
                <w:i/>
              </w:rPr>
              <w:t>hangsúlyozza, hogy a jogállamiság az Unió sarokköve, és nélkülözhetetlen az EU pénzügyi érdekeinek védelméhez; hangsúlyozza, hogy a jogállamisági feltételrendszert akkor kell alkalmazni, ha a jogsértések közvetlenül érintik az uniós költségvetést; kéri a Bizottságot, hogy biztosítsa a mechanizmus következetes és arányos alkalmazását, tiszteletben tartva ugyanakkor a tagállamoknak a jogállamisági elvek betartásával kapcsolatos elsődleges felelősségét és biztosítva az uniós eszközök közötti koherenciát;</w:t>
            </w:r>
          </w:p>
        </w:tc>
      </w:tr>
    </w:tbl>
    <w:p w14:paraId="4ED98F3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B58662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B5E45E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AAC131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666574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F2E9EB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A8C02F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CDB8CDC" w14:textId="77777777" w:rsidTr="00565F8F">
        <w:trPr>
          <w:trHeight w:hRule="exact" w:val="240"/>
          <w:jc w:val="center"/>
        </w:trPr>
        <w:tc>
          <w:tcPr>
            <w:tcW w:w="9752" w:type="dxa"/>
            <w:gridSpan w:val="2"/>
            <w:tcBorders>
              <w:top w:val="nil"/>
              <w:left w:val="nil"/>
              <w:bottom w:val="nil"/>
              <w:right w:val="nil"/>
            </w:tcBorders>
          </w:tcPr>
          <w:p w14:paraId="585981F6" w14:textId="77777777" w:rsidR="000104F2" w:rsidRPr="005F046F" w:rsidRDefault="000104F2" w:rsidP="00565F8F"/>
        </w:tc>
      </w:tr>
      <w:tr w:rsidR="006C656F" w:rsidRPr="005F046F" w14:paraId="32B8D4C4" w14:textId="77777777" w:rsidTr="00565F8F">
        <w:trPr>
          <w:trHeight w:val="240"/>
          <w:jc w:val="center"/>
        </w:trPr>
        <w:tc>
          <w:tcPr>
            <w:tcW w:w="4876" w:type="dxa"/>
            <w:tcBorders>
              <w:top w:val="nil"/>
              <w:left w:val="nil"/>
              <w:bottom w:val="nil"/>
              <w:right w:val="nil"/>
            </w:tcBorders>
          </w:tcPr>
          <w:p w14:paraId="0DB7D39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03D8233" w14:textId="77777777" w:rsidR="000104F2" w:rsidRPr="005F046F" w:rsidRDefault="000104F2" w:rsidP="00565F8F">
            <w:pPr>
              <w:pStyle w:val="AmColumnHeading"/>
            </w:pPr>
            <w:r w:rsidRPr="005F046F">
              <w:t>Módosítás</w:t>
            </w:r>
          </w:p>
        </w:tc>
      </w:tr>
      <w:tr w:rsidR="006C656F" w:rsidRPr="005F046F" w14:paraId="63470248" w14:textId="77777777" w:rsidTr="00565F8F">
        <w:trPr>
          <w:jc w:val="center"/>
        </w:trPr>
        <w:tc>
          <w:tcPr>
            <w:tcW w:w="4876" w:type="dxa"/>
            <w:tcBorders>
              <w:top w:val="nil"/>
              <w:left w:val="nil"/>
              <w:bottom w:val="nil"/>
              <w:right w:val="nil"/>
            </w:tcBorders>
          </w:tcPr>
          <w:p w14:paraId="77C72ECD" w14:textId="77777777" w:rsidR="000104F2" w:rsidRPr="005F046F" w:rsidRDefault="000104F2" w:rsidP="00565F8F">
            <w:pPr>
              <w:pStyle w:val="Normal6a"/>
            </w:pPr>
            <w:r w:rsidRPr="005F046F">
              <w:t>10.</w:t>
            </w:r>
            <w:r w:rsidRPr="005F046F">
              <w:tab/>
              <w:t xml:space="preserve">emlékeztet arra, hogy a csalás elleni küzdelmet </w:t>
            </w:r>
            <w:r w:rsidRPr="005F046F">
              <w:rPr>
                <w:b/>
                <w:bCs/>
                <w:i/>
                <w:iCs/>
              </w:rPr>
              <w:t>nem csak</w:t>
            </w:r>
            <w:r w:rsidRPr="005F046F">
              <w:t xml:space="preserve"> utólag kell folytatni, hanem </w:t>
            </w:r>
            <w:r w:rsidRPr="005F046F">
              <w:rPr>
                <w:b/>
                <w:bCs/>
                <w:i/>
                <w:iCs/>
              </w:rPr>
              <w:t>azzal valamennyi európai intézménynek foglalkoznia</w:t>
            </w:r>
            <w:r w:rsidRPr="005F046F">
              <w:t xml:space="preserve"> kell, amint a finanszírozási rendszerek, eszközök és programok </w:t>
            </w:r>
            <w:r w:rsidRPr="005F046F">
              <w:rPr>
                <w:b/>
                <w:bCs/>
                <w:i/>
                <w:iCs/>
              </w:rPr>
              <w:t>kidolgozásra kerülnek</w:t>
            </w:r>
            <w:r w:rsidRPr="005F046F">
              <w:t xml:space="preserve">; hangsúlyozza ezért, hogy az érdekelt </w:t>
            </w:r>
            <w:r w:rsidRPr="005F046F">
              <w:rPr>
                <w:b/>
                <w:bCs/>
                <w:i/>
                <w:iCs/>
              </w:rPr>
              <w:t>feleknek</w:t>
            </w:r>
            <w:r w:rsidRPr="005F046F">
              <w:t xml:space="preserve"> a csalás elleni architektúrába és a </w:t>
            </w:r>
            <w:r w:rsidRPr="005F046F">
              <w:lastRenderedPageBreak/>
              <w:t xml:space="preserve">Parlamentnek az intézkedések, eszközök és programok kidolgozásába való jobb bevonása minden bizonnyal az Unió pénzügyi érdekeinek jobb védelméhez vezetne; felhívja a Bizottságot, hogy </w:t>
            </w:r>
            <w:r w:rsidRPr="005F046F">
              <w:rPr>
                <w:b/>
                <w:bCs/>
                <w:i/>
                <w:iCs/>
              </w:rPr>
              <w:t>ezt vegye figyelembe, és</w:t>
            </w:r>
            <w:r w:rsidRPr="005F046F">
              <w:t xml:space="preserve"> jobban vonja be az összes szereplőt;</w:t>
            </w:r>
          </w:p>
        </w:tc>
        <w:tc>
          <w:tcPr>
            <w:tcW w:w="4876" w:type="dxa"/>
            <w:tcBorders>
              <w:top w:val="nil"/>
              <w:left w:val="nil"/>
              <w:bottom w:val="nil"/>
              <w:right w:val="nil"/>
            </w:tcBorders>
          </w:tcPr>
          <w:p w14:paraId="2F5B793E" w14:textId="77777777" w:rsidR="000104F2" w:rsidRPr="005F046F" w:rsidRDefault="000104F2" w:rsidP="00565F8F">
            <w:pPr>
              <w:pStyle w:val="Normal6a"/>
            </w:pPr>
            <w:r w:rsidRPr="005F046F">
              <w:lastRenderedPageBreak/>
              <w:t>10.</w:t>
            </w:r>
            <w:r w:rsidRPr="005F046F">
              <w:tab/>
              <w:t xml:space="preserve">emlékeztet arra, hogy a csalás elleni küzdelmet </w:t>
            </w:r>
            <w:r w:rsidRPr="005F046F">
              <w:rPr>
                <w:b/>
                <w:bCs/>
                <w:i/>
                <w:iCs/>
              </w:rPr>
              <w:t>nemcsak</w:t>
            </w:r>
            <w:r w:rsidRPr="005F046F">
              <w:t xml:space="preserve"> utólag kell folytatni, hanem </w:t>
            </w:r>
            <w:r w:rsidRPr="005F046F">
              <w:rPr>
                <w:b/>
                <w:bCs/>
                <w:i/>
                <w:iCs/>
              </w:rPr>
              <w:t xml:space="preserve">azt kezdettől fogva be </w:t>
            </w:r>
            <w:r w:rsidRPr="005F046F">
              <w:t xml:space="preserve">kell </w:t>
            </w:r>
            <w:r w:rsidRPr="005F046F">
              <w:rPr>
                <w:b/>
                <w:bCs/>
                <w:i/>
                <w:iCs/>
              </w:rPr>
              <w:t xml:space="preserve">építeni </w:t>
            </w:r>
            <w:r w:rsidRPr="005F046F">
              <w:t xml:space="preserve">a finanszírozási rendszerek, eszközök és programok </w:t>
            </w:r>
            <w:r w:rsidRPr="005F046F">
              <w:rPr>
                <w:b/>
                <w:bCs/>
                <w:i/>
                <w:iCs/>
              </w:rPr>
              <w:t>kialakításába, továbbá azt valamennyi európai intézménynek támogatnia kell</w:t>
            </w:r>
            <w:r w:rsidRPr="005F046F">
              <w:t xml:space="preserve">; hangsúlyozza ezért, hogy az </w:t>
            </w:r>
            <w:r w:rsidRPr="005F046F">
              <w:rPr>
                <w:b/>
                <w:bCs/>
                <w:i/>
                <w:iCs/>
              </w:rPr>
              <w:t>összes</w:t>
            </w:r>
            <w:r w:rsidRPr="005F046F">
              <w:t xml:space="preserve"> érdekelt </w:t>
            </w:r>
            <w:r w:rsidRPr="005F046F">
              <w:rPr>
                <w:b/>
                <w:bCs/>
                <w:i/>
                <w:iCs/>
              </w:rPr>
              <w:t>félnek</w:t>
            </w:r>
            <w:r w:rsidRPr="005F046F">
              <w:t xml:space="preserve"> a csalás elleni </w:t>
            </w:r>
            <w:r w:rsidRPr="005F046F">
              <w:lastRenderedPageBreak/>
              <w:t>architektúrába és a Parlamentnek az intézkedések, eszközök és programok kidolgozásába való jobb bevonása minden bizonnyal az Unió pénzügyi érdekeinek jobb védelméhez vezetne; felhívja a Bizottságot, hogy jobban vonja be az összes szereplőt</w:t>
            </w:r>
            <w:r w:rsidRPr="005F046F">
              <w:rPr>
                <w:b/>
                <w:i/>
              </w:rPr>
              <w:t>, és a programtervezés korai szakaszában építse be a csalás elleni megfontolásokat – a kockázatalapú értékelést és a felelősségi körök egyértelmű kijelölését is beleértve</w:t>
            </w:r>
            <w:r w:rsidRPr="005F046F">
              <w:t>;</w:t>
            </w:r>
          </w:p>
        </w:tc>
      </w:tr>
    </w:tbl>
    <w:p w14:paraId="362F7E4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70CB991"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7660B1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0C403B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ACF4A3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D5EE57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C94EDC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FD9F278" w14:textId="77777777" w:rsidTr="00565F8F">
        <w:trPr>
          <w:trHeight w:hRule="exact" w:val="240"/>
          <w:jc w:val="center"/>
        </w:trPr>
        <w:tc>
          <w:tcPr>
            <w:tcW w:w="9752" w:type="dxa"/>
            <w:gridSpan w:val="2"/>
            <w:tcBorders>
              <w:top w:val="nil"/>
              <w:left w:val="nil"/>
              <w:bottom w:val="nil"/>
              <w:right w:val="nil"/>
            </w:tcBorders>
          </w:tcPr>
          <w:p w14:paraId="3871C687" w14:textId="77777777" w:rsidR="000104F2" w:rsidRPr="005F046F" w:rsidRDefault="000104F2" w:rsidP="00565F8F"/>
        </w:tc>
      </w:tr>
      <w:tr w:rsidR="006C656F" w:rsidRPr="005F046F" w14:paraId="4DB01D7B" w14:textId="77777777" w:rsidTr="00565F8F">
        <w:trPr>
          <w:trHeight w:val="240"/>
          <w:jc w:val="center"/>
        </w:trPr>
        <w:tc>
          <w:tcPr>
            <w:tcW w:w="4876" w:type="dxa"/>
            <w:tcBorders>
              <w:top w:val="nil"/>
              <w:left w:val="nil"/>
              <w:bottom w:val="nil"/>
              <w:right w:val="nil"/>
            </w:tcBorders>
          </w:tcPr>
          <w:p w14:paraId="6737E61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6831456" w14:textId="77777777" w:rsidR="000104F2" w:rsidRPr="005F046F" w:rsidRDefault="000104F2" w:rsidP="00565F8F">
            <w:pPr>
              <w:pStyle w:val="AmColumnHeading"/>
            </w:pPr>
            <w:r w:rsidRPr="005F046F">
              <w:t>Módosítás</w:t>
            </w:r>
          </w:p>
        </w:tc>
      </w:tr>
      <w:tr w:rsidR="006C656F" w:rsidRPr="005F046F" w14:paraId="1DBF65DC" w14:textId="77777777" w:rsidTr="00565F8F">
        <w:trPr>
          <w:jc w:val="center"/>
        </w:trPr>
        <w:tc>
          <w:tcPr>
            <w:tcW w:w="4876" w:type="dxa"/>
            <w:tcBorders>
              <w:top w:val="nil"/>
              <w:left w:val="nil"/>
              <w:bottom w:val="nil"/>
              <w:right w:val="nil"/>
            </w:tcBorders>
          </w:tcPr>
          <w:p w14:paraId="7867C348" w14:textId="77777777" w:rsidR="000104F2" w:rsidRPr="005F046F" w:rsidRDefault="000104F2" w:rsidP="00565F8F">
            <w:pPr>
              <w:pStyle w:val="Normal6a"/>
            </w:pPr>
            <w:r w:rsidRPr="005F046F">
              <w:t>10.</w:t>
            </w:r>
            <w:r w:rsidRPr="005F046F">
              <w:tab/>
              <w:t xml:space="preserve">emlékeztet arra, hogy a csalás elleni küzdelmet </w:t>
            </w:r>
            <w:r w:rsidRPr="005F046F">
              <w:rPr>
                <w:b/>
                <w:i/>
              </w:rPr>
              <w:t>nem csak utólag</w:t>
            </w:r>
            <w:r w:rsidRPr="005F046F">
              <w:t xml:space="preserve"> kell </w:t>
            </w:r>
            <w:r w:rsidRPr="005F046F">
              <w:rPr>
                <w:b/>
                <w:i/>
              </w:rPr>
              <w:t xml:space="preserve">folytatni, hanem azzal valamennyi európai intézménynek foglalkoznia kell, amint </w:t>
            </w:r>
            <w:r w:rsidRPr="005F046F">
              <w:t xml:space="preserve">a finanszírozási rendszerek, eszközök és programok </w:t>
            </w:r>
            <w:r w:rsidRPr="005F046F">
              <w:rPr>
                <w:b/>
                <w:bCs/>
                <w:i/>
                <w:iCs/>
              </w:rPr>
              <w:t>kidolgozásra kerülnek</w:t>
            </w:r>
            <w:r w:rsidRPr="005F046F">
              <w:t xml:space="preserve">; hangsúlyozza ezért, hogy az érdekelt </w:t>
            </w:r>
            <w:r w:rsidRPr="005F046F">
              <w:rPr>
                <w:b/>
                <w:bCs/>
                <w:i/>
                <w:iCs/>
              </w:rPr>
              <w:t>feleknek</w:t>
            </w:r>
            <w:r w:rsidRPr="005F046F">
              <w:t xml:space="preserve"> a csalás elleni architektúrába és a Parlamentnek az intézkedések, eszközök és programok kidolgozásába való jobb bevonása minden bizonnyal az Unió pénzügyi érdekeinek jobb védelméhez vezetne; felhívja a Bizottságot, hogy ezt vegye figyelembe, és jobban vonja be az összes szereplőt;</w:t>
            </w:r>
          </w:p>
        </w:tc>
        <w:tc>
          <w:tcPr>
            <w:tcW w:w="4876" w:type="dxa"/>
            <w:tcBorders>
              <w:top w:val="nil"/>
              <w:left w:val="nil"/>
              <w:bottom w:val="nil"/>
              <w:right w:val="nil"/>
            </w:tcBorders>
          </w:tcPr>
          <w:p w14:paraId="3FBBABEC" w14:textId="77777777" w:rsidR="000104F2" w:rsidRPr="005F046F" w:rsidRDefault="000104F2" w:rsidP="00565F8F">
            <w:pPr>
              <w:pStyle w:val="Normal6a"/>
            </w:pPr>
            <w:r w:rsidRPr="005F046F">
              <w:t>10.</w:t>
            </w:r>
            <w:r w:rsidRPr="005F046F">
              <w:tab/>
              <w:t xml:space="preserve">emlékeztet arra, hogy a csalás elleni küzdelmet </w:t>
            </w:r>
            <w:r w:rsidRPr="005F046F">
              <w:rPr>
                <w:b/>
                <w:bCs/>
                <w:i/>
                <w:iCs/>
              </w:rPr>
              <w:t>szisztematikus folyamatnak</w:t>
            </w:r>
            <w:r w:rsidRPr="005F046F">
              <w:t xml:space="preserve"> kell </w:t>
            </w:r>
            <w:r w:rsidRPr="005F046F">
              <w:rPr>
                <w:b/>
                <w:bCs/>
                <w:i/>
                <w:iCs/>
              </w:rPr>
              <w:t>tekinteni</w:t>
            </w:r>
            <w:r w:rsidRPr="005F046F">
              <w:t xml:space="preserve">, </w:t>
            </w:r>
            <w:r w:rsidRPr="005F046F">
              <w:rPr>
                <w:b/>
                <w:bCs/>
                <w:i/>
                <w:iCs/>
              </w:rPr>
              <w:t>amelynek</w:t>
            </w:r>
            <w:r w:rsidRPr="005F046F">
              <w:t xml:space="preserve"> a finanszírozási rendszerek, eszközök és programok</w:t>
            </w:r>
            <w:r w:rsidRPr="005F046F">
              <w:rPr>
                <w:b/>
                <w:bCs/>
                <w:i/>
                <w:iCs/>
              </w:rPr>
              <w:t xml:space="preserve"> kialakításakor el kell kezdődnie</w:t>
            </w:r>
            <w:r w:rsidRPr="005F046F">
              <w:t xml:space="preserve">; hangsúlyozza ezért, hogy az érdekelt </w:t>
            </w:r>
            <w:r w:rsidRPr="005F046F">
              <w:rPr>
                <w:b/>
                <w:bCs/>
                <w:i/>
                <w:iCs/>
              </w:rPr>
              <w:t>feleknek</w:t>
            </w:r>
            <w:r w:rsidRPr="005F046F">
              <w:t xml:space="preserve"> a csalás elleni architektúrába és a Parlamentnek az intézkedések, eszközök és programok kidolgozásába való jobb bevonása minden bizonnyal az Unió pénzügyi érdekeinek jobb védelméhez vezetne; felhívja a Bizottságot, hogy ezt vegye figyelembe, és jobban vonja be az összes szereplőt;</w:t>
            </w:r>
          </w:p>
        </w:tc>
      </w:tr>
    </w:tbl>
    <w:p w14:paraId="52B37CB1"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AC36EF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084D8F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383E7A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Céline </w:t>
      </w:r>
      <w:proofErr w:type="spellStart"/>
      <w:r w:rsidRPr="005F046F">
        <w:t>Imart</w:t>
      </w:r>
      <w:proofErr w:type="spellEnd"/>
      <w:r w:rsidRPr="005F046F">
        <w:t xml:space="preserve">, </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65AB16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055B8E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A35D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10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6F0FD6B" w14:textId="77777777" w:rsidTr="00565F8F">
        <w:trPr>
          <w:trHeight w:hRule="exact" w:val="240"/>
          <w:jc w:val="center"/>
        </w:trPr>
        <w:tc>
          <w:tcPr>
            <w:tcW w:w="9752" w:type="dxa"/>
            <w:gridSpan w:val="2"/>
            <w:tcBorders>
              <w:top w:val="nil"/>
              <w:left w:val="nil"/>
              <w:bottom w:val="nil"/>
              <w:right w:val="nil"/>
            </w:tcBorders>
          </w:tcPr>
          <w:p w14:paraId="7D59BE93" w14:textId="77777777" w:rsidR="000104F2" w:rsidRPr="005F046F" w:rsidRDefault="000104F2" w:rsidP="00565F8F"/>
        </w:tc>
      </w:tr>
      <w:tr w:rsidR="006C656F" w:rsidRPr="005F046F" w14:paraId="1C2A3598" w14:textId="77777777" w:rsidTr="00565F8F">
        <w:trPr>
          <w:trHeight w:val="240"/>
          <w:jc w:val="center"/>
        </w:trPr>
        <w:tc>
          <w:tcPr>
            <w:tcW w:w="4876" w:type="dxa"/>
            <w:tcBorders>
              <w:top w:val="nil"/>
              <w:left w:val="nil"/>
              <w:bottom w:val="nil"/>
              <w:right w:val="nil"/>
            </w:tcBorders>
          </w:tcPr>
          <w:p w14:paraId="1636E0F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2623222" w14:textId="77777777" w:rsidR="000104F2" w:rsidRPr="005F046F" w:rsidRDefault="000104F2" w:rsidP="00565F8F">
            <w:pPr>
              <w:pStyle w:val="AmColumnHeading"/>
            </w:pPr>
            <w:r w:rsidRPr="005F046F">
              <w:t>Módosítás</w:t>
            </w:r>
          </w:p>
        </w:tc>
      </w:tr>
      <w:tr w:rsidR="006C656F" w:rsidRPr="005F046F" w14:paraId="2F77454C" w14:textId="77777777" w:rsidTr="00565F8F">
        <w:trPr>
          <w:jc w:val="center"/>
        </w:trPr>
        <w:tc>
          <w:tcPr>
            <w:tcW w:w="4876" w:type="dxa"/>
            <w:tcBorders>
              <w:top w:val="nil"/>
              <w:left w:val="nil"/>
              <w:bottom w:val="nil"/>
              <w:right w:val="nil"/>
            </w:tcBorders>
          </w:tcPr>
          <w:p w14:paraId="1A56C9A2" w14:textId="77777777" w:rsidR="000104F2" w:rsidRPr="005F046F" w:rsidRDefault="000104F2" w:rsidP="00565F8F">
            <w:pPr>
              <w:pStyle w:val="Normal6a"/>
            </w:pPr>
          </w:p>
        </w:tc>
        <w:tc>
          <w:tcPr>
            <w:tcW w:w="4876" w:type="dxa"/>
            <w:tcBorders>
              <w:top w:val="nil"/>
              <w:left w:val="nil"/>
              <w:bottom w:val="nil"/>
              <w:right w:val="nil"/>
            </w:tcBorders>
          </w:tcPr>
          <w:p w14:paraId="0E821549" w14:textId="77777777" w:rsidR="000104F2" w:rsidRPr="005F046F" w:rsidRDefault="000104F2" w:rsidP="00565F8F">
            <w:pPr>
              <w:pStyle w:val="Normal6a"/>
            </w:pPr>
            <w:r w:rsidRPr="005F046F">
              <w:rPr>
                <w:b/>
                <w:i/>
              </w:rPr>
              <w:t>10a.</w:t>
            </w:r>
            <w:r w:rsidRPr="005F046F">
              <w:tab/>
            </w:r>
            <w:r w:rsidRPr="005F046F">
              <w:rPr>
                <w:b/>
                <w:i/>
              </w:rPr>
              <w:t xml:space="preserve">hangsúlyozza, hogy az átláthatóság elengedhetetlen az Unió pénzügyi érdekeinek védelméhez; kéri a Bizottságot, hogy a pénzeszközök teljes </w:t>
            </w:r>
            <w:proofErr w:type="spellStart"/>
            <w:r w:rsidRPr="005F046F">
              <w:rPr>
                <w:b/>
                <w:i/>
              </w:rPr>
              <w:t>nyomonkövethetőségének</w:t>
            </w:r>
            <w:proofErr w:type="spellEnd"/>
            <w:r w:rsidRPr="005F046F">
              <w:rPr>
                <w:b/>
                <w:i/>
              </w:rPr>
              <w:t xml:space="preserve"> biztosítása és a közforrásokkal való visszaélések megelőzése érdekében tegye közzé a nem kormányzati szervezetek és a kapcsolódó szervezetek – köztük az alvállalkozóik és partnereik – részére nyújtott európai finanszírozás végső kedvezményezettjeinek listáját;</w:t>
            </w:r>
          </w:p>
        </w:tc>
      </w:tr>
    </w:tbl>
    <w:p w14:paraId="0DAA3BC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6C4A3A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2CBB48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BDA52B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1A36FD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605C08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B8C55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C53938A" w14:textId="77777777" w:rsidTr="00565F8F">
        <w:trPr>
          <w:trHeight w:hRule="exact" w:val="240"/>
          <w:jc w:val="center"/>
        </w:trPr>
        <w:tc>
          <w:tcPr>
            <w:tcW w:w="9752" w:type="dxa"/>
            <w:gridSpan w:val="2"/>
            <w:tcBorders>
              <w:top w:val="nil"/>
              <w:left w:val="nil"/>
              <w:bottom w:val="nil"/>
              <w:right w:val="nil"/>
            </w:tcBorders>
          </w:tcPr>
          <w:p w14:paraId="2C77004F" w14:textId="77777777" w:rsidR="000104F2" w:rsidRPr="005F046F" w:rsidRDefault="000104F2" w:rsidP="00565F8F"/>
        </w:tc>
      </w:tr>
      <w:tr w:rsidR="006C656F" w:rsidRPr="005F046F" w14:paraId="531F1FB2" w14:textId="77777777" w:rsidTr="00565F8F">
        <w:trPr>
          <w:trHeight w:val="240"/>
          <w:jc w:val="center"/>
        </w:trPr>
        <w:tc>
          <w:tcPr>
            <w:tcW w:w="4876" w:type="dxa"/>
            <w:tcBorders>
              <w:top w:val="nil"/>
              <w:left w:val="nil"/>
              <w:bottom w:val="nil"/>
              <w:right w:val="nil"/>
            </w:tcBorders>
          </w:tcPr>
          <w:p w14:paraId="5D5001D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163F79D" w14:textId="77777777" w:rsidR="000104F2" w:rsidRPr="005F046F" w:rsidRDefault="000104F2" w:rsidP="00565F8F">
            <w:pPr>
              <w:pStyle w:val="AmColumnHeading"/>
            </w:pPr>
            <w:r w:rsidRPr="005F046F">
              <w:t>Módosítás</w:t>
            </w:r>
          </w:p>
        </w:tc>
      </w:tr>
      <w:tr w:rsidR="006C656F" w:rsidRPr="005F046F" w14:paraId="6563C150" w14:textId="77777777" w:rsidTr="00565F8F">
        <w:trPr>
          <w:jc w:val="center"/>
        </w:trPr>
        <w:tc>
          <w:tcPr>
            <w:tcW w:w="4876" w:type="dxa"/>
            <w:tcBorders>
              <w:top w:val="nil"/>
              <w:left w:val="nil"/>
              <w:bottom w:val="nil"/>
              <w:right w:val="nil"/>
            </w:tcBorders>
          </w:tcPr>
          <w:p w14:paraId="6C0FCB73" w14:textId="77777777" w:rsidR="000104F2" w:rsidRPr="005F046F" w:rsidRDefault="000104F2" w:rsidP="00565F8F">
            <w:pPr>
              <w:pStyle w:val="Normal6a"/>
            </w:pPr>
            <w:r w:rsidRPr="005F046F">
              <w:t>11.</w:t>
            </w:r>
            <w:r w:rsidRPr="005F046F">
              <w:tab/>
              <w:t xml:space="preserve">hangsúlyozza, hogy a csalásnak a közpolitikák kialakítása révén történő visszaszorításához szükséges erőfeszítések mellett határozottabb proaktív erőfeszítésre is szükség van a csalás felderítése és leküzdése érdekében; kiemeli, hogy a mesterséges intelligencia </w:t>
            </w:r>
            <w:r w:rsidRPr="005F046F">
              <w:rPr>
                <w:b/>
                <w:bCs/>
                <w:i/>
                <w:iCs/>
              </w:rPr>
              <w:t xml:space="preserve">az egyik olyan eszköz, amelyet e küzdelem optimalizálására </w:t>
            </w:r>
            <w:r w:rsidRPr="005F046F">
              <w:t xml:space="preserve">kell </w:t>
            </w:r>
            <w:r w:rsidRPr="005F046F">
              <w:rPr>
                <w:b/>
                <w:bCs/>
                <w:i/>
                <w:iCs/>
              </w:rPr>
              <w:t>használni</w:t>
            </w:r>
            <w:r w:rsidRPr="005F046F">
              <w:t>;</w:t>
            </w:r>
          </w:p>
        </w:tc>
        <w:tc>
          <w:tcPr>
            <w:tcW w:w="4876" w:type="dxa"/>
            <w:tcBorders>
              <w:top w:val="nil"/>
              <w:left w:val="nil"/>
              <w:bottom w:val="nil"/>
              <w:right w:val="nil"/>
            </w:tcBorders>
          </w:tcPr>
          <w:p w14:paraId="34FCE82C" w14:textId="77777777" w:rsidR="000104F2" w:rsidRPr="005F046F" w:rsidRDefault="000104F2" w:rsidP="00565F8F">
            <w:pPr>
              <w:pStyle w:val="Normal6a"/>
            </w:pPr>
            <w:r w:rsidRPr="005F046F">
              <w:t>11.</w:t>
            </w:r>
            <w:r w:rsidRPr="005F046F">
              <w:tab/>
              <w:t xml:space="preserve">hangsúlyozza, hogy a csalásnak a közpolitikák kialakítása révén történő visszaszorításához szükséges erőfeszítések mellett határozottabb proaktív erőfeszítésre is szükség van a csalás felderítése és leküzdése érdekében; kiemeli, hogy a mesterséges intelligencia </w:t>
            </w:r>
            <w:r w:rsidRPr="005F046F">
              <w:rPr>
                <w:b/>
                <w:bCs/>
                <w:i/>
                <w:iCs/>
              </w:rPr>
              <w:t xml:space="preserve">és a fejlett elemzések azon eszközök közé tartoznak, amelyeket hatékonyan, arányos módon, megfelelő emberi felügyelet mellett </w:t>
            </w:r>
            <w:r w:rsidRPr="005F046F">
              <w:t xml:space="preserve">kell </w:t>
            </w:r>
            <w:r w:rsidRPr="005F046F">
              <w:rPr>
                <w:b/>
                <w:bCs/>
                <w:i/>
                <w:iCs/>
              </w:rPr>
              <w:t>alkalmazni a csalások felderítésének optimalizálása érdekében</w:t>
            </w:r>
            <w:r w:rsidRPr="005F046F">
              <w:t>;</w:t>
            </w:r>
          </w:p>
        </w:tc>
      </w:tr>
    </w:tbl>
    <w:p w14:paraId="3EFC1864"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840979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C5733B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867F44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713513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B1F636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E3537A4"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Article</w:t>
      </w:r>
      <w:proofErr w:type="spellEnd"/>
      <w:r w:rsidRPr="005F046F">
        <w:rPr>
          <w:rStyle w:val="HideTWBExt"/>
          <w:color w:val="auto"/>
        </w:rPr>
        <w:t>&gt;</w:t>
      </w:r>
      <w:r w:rsidRPr="005F046F">
        <w:t>11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FB12944" w14:textId="77777777" w:rsidTr="00565F8F">
        <w:trPr>
          <w:trHeight w:hRule="exact" w:val="240"/>
          <w:jc w:val="center"/>
        </w:trPr>
        <w:tc>
          <w:tcPr>
            <w:tcW w:w="9752" w:type="dxa"/>
            <w:gridSpan w:val="2"/>
            <w:tcBorders>
              <w:top w:val="nil"/>
              <w:left w:val="nil"/>
              <w:bottom w:val="nil"/>
              <w:right w:val="nil"/>
            </w:tcBorders>
          </w:tcPr>
          <w:p w14:paraId="3AA46486" w14:textId="77777777" w:rsidR="000104F2" w:rsidRPr="005F046F" w:rsidRDefault="000104F2" w:rsidP="00565F8F"/>
        </w:tc>
      </w:tr>
      <w:tr w:rsidR="006C656F" w:rsidRPr="005F046F" w14:paraId="18C4DBDE" w14:textId="77777777" w:rsidTr="00565F8F">
        <w:trPr>
          <w:trHeight w:val="240"/>
          <w:jc w:val="center"/>
        </w:trPr>
        <w:tc>
          <w:tcPr>
            <w:tcW w:w="4876" w:type="dxa"/>
            <w:tcBorders>
              <w:top w:val="nil"/>
              <w:left w:val="nil"/>
              <w:bottom w:val="nil"/>
              <w:right w:val="nil"/>
            </w:tcBorders>
          </w:tcPr>
          <w:p w14:paraId="5A89059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5A79325" w14:textId="77777777" w:rsidR="000104F2" w:rsidRPr="005F046F" w:rsidRDefault="000104F2" w:rsidP="00565F8F">
            <w:pPr>
              <w:pStyle w:val="AmColumnHeading"/>
            </w:pPr>
            <w:r w:rsidRPr="005F046F">
              <w:t>Módosítás</w:t>
            </w:r>
          </w:p>
        </w:tc>
      </w:tr>
      <w:tr w:rsidR="006C656F" w:rsidRPr="005F046F" w14:paraId="7EF6A32E" w14:textId="77777777" w:rsidTr="00565F8F">
        <w:trPr>
          <w:jc w:val="center"/>
        </w:trPr>
        <w:tc>
          <w:tcPr>
            <w:tcW w:w="4876" w:type="dxa"/>
            <w:tcBorders>
              <w:top w:val="nil"/>
              <w:left w:val="nil"/>
              <w:bottom w:val="nil"/>
              <w:right w:val="nil"/>
            </w:tcBorders>
          </w:tcPr>
          <w:p w14:paraId="53339CED" w14:textId="77777777" w:rsidR="000104F2" w:rsidRPr="005F046F" w:rsidRDefault="000104F2" w:rsidP="00565F8F">
            <w:pPr>
              <w:pStyle w:val="Normal6a"/>
            </w:pPr>
            <w:r w:rsidRPr="005F046F">
              <w:t>11.</w:t>
            </w:r>
            <w:r w:rsidRPr="005F046F">
              <w:tab/>
              <w:t xml:space="preserve">hangsúlyozza, hogy a csalásnak a közpolitikák kialakítása révén történő visszaszorításához szükséges erőfeszítések mellett határozottabb proaktív erőfeszítésre is szükség van a csalás felderítése és leküzdése érdekében; kiemeli, hogy a mesterséges intelligencia az egyik olyan eszköz, </w:t>
            </w:r>
            <w:r w:rsidRPr="005F046F">
              <w:rPr>
                <w:b/>
                <w:bCs/>
                <w:i/>
                <w:iCs/>
              </w:rPr>
              <w:t>amelyet</w:t>
            </w:r>
            <w:r w:rsidRPr="005F046F">
              <w:t xml:space="preserve"> e küzdelem optimalizálására </w:t>
            </w:r>
            <w:r w:rsidRPr="005F046F">
              <w:rPr>
                <w:b/>
                <w:bCs/>
                <w:i/>
                <w:iCs/>
              </w:rPr>
              <w:t>kell használni</w:t>
            </w:r>
            <w:r w:rsidRPr="005F046F">
              <w:t>;</w:t>
            </w:r>
          </w:p>
        </w:tc>
        <w:tc>
          <w:tcPr>
            <w:tcW w:w="4876" w:type="dxa"/>
            <w:tcBorders>
              <w:top w:val="nil"/>
              <w:left w:val="nil"/>
              <w:bottom w:val="nil"/>
              <w:right w:val="nil"/>
            </w:tcBorders>
          </w:tcPr>
          <w:p w14:paraId="7E1822A9" w14:textId="77777777" w:rsidR="000104F2" w:rsidRPr="005F046F" w:rsidRDefault="000104F2" w:rsidP="00565F8F">
            <w:pPr>
              <w:pStyle w:val="Normal6a"/>
            </w:pPr>
            <w:r w:rsidRPr="005F046F">
              <w:t>11.</w:t>
            </w:r>
            <w:r w:rsidRPr="005F046F">
              <w:tab/>
              <w:t xml:space="preserve">hangsúlyozza, hogy a csalásnak a közpolitikák kialakítása révén történő visszaszorításához szükséges erőfeszítések mellett határozottabb proaktív erőfeszítésre is szükség van a csalás felderítése és leküzdése érdekében; kiemeli, hogy a mesterséges intelligencia az egyik olyan eszköz, </w:t>
            </w:r>
            <w:r w:rsidRPr="005F046F">
              <w:rPr>
                <w:b/>
                <w:bCs/>
                <w:i/>
                <w:iCs/>
              </w:rPr>
              <w:t xml:space="preserve">amely felhasználható </w:t>
            </w:r>
            <w:r w:rsidRPr="005F046F">
              <w:t>e küzdelem optimalizálására</w:t>
            </w:r>
            <w:r w:rsidRPr="005F046F">
              <w:rPr>
                <w:b/>
                <w:bCs/>
                <w:i/>
                <w:iCs/>
              </w:rPr>
              <w:t>, feltéve, hogy biztosított az emberi felügyelet a szükséges további biztosítékokkal együtt</w:t>
            </w:r>
            <w:r w:rsidRPr="005F046F">
              <w:t>;</w:t>
            </w:r>
          </w:p>
        </w:tc>
      </w:tr>
    </w:tbl>
    <w:p w14:paraId="56DF0A3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598504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3CFB3E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235BF7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3003A6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ACDAEE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FBAB45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B8F362E" w14:textId="77777777" w:rsidTr="00565F8F">
        <w:trPr>
          <w:trHeight w:hRule="exact" w:val="240"/>
          <w:jc w:val="center"/>
        </w:trPr>
        <w:tc>
          <w:tcPr>
            <w:tcW w:w="9752" w:type="dxa"/>
            <w:gridSpan w:val="2"/>
            <w:tcBorders>
              <w:top w:val="nil"/>
              <w:left w:val="nil"/>
              <w:bottom w:val="nil"/>
              <w:right w:val="nil"/>
            </w:tcBorders>
          </w:tcPr>
          <w:p w14:paraId="08A48BAE" w14:textId="77777777" w:rsidR="000104F2" w:rsidRPr="005F046F" w:rsidRDefault="000104F2" w:rsidP="00565F8F"/>
        </w:tc>
      </w:tr>
      <w:tr w:rsidR="006C656F" w:rsidRPr="005F046F" w14:paraId="23C63E11" w14:textId="77777777" w:rsidTr="00565F8F">
        <w:trPr>
          <w:trHeight w:val="240"/>
          <w:jc w:val="center"/>
        </w:trPr>
        <w:tc>
          <w:tcPr>
            <w:tcW w:w="4876" w:type="dxa"/>
            <w:tcBorders>
              <w:top w:val="nil"/>
              <w:left w:val="nil"/>
              <w:bottom w:val="nil"/>
              <w:right w:val="nil"/>
            </w:tcBorders>
          </w:tcPr>
          <w:p w14:paraId="301E3D6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32594B2" w14:textId="77777777" w:rsidR="000104F2" w:rsidRPr="005F046F" w:rsidRDefault="000104F2" w:rsidP="00565F8F">
            <w:pPr>
              <w:pStyle w:val="AmColumnHeading"/>
            </w:pPr>
            <w:r w:rsidRPr="005F046F">
              <w:t>Módosítás</w:t>
            </w:r>
          </w:p>
        </w:tc>
      </w:tr>
      <w:tr w:rsidR="006C656F" w:rsidRPr="005F046F" w14:paraId="44187676" w14:textId="77777777" w:rsidTr="00565F8F">
        <w:trPr>
          <w:jc w:val="center"/>
        </w:trPr>
        <w:tc>
          <w:tcPr>
            <w:tcW w:w="4876" w:type="dxa"/>
            <w:tcBorders>
              <w:top w:val="nil"/>
              <w:left w:val="nil"/>
              <w:bottom w:val="nil"/>
              <w:right w:val="nil"/>
            </w:tcBorders>
          </w:tcPr>
          <w:p w14:paraId="0747DE02" w14:textId="77777777" w:rsidR="000104F2" w:rsidRPr="005F046F" w:rsidRDefault="000104F2" w:rsidP="00565F8F">
            <w:pPr>
              <w:pStyle w:val="Normal6a"/>
            </w:pPr>
          </w:p>
        </w:tc>
        <w:tc>
          <w:tcPr>
            <w:tcW w:w="4876" w:type="dxa"/>
            <w:tcBorders>
              <w:top w:val="nil"/>
              <w:left w:val="nil"/>
              <w:bottom w:val="nil"/>
              <w:right w:val="nil"/>
            </w:tcBorders>
          </w:tcPr>
          <w:p w14:paraId="6B1C9F4E" w14:textId="7A3C17FE" w:rsidR="000104F2" w:rsidRPr="005F046F" w:rsidRDefault="000104F2" w:rsidP="00565F8F">
            <w:pPr>
              <w:pStyle w:val="Normal6a"/>
            </w:pPr>
            <w:r w:rsidRPr="005F046F">
              <w:rPr>
                <w:b/>
                <w:i/>
              </w:rPr>
              <w:t>11a.</w:t>
            </w:r>
            <w:r w:rsidRPr="005F046F">
              <w:tab/>
            </w:r>
            <w:r w:rsidRPr="005F046F">
              <w:rPr>
                <w:b/>
                <w:i/>
              </w:rPr>
              <w:t xml:space="preserve">hangsúlyozza, hogy a digitális technológiák és a mesterséges intelligencia csalárd hálózatok általi növekvő használata új és összetett kockázatokat jelent az Unió pénzügyi érdekeinek védelmére nézve, ugyanakkor elismeri, hogy e technológiák értékes lehetőségeket kínálnak a csalás elleni architektúra korszerűsítésére és hatékonyságának fokozására, amennyiben a bevezetésük felgyorsul; tudomásul veszi különösen az egyre kifinomultabb csalárd gyakorlatok és a hatóságok lassuló digitális átalakulása közötti növekvő technológiai szakadékot; kéri a Bizottságot, hogy az Európai Ügyészséggel, az </w:t>
            </w:r>
            <w:proofErr w:type="spellStart"/>
            <w:r w:rsidRPr="005F046F">
              <w:rPr>
                <w:b/>
                <w:i/>
              </w:rPr>
              <w:t>Europollal</w:t>
            </w:r>
            <w:proofErr w:type="spellEnd"/>
            <w:r w:rsidRPr="005F046F">
              <w:rPr>
                <w:b/>
                <w:i/>
              </w:rPr>
              <w:t xml:space="preserve"> és az OLAF</w:t>
            </w:r>
            <w:r w:rsidR="00FE3101">
              <w:rPr>
                <w:b/>
                <w:i/>
              </w:rPr>
              <w:noBreakHyphen/>
            </w:r>
            <w:r w:rsidRPr="005F046F">
              <w:rPr>
                <w:b/>
                <w:i/>
              </w:rPr>
              <w:t xml:space="preserve">fal együttműködésben mérje fel, hogy szükség van-e konkrét csalás elleni stratégiára az újonnan felmerülő digitális fenyegetések kezelése érdekében, beleértve </w:t>
            </w:r>
            <w:r w:rsidRPr="005F046F">
              <w:rPr>
                <w:b/>
                <w:i/>
              </w:rPr>
              <w:lastRenderedPageBreak/>
              <w:t>a fejlett igazságügyi szakértői és elemzési kapacitásokba való beruházást is;</w:t>
            </w:r>
          </w:p>
        </w:tc>
      </w:tr>
    </w:tbl>
    <w:p w14:paraId="798561E8"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D0A07B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7FBD01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59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269EF3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50A34E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39C05F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39DA73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87DDE38" w14:textId="77777777" w:rsidTr="00565F8F">
        <w:trPr>
          <w:trHeight w:hRule="exact" w:val="240"/>
          <w:jc w:val="center"/>
        </w:trPr>
        <w:tc>
          <w:tcPr>
            <w:tcW w:w="9752" w:type="dxa"/>
            <w:gridSpan w:val="2"/>
            <w:tcBorders>
              <w:top w:val="nil"/>
              <w:left w:val="nil"/>
              <w:bottom w:val="nil"/>
              <w:right w:val="nil"/>
            </w:tcBorders>
          </w:tcPr>
          <w:p w14:paraId="52253562" w14:textId="77777777" w:rsidR="000104F2" w:rsidRPr="005F046F" w:rsidRDefault="000104F2" w:rsidP="00565F8F"/>
        </w:tc>
      </w:tr>
      <w:tr w:rsidR="006C656F" w:rsidRPr="005F046F" w14:paraId="04A5ED15" w14:textId="77777777" w:rsidTr="00565F8F">
        <w:trPr>
          <w:trHeight w:val="240"/>
          <w:jc w:val="center"/>
        </w:trPr>
        <w:tc>
          <w:tcPr>
            <w:tcW w:w="4876" w:type="dxa"/>
            <w:tcBorders>
              <w:top w:val="nil"/>
              <w:left w:val="nil"/>
              <w:bottom w:val="nil"/>
              <w:right w:val="nil"/>
            </w:tcBorders>
          </w:tcPr>
          <w:p w14:paraId="0FC3009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6FA1FE2" w14:textId="77777777" w:rsidR="000104F2" w:rsidRPr="005F046F" w:rsidRDefault="000104F2" w:rsidP="00565F8F">
            <w:pPr>
              <w:pStyle w:val="AmColumnHeading"/>
            </w:pPr>
            <w:r w:rsidRPr="005F046F">
              <w:t>Módosítás</w:t>
            </w:r>
          </w:p>
        </w:tc>
      </w:tr>
      <w:tr w:rsidR="006C656F" w:rsidRPr="005F046F" w14:paraId="57F474CB" w14:textId="77777777" w:rsidTr="00565F8F">
        <w:trPr>
          <w:jc w:val="center"/>
        </w:trPr>
        <w:tc>
          <w:tcPr>
            <w:tcW w:w="4876" w:type="dxa"/>
            <w:tcBorders>
              <w:top w:val="nil"/>
              <w:left w:val="nil"/>
              <w:bottom w:val="nil"/>
              <w:right w:val="nil"/>
            </w:tcBorders>
          </w:tcPr>
          <w:p w14:paraId="6C84F925" w14:textId="77777777" w:rsidR="000104F2" w:rsidRPr="005F046F" w:rsidRDefault="000104F2" w:rsidP="00565F8F">
            <w:pPr>
              <w:pStyle w:val="Normal6a"/>
            </w:pPr>
            <w:r w:rsidRPr="005F046F">
              <w:t>12.</w:t>
            </w:r>
            <w:r w:rsidRPr="005F046F">
              <w:tab/>
              <w:t>megjegyzi, hogy a felderítési szintek értékeléséhez a fő adatforrást a jogsértésekről készített, az Európai Ügyészségnek benyújtott jelentések, az OLAF-</w:t>
            </w:r>
            <w:proofErr w:type="spellStart"/>
            <w:r w:rsidRPr="005F046F">
              <w:t>nak</w:t>
            </w:r>
            <w:proofErr w:type="spellEnd"/>
            <w:r w:rsidRPr="005F046F">
              <w:t xml:space="preserve"> továbbított, a potenciális nyomozati érdekekre vonatkozó információk és a szabálytalanságok bejelentése, valamint azok IMS-en keresztül a Bizottságnak benyújtott időszakos frissítései jelentik; megjegyzi, hogy a felderítési szintek tagállamonként és információforrásonként eltérőek, és fenntartja, hogy egy adott földrajzi területen vagy költségvetési vagy szakpolitikai ágazatban a felderítés szintje nem feltétlenül felel meg az adott területen vagy ágazatban elkövetett csalás vagy más kötelességszegés tényleges előfordulásának; hangsúlyozza továbbá, hogy a felderítési erőfeszítések eredményei ágazatonként és országonként jelentősen eltérnek;</w:t>
            </w:r>
          </w:p>
        </w:tc>
        <w:tc>
          <w:tcPr>
            <w:tcW w:w="4876" w:type="dxa"/>
            <w:tcBorders>
              <w:top w:val="nil"/>
              <w:left w:val="nil"/>
              <w:bottom w:val="nil"/>
              <w:right w:val="nil"/>
            </w:tcBorders>
          </w:tcPr>
          <w:p w14:paraId="4456FB53" w14:textId="77777777" w:rsidR="000104F2" w:rsidRPr="005F046F" w:rsidRDefault="000104F2" w:rsidP="00565F8F">
            <w:pPr>
              <w:pStyle w:val="Normal6a"/>
            </w:pPr>
            <w:r w:rsidRPr="005F046F">
              <w:t>12.</w:t>
            </w:r>
            <w:r w:rsidRPr="005F046F">
              <w:tab/>
              <w:t>megjegyzi, hogy a felderítési szintek értékeléséhez a fő adatforrást a jogsértésekről készített, az Európai Ügyészségnek benyújtott jelentések, az OLAF-</w:t>
            </w:r>
            <w:proofErr w:type="spellStart"/>
            <w:r w:rsidRPr="005F046F">
              <w:t>nak</w:t>
            </w:r>
            <w:proofErr w:type="spellEnd"/>
            <w:r w:rsidRPr="005F046F">
              <w:t xml:space="preserve"> továbbított, a potenciális nyomozati érdekekre vonatkozó információk és a szabálytalanságok bejelentése, valamint azok IMS-en keresztül a Bizottságnak benyújtott időszakos frissítései jelentik; megjegyzi, hogy a felderítési szintek tagállamonként és információforrásonként eltérőek, és fenntartja, hogy egy adott földrajzi területen vagy költségvetési vagy szakpolitikai ágazatban a felderítés szintje nem feltétlenül felel meg az adott területen vagy ágazatban elkövetett csalás vagy más kötelességszegés tényleges előfordulásának; hangsúlyozza továbbá, hogy a felderítési erőfeszítések eredményei ágazatonként és országonként jelentősen eltérnek; </w:t>
            </w:r>
            <w:r w:rsidRPr="005F046F">
              <w:rPr>
                <w:b/>
                <w:i/>
              </w:rPr>
              <w:t xml:space="preserve">kéri a Bizottságot, hogy dolgozzon ki szabványosított kockázati és hatékonysági referenciamutatót az </w:t>
            </w:r>
            <w:proofErr w:type="spellStart"/>
            <w:r w:rsidRPr="005F046F">
              <w:rPr>
                <w:b/>
                <w:i/>
              </w:rPr>
              <w:t>alulteljesítő</w:t>
            </w:r>
            <w:proofErr w:type="spellEnd"/>
            <w:r w:rsidRPr="005F046F">
              <w:rPr>
                <w:b/>
                <w:i/>
              </w:rPr>
              <w:t>, magas kockázatú programok azonosításához, és tegye lehetővé a pénzeszközöknek az alacsonyabb kockázatú és az uniós polgárok számára nagyobb hozzáadott értéket képviselő kezdeményezésekhez való átcsoportosítását;</w:t>
            </w:r>
          </w:p>
        </w:tc>
      </w:tr>
    </w:tbl>
    <w:p w14:paraId="58318130"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E35E86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085010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9862A8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B1AB7B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B05C6C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7A6E8E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E156C26" w14:textId="77777777" w:rsidTr="00565F8F">
        <w:trPr>
          <w:trHeight w:hRule="exact" w:val="240"/>
          <w:jc w:val="center"/>
        </w:trPr>
        <w:tc>
          <w:tcPr>
            <w:tcW w:w="9752" w:type="dxa"/>
            <w:gridSpan w:val="2"/>
            <w:tcBorders>
              <w:top w:val="nil"/>
              <w:left w:val="nil"/>
              <w:bottom w:val="nil"/>
              <w:right w:val="nil"/>
            </w:tcBorders>
          </w:tcPr>
          <w:p w14:paraId="0942ADE2" w14:textId="77777777" w:rsidR="000104F2" w:rsidRPr="005F046F" w:rsidRDefault="000104F2" w:rsidP="00565F8F"/>
        </w:tc>
      </w:tr>
      <w:tr w:rsidR="006C656F" w:rsidRPr="005F046F" w14:paraId="751A84E5" w14:textId="77777777" w:rsidTr="00565F8F">
        <w:trPr>
          <w:trHeight w:val="240"/>
          <w:jc w:val="center"/>
        </w:trPr>
        <w:tc>
          <w:tcPr>
            <w:tcW w:w="4876" w:type="dxa"/>
            <w:tcBorders>
              <w:top w:val="nil"/>
              <w:left w:val="nil"/>
              <w:bottom w:val="nil"/>
              <w:right w:val="nil"/>
            </w:tcBorders>
          </w:tcPr>
          <w:p w14:paraId="76E2DEB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8872EC7" w14:textId="77777777" w:rsidR="000104F2" w:rsidRPr="005F046F" w:rsidRDefault="000104F2" w:rsidP="00565F8F">
            <w:pPr>
              <w:pStyle w:val="AmColumnHeading"/>
            </w:pPr>
            <w:r w:rsidRPr="005F046F">
              <w:t>Módosítás</w:t>
            </w:r>
          </w:p>
        </w:tc>
      </w:tr>
      <w:tr w:rsidR="006C656F" w:rsidRPr="005F046F" w14:paraId="1EFC5E1D" w14:textId="77777777" w:rsidTr="00565F8F">
        <w:trPr>
          <w:jc w:val="center"/>
        </w:trPr>
        <w:tc>
          <w:tcPr>
            <w:tcW w:w="4876" w:type="dxa"/>
            <w:tcBorders>
              <w:top w:val="nil"/>
              <w:left w:val="nil"/>
              <w:bottom w:val="nil"/>
              <w:right w:val="nil"/>
            </w:tcBorders>
          </w:tcPr>
          <w:p w14:paraId="15694818" w14:textId="77777777" w:rsidR="000104F2" w:rsidRPr="005F046F" w:rsidRDefault="000104F2" w:rsidP="00565F8F">
            <w:pPr>
              <w:pStyle w:val="Normal6a"/>
            </w:pPr>
            <w:r w:rsidRPr="005F046F">
              <w:t>12.</w:t>
            </w:r>
            <w:r w:rsidRPr="005F046F">
              <w:tab/>
              <w:t>megjegyzi, hogy a felderítési szintek értékeléséhez a fő adatforrást a jogsértésekről készített, az Európai Ügyészségnek benyújtott jelentések, az OLAF-</w:t>
            </w:r>
            <w:proofErr w:type="spellStart"/>
            <w:r w:rsidRPr="005F046F">
              <w:t>nak</w:t>
            </w:r>
            <w:proofErr w:type="spellEnd"/>
            <w:r w:rsidRPr="005F046F">
              <w:t xml:space="preserve"> továbbított, a potenciális nyomozati érdekekre vonatkozó információk és a szabálytalanságok bejelentése, valamint azok IMS-en keresztül a Bizottságnak benyújtott időszakos frissítései jelentik; megjegyzi, hogy a felderítési szintek tagállamonként és információforrásonként eltérőek, és fenntartja, hogy egy adott földrajzi területen vagy költségvetési vagy szakpolitikai ágazatban a felderítés szintje nem feltétlenül felel meg az adott területen vagy ágazatban elkövetett csalás vagy más kötelességszegés tényleges előfordulásának; hangsúlyozza továbbá, hogy a felderítési erőfeszítések eredményei ágazatonként és országonként jelentősen eltérnek;</w:t>
            </w:r>
          </w:p>
        </w:tc>
        <w:tc>
          <w:tcPr>
            <w:tcW w:w="4876" w:type="dxa"/>
            <w:tcBorders>
              <w:top w:val="nil"/>
              <w:left w:val="nil"/>
              <w:bottom w:val="nil"/>
              <w:right w:val="nil"/>
            </w:tcBorders>
          </w:tcPr>
          <w:p w14:paraId="02FF80C9" w14:textId="77777777" w:rsidR="000104F2" w:rsidRPr="005F046F" w:rsidRDefault="000104F2" w:rsidP="00565F8F">
            <w:pPr>
              <w:pStyle w:val="Normal6a"/>
            </w:pPr>
            <w:r w:rsidRPr="005F046F">
              <w:t>12.</w:t>
            </w:r>
            <w:r w:rsidRPr="005F046F">
              <w:tab/>
              <w:t>megjegyzi, hogy a felderítési szintek értékeléséhez a fő adatforrást a jogsértésekről készített, az Európai Ügyészségnek benyújtott jelentések, az OLAF-</w:t>
            </w:r>
            <w:proofErr w:type="spellStart"/>
            <w:r w:rsidRPr="005F046F">
              <w:t>nak</w:t>
            </w:r>
            <w:proofErr w:type="spellEnd"/>
            <w:r w:rsidRPr="005F046F">
              <w:t xml:space="preserve"> továbbított, a potenciális nyomozati érdekekre vonatkozó információk és a szabálytalanságok bejelentése, valamint azok IMS-en keresztül a Bizottságnak benyújtott időszakos frissítései jelentik; megjegyzi, hogy a felderítési szintek tagállamonként és információforrásonként eltérőek, és fenntartja, hogy egy adott földrajzi területen vagy költségvetési vagy szakpolitikai ágazatban a felderítés szintje nem feltétlenül felel meg az adott területen vagy ágazatban elkövetett csalás vagy más kötelességszegés tényleges előfordulásának; hangsúlyozza továbbá, hogy a felderítési erőfeszítések eredményei ágazatonként és országonként jelentősen eltérnek; </w:t>
            </w:r>
            <w:r w:rsidRPr="005F046F">
              <w:rPr>
                <w:b/>
                <w:i/>
              </w:rPr>
              <w:t>hangsúlyozza, hogy jobban össze kell hangolni a fogalommeghatározásokat és a beszámolási standardokat annak érdekében, hogy lehetővé váljon a felderítési szintek tagállamok és ágazatok közötti érdemi összehasonlítása;</w:t>
            </w:r>
          </w:p>
        </w:tc>
      </w:tr>
    </w:tbl>
    <w:p w14:paraId="52B32FC4"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F3C49A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1A3040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5DE7AF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3209B2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4ED8B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820AB8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A36F8C5" w14:textId="77777777" w:rsidTr="00565F8F">
        <w:trPr>
          <w:trHeight w:hRule="exact" w:val="240"/>
          <w:jc w:val="center"/>
        </w:trPr>
        <w:tc>
          <w:tcPr>
            <w:tcW w:w="9752" w:type="dxa"/>
            <w:gridSpan w:val="2"/>
            <w:tcBorders>
              <w:top w:val="nil"/>
              <w:left w:val="nil"/>
              <w:bottom w:val="nil"/>
              <w:right w:val="nil"/>
            </w:tcBorders>
          </w:tcPr>
          <w:p w14:paraId="68601C9F" w14:textId="77777777" w:rsidR="000104F2" w:rsidRPr="005F046F" w:rsidRDefault="000104F2" w:rsidP="00565F8F"/>
        </w:tc>
      </w:tr>
      <w:tr w:rsidR="006C656F" w:rsidRPr="005F046F" w14:paraId="11301FF6" w14:textId="77777777" w:rsidTr="00565F8F">
        <w:trPr>
          <w:trHeight w:val="240"/>
          <w:jc w:val="center"/>
        </w:trPr>
        <w:tc>
          <w:tcPr>
            <w:tcW w:w="4876" w:type="dxa"/>
            <w:tcBorders>
              <w:top w:val="nil"/>
              <w:left w:val="nil"/>
              <w:bottom w:val="nil"/>
              <w:right w:val="nil"/>
            </w:tcBorders>
          </w:tcPr>
          <w:p w14:paraId="39F284D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7DE2B4E" w14:textId="77777777" w:rsidR="000104F2" w:rsidRPr="005F046F" w:rsidRDefault="000104F2" w:rsidP="00565F8F">
            <w:pPr>
              <w:pStyle w:val="AmColumnHeading"/>
            </w:pPr>
            <w:r w:rsidRPr="005F046F">
              <w:t>Módosítás</w:t>
            </w:r>
          </w:p>
        </w:tc>
      </w:tr>
      <w:tr w:rsidR="006C656F" w:rsidRPr="005F046F" w14:paraId="42B5A8B0" w14:textId="77777777" w:rsidTr="00565F8F">
        <w:trPr>
          <w:jc w:val="center"/>
        </w:trPr>
        <w:tc>
          <w:tcPr>
            <w:tcW w:w="4876" w:type="dxa"/>
            <w:tcBorders>
              <w:top w:val="nil"/>
              <w:left w:val="nil"/>
              <w:bottom w:val="nil"/>
              <w:right w:val="nil"/>
            </w:tcBorders>
          </w:tcPr>
          <w:p w14:paraId="7E46E4EC" w14:textId="4BB11F72" w:rsidR="000104F2" w:rsidRPr="005F046F" w:rsidRDefault="000104F2" w:rsidP="00565F8F">
            <w:pPr>
              <w:pStyle w:val="Normal6a"/>
            </w:pPr>
            <w:r w:rsidRPr="005F046F">
              <w:t>12.</w:t>
            </w:r>
            <w:r w:rsidRPr="005F046F">
              <w:tab/>
              <w:t>megjegyzi, hogy a felderítési szintek értékeléséhez a fő adatforrást a jogsértésekről készített, az Európai Ügyészségnek benyújtott jelentések, az OLAF-</w:t>
            </w:r>
            <w:proofErr w:type="spellStart"/>
            <w:r w:rsidRPr="005F046F">
              <w:t>nak</w:t>
            </w:r>
            <w:proofErr w:type="spellEnd"/>
            <w:r w:rsidRPr="005F046F">
              <w:t xml:space="preserve"> továbbított, a potenciális nyomozati érdekekre vonatkozó információk és a szabálytalanságok bejelentése, valamint azok IMS-en keresztül a Bizottságnak benyújtott időszakos frissítései jelentik; megjegyzi, hogy a felderítési szintek tagállamonként és információforrásonként eltérőek, és fenntartja, hogy egy adott földrajzi területen vagy költségvetési vagy </w:t>
            </w:r>
            <w:r w:rsidR="00B321FB">
              <w:t>szakpolitikai</w:t>
            </w:r>
            <w:r w:rsidRPr="005F046F">
              <w:t xml:space="preserve"> ágazatban a felderítés szintje nem feltétlenül felel meg az adott területen vagy ágazatban elkövetett csalás vagy más kötelességszegés tényleges előfordulásának; hangsúlyozza továbbá, hogy a felderítési erőfeszítések eredményei ágazatonként és országonként jelentősen eltérnek;</w:t>
            </w:r>
          </w:p>
        </w:tc>
        <w:tc>
          <w:tcPr>
            <w:tcW w:w="4876" w:type="dxa"/>
            <w:tcBorders>
              <w:top w:val="nil"/>
              <w:left w:val="nil"/>
              <w:bottom w:val="nil"/>
              <w:right w:val="nil"/>
            </w:tcBorders>
          </w:tcPr>
          <w:p w14:paraId="00C939A9" w14:textId="0915B588" w:rsidR="000104F2" w:rsidRPr="005F046F" w:rsidRDefault="000104F2" w:rsidP="00565F8F">
            <w:pPr>
              <w:pStyle w:val="Normal6a"/>
            </w:pPr>
            <w:r w:rsidRPr="005F046F">
              <w:rPr>
                <w:i/>
                <w:iCs/>
              </w:rPr>
              <w:t>(A magyar változatot nem érinti.)</w:t>
            </w:r>
          </w:p>
        </w:tc>
      </w:tr>
    </w:tbl>
    <w:p w14:paraId="4E154CC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22FD96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87E2DC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BAEDA0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DEFE56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73FD78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73BA09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92A003E" w14:textId="77777777" w:rsidTr="00565F8F">
        <w:trPr>
          <w:trHeight w:hRule="exact" w:val="240"/>
          <w:jc w:val="center"/>
        </w:trPr>
        <w:tc>
          <w:tcPr>
            <w:tcW w:w="9752" w:type="dxa"/>
            <w:gridSpan w:val="2"/>
            <w:tcBorders>
              <w:top w:val="nil"/>
              <w:left w:val="nil"/>
              <w:bottom w:val="nil"/>
              <w:right w:val="nil"/>
            </w:tcBorders>
          </w:tcPr>
          <w:p w14:paraId="758DBA1E" w14:textId="77777777" w:rsidR="000104F2" w:rsidRPr="005F046F" w:rsidRDefault="000104F2" w:rsidP="00565F8F"/>
        </w:tc>
      </w:tr>
      <w:tr w:rsidR="006C656F" w:rsidRPr="005F046F" w14:paraId="38443745" w14:textId="77777777" w:rsidTr="00565F8F">
        <w:trPr>
          <w:trHeight w:val="240"/>
          <w:jc w:val="center"/>
        </w:trPr>
        <w:tc>
          <w:tcPr>
            <w:tcW w:w="4876" w:type="dxa"/>
            <w:tcBorders>
              <w:top w:val="nil"/>
              <w:left w:val="nil"/>
              <w:bottom w:val="nil"/>
              <w:right w:val="nil"/>
            </w:tcBorders>
          </w:tcPr>
          <w:p w14:paraId="3B58215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F04DAA1" w14:textId="77777777" w:rsidR="000104F2" w:rsidRPr="005F046F" w:rsidRDefault="000104F2" w:rsidP="00565F8F">
            <w:pPr>
              <w:pStyle w:val="AmColumnHeading"/>
            </w:pPr>
            <w:r w:rsidRPr="005F046F">
              <w:t>Módosítás</w:t>
            </w:r>
          </w:p>
        </w:tc>
      </w:tr>
      <w:tr w:rsidR="006C656F" w:rsidRPr="005F046F" w14:paraId="0CE576D9" w14:textId="77777777" w:rsidTr="00565F8F">
        <w:trPr>
          <w:jc w:val="center"/>
        </w:trPr>
        <w:tc>
          <w:tcPr>
            <w:tcW w:w="4876" w:type="dxa"/>
            <w:tcBorders>
              <w:top w:val="nil"/>
              <w:left w:val="nil"/>
              <w:bottom w:val="nil"/>
              <w:right w:val="nil"/>
            </w:tcBorders>
          </w:tcPr>
          <w:p w14:paraId="2C09114F" w14:textId="77777777" w:rsidR="000104F2" w:rsidRPr="005F046F" w:rsidRDefault="000104F2" w:rsidP="00565F8F">
            <w:pPr>
              <w:pStyle w:val="Normal6a"/>
            </w:pPr>
          </w:p>
        </w:tc>
        <w:tc>
          <w:tcPr>
            <w:tcW w:w="4876" w:type="dxa"/>
            <w:tcBorders>
              <w:top w:val="nil"/>
              <w:left w:val="nil"/>
              <w:bottom w:val="nil"/>
              <w:right w:val="nil"/>
            </w:tcBorders>
          </w:tcPr>
          <w:p w14:paraId="72E9C2DC" w14:textId="77777777" w:rsidR="000104F2" w:rsidRPr="005F046F" w:rsidRDefault="000104F2" w:rsidP="00565F8F">
            <w:pPr>
              <w:pStyle w:val="Normal6a"/>
            </w:pPr>
            <w:r w:rsidRPr="005F046F">
              <w:rPr>
                <w:b/>
                <w:i/>
              </w:rPr>
              <w:t>12a.</w:t>
            </w:r>
            <w:r w:rsidRPr="005F046F">
              <w:tab/>
            </w:r>
            <w:r w:rsidRPr="005F046F">
              <w:rPr>
                <w:b/>
                <w:i/>
              </w:rPr>
              <w:t xml:space="preserve">megismétli azon véleményét, hogy fokozni kell a szabálytalanságkezelő rendszer és a Bizottság által az EU pénzügyi érdekeinek védelméhez használt egyéb kulcsfontosságú eszközök – például az ARACHNE és az EDES –, valamint a tagállamok digitális eszközei közötti </w:t>
            </w:r>
            <w:proofErr w:type="spellStart"/>
            <w:r w:rsidRPr="005F046F">
              <w:rPr>
                <w:b/>
                <w:i/>
              </w:rPr>
              <w:t>interoperabilitást</w:t>
            </w:r>
            <w:proofErr w:type="spellEnd"/>
            <w:r w:rsidRPr="005F046F">
              <w:rPr>
                <w:b/>
                <w:i/>
              </w:rPr>
              <w:t xml:space="preserve">; tudomásul veszi, hogy a 2027 utáni többéves pénzügyi keretre tekintettel a különböző bizottsági adatbázisok és az ARACHNE+ közötti </w:t>
            </w:r>
            <w:proofErr w:type="spellStart"/>
            <w:r w:rsidRPr="005F046F">
              <w:rPr>
                <w:b/>
                <w:i/>
              </w:rPr>
              <w:lastRenderedPageBreak/>
              <w:t>interoperabilitás</w:t>
            </w:r>
            <w:proofErr w:type="spellEnd"/>
            <w:r w:rsidRPr="005F046F">
              <w:rPr>
                <w:b/>
                <w:i/>
              </w:rPr>
              <w:t xml:space="preserve"> szélesebb körű értékelése a szabálytalanságkezelő rendszerrel való </w:t>
            </w:r>
            <w:proofErr w:type="spellStart"/>
            <w:r w:rsidRPr="005F046F">
              <w:rPr>
                <w:b/>
                <w:i/>
              </w:rPr>
              <w:t>interoperabilitásra</w:t>
            </w:r>
            <w:proofErr w:type="spellEnd"/>
            <w:r w:rsidRPr="005F046F">
              <w:rPr>
                <w:b/>
                <w:i/>
              </w:rPr>
              <w:t xml:space="preserve"> is ki fog terjedni, és a Bizottság – a korai felismerési és kizárási rendszer megosztott irányításra való kiterjesztése keretében – jelenleg felmérést végez a tagállamok körében a szabálytalanságkezelő rendszerrel és a korai felismerési és kizárási rendszerrel kapcsolatos (IMS-EDES) interfészről; kéri a Bizottságot, hogy haladéktalanul tájékoztassa a Parlamentet a speciális EDES-IMS-ARACHNE interfész terén elért előrehaladásról;</w:t>
            </w:r>
          </w:p>
        </w:tc>
      </w:tr>
    </w:tbl>
    <w:p w14:paraId="5A0D1F4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47696D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D39052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F87FC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EF3038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BDA381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DA5B39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12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3003337" w14:textId="77777777" w:rsidTr="00565F8F">
        <w:trPr>
          <w:trHeight w:hRule="exact" w:val="240"/>
          <w:jc w:val="center"/>
        </w:trPr>
        <w:tc>
          <w:tcPr>
            <w:tcW w:w="9752" w:type="dxa"/>
            <w:gridSpan w:val="2"/>
            <w:tcBorders>
              <w:top w:val="nil"/>
              <w:left w:val="nil"/>
              <w:bottom w:val="nil"/>
              <w:right w:val="nil"/>
            </w:tcBorders>
          </w:tcPr>
          <w:p w14:paraId="38E7E31A" w14:textId="77777777" w:rsidR="000104F2" w:rsidRPr="005F046F" w:rsidRDefault="000104F2" w:rsidP="00565F8F"/>
        </w:tc>
      </w:tr>
      <w:tr w:rsidR="006C656F" w:rsidRPr="005F046F" w14:paraId="22897AB7" w14:textId="77777777" w:rsidTr="00565F8F">
        <w:trPr>
          <w:trHeight w:val="240"/>
          <w:jc w:val="center"/>
        </w:trPr>
        <w:tc>
          <w:tcPr>
            <w:tcW w:w="4876" w:type="dxa"/>
            <w:tcBorders>
              <w:top w:val="nil"/>
              <w:left w:val="nil"/>
              <w:bottom w:val="nil"/>
              <w:right w:val="nil"/>
            </w:tcBorders>
          </w:tcPr>
          <w:p w14:paraId="29B9857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D431BAC" w14:textId="77777777" w:rsidR="000104F2" w:rsidRPr="005F046F" w:rsidRDefault="000104F2" w:rsidP="00565F8F">
            <w:pPr>
              <w:pStyle w:val="AmColumnHeading"/>
            </w:pPr>
            <w:r w:rsidRPr="005F046F">
              <w:t>Módosítás</w:t>
            </w:r>
          </w:p>
        </w:tc>
      </w:tr>
      <w:tr w:rsidR="006C656F" w:rsidRPr="005F046F" w14:paraId="7C8DDF0A" w14:textId="77777777" w:rsidTr="00565F8F">
        <w:trPr>
          <w:jc w:val="center"/>
        </w:trPr>
        <w:tc>
          <w:tcPr>
            <w:tcW w:w="4876" w:type="dxa"/>
            <w:tcBorders>
              <w:top w:val="nil"/>
              <w:left w:val="nil"/>
              <w:bottom w:val="nil"/>
              <w:right w:val="nil"/>
            </w:tcBorders>
          </w:tcPr>
          <w:p w14:paraId="0F35812C" w14:textId="77777777" w:rsidR="000104F2" w:rsidRPr="005F046F" w:rsidRDefault="000104F2" w:rsidP="00565F8F">
            <w:pPr>
              <w:pStyle w:val="Normal6a"/>
            </w:pPr>
          </w:p>
        </w:tc>
        <w:tc>
          <w:tcPr>
            <w:tcW w:w="4876" w:type="dxa"/>
            <w:tcBorders>
              <w:top w:val="nil"/>
              <w:left w:val="nil"/>
              <w:bottom w:val="nil"/>
              <w:right w:val="nil"/>
            </w:tcBorders>
          </w:tcPr>
          <w:p w14:paraId="12A91B6D" w14:textId="77777777" w:rsidR="000104F2" w:rsidRPr="005F046F" w:rsidRDefault="000104F2" w:rsidP="00565F8F">
            <w:pPr>
              <w:pStyle w:val="Normal6a"/>
            </w:pPr>
            <w:r w:rsidRPr="005F046F">
              <w:rPr>
                <w:b/>
                <w:i/>
              </w:rPr>
              <w:t>12b.</w:t>
            </w:r>
            <w:r w:rsidRPr="005F046F">
              <w:tab/>
            </w:r>
            <w:r w:rsidRPr="005F046F">
              <w:rPr>
                <w:b/>
                <w:i/>
              </w:rPr>
              <w:t xml:space="preserve">megjegyzi, hogy a költségvetési rendelet 2024. évi átdolgozása megteremtette a jogalapot a korszerűsített adatbányászati és kockázatértékelési eszköz, az „ARACHNE+” számára, amely a 2027 utáni többéves pénzügyi keretben áll majd rendelkezésre, és amelyet valamennyi irányítási mód esetében használni kell a releváns adatkategóriák európai intézmények és szervek, tagállamok és uniós költségvetést végrehajtó egyéb szervezetek általi kötelező betáplálása mellett; rámutat, hogy jelenleg az ARACHNE+ tagállamok általi használata önkéntes, továbbá a Bizottság, a Tanács és a Parlament a 2023. december 7-i együttes nyilatkozatban kötelezettséget vállalt arra, hogy a 2027 utáni többéves pénzügyi keret tekintetében megvizsgálja és </w:t>
            </w:r>
            <w:proofErr w:type="spellStart"/>
            <w:r w:rsidRPr="005F046F">
              <w:rPr>
                <w:b/>
                <w:i/>
              </w:rPr>
              <w:t>újratárgyalja</w:t>
            </w:r>
            <w:proofErr w:type="spellEnd"/>
            <w:r w:rsidRPr="005F046F">
              <w:rPr>
                <w:b/>
                <w:i/>
              </w:rPr>
              <w:t xml:space="preserve"> a szervezeti eszköz tagállamok általi </w:t>
            </w:r>
            <w:r w:rsidRPr="005F046F">
              <w:rPr>
                <w:b/>
                <w:i/>
              </w:rPr>
              <w:lastRenderedPageBreak/>
              <w:t>kötelező használatát az eszköz 2027 végéig elvégzett készenléti értékelése alapján; hangsúlyozza, hogy a tagállamok által használt nemzeti digitális rendszerektől függetlenül az ARACHNE különösen a határokon átnyúló csalások felderítésére irányul, és egyedülálló hatékonysággal értékeli a határokon átnyúló műveleteket és együttműködést érintő csalások, összeférhetetlenségek és szabálytalanságok kockázatát; úgy véli, hogy a megelőzés és a felderítés profilalkotás és mintafelismerés révén történő hatékony javítása érdekében az ARACHNE-</w:t>
            </w:r>
            <w:proofErr w:type="spellStart"/>
            <w:r w:rsidRPr="005F046F">
              <w:rPr>
                <w:b/>
                <w:i/>
              </w:rPr>
              <w:t>nak</w:t>
            </w:r>
            <w:proofErr w:type="spellEnd"/>
            <w:r w:rsidRPr="005F046F">
              <w:rPr>
                <w:b/>
                <w:i/>
              </w:rPr>
              <w:t xml:space="preserve"> meg kell felelnie az egyes nemzeti kereteken belüli sajátos igényeknek és kihívásoknak, továbbá a Bizottságnak szilárd támogatási mechanizmusokat kell biztosítania, és lehetővé kell tennie az ARACHNE pozitív hatásainak maximalizálásához szükséges kiigazításokat; rámutat, hogy a tagállamok hangsúlyozták, hogy az eszköz hatékonyságának maximalizálása érdekében átfogó képzésre és támogatásra van szükség;</w:t>
            </w:r>
          </w:p>
        </w:tc>
      </w:tr>
    </w:tbl>
    <w:p w14:paraId="69B2768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E7AB2B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4BC927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14CAD4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9FB3B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ABF2FC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97CDA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9BD92F6" w14:textId="77777777" w:rsidTr="00565F8F">
        <w:trPr>
          <w:trHeight w:hRule="exact" w:val="240"/>
          <w:jc w:val="center"/>
        </w:trPr>
        <w:tc>
          <w:tcPr>
            <w:tcW w:w="9752" w:type="dxa"/>
            <w:gridSpan w:val="2"/>
            <w:tcBorders>
              <w:top w:val="nil"/>
              <w:left w:val="nil"/>
              <w:bottom w:val="nil"/>
              <w:right w:val="nil"/>
            </w:tcBorders>
          </w:tcPr>
          <w:p w14:paraId="41B8CDD7" w14:textId="77777777" w:rsidR="000104F2" w:rsidRPr="005F046F" w:rsidRDefault="000104F2" w:rsidP="00565F8F"/>
        </w:tc>
      </w:tr>
      <w:tr w:rsidR="006C656F" w:rsidRPr="005F046F" w14:paraId="39C98806" w14:textId="77777777" w:rsidTr="00565F8F">
        <w:trPr>
          <w:trHeight w:val="240"/>
          <w:jc w:val="center"/>
        </w:trPr>
        <w:tc>
          <w:tcPr>
            <w:tcW w:w="4876" w:type="dxa"/>
            <w:tcBorders>
              <w:top w:val="nil"/>
              <w:left w:val="nil"/>
              <w:bottom w:val="nil"/>
              <w:right w:val="nil"/>
            </w:tcBorders>
          </w:tcPr>
          <w:p w14:paraId="28BBC9C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737912F" w14:textId="77777777" w:rsidR="000104F2" w:rsidRPr="005F046F" w:rsidRDefault="000104F2" w:rsidP="00565F8F">
            <w:pPr>
              <w:pStyle w:val="AmColumnHeading"/>
            </w:pPr>
            <w:r w:rsidRPr="005F046F">
              <w:t>Módosítás</w:t>
            </w:r>
          </w:p>
        </w:tc>
      </w:tr>
      <w:tr w:rsidR="006C656F" w:rsidRPr="005F046F" w14:paraId="79A08A67" w14:textId="77777777" w:rsidTr="00565F8F">
        <w:trPr>
          <w:jc w:val="center"/>
        </w:trPr>
        <w:tc>
          <w:tcPr>
            <w:tcW w:w="4876" w:type="dxa"/>
            <w:tcBorders>
              <w:top w:val="nil"/>
              <w:left w:val="nil"/>
              <w:bottom w:val="nil"/>
              <w:right w:val="nil"/>
            </w:tcBorders>
          </w:tcPr>
          <w:p w14:paraId="037420C1" w14:textId="77777777" w:rsidR="000104F2" w:rsidRPr="005F046F" w:rsidRDefault="000104F2" w:rsidP="00565F8F">
            <w:pPr>
              <w:pStyle w:val="Normal6a"/>
            </w:pPr>
            <w:r w:rsidRPr="005F046F">
              <w:t>13.</w:t>
            </w:r>
            <w:r w:rsidRPr="005F046F">
              <w:tab/>
            </w:r>
            <w:r w:rsidRPr="005F046F">
              <w:rPr>
                <w:b/>
                <w:bCs/>
                <w:i/>
                <w:iCs/>
              </w:rPr>
              <w:t>megjegyzi</w:t>
            </w:r>
            <w:r w:rsidRPr="005F046F">
              <w:t xml:space="preserve">,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megjegyzi, hogy a visszaélést bejelentő személyek </w:t>
            </w:r>
            <w:r w:rsidRPr="005F046F">
              <w:lastRenderedPageBreak/>
              <w:t xml:space="preserve">figyelmeztetésein alapuló csalások felderítése továbbra is alacsony, mivel csak egyszer derítették fel csalást a médiában a közvetlen kifizetésekkel összefüggésben közzétett információk eredményeként, míg a kohéziós és halászati ágazatban nőtt a civil társadalomtól származó információk szerepe, és a szabálytalanságok mintegy 18 %-át ezen az alapon derítették fel; hangsúlyozza, hogy a KAP-ot érintő szabálytalanságok esetében a felderítési koncentrációnak a 2024. évi PIF-jelentésben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hogy a nem csalárd szabálytalanságok felderítésében sem a kockázatelemzés, sem a civil társadalmi információk nem játszanak jelentős szerepet, és emlékeztet arra,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csalárd szabálytalanságok esetében, valószínűleg a csalás esetén az ellenőrzés előtt álló nagyobb akadályok és az általában korlátozott speciális erőforrások mozgósításának szükségessége miatt; </w:t>
            </w:r>
            <w:r w:rsidRPr="005F046F">
              <w:lastRenderedPageBreak/>
              <w:t>hangsúlyozza, hogy ezen eljárások hossza akadályozza a hatékony behajtási vagy mérséklési intézkedések elfogadását, és elveszi a meghozott intézkedések elrettentő hatását; végül úgy véli, hogy az ügyek kezdeti kezelésének módja és időzítése döntő hatással van az eljárások későbbi lefolytatására, és felhívja a Bizottságot, hogy fontolja meg megfelelő intézkedések elfogadását e folyamatok felgyorsítása érdekében, különösen a tagállami hatóságokkal folytatott párbeszéd fokozása révén, ami az Unió pénzügyi érdekeinek védelmét szolgálja;</w:t>
            </w:r>
          </w:p>
        </w:tc>
        <w:tc>
          <w:tcPr>
            <w:tcW w:w="4876" w:type="dxa"/>
            <w:tcBorders>
              <w:top w:val="nil"/>
              <w:left w:val="nil"/>
              <w:bottom w:val="nil"/>
              <w:right w:val="nil"/>
            </w:tcBorders>
          </w:tcPr>
          <w:p w14:paraId="19194609" w14:textId="77777777" w:rsidR="000104F2" w:rsidRPr="005F046F" w:rsidRDefault="000104F2" w:rsidP="00565F8F">
            <w:pPr>
              <w:pStyle w:val="Normal6a"/>
            </w:pPr>
            <w:r w:rsidRPr="005F046F">
              <w:lastRenderedPageBreak/>
              <w:t>13.</w:t>
            </w:r>
            <w:r w:rsidRPr="005F046F">
              <w:tab/>
            </w:r>
            <w:r w:rsidRPr="005F046F">
              <w:rPr>
                <w:b/>
                <w:bCs/>
                <w:i/>
                <w:iCs/>
              </w:rPr>
              <w:t>sajnálja</w:t>
            </w:r>
            <w:r w:rsidRPr="005F046F">
              <w:t xml:space="preserve">,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w:t>
            </w:r>
            <w:r w:rsidRPr="005F046F">
              <w:rPr>
                <w:b/>
                <w:bCs/>
                <w:i/>
                <w:iCs/>
              </w:rPr>
              <w:t xml:space="preserve">kéri az Európai Bizottságot, hogy elemezze ennek okait, és a tagállamok </w:t>
            </w:r>
            <w:r w:rsidRPr="005F046F">
              <w:rPr>
                <w:b/>
                <w:bCs/>
                <w:i/>
                <w:iCs/>
              </w:rPr>
              <w:lastRenderedPageBreak/>
              <w:t>illetékes hatóságaival együttműködésben dolgozzon ki cselekvési tervet a kockázatértékelések minőségének javítása érdekében;</w:t>
            </w:r>
            <w:r w:rsidRPr="005F046F">
              <w:t xml:space="preserve"> megjegyzi, hogy a visszaélést bejelentő személyek figyelmeztetésein alapuló csalások felderítése továbbra is alacsony, mivel csak egyszer derítették fel csalást a médiában a közvetlen kifizetésekkel összefüggésben közzétett információk eredményeként, míg a kohéziós és halászati ágazatban nőtt a civil társadalomtól származó információk szerepe, és a szabálytalanságok mintegy 18 %-át ezen az alapon derítették fel; hangsúlyozza, hogy a KAP-ot érintő szabálytalanságok esetében a felderítési koncentrációnak a 2024. évi PIF-jelentésben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hogy a nem csalárd szabálytalanságok felderítésében sem a kockázatelemzés, sem a civil társadalmi információk nem játszanak jelentős szerepet, és emlékeztet arra,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w:t>
            </w:r>
            <w:r w:rsidRPr="005F046F">
              <w:lastRenderedPageBreak/>
              <w:t>csalárd szabálytalanságok esetében, valószínűleg a csalás esetén az ellenőrzés előtt álló nagyobb akadályok és az általában korlátozott speciális erőforrások mozgósításának szükségessége miatt; hangsúlyozza, hogy ezen eljárások hossza akadályozza a hatékony behajtási vagy mérséklési intézkedések elfogadását, és elveszi a meghozott intézkedések elrettentő hatását; végül úgy véli, hogy az ügyek kezdeti kezelésének módja és időzítése döntő hatással van az eljárások későbbi lefolytatására, és felhívja a Bizottságot, hogy fontolja meg megfelelő intézkedések elfogadását e folyamatok felgyorsítása érdekében, különösen a tagállami hatóságokkal folytatott párbeszéd fokozása révén, ami az Unió pénzügyi érdekeinek védelmét szolgálja;</w:t>
            </w:r>
          </w:p>
        </w:tc>
      </w:tr>
    </w:tbl>
    <w:p w14:paraId="1EEA8808"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671631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8A6D4E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3426F1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6ACC92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DADCA6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F3B17E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6696307" w14:textId="77777777" w:rsidTr="00565F8F">
        <w:trPr>
          <w:trHeight w:hRule="exact" w:val="240"/>
          <w:jc w:val="center"/>
        </w:trPr>
        <w:tc>
          <w:tcPr>
            <w:tcW w:w="9752" w:type="dxa"/>
            <w:gridSpan w:val="2"/>
            <w:tcBorders>
              <w:top w:val="nil"/>
              <w:left w:val="nil"/>
              <w:bottom w:val="nil"/>
              <w:right w:val="nil"/>
            </w:tcBorders>
          </w:tcPr>
          <w:p w14:paraId="6910D933" w14:textId="77777777" w:rsidR="000104F2" w:rsidRPr="005F046F" w:rsidRDefault="000104F2" w:rsidP="00565F8F"/>
        </w:tc>
      </w:tr>
      <w:tr w:rsidR="006C656F" w:rsidRPr="005F046F" w14:paraId="4F24C6D0" w14:textId="77777777" w:rsidTr="00565F8F">
        <w:trPr>
          <w:trHeight w:val="240"/>
          <w:jc w:val="center"/>
        </w:trPr>
        <w:tc>
          <w:tcPr>
            <w:tcW w:w="4876" w:type="dxa"/>
            <w:tcBorders>
              <w:top w:val="nil"/>
              <w:left w:val="nil"/>
              <w:bottom w:val="nil"/>
              <w:right w:val="nil"/>
            </w:tcBorders>
          </w:tcPr>
          <w:p w14:paraId="5408D3C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1B1DAD3" w14:textId="77777777" w:rsidR="000104F2" w:rsidRPr="005F046F" w:rsidRDefault="000104F2" w:rsidP="00565F8F">
            <w:pPr>
              <w:pStyle w:val="AmColumnHeading"/>
            </w:pPr>
            <w:r w:rsidRPr="005F046F">
              <w:t>Módosítás</w:t>
            </w:r>
          </w:p>
        </w:tc>
      </w:tr>
      <w:tr w:rsidR="006C656F" w:rsidRPr="005F046F" w14:paraId="41E5D699" w14:textId="77777777" w:rsidTr="00565F8F">
        <w:trPr>
          <w:jc w:val="center"/>
        </w:trPr>
        <w:tc>
          <w:tcPr>
            <w:tcW w:w="4876" w:type="dxa"/>
            <w:tcBorders>
              <w:top w:val="nil"/>
              <w:left w:val="nil"/>
              <w:bottom w:val="nil"/>
              <w:right w:val="nil"/>
            </w:tcBorders>
          </w:tcPr>
          <w:p w14:paraId="50EC04A2" w14:textId="77777777" w:rsidR="000104F2" w:rsidRPr="005F046F" w:rsidRDefault="000104F2" w:rsidP="00565F8F">
            <w:pPr>
              <w:pStyle w:val="Normal6a"/>
            </w:pPr>
            <w:r w:rsidRPr="005F046F">
              <w:t>13.</w:t>
            </w:r>
            <w:r w:rsidRPr="005F046F">
              <w:tab/>
              <w:t xml:space="preserve">megjegyzi,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megjegyzi, hogy a visszaélést bejelentő személyek figyelmeztetésein alapuló csalások felderítése továbbra is alacsony, mivel csak egyszer derítették fel csalást a médiában a közvetlen kifizetésekkel összefüggésben közzétett információk eredményeként, míg a kohéziós és halászati ágazatban nőtt a </w:t>
            </w:r>
            <w:r w:rsidRPr="005F046F">
              <w:lastRenderedPageBreak/>
              <w:t xml:space="preserve">civil társadalomtól származó információk szerepe, és a szabálytalanságok mintegy 18 %-át ezen az alapon derítették fel; hangsúlyozza, hogy a KAP-ot érintő szabálytalanságok esetében a felderítési koncentrációnak a 2024. évi PIF-jelentésben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hogy a nem csalárd szabálytalanságok felderítésében </w:t>
            </w:r>
            <w:r w:rsidRPr="005F046F">
              <w:rPr>
                <w:b/>
                <w:bCs/>
                <w:i/>
                <w:iCs/>
              </w:rPr>
              <w:t>sem</w:t>
            </w:r>
            <w:r w:rsidRPr="005F046F">
              <w:t xml:space="preserve"> a kockázatelemzés</w:t>
            </w:r>
            <w:r w:rsidRPr="005F046F">
              <w:rPr>
                <w:b/>
                <w:bCs/>
                <w:i/>
                <w:iCs/>
              </w:rPr>
              <w:t>, sem a civil társadalmi információk nem játszanak jelentős szerepet, és</w:t>
            </w:r>
            <w:r w:rsidRPr="005F046F">
              <w:t xml:space="preserve"> emlékeztet arra,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csalárd szabálytalanságok esetében, valószínűleg a csalás esetén az ellenőrzés előtt álló nagyobb akadályok és az általában korlátozott speciális erőforrások mozgósításának szükségessége miatt; hangsúlyozza, hogy ezen eljárások hossza akadályozza a hatékony behajtási vagy mérséklési intézkedések elfogadását, és elveszi a meghozott intézkedések elrettentő hatását; végül úgy véli, hogy az ügyek kezdeti kezelésének módja és időzítése </w:t>
            </w:r>
            <w:r w:rsidRPr="005F046F">
              <w:lastRenderedPageBreak/>
              <w:t>döntő hatással van az eljárások későbbi lefolytatására, és felhívja a Bizottságot, hogy fontolja meg megfelelő intézkedések elfogadását e folyamatok felgyorsítása érdekében, különösen a tagállami hatóságokkal folytatott párbeszéd fokozása révén, ami az Unió pénzügyi érdekeinek védelmét szolgálja;</w:t>
            </w:r>
          </w:p>
        </w:tc>
        <w:tc>
          <w:tcPr>
            <w:tcW w:w="4876" w:type="dxa"/>
            <w:tcBorders>
              <w:top w:val="nil"/>
              <w:left w:val="nil"/>
              <w:bottom w:val="nil"/>
              <w:right w:val="nil"/>
            </w:tcBorders>
          </w:tcPr>
          <w:p w14:paraId="097AAA59" w14:textId="77777777" w:rsidR="000104F2" w:rsidRPr="005F046F" w:rsidRDefault="000104F2" w:rsidP="00565F8F">
            <w:pPr>
              <w:pStyle w:val="Normal6a"/>
            </w:pPr>
            <w:r w:rsidRPr="005F046F">
              <w:lastRenderedPageBreak/>
              <w:t>13.</w:t>
            </w:r>
            <w:r w:rsidRPr="005F046F">
              <w:tab/>
              <w:t xml:space="preserve">megjegyzi,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megjegyzi, hogy a visszaélést bejelentő személyek figyelmeztetésein alapuló csalások felderítése továbbra is alacsony, mivel csak egyszer derítették fel csalást a médiában a közvetlen kifizetésekkel összefüggésben közzétett információk eredményeként, míg a kohéziós és halászati ágazatban nőtt a </w:t>
            </w:r>
            <w:r w:rsidRPr="005F046F">
              <w:lastRenderedPageBreak/>
              <w:t xml:space="preserve">civil társadalomtól származó információk szerepe, és a szabálytalanságok mintegy 18 %-át ezen az alapon derítették fel; hangsúlyozza, hogy a KAP-ot érintő szabálytalanságok esetében a felderítési koncentrációnak a 2024. évi PIF-jelentésben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hogy a nem csalárd szabálytalanságok felderítésében a kockázatelemzés </w:t>
            </w:r>
            <w:r w:rsidRPr="005F046F">
              <w:rPr>
                <w:b/>
                <w:i/>
              </w:rPr>
              <w:t xml:space="preserve">és a külső riasztások korlátozott szerepet játszottak; </w:t>
            </w:r>
            <w:r w:rsidRPr="005F046F">
              <w:rPr>
                <w:b/>
                <w:bCs/>
                <w:i/>
                <w:iCs/>
              </w:rPr>
              <w:t>hangsúlyozza, hogy meg kell erősíteni a kockázatelemzési módszereket, javítani kell az adatbányászati eszközöket és meg kell erősíteni azok szisztematikus használatát, valamint továbbra is elő kell mozdítani a visszaélést bejelentő személyek biztonságos és hatékony bejelentési csatornáit;</w:t>
            </w:r>
            <w:r w:rsidRPr="005F046F">
              <w:t xml:space="preserve"> emlékeztet arra,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csalárd szabálytalanságok esetében, valószínűleg a csalás esetén az ellenőrzés előtt álló nagyobb akadályok és az általában korlátozott speciális erőforrások mozgósításának szükségessége </w:t>
            </w:r>
            <w:r w:rsidRPr="005F046F">
              <w:lastRenderedPageBreak/>
              <w:t>miatt; hangsúlyozza, hogy ezen eljárások hossza akadályozza a hatékony behajtási vagy mérséklési intézkedések elfogadását, és elveszi a meghozott intézkedések elrettentő hatását; végül úgy véli, hogy az ügyek kezdeti kezelésének módja és időzítése döntő hatással van az eljárások későbbi lefolytatására, és felhívja a Bizottságot, hogy fontolja meg megfelelő intézkedések elfogadását e folyamatok felgyorsítása érdekében, különösen a tagállami hatóságokkal folytatott párbeszéd fokozása révén, ami az Unió pénzügyi érdekeinek védelmét szolgálja;</w:t>
            </w:r>
          </w:p>
        </w:tc>
      </w:tr>
    </w:tbl>
    <w:p w14:paraId="29668340"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CC5F5A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432175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0B5BDB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73C0B4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5891E3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859478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F6CE52B" w14:textId="77777777" w:rsidTr="00565F8F">
        <w:trPr>
          <w:trHeight w:hRule="exact" w:val="240"/>
          <w:jc w:val="center"/>
        </w:trPr>
        <w:tc>
          <w:tcPr>
            <w:tcW w:w="9752" w:type="dxa"/>
            <w:gridSpan w:val="2"/>
            <w:tcBorders>
              <w:top w:val="nil"/>
              <w:left w:val="nil"/>
              <w:bottom w:val="nil"/>
              <w:right w:val="nil"/>
            </w:tcBorders>
          </w:tcPr>
          <w:p w14:paraId="641AB3B4" w14:textId="77777777" w:rsidR="000104F2" w:rsidRPr="005F046F" w:rsidRDefault="000104F2" w:rsidP="00565F8F"/>
        </w:tc>
      </w:tr>
      <w:tr w:rsidR="006C656F" w:rsidRPr="005F046F" w14:paraId="11F2545C" w14:textId="77777777" w:rsidTr="00565F8F">
        <w:trPr>
          <w:trHeight w:val="240"/>
          <w:jc w:val="center"/>
        </w:trPr>
        <w:tc>
          <w:tcPr>
            <w:tcW w:w="4876" w:type="dxa"/>
            <w:tcBorders>
              <w:top w:val="nil"/>
              <w:left w:val="nil"/>
              <w:bottom w:val="nil"/>
              <w:right w:val="nil"/>
            </w:tcBorders>
          </w:tcPr>
          <w:p w14:paraId="3FA0883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C96D83D" w14:textId="77777777" w:rsidR="000104F2" w:rsidRPr="005F046F" w:rsidRDefault="000104F2" w:rsidP="00565F8F">
            <w:pPr>
              <w:pStyle w:val="AmColumnHeading"/>
            </w:pPr>
            <w:r w:rsidRPr="005F046F">
              <w:t>Módosítás</w:t>
            </w:r>
          </w:p>
        </w:tc>
      </w:tr>
      <w:tr w:rsidR="006C656F" w:rsidRPr="005F046F" w14:paraId="1540DE90" w14:textId="77777777" w:rsidTr="00565F8F">
        <w:trPr>
          <w:jc w:val="center"/>
        </w:trPr>
        <w:tc>
          <w:tcPr>
            <w:tcW w:w="4876" w:type="dxa"/>
            <w:tcBorders>
              <w:top w:val="nil"/>
              <w:left w:val="nil"/>
              <w:bottom w:val="nil"/>
              <w:right w:val="nil"/>
            </w:tcBorders>
          </w:tcPr>
          <w:p w14:paraId="189B09BE" w14:textId="77777777" w:rsidR="000104F2" w:rsidRPr="005F046F" w:rsidRDefault="000104F2" w:rsidP="00565F8F">
            <w:pPr>
              <w:pStyle w:val="Normal6a"/>
            </w:pPr>
            <w:r w:rsidRPr="005F046F">
              <w:t>13.</w:t>
            </w:r>
            <w:r w:rsidRPr="005F046F">
              <w:tab/>
              <w:t>megjegyzi,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megjegyzi, hogy a visszaélést bejelentő személyek figyelmeztetésein alapuló csalások felderítése továbbra is alacsony, mivel csak egyszer derítették fel csalást a médiában a közvetlen kifizetésekkel összefüggésben közzétett információk eredményeként, míg a kohéziós és halászati ágazatban nőtt a civil társadalomtól származó információk szerepe, és a szabálytalanságok mintegy 18 %-át ezen az alapon derítették fel; hangsúlyozza, hogy a KAP-ot érintő szabálytalanságok esetében a felderítési koncentrációnak a 2024. évi PIF-</w:t>
            </w:r>
            <w:r w:rsidRPr="005F046F">
              <w:lastRenderedPageBreak/>
              <w:t xml:space="preserve">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w:t>
            </w:r>
            <w:r w:rsidRPr="005F046F">
              <w:rPr>
                <w:b/>
                <w:bCs/>
                <w:i/>
                <w:iCs/>
              </w:rPr>
              <w:t>hogy a nem csalárd szabálytalanságok felderítésében sem a kockázatelemzés, sem a civil társadalmi információk nem játszanak jelentős szerepet, és emlékeztet arra,</w:t>
            </w:r>
            <w:r w:rsidRPr="005F046F">
              <w:t xml:space="preserve">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csalárd szabálytalanságok esetében, valószínűleg a csalás esetén az ellenőrzés előtt álló nagyobb akadályok és az általában korlátozott speciális erőforrások mozgósításának szükségessége miatt; hangsúlyozza, hogy ezen eljárások hossza akadályozza a hatékony behajtási vagy mérséklési intézkedések elfogadását, és elveszi a meghozott intézkedések elrettentő hatását; végül úgy véli, hogy az ügyek kezdeti kezelésének módja és időzítése döntő hatással van az eljárások későbbi lefolytatására, és felhívja a Bizottságot, hogy fontolja meg megfelelő intézkedések elfogadását e folyamatok felgyorsítása érdekében, különösen a tagállami hatóságokkal folytatott párbeszéd fokozása </w:t>
            </w:r>
            <w:r w:rsidRPr="005F046F">
              <w:lastRenderedPageBreak/>
              <w:t>révén, ami az Unió pénzügyi érdekeinek védelmét szolgálja;</w:t>
            </w:r>
          </w:p>
        </w:tc>
        <w:tc>
          <w:tcPr>
            <w:tcW w:w="4876" w:type="dxa"/>
            <w:tcBorders>
              <w:top w:val="nil"/>
              <w:left w:val="nil"/>
              <w:bottom w:val="nil"/>
              <w:right w:val="nil"/>
            </w:tcBorders>
          </w:tcPr>
          <w:p w14:paraId="0ED179F8" w14:textId="77777777" w:rsidR="000104F2" w:rsidRPr="005F046F" w:rsidRDefault="000104F2" w:rsidP="00565F8F">
            <w:pPr>
              <w:pStyle w:val="Normal6a"/>
            </w:pPr>
            <w:r w:rsidRPr="005F046F">
              <w:lastRenderedPageBreak/>
              <w:t>13.</w:t>
            </w:r>
            <w:r w:rsidRPr="005F046F">
              <w:tab/>
              <w:t>megjegyzi, hogy a közös agrárpolitika (KAP), a kohéziós politika és a halászati ágazat esetében a 2020–2024 közötti időszakban a kockázatelemzés még mindig csak kis mértékben járult hozzá a csalások felderítéséhez, és az előző időszakhoz (2015–2019) képest nem történt javulás; megjegyzi, hogy a visszaélést bejelentő személyek figyelmeztetésein alapuló csalások felderítése továbbra is alacsony, mivel csak egyszer derítették fel csalást a médiában a közvetlen kifizetésekkel összefüggésben közzétett információk eredményeként, míg a kohéziós és halászati ágazatban nőtt a civil társadalomtól származó információk szerepe, és a szabálytalanságok mintegy 18 %-át ezen az alapon derítették fel; hangsúlyozza, hogy a KAP-ot érintő szabálytalanságok esetében a felderítési koncentrációnak a 2024. évi PIF-</w:t>
            </w:r>
            <w:r w:rsidRPr="005F046F">
              <w:lastRenderedPageBreak/>
              <w:t xml:space="preserve">jelentésben bemutatott elemzése azt mutatja, hogy a csalárd szabálytalanságok esetében nagyobb a koncentráció, mint a nem csalárd szabálytalanságok esetében, ami arra utal, hogy a vizsgálatok és a büntetőeljárások eltérő megközelítése meghatározó tényező lehetett ezekben a felderítési szintekben; megjegyzi továbbá, hogy 2023-ban a „Kohézió, </w:t>
            </w:r>
            <w:proofErr w:type="spellStart"/>
            <w:r w:rsidRPr="005F046F">
              <w:t>reziliencia</w:t>
            </w:r>
            <w:proofErr w:type="spellEnd"/>
            <w:r w:rsidRPr="005F046F">
              <w:t xml:space="preserve"> és értékek” fejezeten belül továbbra is jelentős volt a hibaszint, amely elérte a 9,3 %-ot; ismételten aggodalmát fejezi ki a szabálytalanságok feltárásával kapcsolatos ügyek lezárásához szükséges eljárások túlzott elhúzódása miatt, megjegyezve, hogy a 2020–2024 közötti időszakban a KAP ágazatában átlagosan több mint négy év telt el a szabálytalanság kezdete és a csalárd szabálytalanság gyanúja között, majd a Bizottság tájékoztatását követően további körülbelül három évbe telt az ügy lezárása, míg a kohéziós ágazatban közel két évre volt szükség a csalás gyanújának felderítéséhez, és közel két és fél évre az ügy lezárásához; tudomásul veszi, hogy mindkét ágazatban rövidebb az átlagos időtartam a nem csalárd szabálytalanságok esetében, valószínűleg a csalás esetén az ellenőrzés előtt álló nagyobb akadályok és az általában korlátozott speciális erőforrások mozgósításának szükségessége miatt; hangsúlyozza, hogy ezen eljárások hossza akadályozza a hatékony behajtási vagy mérséklési intézkedések elfogadását, és elveszi a meghozott intézkedések elrettentő hatását; végül úgy véli, hogy az ügyek kezdeti kezelésének módja és időzítése döntő hatással van az eljárások későbbi lefolytatására, és felhívja a Bizottságot, hogy fontolja meg megfelelő intézkedések elfogadását e folyamatok felgyorsítása érdekében, különösen a tagállami hatóságokkal folytatott párbeszéd fokozása révén, ami az Unió pénzügyi érdekeinek védelmét szolgálja;</w:t>
            </w:r>
          </w:p>
        </w:tc>
      </w:tr>
    </w:tbl>
    <w:p w14:paraId="74A6E804"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21FDA0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21DBF7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A482D9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E0A24D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634504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FF89D8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14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8BCEBC3" w14:textId="77777777" w:rsidTr="00565F8F">
        <w:trPr>
          <w:trHeight w:hRule="exact" w:val="240"/>
          <w:jc w:val="center"/>
        </w:trPr>
        <w:tc>
          <w:tcPr>
            <w:tcW w:w="9752" w:type="dxa"/>
            <w:gridSpan w:val="2"/>
            <w:tcBorders>
              <w:top w:val="nil"/>
              <w:left w:val="nil"/>
              <w:bottom w:val="nil"/>
              <w:right w:val="nil"/>
            </w:tcBorders>
          </w:tcPr>
          <w:p w14:paraId="0FBFB62F" w14:textId="77777777" w:rsidR="000104F2" w:rsidRPr="005F046F" w:rsidRDefault="000104F2" w:rsidP="00565F8F"/>
        </w:tc>
      </w:tr>
      <w:tr w:rsidR="006C656F" w:rsidRPr="005F046F" w14:paraId="4FE64B84" w14:textId="77777777" w:rsidTr="00565F8F">
        <w:trPr>
          <w:trHeight w:val="240"/>
          <w:jc w:val="center"/>
        </w:trPr>
        <w:tc>
          <w:tcPr>
            <w:tcW w:w="4876" w:type="dxa"/>
            <w:tcBorders>
              <w:top w:val="nil"/>
              <w:left w:val="nil"/>
              <w:bottom w:val="nil"/>
              <w:right w:val="nil"/>
            </w:tcBorders>
          </w:tcPr>
          <w:p w14:paraId="12AD64A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0FAC863" w14:textId="77777777" w:rsidR="000104F2" w:rsidRPr="005F046F" w:rsidRDefault="000104F2" w:rsidP="00565F8F">
            <w:pPr>
              <w:pStyle w:val="AmColumnHeading"/>
            </w:pPr>
            <w:r w:rsidRPr="005F046F">
              <w:t>Módosítás</w:t>
            </w:r>
          </w:p>
        </w:tc>
      </w:tr>
      <w:tr w:rsidR="006C656F" w:rsidRPr="005F046F" w14:paraId="442C815F" w14:textId="77777777" w:rsidTr="00565F8F">
        <w:trPr>
          <w:jc w:val="center"/>
        </w:trPr>
        <w:tc>
          <w:tcPr>
            <w:tcW w:w="4876" w:type="dxa"/>
            <w:tcBorders>
              <w:top w:val="nil"/>
              <w:left w:val="nil"/>
              <w:bottom w:val="nil"/>
              <w:right w:val="nil"/>
            </w:tcBorders>
          </w:tcPr>
          <w:p w14:paraId="50EBE0B7" w14:textId="5D488A2B" w:rsidR="000104F2" w:rsidRPr="005F046F" w:rsidRDefault="000104F2" w:rsidP="00565F8F">
            <w:pPr>
              <w:pStyle w:val="Normal6a"/>
            </w:pPr>
            <w:r w:rsidRPr="005F046F">
              <w:t>14.</w:t>
            </w:r>
            <w:r w:rsidRPr="005F046F">
              <w:tab/>
              <w:t xml:space="preserve">megjegyzi, hogy a közvetlen irányítás területén a 2020–2024 közötti időszakban </w:t>
            </w:r>
            <w:r w:rsidRPr="005F046F">
              <w:rPr>
                <w:b/>
                <w:bCs/>
                <w:i/>
                <w:iCs/>
              </w:rPr>
              <w:t>vélhetően</w:t>
            </w:r>
            <w:r w:rsidRPr="005F046F">
              <w:t xml:space="preserve"> az OLAF volt a csalárd szabálytalanságokkal kapcsolatos visszafizetendő tételek felderítésének fő forrása, az esetek 89,8</w:t>
            </w:r>
            <w:r w:rsidR="00B321FB">
              <w:t> </w:t>
            </w:r>
            <w:r w:rsidRPr="005F046F">
              <w:t>%-át és a visszafizetett összegek 96,9</w:t>
            </w:r>
            <w:r w:rsidR="00B321FB">
              <w:t> </w:t>
            </w:r>
            <w:r w:rsidRPr="005F046F">
              <w:t xml:space="preserve">%-át képviselve, míg a Bizottság utólagos ellenőrzései </w:t>
            </w:r>
            <w:r w:rsidRPr="005F046F">
              <w:rPr>
                <w:b/>
                <w:bCs/>
                <w:i/>
                <w:iCs/>
              </w:rPr>
              <w:t xml:space="preserve">ezen </w:t>
            </w:r>
            <w:r w:rsidRPr="005F046F">
              <w:t>tételek további 6,0 %-át tárták fel, ami a visszafizettetett összegek 1,9 </w:t>
            </w:r>
            <w:r w:rsidRPr="005F046F">
              <w:rPr>
                <w:b/>
                <w:bCs/>
                <w:i/>
                <w:iCs/>
              </w:rPr>
              <w:t>%-</w:t>
            </w:r>
            <w:proofErr w:type="spellStart"/>
            <w:r w:rsidRPr="005F046F">
              <w:rPr>
                <w:b/>
                <w:bCs/>
                <w:i/>
                <w:iCs/>
              </w:rPr>
              <w:t>ának</w:t>
            </w:r>
            <w:proofErr w:type="spellEnd"/>
            <w:r w:rsidRPr="005F046F">
              <w:rPr>
                <w:b/>
                <w:bCs/>
                <w:i/>
                <w:iCs/>
              </w:rPr>
              <w:t xml:space="preserve"> felel meg</w:t>
            </w:r>
            <w:r w:rsidRPr="005F046F">
              <w:t>; megjegyzi továbbá, hogy a nem csalárd szabálytalanságnak minősített visszafizetendő tételek mintegy 95,7 %-át a Bizottság előzetes és utólagos ellenőrzései révén tárták fel; e tekintetben tudomásul veszi a 2024. évi PIF-jelentésnek a felderítés forrása és a visszafizettetendő összegek közötti kapcsolatról szóló elemzését, amely azt mutatja, hogy a nem csalárd szabálytalanságok tekintetében a Bizottság utólagos ellenőrzései, a csalárd szabálytalanságok tekintetében pedig az OLAF vizsgálatai vezettek a visszafizettetett legmagasabb összegekhez;</w:t>
            </w:r>
          </w:p>
        </w:tc>
        <w:tc>
          <w:tcPr>
            <w:tcW w:w="4876" w:type="dxa"/>
            <w:tcBorders>
              <w:top w:val="nil"/>
              <w:left w:val="nil"/>
              <w:bottom w:val="nil"/>
              <w:right w:val="nil"/>
            </w:tcBorders>
          </w:tcPr>
          <w:p w14:paraId="0418BD8D" w14:textId="5D85486F" w:rsidR="000104F2" w:rsidRPr="005F046F" w:rsidRDefault="000104F2" w:rsidP="00565F8F">
            <w:pPr>
              <w:pStyle w:val="Normal6a"/>
            </w:pPr>
            <w:r w:rsidRPr="005F046F">
              <w:t>14.</w:t>
            </w:r>
            <w:r w:rsidRPr="005F046F">
              <w:tab/>
              <w:t xml:space="preserve">megjegyzi, hogy </w:t>
            </w:r>
            <w:r w:rsidRPr="005F046F">
              <w:rPr>
                <w:b/>
                <w:bCs/>
                <w:i/>
                <w:iCs/>
              </w:rPr>
              <w:t>a 2024. évi PIF-jelentés szerint</w:t>
            </w:r>
            <w:r w:rsidRPr="005F046F">
              <w:t xml:space="preserve"> a közvetlen irányítás területén a 2020–2024 közötti időszakban az OLAF volt a csalárd szabálytalanságokkal kapcsolatos visszafizetendő tételek felderítésének fő forrása, az esetek 89,8</w:t>
            </w:r>
            <w:r w:rsidR="00B321FB">
              <w:t> </w:t>
            </w:r>
            <w:r w:rsidRPr="005F046F">
              <w:t>%-át és a visszafizetett összegek 96,9</w:t>
            </w:r>
            <w:r w:rsidR="00B321FB">
              <w:t> </w:t>
            </w:r>
            <w:r w:rsidRPr="005F046F">
              <w:t xml:space="preserve">%-át képviselve, míg a Bizottság utólagos ellenőrzései </w:t>
            </w:r>
            <w:r w:rsidRPr="005F046F">
              <w:rPr>
                <w:b/>
                <w:bCs/>
                <w:i/>
                <w:iCs/>
              </w:rPr>
              <w:t xml:space="preserve">az ilyen típusú visszafizettetési </w:t>
            </w:r>
            <w:r w:rsidRPr="005F046F">
              <w:t>tételek további 6,0 %-át tárták fel, ami a visszafizettetett összegek 1,9 </w:t>
            </w:r>
            <w:r w:rsidRPr="005F046F">
              <w:rPr>
                <w:b/>
                <w:bCs/>
                <w:i/>
                <w:iCs/>
              </w:rPr>
              <w:t>%-át teszi ki</w:t>
            </w:r>
            <w:r w:rsidRPr="005F046F">
              <w:t>; megjegyzi továbbá, hogy a nem csalárd szabálytalanságnak minősített visszafizetendő tételek mintegy 95,7 %-át a Bizottság előzetes és utólagos ellenőrzései révén tárták fel; e tekintetben tudomásul veszi a 2024. évi PIF-jelentésnek a felderítés forrása és a visszafizettetendő összegek közötti kapcsolatról szóló elemzését, amely azt mutatja, hogy a nem csalárd szabálytalanságok tekintetében a Bizottság utólagos ellenőrzései, a csalárd szabálytalanságok tekintetében pedig az OLAF vizsgálatai vezettek a visszafizettetett legmagasabb összegekhez;</w:t>
            </w:r>
          </w:p>
        </w:tc>
      </w:tr>
    </w:tbl>
    <w:p w14:paraId="7A6BE75C"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897AA1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5F55C6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0E5FE0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25052D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E874106"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5D6562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15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C3D38DC" w14:textId="77777777" w:rsidTr="00565F8F">
        <w:trPr>
          <w:trHeight w:hRule="exact" w:val="240"/>
          <w:jc w:val="center"/>
        </w:trPr>
        <w:tc>
          <w:tcPr>
            <w:tcW w:w="9752" w:type="dxa"/>
            <w:gridSpan w:val="2"/>
            <w:tcBorders>
              <w:top w:val="nil"/>
              <w:left w:val="nil"/>
              <w:bottom w:val="nil"/>
              <w:right w:val="nil"/>
            </w:tcBorders>
          </w:tcPr>
          <w:p w14:paraId="7AB2E662" w14:textId="77777777" w:rsidR="000104F2" w:rsidRPr="005F046F" w:rsidRDefault="000104F2" w:rsidP="00565F8F"/>
        </w:tc>
      </w:tr>
      <w:tr w:rsidR="006C656F" w:rsidRPr="005F046F" w14:paraId="090C1D23" w14:textId="77777777" w:rsidTr="00565F8F">
        <w:trPr>
          <w:trHeight w:val="240"/>
          <w:jc w:val="center"/>
        </w:trPr>
        <w:tc>
          <w:tcPr>
            <w:tcW w:w="4876" w:type="dxa"/>
            <w:tcBorders>
              <w:top w:val="nil"/>
              <w:left w:val="nil"/>
              <w:bottom w:val="nil"/>
              <w:right w:val="nil"/>
            </w:tcBorders>
          </w:tcPr>
          <w:p w14:paraId="13BB221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D18BCB5" w14:textId="77777777" w:rsidR="000104F2" w:rsidRPr="005F046F" w:rsidRDefault="000104F2" w:rsidP="00565F8F">
            <w:pPr>
              <w:pStyle w:val="AmColumnHeading"/>
            </w:pPr>
            <w:r w:rsidRPr="005F046F">
              <w:t>Módosítás</w:t>
            </w:r>
          </w:p>
        </w:tc>
      </w:tr>
      <w:tr w:rsidR="006C656F" w:rsidRPr="005F046F" w14:paraId="21182A14" w14:textId="77777777" w:rsidTr="00565F8F">
        <w:trPr>
          <w:jc w:val="center"/>
        </w:trPr>
        <w:tc>
          <w:tcPr>
            <w:tcW w:w="4876" w:type="dxa"/>
            <w:tcBorders>
              <w:top w:val="nil"/>
              <w:left w:val="nil"/>
              <w:bottom w:val="nil"/>
              <w:right w:val="nil"/>
            </w:tcBorders>
          </w:tcPr>
          <w:p w14:paraId="30C66FBA" w14:textId="77777777" w:rsidR="000104F2" w:rsidRPr="005F046F" w:rsidRDefault="000104F2" w:rsidP="00565F8F">
            <w:pPr>
              <w:pStyle w:val="Normal6a"/>
            </w:pPr>
            <w:r w:rsidRPr="005F046F">
              <w:t>15.</w:t>
            </w:r>
            <w:r w:rsidRPr="005F046F">
              <w:tab/>
              <w:t>megjegyzi, hogy az elmúlt években az uniós szervek általi felderítés növekedése arányosan alacsonyabb volt, mint a visszaélést bejelentő magánszemélyek vagy a nemzeti hatóságok általi felderítés (2024-ben a visszaélést bejelentő magánszemélyek által az Európai Ügyészségnek bejelentett bűncselekmények száma 85 %-kal, a nemzeti hatóságok által bejelentett bűncselekmények száma 13 %-kal, az uniós intézmények, szervek, hivatalok és ügynökségek által bejelentett bűncselekmények száma pedig 5 %-kal nőtt, 2023-ban pedig a visszaélést bejelentő magánszemélyek, a nemzeti hatóságok és az uniós intézmények, szervek, hivatalok és ügynökségek által bejelentett bűncselekmények száma 2022-höz képest 30 %-kal, 24 %-kal, illetve 5 %-kal nőtt); megismétli a Bizottsághoz és más uniós hatóságokhoz intézett felhívását, hogy a jelentéstételi folyamatok megkönnyítése, valamint a személyzet és a vezetőség tudatosságának növelésére irányuló kezdeményezések és a belső kommunikáció megerősítése révén mozdítsák elő a felderítést;</w:t>
            </w:r>
          </w:p>
        </w:tc>
        <w:tc>
          <w:tcPr>
            <w:tcW w:w="4876" w:type="dxa"/>
            <w:tcBorders>
              <w:top w:val="nil"/>
              <w:left w:val="nil"/>
              <w:bottom w:val="nil"/>
              <w:right w:val="nil"/>
            </w:tcBorders>
          </w:tcPr>
          <w:p w14:paraId="47B90C42" w14:textId="77777777" w:rsidR="000104F2" w:rsidRPr="005F046F" w:rsidRDefault="000104F2" w:rsidP="00565F8F">
            <w:pPr>
              <w:pStyle w:val="Normal6a"/>
            </w:pPr>
            <w:r w:rsidRPr="005F046F">
              <w:t>15.</w:t>
            </w:r>
            <w:r w:rsidRPr="005F046F">
              <w:tab/>
              <w:t xml:space="preserve">megjegyzi, hogy az elmúlt években az uniós szervek általi felderítés növekedése arányosan alacsonyabb volt, mint a visszaélést bejelentő magánszemélyek vagy a nemzeti hatóságok általi felderítés (2024-ben a visszaélést bejelentő magánszemélyek által az Európai Ügyészségnek bejelentett bűncselekmények száma 85 %-kal, a nemzeti hatóságok által bejelentett bűncselekmények száma 13 %-kal, az uniós intézmények, szervek, hivatalok és ügynökségek által bejelentett bűncselekmények száma pedig 5 %-kal nőtt, 2023-ban pedig a visszaélést bejelentő magánszemélyek, a nemzeti hatóságok és az uniós intézmények, szervek, hivatalok és ügynökségek által bejelentett bűncselekmények száma 2022-höz képest 30 %-kal, 24 %-kal, illetve 5 %-kal nőtt); megismétli a Bizottsághoz és más uniós hatóságokhoz intézett felhívását, hogy a jelentéstételi folyamatok megkönnyítése, valamint a személyzet és a vezetőség tudatosságának növelésére irányuló kezdeményezések és a belső kommunikáció megerősítése révén mozdítsák elő a felderítést; </w:t>
            </w:r>
            <w:r w:rsidRPr="005F046F">
              <w:rPr>
                <w:b/>
                <w:i/>
              </w:rPr>
              <w:t>aggodalmát fejezi ki amiatt, hogy a felderítés alacsony szintje aggályokat vethet fel azzal kapcsolatban, hogy a Bizottság képes-e felügyelni az uniós pénzeszközöket;</w:t>
            </w:r>
          </w:p>
        </w:tc>
      </w:tr>
    </w:tbl>
    <w:p w14:paraId="3712FC8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E6EE13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043ED9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69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8FDD70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D2EEAF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BF964F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9A24F9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AEDBC6A" w14:textId="77777777" w:rsidTr="00565F8F">
        <w:trPr>
          <w:trHeight w:hRule="exact" w:val="240"/>
          <w:jc w:val="center"/>
        </w:trPr>
        <w:tc>
          <w:tcPr>
            <w:tcW w:w="9752" w:type="dxa"/>
            <w:gridSpan w:val="2"/>
            <w:tcBorders>
              <w:top w:val="nil"/>
              <w:left w:val="nil"/>
              <w:bottom w:val="nil"/>
              <w:right w:val="nil"/>
            </w:tcBorders>
          </w:tcPr>
          <w:p w14:paraId="62D405C2" w14:textId="77777777" w:rsidR="000104F2" w:rsidRPr="005F046F" w:rsidRDefault="000104F2" w:rsidP="00565F8F"/>
        </w:tc>
      </w:tr>
      <w:tr w:rsidR="006C656F" w:rsidRPr="005F046F" w14:paraId="26EE337E" w14:textId="77777777" w:rsidTr="00565F8F">
        <w:trPr>
          <w:trHeight w:val="240"/>
          <w:jc w:val="center"/>
        </w:trPr>
        <w:tc>
          <w:tcPr>
            <w:tcW w:w="4876" w:type="dxa"/>
            <w:tcBorders>
              <w:top w:val="nil"/>
              <w:left w:val="nil"/>
              <w:bottom w:val="nil"/>
              <w:right w:val="nil"/>
            </w:tcBorders>
          </w:tcPr>
          <w:p w14:paraId="0D621FA7"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086507F0" w14:textId="77777777" w:rsidR="000104F2" w:rsidRPr="005F046F" w:rsidRDefault="000104F2" w:rsidP="00565F8F">
            <w:pPr>
              <w:pStyle w:val="AmColumnHeading"/>
            </w:pPr>
            <w:r w:rsidRPr="005F046F">
              <w:t>Módosítás</w:t>
            </w:r>
          </w:p>
        </w:tc>
      </w:tr>
      <w:tr w:rsidR="006C656F" w:rsidRPr="005F046F" w14:paraId="063A020B" w14:textId="77777777" w:rsidTr="00565F8F">
        <w:trPr>
          <w:jc w:val="center"/>
        </w:trPr>
        <w:tc>
          <w:tcPr>
            <w:tcW w:w="4876" w:type="dxa"/>
            <w:tcBorders>
              <w:top w:val="nil"/>
              <w:left w:val="nil"/>
              <w:bottom w:val="nil"/>
              <w:right w:val="nil"/>
            </w:tcBorders>
          </w:tcPr>
          <w:p w14:paraId="1B3A302F" w14:textId="77777777" w:rsidR="000104F2" w:rsidRPr="005F046F" w:rsidRDefault="000104F2" w:rsidP="00565F8F">
            <w:pPr>
              <w:pStyle w:val="Normal6a"/>
            </w:pPr>
          </w:p>
        </w:tc>
        <w:tc>
          <w:tcPr>
            <w:tcW w:w="4876" w:type="dxa"/>
            <w:tcBorders>
              <w:top w:val="nil"/>
              <w:left w:val="nil"/>
              <w:bottom w:val="nil"/>
              <w:right w:val="nil"/>
            </w:tcBorders>
          </w:tcPr>
          <w:p w14:paraId="22573286" w14:textId="77777777" w:rsidR="000104F2" w:rsidRPr="005F046F" w:rsidRDefault="000104F2" w:rsidP="00565F8F">
            <w:pPr>
              <w:pStyle w:val="Normal6a"/>
            </w:pPr>
            <w:r w:rsidRPr="005F046F">
              <w:rPr>
                <w:b/>
                <w:i/>
              </w:rPr>
              <w:t>15a.</w:t>
            </w:r>
            <w:r w:rsidRPr="005F046F">
              <w:tab/>
            </w:r>
            <w:r w:rsidRPr="005F046F">
              <w:rPr>
                <w:b/>
                <w:i/>
              </w:rPr>
              <w:t>fenntartja, hogy a visszaélést bejelentő személyek kulcsszerepet játszanak a csalások felderítésének előmozdításában; aggodalommal veszi tudomásul az uniós jog megsértését bejelentő személyek (visszaélést bejelentő személyek) védelméről szóló irányelv</w:t>
            </w:r>
            <w:r w:rsidRPr="005F046F">
              <w:rPr>
                <w:b/>
                <w:i/>
                <w:vertAlign w:val="superscript"/>
              </w:rPr>
              <w:t>1a</w:t>
            </w:r>
            <w:r w:rsidRPr="005F046F">
              <w:rPr>
                <w:b/>
                <w:i/>
              </w:rPr>
              <w:t xml:space="preserve"> végrehajtásáról és alkalmazásáról szóló 2024. évi bizottsági jelentésben szereplő megjegyzéseket, amelyek szerint az átültetési folyamat még messze nem zárult le; sajnálatát fejezi ki amiatt, hogy 2025 márciusában az EUB (az Európai Unió Bírósága) öt tagállamot</w:t>
            </w:r>
            <w:r w:rsidRPr="005F046F">
              <w:rPr>
                <w:b/>
                <w:i/>
                <w:vertAlign w:val="superscript"/>
              </w:rPr>
              <w:t>2a</w:t>
            </w:r>
            <w:r w:rsidRPr="005F046F">
              <w:rPr>
                <w:b/>
                <w:i/>
              </w:rPr>
              <w:t xml:space="preserve"> sújtott pénzbírsággal az irányelv megfelelő átültetésének elmulasztása miatt; üdvözölte, hogy a Bizottság 2025. augusztus 25-én nyilvános konzultációt indított a visszaélést bejelentő személyek védelméről szóló, küszöbön álló cselekvési tervéről, amely az irányelv Bizottság általi szélesebb körű értékelésének részét képezi; kéri a Bizottságot, hogy a lehető legnagyobb mértékben vegye figyelembe az érintett érdekelt felektől, köztük a civil társadalmi szervezetektől, a szakszervezetektől, a kutatóintézetektől és azok személyzetétől, valamint a visszaélést bejelentő egyes személyektől az irányelv végrehajtásával kapcsolatban kapott visszajelzéseket, és vezessen be intézkedéseket az azonosított hiányosságok felszámolása érdekében; rámutat, hogy a Parlamentnek a visszaélést bejelentő saját munkavállalóinak védelme érdekében ugyancsak ki kell igazítania belső szabályait az irányelvvel összhangban, ahogy az a Törvényszék T-793/22. sz. ügyben 2024. szeptember 11-én hozott ítéletéből következik, amely szerint a jelenlegi keret nem biztosít kiegyensúlyozott és hatékony védelmet a megtorlással szemben;</w:t>
            </w:r>
          </w:p>
        </w:tc>
      </w:tr>
      <w:tr w:rsidR="006C656F" w:rsidRPr="005F046F" w14:paraId="6CA8A171" w14:textId="77777777" w:rsidTr="00565F8F">
        <w:trPr>
          <w:jc w:val="center"/>
        </w:trPr>
        <w:tc>
          <w:tcPr>
            <w:tcW w:w="4876" w:type="dxa"/>
            <w:tcBorders>
              <w:top w:val="nil"/>
              <w:left w:val="nil"/>
              <w:bottom w:val="nil"/>
              <w:right w:val="nil"/>
            </w:tcBorders>
          </w:tcPr>
          <w:p w14:paraId="7A6D1EC8" w14:textId="77777777" w:rsidR="000104F2" w:rsidRPr="005F046F" w:rsidRDefault="000104F2" w:rsidP="00565F8F"/>
        </w:tc>
        <w:tc>
          <w:tcPr>
            <w:tcW w:w="4876" w:type="dxa"/>
            <w:tcBorders>
              <w:top w:val="nil"/>
              <w:left w:val="nil"/>
              <w:bottom w:val="nil"/>
              <w:right w:val="nil"/>
            </w:tcBorders>
          </w:tcPr>
          <w:p w14:paraId="4742E71A" w14:textId="77777777" w:rsidR="000104F2" w:rsidRPr="005F046F" w:rsidRDefault="000104F2" w:rsidP="00565F8F">
            <w:pPr>
              <w:pStyle w:val="Normal6a"/>
            </w:pPr>
            <w:r w:rsidRPr="005F046F">
              <w:rPr>
                <w:b/>
                <w:i/>
              </w:rPr>
              <w:t>_________________</w:t>
            </w:r>
          </w:p>
        </w:tc>
      </w:tr>
      <w:tr w:rsidR="006C656F" w:rsidRPr="005F046F" w14:paraId="7B7F9F19" w14:textId="77777777" w:rsidTr="00565F8F">
        <w:trPr>
          <w:jc w:val="center"/>
        </w:trPr>
        <w:tc>
          <w:tcPr>
            <w:tcW w:w="4876" w:type="dxa"/>
            <w:tcBorders>
              <w:top w:val="nil"/>
              <w:left w:val="nil"/>
              <w:bottom w:val="nil"/>
              <w:right w:val="nil"/>
            </w:tcBorders>
          </w:tcPr>
          <w:p w14:paraId="1C465374" w14:textId="77777777" w:rsidR="000104F2" w:rsidRPr="005F046F" w:rsidRDefault="000104F2" w:rsidP="00565F8F"/>
        </w:tc>
        <w:tc>
          <w:tcPr>
            <w:tcW w:w="4876" w:type="dxa"/>
            <w:tcBorders>
              <w:top w:val="nil"/>
              <w:left w:val="nil"/>
              <w:bottom w:val="nil"/>
              <w:right w:val="nil"/>
            </w:tcBorders>
          </w:tcPr>
          <w:p w14:paraId="50FC5617" w14:textId="77777777" w:rsidR="000104F2" w:rsidRPr="005F046F" w:rsidRDefault="000104F2" w:rsidP="00565F8F">
            <w:pPr>
              <w:pStyle w:val="Normal6a"/>
            </w:pPr>
            <w:r w:rsidRPr="005F046F">
              <w:rPr>
                <w:b/>
                <w:i/>
                <w:vertAlign w:val="superscript"/>
              </w:rPr>
              <w:t>1a</w:t>
            </w:r>
            <w:r w:rsidRPr="005F046F">
              <w:rPr>
                <w:b/>
                <w:i/>
              </w:rPr>
              <w:t xml:space="preserve"> A Bizottság jelentése (2024. július 3.) az uniós jog megsértését bejelentő személyek védelméről szóló, 2019. október 23-i (EU) 2019/1937 európai parlamenti és tanácsi irányelv végrehajtásáról és alkalmazásáról (COM(2024)0269).</w:t>
            </w:r>
          </w:p>
        </w:tc>
      </w:tr>
      <w:tr w:rsidR="006C656F" w:rsidRPr="005F046F" w14:paraId="3B064705" w14:textId="77777777" w:rsidTr="00565F8F">
        <w:trPr>
          <w:jc w:val="center"/>
        </w:trPr>
        <w:tc>
          <w:tcPr>
            <w:tcW w:w="4876" w:type="dxa"/>
            <w:tcBorders>
              <w:top w:val="nil"/>
              <w:left w:val="nil"/>
              <w:bottom w:val="nil"/>
              <w:right w:val="nil"/>
            </w:tcBorders>
          </w:tcPr>
          <w:p w14:paraId="6A076DC0" w14:textId="77777777" w:rsidR="000104F2" w:rsidRPr="005F046F" w:rsidRDefault="000104F2" w:rsidP="00565F8F"/>
        </w:tc>
        <w:tc>
          <w:tcPr>
            <w:tcW w:w="4876" w:type="dxa"/>
            <w:tcBorders>
              <w:top w:val="nil"/>
              <w:left w:val="nil"/>
              <w:bottom w:val="nil"/>
              <w:right w:val="nil"/>
            </w:tcBorders>
          </w:tcPr>
          <w:p w14:paraId="3A0A5FB4" w14:textId="77777777" w:rsidR="000104F2" w:rsidRPr="005F046F" w:rsidRDefault="000104F2" w:rsidP="00565F8F">
            <w:pPr>
              <w:pStyle w:val="Normal6a"/>
            </w:pPr>
            <w:r w:rsidRPr="005F046F">
              <w:rPr>
                <w:b/>
                <w:i/>
                <w:vertAlign w:val="superscript"/>
              </w:rPr>
              <w:t>2a</w:t>
            </w:r>
            <w:r w:rsidRPr="005F046F">
              <w:t xml:space="preserve"> </w:t>
            </w:r>
            <w:r w:rsidRPr="005F046F">
              <w:rPr>
                <w:b/>
                <w:i/>
              </w:rPr>
              <w:t>Németország, Luxemburg, Cseh Köztársaság, Észtország és Magyarország.</w:t>
            </w:r>
          </w:p>
        </w:tc>
      </w:tr>
    </w:tbl>
    <w:p w14:paraId="7ADF615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6A6D86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57BDE0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C0128E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38A090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188D10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8C77C5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15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64A39DF" w14:textId="77777777" w:rsidTr="00565F8F">
        <w:trPr>
          <w:trHeight w:hRule="exact" w:val="240"/>
          <w:jc w:val="center"/>
        </w:trPr>
        <w:tc>
          <w:tcPr>
            <w:tcW w:w="9752" w:type="dxa"/>
            <w:gridSpan w:val="2"/>
            <w:tcBorders>
              <w:top w:val="nil"/>
              <w:left w:val="nil"/>
              <w:bottom w:val="nil"/>
              <w:right w:val="nil"/>
            </w:tcBorders>
          </w:tcPr>
          <w:p w14:paraId="27F8FE8D" w14:textId="77777777" w:rsidR="000104F2" w:rsidRPr="005F046F" w:rsidRDefault="000104F2" w:rsidP="00565F8F"/>
        </w:tc>
      </w:tr>
      <w:tr w:rsidR="006C656F" w:rsidRPr="005F046F" w14:paraId="6C06ED72" w14:textId="77777777" w:rsidTr="00565F8F">
        <w:trPr>
          <w:trHeight w:val="240"/>
          <w:jc w:val="center"/>
        </w:trPr>
        <w:tc>
          <w:tcPr>
            <w:tcW w:w="4876" w:type="dxa"/>
            <w:tcBorders>
              <w:top w:val="nil"/>
              <w:left w:val="nil"/>
              <w:bottom w:val="nil"/>
              <w:right w:val="nil"/>
            </w:tcBorders>
          </w:tcPr>
          <w:p w14:paraId="389AE0E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8B2BCEF" w14:textId="77777777" w:rsidR="000104F2" w:rsidRPr="005F046F" w:rsidRDefault="000104F2" w:rsidP="00565F8F">
            <w:pPr>
              <w:pStyle w:val="AmColumnHeading"/>
            </w:pPr>
            <w:r w:rsidRPr="005F046F">
              <w:t>Módosítás</w:t>
            </w:r>
          </w:p>
        </w:tc>
      </w:tr>
      <w:tr w:rsidR="006C656F" w:rsidRPr="005F046F" w14:paraId="137B33DB" w14:textId="77777777" w:rsidTr="00565F8F">
        <w:trPr>
          <w:jc w:val="center"/>
        </w:trPr>
        <w:tc>
          <w:tcPr>
            <w:tcW w:w="4876" w:type="dxa"/>
            <w:tcBorders>
              <w:top w:val="nil"/>
              <w:left w:val="nil"/>
              <w:bottom w:val="nil"/>
              <w:right w:val="nil"/>
            </w:tcBorders>
          </w:tcPr>
          <w:p w14:paraId="60D01956" w14:textId="77777777" w:rsidR="000104F2" w:rsidRPr="005F046F" w:rsidRDefault="000104F2" w:rsidP="00565F8F">
            <w:pPr>
              <w:pStyle w:val="Normal6a"/>
            </w:pPr>
          </w:p>
        </w:tc>
        <w:tc>
          <w:tcPr>
            <w:tcW w:w="4876" w:type="dxa"/>
            <w:tcBorders>
              <w:top w:val="nil"/>
              <w:left w:val="nil"/>
              <w:bottom w:val="nil"/>
              <w:right w:val="nil"/>
            </w:tcBorders>
          </w:tcPr>
          <w:p w14:paraId="2A68D9E0" w14:textId="77777777" w:rsidR="000104F2" w:rsidRPr="005F046F" w:rsidRDefault="000104F2" w:rsidP="00565F8F">
            <w:pPr>
              <w:pStyle w:val="Normal6a"/>
            </w:pPr>
            <w:r w:rsidRPr="005F046F">
              <w:rPr>
                <w:b/>
                <w:i/>
              </w:rPr>
              <w:t>15b.</w:t>
            </w:r>
            <w:r w:rsidRPr="005F046F">
              <w:tab/>
            </w:r>
            <w:r w:rsidRPr="005F046F">
              <w:rPr>
                <w:b/>
                <w:i/>
              </w:rPr>
              <w:t>hangsúlyozza, hogy a hatóságok döntő szerepet játszanak a csalással szembeni zéró tolerancia kultúrájának előmozdításában, és különösen hangsúlyozza a csalás megelőzésének fontosságát annak biztosítása szempontjából, hogy eleve ne fordulhasson elő csalás, korrupció, összeférhetetlenség és pénzeszközökkel való egyéb visszaélés;</w:t>
            </w:r>
          </w:p>
        </w:tc>
      </w:tr>
    </w:tbl>
    <w:p w14:paraId="788104F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8A9531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B13ADA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CF8D98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1BEA47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9B7D2C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C1CFD1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15 c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B28FB02" w14:textId="77777777" w:rsidTr="00565F8F">
        <w:trPr>
          <w:trHeight w:hRule="exact" w:val="240"/>
          <w:jc w:val="center"/>
        </w:trPr>
        <w:tc>
          <w:tcPr>
            <w:tcW w:w="9752" w:type="dxa"/>
            <w:gridSpan w:val="2"/>
            <w:tcBorders>
              <w:top w:val="nil"/>
              <w:left w:val="nil"/>
              <w:bottom w:val="nil"/>
              <w:right w:val="nil"/>
            </w:tcBorders>
          </w:tcPr>
          <w:p w14:paraId="0F2575E8" w14:textId="77777777" w:rsidR="000104F2" w:rsidRPr="005F046F" w:rsidRDefault="000104F2" w:rsidP="00565F8F"/>
        </w:tc>
      </w:tr>
      <w:tr w:rsidR="006C656F" w:rsidRPr="005F046F" w14:paraId="33290D79" w14:textId="77777777" w:rsidTr="00565F8F">
        <w:trPr>
          <w:trHeight w:val="240"/>
          <w:jc w:val="center"/>
        </w:trPr>
        <w:tc>
          <w:tcPr>
            <w:tcW w:w="4876" w:type="dxa"/>
            <w:tcBorders>
              <w:top w:val="nil"/>
              <w:left w:val="nil"/>
              <w:bottom w:val="nil"/>
              <w:right w:val="nil"/>
            </w:tcBorders>
          </w:tcPr>
          <w:p w14:paraId="5E32384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7A57FEA" w14:textId="77777777" w:rsidR="000104F2" w:rsidRPr="005F046F" w:rsidRDefault="000104F2" w:rsidP="00565F8F">
            <w:pPr>
              <w:pStyle w:val="AmColumnHeading"/>
            </w:pPr>
            <w:r w:rsidRPr="005F046F">
              <w:t>Módosítás</w:t>
            </w:r>
          </w:p>
        </w:tc>
      </w:tr>
      <w:tr w:rsidR="006C656F" w:rsidRPr="005F046F" w14:paraId="6E2977D2" w14:textId="77777777" w:rsidTr="00565F8F">
        <w:trPr>
          <w:jc w:val="center"/>
        </w:trPr>
        <w:tc>
          <w:tcPr>
            <w:tcW w:w="4876" w:type="dxa"/>
            <w:tcBorders>
              <w:top w:val="nil"/>
              <w:left w:val="nil"/>
              <w:bottom w:val="nil"/>
              <w:right w:val="nil"/>
            </w:tcBorders>
          </w:tcPr>
          <w:p w14:paraId="48F6B026" w14:textId="77777777" w:rsidR="000104F2" w:rsidRPr="005F046F" w:rsidRDefault="000104F2" w:rsidP="00565F8F">
            <w:pPr>
              <w:pStyle w:val="Normal6a"/>
            </w:pPr>
          </w:p>
        </w:tc>
        <w:tc>
          <w:tcPr>
            <w:tcW w:w="4876" w:type="dxa"/>
            <w:tcBorders>
              <w:top w:val="nil"/>
              <w:left w:val="nil"/>
              <w:bottom w:val="nil"/>
              <w:right w:val="nil"/>
            </w:tcBorders>
          </w:tcPr>
          <w:p w14:paraId="3AD08FCD" w14:textId="77777777" w:rsidR="000104F2" w:rsidRPr="005F046F" w:rsidRDefault="000104F2" w:rsidP="00565F8F">
            <w:pPr>
              <w:pStyle w:val="Normal6a"/>
            </w:pPr>
            <w:r w:rsidRPr="005F046F">
              <w:rPr>
                <w:b/>
                <w:i/>
              </w:rPr>
              <w:t>15c.</w:t>
            </w:r>
            <w:r w:rsidRPr="005F046F">
              <w:tab/>
            </w:r>
            <w:r w:rsidRPr="005F046F">
              <w:rPr>
                <w:b/>
                <w:i/>
              </w:rPr>
              <w:t xml:space="preserve">kiemeli, hogy a független média és az oknyomozó újságírás fontos szerepet játszik a csalás, a korrupció, az összeférhetetlenség és a pénzeszközökkel </w:t>
            </w:r>
            <w:r w:rsidRPr="005F046F">
              <w:rPr>
                <w:b/>
                <w:i/>
              </w:rPr>
              <w:lastRenderedPageBreak/>
              <w:t>való visszaélés egyéb formái elleni küzdelemben; ösztönzi a Bizottságot, hogy képzési programok, finanszírozás és az uniós alapvető jogokkal és a jogállamisággal összhangban lévő egyéb intézkedések formájában nyújtson támogatást, ideértve az azzal kapcsolatos figyelemfelhívó kampányokat is, hogy a csalási esetek, a megoldatlan összeférhetetlenségi esetek és a korrupció hogyan befolyásolhatják az uniós polgárok jóllétét;</w:t>
            </w:r>
          </w:p>
        </w:tc>
      </w:tr>
    </w:tbl>
    <w:p w14:paraId="47E6B703"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907D48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0B82E7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4DA92F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0451FD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6E35C9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B63CC6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ED8E901" w14:textId="77777777" w:rsidTr="00565F8F">
        <w:trPr>
          <w:trHeight w:hRule="exact" w:val="240"/>
          <w:jc w:val="center"/>
        </w:trPr>
        <w:tc>
          <w:tcPr>
            <w:tcW w:w="9752" w:type="dxa"/>
            <w:gridSpan w:val="2"/>
            <w:tcBorders>
              <w:top w:val="nil"/>
              <w:left w:val="nil"/>
              <w:bottom w:val="nil"/>
              <w:right w:val="nil"/>
            </w:tcBorders>
          </w:tcPr>
          <w:p w14:paraId="5EA519BA" w14:textId="77777777" w:rsidR="000104F2" w:rsidRPr="005F046F" w:rsidRDefault="000104F2" w:rsidP="00565F8F"/>
        </w:tc>
      </w:tr>
      <w:tr w:rsidR="006C656F" w:rsidRPr="005F046F" w14:paraId="510C6381" w14:textId="77777777" w:rsidTr="00565F8F">
        <w:trPr>
          <w:trHeight w:val="240"/>
          <w:jc w:val="center"/>
        </w:trPr>
        <w:tc>
          <w:tcPr>
            <w:tcW w:w="4876" w:type="dxa"/>
            <w:tcBorders>
              <w:top w:val="nil"/>
              <w:left w:val="nil"/>
              <w:bottom w:val="nil"/>
              <w:right w:val="nil"/>
            </w:tcBorders>
          </w:tcPr>
          <w:p w14:paraId="626FD5E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76DF993" w14:textId="77777777" w:rsidR="000104F2" w:rsidRPr="005F046F" w:rsidRDefault="000104F2" w:rsidP="00565F8F">
            <w:pPr>
              <w:pStyle w:val="AmColumnHeading"/>
            </w:pPr>
            <w:r w:rsidRPr="005F046F">
              <w:t>Módosítás</w:t>
            </w:r>
          </w:p>
        </w:tc>
      </w:tr>
      <w:tr w:rsidR="006C656F" w:rsidRPr="005F046F" w14:paraId="53A8CEB3" w14:textId="77777777" w:rsidTr="00565F8F">
        <w:trPr>
          <w:jc w:val="center"/>
        </w:trPr>
        <w:tc>
          <w:tcPr>
            <w:tcW w:w="4876" w:type="dxa"/>
            <w:tcBorders>
              <w:top w:val="nil"/>
              <w:left w:val="nil"/>
              <w:bottom w:val="nil"/>
              <w:right w:val="nil"/>
            </w:tcBorders>
          </w:tcPr>
          <w:p w14:paraId="6352234E" w14:textId="77777777" w:rsidR="000104F2" w:rsidRPr="005F046F" w:rsidRDefault="000104F2" w:rsidP="00565F8F">
            <w:pPr>
              <w:pStyle w:val="Normal6a"/>
            </w:pPr>
            <w:r w:rsidRPr="005F046F">
              <w:t>16.</w:t>
            </w:r>
            <w:r w:rsidRPr="005F046F">
              <w:tab/>
              <w:t>emlékezteti a Bizottságot, hogy a csalások felderítéséhez ellenőrzésekre van szükség, és bár ez pénzbe kerülhet, lehetővé teszi – néha jelentős – többletbevételek elérését és/vagy a szabálytalan kiadások elkerülését is; megjegyzi ezért, hogy alapvető fontosságú forrásokat biztosítani a csalás elleni architektúrában részt vevők számára, hogy gyakoribb ellenőrzéseket végezhessenek;</w:t>
            </w:r>
          </w:p>
        </w:tc>
        <w:tc>
          <w:tcPr>
            <w:tcW w:w="4876" w:type="dxa"/>
            <w:tcBorders>
              <w:top w:val="nil"/>
              <w:left w:val="nil"/>
              <w:bottom w:val="nil"/>
              <w:right w:val="nil"/>
            </w:tcBorders>
          </w:tcPr>
          <w:p w14:paraId="61214033" w14:textId="77777777" w:rsidR="000104F2" w:rsidRPr="005F046F" w:rsidRDefault="000104F2" w:rsidP="00565F8F">
            <w:pPr>
              <w:pStyle w:val="Normal6a"/>
            </w:pPr>
            <w:r w:rsidRPr="005F046F">
              <w:t>16.</w:t>
            </w:r>
            <w:r w:rsidRPr="005F046F">
              <w:tab/>
              <w:t xml:space="preserve">emlékezteti a Bizottságot, hogy a csalások felderítéséhez ellenőrzésekre van szükség, és bár ez pénzbe kerülhet, lehetővé teszi – néha jelentős – többletbevételek elérését és/vagy a szabálytalan kiadások elkerülését is; megjegyzi ezért, hogy alapvető fontosságú forrásokat biztosítani a csalás elleni architektúrában részt vevők számára, hogy gyakoribb ellenőrzéseket végezhessenek; </w:t>
            </w:r>
            <w:r w:rsidRPr="005F046F">
              <w:rPr>
                <w:b/>
                <w:i/>
              </w:rPr>
              <w:t>az erőforrások magas kockázatú ágazatok és határokon átnyúló nyomozások számára történő stratégiai szempontú és célzott elosztását szorgalmazza, amit a nemzeti hatóságok számára biztosított jobb képzéssel és kapacitásépítéssel kell ötvözni, az eredményorientált megközelítés biztosítása, a költségvetési elszámoltathatóság megerősítése és az uniós költségvetés minden egyes eurójának védelme érdekében;</w:t>
            </w:r>
          </w:p>
        </w:tc>
      </w:tr>
    </w:tbl>
    <w:p w14:paraId="0E0E91A1"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FF596D7"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0F7A3ED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FCA30B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ABC08E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AADEAF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D1B10C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58E3E46" w14:textId="77777777" w:rsidTr="00565F8F">
        <w:trPr>
          <w:trHeight w:hRule="exact" w:val="240"/>
          <w:jc w:val="center"/>
        </w:trPr>
        <w:tc>
          <w:tcPr>
            <w:tcW w:w="9752" w:type="dxa"/>
            <w:gridSpan w:val="2"/>
            <w:tcBorders>
              <w:top w:val="nil"/>
              <w:left w:val="nil"/>
              <w:bottom w:val="nil"/>
              <w:right w:val="nil"/>
            </w:tcBorders>
          </w:tcPr>
          <w:p w14:paraId="625F1AA6" w14:textId="77777777" w:rsidR="000104F2" w:rsidRPr="005F046F" w:rsidRDefault="000104F2" w:rsidP="00565F8F"/>
        </w:tc>
      </w:tr>
      <w:tr w:rsidR="006C656F" w:rsidRPr="005F046F" w14:paraId="7113D177" w14:textId="77777777" w:rsidTr="00565F8F">
        <w:trPr>
          <w:trHeight w:val="240"/>
          <w:jc w:val="center"/>
        </w:trPr>
        <w:tc>
          <w:tcPr>
            <w:tcW w:w="4876" w:type="dxa"/>
            <w:tcBorders>
              <w:top w:val="nil"/>
              <w:left w:val="nil"/>
              <w:bottom w:val="nil"/>
              <w:right w:val="nil"/>
            </w:tcBorders>
          </w:tcPr>
          <w:p w14:paraId="6CF7F9D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037A078" w14:textId="77777777" w:rsidR="000104F2" w:rsidRPr="005F046F" w:rsidRDefault="000104F2" w:rsidP="00565F8F">
            <w:pPr>
              <w:pStyle w:val="AmColumnHeading"/>
            </w:pPr>
            <w:r w:rsidRPr="005F046F">
              <w:t>Módosítás</w:t>
            </w:r>
          </w:p>
        </w:tc>
      </w:tr>
      <w:tr w:rsidR="006C656F" w:rsidRPr="005F046F" w14:paraId="74DE449B" w14:textId="77777777" w:rsidTr="00565F8F">
        <w:trPr>
          <w:jc w:val="center"/>
        </w:trPr>
        <w:tc>
          <w:tcPr>
            <w:tcW w:w="4876" w:type="dxa"/>
            <w:tcBorders>
              <w:top w:val="nil"/>
              <w:left w:val="nil"/>
              <w:bottom w:val="nil"/>
              <w:right w:val="nil"/>
            </w:tcBorders>
          </w:tcPr>
          <w:p w14:paraId="2057B314" w14:textId="77777777" w:rsidR="000104F2" w:rsidRPr="005F046F" w:rsidRDefault="000104F2" w:rsidP="00565F8F">
            <w:pPr>
              <w:pStyle w:val="Normal6a"/>
            </w:pPr>
            <w:r w:rsidRPr="005F046F">
              <w:t>16.</w:t>
            </w:r>
            <w:r w:rsidRPr="005F046F">
              <w:tab/>
              <w:t xml:space="preserve">emlékezteti a Bizottságot, hogy a csalások felderítéséhez ellenőrzésekre van szükség, és bár ez pénzbe kerülhet, lehetővé teszi – néha jelentős – többletbevételek elérését és/vagy a szabálytalan kiadások elkerülését is; megjegyzi ezért, hogy alapvető fontosságú </w:t>
            </w:r>
            <w:r w:rsidRPr="005F046F">
              <w:rPr>
                <w:b/>
                <w:bCs/>
                <w:i/>
                <w:iCs/>
              </w:rPr>
              <w:t>forrásokat biztosítani</w:t>
            </w:r>
            <w:r w:rsidRPr="005F046F">
              <w:t xml:space="preserve"> a csalás elleni architektúrában részt </w:t>
            </w:r>
            <w:r w:rsidRPr="005F046F">
              <w:rPr>
                <w:b/>
                <w:bCs/>
                <w:i/>
                <w:iCs/>
              </w:rPr>
              <w:t>vevők</w:t>
            </w:r>
            <w:r w:rsidRPr="005F046F">
              <w:t xml:space="preserve"> számára, hogy gyakoribb ellenőrzéseket végezhessenek;</w:t>
            </w:r>
          </w:p>
        </w:tc>
        <w:tc>
          <w:tcPr>
            <w:tcW w:w="4876" w:type="dxa"/>
            <w:tcBorders>
              <w:top w:val="nil"/>
              <w:left w:val="nil"/>
              <w:bottom w:val="nil"/>
              <w:right w:val="nil"/>
            </w:tcBorders>
          </w:tcPr>
          <w:p w14:paraId="5F7DB6E4" w14:textId="77777777" w:rsidR="000104F2" w:rsidRPr="005F046F" w:rsidRDefault="000104F2" w:rsidP="00565F8F">
            <w:pPr>
              <w:pStyle w:val="Normal6a"/>
            </w:pPr>
            <w:r w:rsidRPr="005F046F">
              <w:t>16.</w:t>
            </w:r>
            <w:r w:rsidRPr="005F046F">
              <w:tab/>
              <w:t>emlékezteti a Bizottságot, hogy a csalások felderítéséhez ellenőrzésekre van szükség, és bár ez pénzbe kerülhet, lehetővé teszi – néha jelentős – többletbevételek elérését és/vagy a szabálytalan kiadások elkerülését is</w:t>
            </w:r>
            <w:r w:rsidRPr="005F046F">
              <w:rPr>
                <w:b/>
                <w:bCs/>
                <w:i/>
                <w:iCs/>
              </w:rPr>
              <w:t>, ami segít megelőzni az adófizetők hozzájárulásainak visszaélésszerű felhasználását</w:t>
            </w:r>
            <w:r w:rsidRPr="005F046F">
              <w:t xml:space="preserve">; megjegyzi ezért, hogy alapvető fontosságú forrásokat biztosítani a csalás elleni architektúrában részt </w:t>
            </w:r>
            <w:r w:rsidRPr="005F046F">
              <w:rPr>
                <w:b/>
                <w:bCs/>
                <w:i/>
                <w:iCs/>
              </w:rPr>
              <w:t>vevő valamennyi szervezet</w:t>
            </w:r>
            <w:r w:rsidRPr="005F046F">
              <w:t xml:space="preserve"> számára</w:t>
            </w:r>
            <w:r w:rsidRPr="005F046F">
              <w:rPr>
                <w:b/>
                <w:bCs/>
                <w:i/>
                <w:iCs/>
              </w:rPr>
              <w:t xml:space="preserve"> biztosítani a szükséges forrásokat ahhoz</w:t>
            </w:r>
            <w:r w:rsidRPr="005F046F">
              <w:t xml:space="preserve">, hogy </w:t>
            </w:r>
            <w:r w:rsidRPr="005F046F">
              <w:rPr>
                <w:b/>
                <w:bCs/>
                <w:i/>
                <w:iCs/>
              </w:rPr>
              <w:t>hatékonyan működhessenek és</w:t>
            </w:r>
            <w:r w:rsidRPr="005F046F">
              <w:t xml:space="preserve"> gyakoribb ellenőrzéseket végezhessenek;</w:t>
            </w:r>
          </w:p>
        </w:tc>
      </w:tr>
    </w:tbl>
    <w:p w14:paraId="0DFAF13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F0464A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D7D3D0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89B859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161E83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415B24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F6578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16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1299518" w14:textId="77777777" w:rsidTr="00565F8F">
        <w:trPr>
          <w:trHeight w:hRule="exact" w:val="240"/>
          <w:jc w:val="center"/>
        </w:trPr>
        <w:tc>
          <w:tcPr>
            <w:tcW w:w="9752" w:type="dxa"/>
            <w:gridSpan w:val="2"/>
            <w:tcBorders>
              <w:top w:val="nil"/>
              <w:left w:val="nil"/>
              <w:bottom w:val="nil"/>
              <w:right w:val="nil"/>
            </w:tcBorders>
          </w:tcPr>
          <w:p w14:paraId="62CBD7FB" w14:textId="77777777" w:rsidR="000104F2" w:rsidRPr="005F046F" w:rsidRDefault="000104F2" w:rsidP="00565F8F"/>
        </w:tc>
      </w:tr>
      <w:tr w:rsidR="006C656F" w:rsidRPr="005F046F" w14:paraId="403C9E2E" w14:textId="77777777" w:rsidTr="00565F8F">
        <w:trPr>
          <w:trHeight w:val="240"/>
          <w:jc w:val="center"/>
        </w:trPr>
        <w:tc>
          <w:tcPr>
            <w:tcW w:w="4876" w:type="dxa"/>
            <w:tcBorders>
              <w:top w:val="nil"/>
              <w:left w:val="nil"/>
              <w:bottom w:val="nil"/>
              <w:right w:val="nil"/>
            </w:tcBorders>
          </w:tcPr>
          <w:p w14:paraId="73499C8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A07971A" w14:textId="77777777" w:rsidR="000104F2" w:rsidRPr="005F046F" w:rsidRDefault="000104F2" w:rsidP="00565F8F">
            <w:pPr>
              <w:pStyle w:val="AmColumnHeading"/>
            </w:pPr>
            <w:r w:rsidRPr="005F046F">
              <w:t>Módosítás</w:t>
            </w:r>
          </w:p>
        </w:tc>
      </w:tr>
      <w:tr w:rsidR="006C656F" w:rsidRPr="005F046F" w14:paraId="319091A5" w14:textId="77777777" w:rsidTr="00565F8F">
        <w:trPr>
          <w:jc w:val="center"/>
        </w:trPr>
        <w:tc>
          <w:tcPr>
            <w:tcW w:w="4876" w:type="dxa"/>
            <w:tcBorders>
              <w:top w:val="nil"/>
              <w:left w:val="nil"/>
              <w:bottom w:val="nil"/>
              <w:right w:val="nil"/>
            </w:tcBorders>
          </w:tcPr>
          <w:p w14:paraId="708D2D77" w14:textId="77777777" w:rsidR="000104F2" w:rsidRPr="005F046F" w:rsidRDefault="000104F2" w:rsidP="00565F8F">
            <w:pPr>
              <w:pStyle w:val="Normal6a"/>
            </w:pPr>
          </w:p>
        </w:tc>
        <w:tc>
          <w:tcPr>
            <w:tcW w:w="4876" w:type="dxa"/>
            <w:tcBorders>
              <w:top w:val="nil"/>
              <w:left w:val="nil"/>
              <w:bottom w:val="nil"/>
              <w:right w:val="nil"/>
            </w:tcBorders>
          </w:tcPr>
          <w:p w14:paraId="73161780" w14:textId="77777777" w:rsidR="000104F2" w:rsidRPr="005F046F" w:rsidRDefault="000104F2" w:rsidP="00565F8F">
            <w:pPr>
              <w:pStyle w:val="Normal6a"/>
            </w:pPr>
            <w:r w:rsidRPr="005F046F">
              <w:rPr>
                <w:b/>
                <w:i/>
              </w:rPr>
              <w:t>16a.</w:t>
            </w:r>
            <w:r w:rsidRPr="005F046F">
              <w:tab/>
            </w:r>
            <w:r w:rsidRPr="005F046F">
              <w:rPr>
                <w:b/>
                <w:i/>
              </w:rPr>
              <w:t>kiemeli annak fontosságát, hogy a vállalkozásokra – különösen a transznacionális szinten működő vállalkozásokra – vonatkozó egyértelmű adózási és átláthatósági szabályok bevezetése és érvényesítése révén védjék az Unió pénzügyi érdekeit, kiváltképp az EU által támogatott beruházásokkal összefüggésben;</w:t>
            </w:r>
          </w:p>
        </w:tc>
      </w:tr>
    </w:tbl>
    <w:p w14:paraId="1230426F"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071477B"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1B8023B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DE633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356E09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6F37A9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B2DC5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AA121C7" w14:textId="77777777" w:rsidTr="00565F8F">
        <w:trPr>
          <w:trHeight w:hRule="exact" w:val="240"/>
          <w:jc w:val="center"/>
        </w:trPr>
        <w:tc>
          <w:tcPr>
            <w:tcW w:w="9752" w:type="dxa"/>
            <w:gridSpan w:val="2"/>
            <w:tcBorders>
              <w:top w:val="nil"/>
              <w:left w:val="nil"/>
              <w:bottom w:val="nil"/>
              <w:right w:val="nil"/>
            </w:tcBorders>
          </w:tcPr>
          <w:p w14:paraId="49BC5F4E" w14:textId="77777777" w:rsidR="000104F2" w:rsidRPr="005F046F" w:rsidRDefault="000104F2" w:rsidP="00565F8F"/>
        </w:tc>
      </w:tr>
      <w:tr w:rsidR="006C656F" w:rsidRPr="005F046F" w14:paraId="70AECD3D" w14:textId="77777777" w:rsidTr="00565F8F">
        <w:trPr>
          <w:trHeight w:val="240"/>
          <w:jc w:val="center"/>
        </w:trPr>
        <w:tc>
          <w:tcPr>
            <w:tcW w:w="4876" w:type="dxa"/>
            <w:tcBorders>
              <w:top w:val="nil"/>
              <w:left w:val="nil"/>
              <w:bottom w:val="nil"/>
              <w:right w:val="nil"/>
            </w:tcBorders>
          </w:tcPr>
          <w:p w14:paraId="7299C57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038DE24" w14:textId="77777777" w:rsidR="000104F2" w:rsidRPr="005F046F" w:rsidRDefault="000104F2" w:rsidP="00565F8F">
            <w:pPr>
              <w:pStyle w:val="AmColumnHeading"/>
            </w:pPr>
            <w:r w:rsidRPr="005F046F">
              <w:t>Módosítás</w:t>
            </w:r>
          </w:p>
        </w:tc>
      </w:tr>
      <w:tr w:rsidR="006C656F" w:rsidRPr="005F046F" w14:paraId="4BF30BEF" w14:textId="77777777" w:rsidTr="00565F8F">
        <w:trPr>
          <w:jc w:val="center"/>
        </w:trPr>
        <w:tc>
          <w:tcPr>
            <w:tcW w:w="4876" w:type="dxa"/>
            <w:tcBorders>
              <w:top w:val="nil"/>
              <w:left w:val="nil"/>
              <w:bottom w:val="nil"/>
              <w:right w:val="nil"/>
            </w:tcBorders>
          </w:tcPr>
          <w:p w14:paraId="7D0485E8" w14:textId="77777777" w:rsidR="000104F2" w:rsidRPr="005F046F" w:rsidRDefault="000104F2" w:rsidP="00565F8F">
            <w:pPr>
              <w:pStyle w:val="Normal6a"/>
            </w:pPr>
            <w:r w:rsidRPr="005F046F">
              <w:t>17.</w:t>
            </w:r>
            <w:r w:rsidRPr="005F046F">
              <w:tab/>
              <w:t xml:space="preserve">úgy véli, hogy a vizsgálatok </w:t>
            </w:r>
            <w:r w:rsidRPr="005F046F">
              <w:rPr>
                <w:b/>
                <w:bCs/>
                <w:i/>
                <w:iCs/>
              </w:rPr>
              <w:t>és az igazgatási eljárások</w:t>
            </w:r>
            <w:r w:rsidRPr="005F046F">
              <w:t xml:space="preserve"> túlzott elhúzódása aláássa az Unió pénzügyi érdekei védelmének hatékonyságát, különösen a nyomon követés, a behajtás és a büntetőeljárások tekintetében;</w:t>
            </w:r>
          </w:p>
        </w:tc>
        <w:tc>
          <w:tcPr>
            <w:tcW w:w="4876" w:type="dxa"/>
            <w:tcBorders>
              <w:top w:val="nil"/>
              <w:left w:val="nil"/>
              <w:bottom w:val="nil"/>
              <w:right w:val="nil"/>
            </w:tcBorders>
          </w:tcPr>
          <w:p w14:paraId="31921316" w14:textId="77777777" w:rsidR="000104F2" w:rsidRPr="005F046F" w:rsidRDefault="000104F2" w:rsidP="00565F8F">
            <w:pPr>
              <w:pStyle w:val="Normal6a"/>
            </w:pPr>
            <w:r w:rsidRPr="005F046F">
              <w:t>17.</w:t>
            </w:r>
            <w:r w:rsidRPr="005F046F">
              <w:tab/>
              <w:t>úgy véli, hogy a vizsgálatok túlzott elhúzódása</w:t>
            </w:r>
            <w:r w:rsidRPr="005F046F">
              <w:rPr>
                <w:b/>
                <w:bCs/>
                <w:i/>
                <w:iCs/>
              </w:rPr>
              <w:t xml:space="preserve"> – amit gyakran a korlátozott finanszírozás és a munkaerőhiány okoz –</w:t>
            </w:r>
            <w:r w:rsidRPr="005F046F">
              <w:t xml:space="preserve"> aláássa az Unió pénzügyi érdekei védelmének hatékonyságát, különösen a nyomon követés, a behajtás és a büntetőeljárások tekintetében;</w:t>
            </w:r>
          </w:p>
        </w:tc>
      </w:tr>
    </w:tbl>
    <w:p w14:paraId="461D9A9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8C0EA6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26E44D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B52E0F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8D31C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4BC900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0EDBDA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17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7053BF6" w14:textId="77777777" w:rsidTr="00565F8F">
        <w:trPr>
          <w:trHeight w:hRule="exact" w:val="240"/>
          <w:jc w:val="center"/>
        </w:trPr>
        <w:tc>
          <w:tcPr>
            <w:tcW w:w="9752" w:type="dxa"/>
            <w:gridSpan w:val="2"/>
            <w:tcBorders>
              <w:top w:val="nil"/>
              <w:left w:val="nil"/>
              <w:bottom w:val="nil"/>
              <w:right w:val="nil"/>
            </w:tcBorders>
          </w:tcPr>
          <w:p w14:paraId="7B924F9D" w14:textId="77777777" w:rsidR="000104F2" w:rsidRPr="005F046F" w:rsidRDefault="000104F2" w:rsidP="00565F8F"/>
        </w:tc>
      </w:tr>
      <w:tr w:rsidR="006C656F" w:rsidRPr="005F046F" w14:paraId="03760F3E" w14:textId="77777777" w:rsidTr="00565F8F">
        <w:trPr>
          <w:trHeight w:val="240"/>
          <w:jc w:val="center"/>
        </w:trPr>
        <w:tc>
          <w:tcPr>
            <w:tcW w:w="4876" w:type="dxa"/>
            <w:tcBorders>
              <w:top w:val="nil"/>
              <w:left w:val="nil"/>
              <w:bottom w:val="nil"/>
              <w:right w:val="nil"/>
            </w:tcBorders>
          </w:tcPr>
          <w:p w14:paraId="5EDA250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1CA92FE" w14:textId="77777777" w:rsidR="000104F2" w:rsidRPr="005F046F" w:rsidRDefault="000104F2" w:rsidP="00565F8F">
            <w:pPr>
              <w:pStyle w:val="AmColumnHeading"/>
            </w:pPr>
            <w:r w:rsidRPr="005F046F">
              <w:t>Módosítás</w:t>
            </w:r>
          </w:p>
        </w:tc>
      </w:tr>
      <w:tr w:rsidR="006C656F" w:rsidRPr="005F046F" w14:paraId="36487B76" w14:textId="77777777" w:rsidTr="00565F8F">
        <w:trPr>
          <w:jc w:val="center"/>
        </w:trPr>
        <w:tc>
          <w:tcPr>
            <w:tcW w:w="4876" w:type="dxa"/>
            <w:tcBorders>
              <w:top w:val="nil"/>
              <w:left w:val="nil"/>
              <w:bottom w:val="nil"/>
              <w:right w:val="nil"/>
            </w:tcBorders>
          </w:tcPr>
          <w:p w14:paraId="63335F77" w14:textId="77777777" w:rsidR="000104F2" w:rsidRPr="005F046F" w:rsidRDefault="000104F2" w:rsidP="00565F8F">
            <w:pPr>
              <w:pStyle w:val="Normal6a"/>
            </w:pPr>
          </w:p>
        </w:tc>
        <w:tc>
          <w:tcPr>
            <w:tcW w:w="4876" w:type="dxa"/>
            <w:tcBorders>
              <w:top w:val="nil"/>
              <w:left w:val="nil"/>
              <w:bottom w:val="nil"/>
              <w:right w:val="nil"/>
            </w:tcBorders>
          </w:tcPr>
          <w:p w14:paraId="44E23CEF" w14:textId="77777777" w:rsidR="000104F2" w:rsidRPr="005F046F" w:rsidRDefault="000104F2" w:rsidP="00565F8F">
            <w:pPr>
              <w:pStyle w:val="Normal6a"/>
            </w:pPr>
            <w:r w:rsidRPr="005F046F">
              <w:rPr>
                <w:b/>
                <w:i/>
              </w:rPr>
              <w:t>17a.</w:t>
            </w:r>
            <w:r w:rsidRPr="005F046F">
              <w:tab/>
            </w:r>
            <w:r w:rsidRPr="005F046F">
              <w:rPr>
                <w:b/>
                <w:i/>
              </w:rPr>
              <w:t>hangsúlyozza, hogy a feltárt szabálytalanságokra arányos válaszokat kell adni; egyértelmű arányossági biztosítékok bevezetését szorgalmazza annak biztosítása érdekében, hogy a helyi vagy kisebb csalások kivizsgálása ne vezessen a finanszírozás aránytalan, széles körű felfüggesztéséhez, amely méltánytalanul büntet egész régiókat vagy nagyprojekteket; hangsúlyozza, hogy a kifizetések felfüggesztésének mérlegelésekor következetesen alkalmazni kell az arányosság elvét, figyelembe véve az azonosított hiányosságok súlyosságát és rendszerszintű jellegét;</w:t>
            </w:r>
          </w:p>
        </w:tc>
      </w:tr>
    </w:tbl>
    <w:p w14:paraId="15B5212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0C5B35A"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602DF3D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DF1523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DEC7F5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4DD371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5985AE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5AB8AEC" w14:textId="77777777" w:rsidTr="00565F8F">
        <w:trPr>
          <w:trHeight w:hRule="exact" w:val="240"/>
          <w:jc w:val="center"/>
        </w:trPr>
        <w:tc>
          <w:tcPr>
            <w:tcW w:w="9752" w:type="dxa"/>
            <w:gridSpan w:val="2"/>
            <w:tcBorders>
              <w:top w:val="nil"/>
              <w:left w:val="nil"/>
              <w:bottom w:val="nil"/>
              <w:right w:val="nil"/>
            </w:tcBorders>
          </w:tcPr>
          <w:p w14:paraId="70E53EEA" w14:textId="77777777" w:rsidR="000104F2" w:rsidRPr="005F046F" w:rsidRDefault="000104F2" w:rsidP="00565F8F"/>
        </w:tc>
      </w:tr>
      <w:tr w:rsidR="006C656F" w:rsidRPr="005F046F" w14:paraId="1B8E684B" w14:textId="77777777" w:rsidTr="00565F8F">
        <w:trPr>
          <w:trHeight w:val="240"/>
          <w:jc w:val="center"/>
        </w:trPr>
        <w:tc>
          <w:tcPr>
            <w:tcW w:w="4876" w:type="dxa"/>
            <w:tcBorders>
              <w:top w:val="nil"/>
              <w:left w:val="nil"/>
              <w:bottom w:val="nil"/>
              <w:right w:val="nil"/>
            </w:tcBorders>
          </w:tcPr>
          <w:p w14:paraId="40FD599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2622E13" w14:textId="77777777" w:rsidR="000104F2" w:rsidRPr="005F046F" w:rsidRDefault="000104F2" w:rsidP="00565F8F">
            <w:pPr>
              <w:pStyle w:val="AmColumnHeading"/>
            </w:pPr>
            <w:r w:rsidRPr="005F046F">
              <w:t>Módosítás</w:t>
            </w:r>
          </w:p>
        </w:tc>
      </w:tr>
      <w:tr w:rsidR="006C656F" w:rsidRPr="005F046F" w14:paraId="4A99D618" w14:textId="77777777" w:rsidTr="00565F8F">
        <w:trPr>
          <w:jc w:val="center"/>
        </w:trPr>
        <w:tc>
          <w:tcPr>
            <w:tcW w:w="4876" w:type="dxa"/>
            <w:tcBorders>
              <w:top w:val="nil"/>
              <w:left w:val="nil"/>
              <w:bottom w:val="nil"/>
              <w:right w:val="nil"/>
            </w:tcBorders>
          </w:tcPr>
          <w:p w14:paraId="4143D379" w14:textId="77777777" w:rsidR="000104F2" w:rsidRPr="005F046F" w:rsidRDefault="000104F2" w:rsidP="00565F8F">
            <w:pPr>
              <w:pStyle w:val="Normal6a"/>
            </w:pPr>
          </w:p>
        </w:tc>
        <w:tc>
          <w:tcPr>
            <w:tcW w:w="4876" w:type="dxa"/>
            <w:tcBorders>
              <w:top w:val="nil"/>
              <w:left w:val="nil"/>
              <w:bottom w:val="nil"/>
              <w:right w:val="nil"/>
            </w:tcBorders>
          </w:tcPr>
          <w:p w14:paraId="621494B5" w14:textId="77777777" w:rsidR="000104F2" w:rsidRPr="005F046F" w:rsidRDefault="000104F2" w:rsidP="00565F8F">
            <w:pPr>
              <w:pStyle w:val="Normal6a"/>
            </w:pPr>
            <w:r w:rsidRPr="005F046F">
              <w:rPr>
                <w:b/>
                <w:i/>
              </w:rPr>
              <w:t>18a.</w:t>
            </w:r>
            <w:r w:rsidRPr="005F046F">
              <w:tab/>
            </w:r>
            <w:r w:rsidRPr="005F046F">
              <w:rPr>
                <w:b/>
                <w:i/>
              </w:rPr>
              <w:t xml:space="preserve">emlékeztet arra, hogy az uniós kiadások legnagyobb részét a tagállamok kezelik, következésképpen ők jelentik az Unió pénzügyi érdekeinek védelmét szolgáló első védelmi vonalat; megjegyzi, hogy 2024-ben mind a 27 tagállam arról számolt be, hogy rendelkezik valamilyen stratégiával az Unió pénzügyi érdekeinek védelmére vonatkozóan; megjegyzi azonban, hogy a megközelítések jelentősen eltérnek egymástól: mindössze 10 tagállam rendelkezik külön csalás elleni nemzeti stratégiával, míg 17 nem, ez utóbbiak közül 7 tagállamban jelenleg ilyen stratégia elfogadása van folyamatban; sajnálatát fejezi ki amiatt, hogy a csalás elleni átfogó nemzeti stratégiák elfogadása továbbra is egyenetlen az egyes tagállamokban, és hangsúlyozza, hogy e stratégiák elengedhetetlenek a csalással kapcsolatos ügyek hatékony koordinációjának, kockázatelemzésének és nyomon követésének nemzeti és uniós szintű biztosításához; kéri a tagállamokat, hogy a Bizottság támogatásával fogadják el és rendszeresen frissítsék csalás elleni nemzeti stratégiájukat az újonnan felmerülő csalási kockázatok jobb azonosítása és kezelése érdekében; sajnálja továbbá, hogy a 2024-ben gyűjtött információkból az derül ki, hogy a korábbi évekhez képest korlátozott előrelépés történt a csalás elleni nemzeti irányítás megerősítése terén, annak ellenére, hogy a Bizottság ajánlásokat fogalmazott meg a célzott nemzeti csalás </w:t>
            </w:r>
            <w:r w:rsidRPr="005F046F">
              <w:rPr>
                <w:b/>
                <w:i/>
              </w:rPr>
              <w:lastRenderedPageBreak/>
              <w:t>elleni hálózatok létrehozására vagy javítására vonatkozóan; üdvözli, hogy az Európai Parlament ismételt felhívásait követően a Bizottság a 2028–2034-es programozási időszakra vonatkozó javaslatában a nemzeti irányítási és kontrollrendszerekre vonatkozó kulcsfontosságú követelmények közé sorolta a csalás elleni nemzeti stratégiákat; megismétli, hogy a tagállamok számára előnyös lenne, ha csalás elleni keretük tekintetében rendszeres vagy szakértői értékeléseket végeznének a következetesség javítása és a magas szintű normák Unió-szerte történő biztosítása érdekében;</w:t>
            </w:r>
          </w:p>
        </w:tc>
      </w:tr>
    </w:tbl>
    <w:p w14:paraId="0AB7379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1DCE37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6F1634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5799B7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54EF34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0D902E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052272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18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FDB801D" w14:textId="77777777" w:rsidTr="00565F8F">
        <w:trPr>
          <w:trHeight w:hRule="exact" w:val="240"/>
          <w:jc w:val="center"/>
        </w:trPr>
        <w:tc>
          <w:tcPr>
            <w:tcW w:w="9752" w:type="dxa"/>
            <w:gridSpan w:val="2"/>
            <w:tcBorders>
              <w:top w:val="nil"/>
              <w:left w:val="nil"/>
              <w:bottom w:val="nil"/>
              <w:right w:val="nil"/>
            </w:tcBorders>
          </w:tcPr>
          <w:p w14:paraId="2AB4A99C" w14:textId="77777777" w:rsidR="000104F2" w:rsidRPr="005F046F" w:rsidRDefault="000104F2" w:rsidP="00565F8F"/>
        </w:tc>
      </w:tr>
      <w:tr w:rsidR="006C656F" w:rsidRPr="005F046F" w14:paraId="512A4C12" w14:textId="77777777" w:rsidTr="00565F8F">
        <w:trPr>
          <w:trHeight w:val="240"/>
          <w:jc w:val="center"/>
        </w:trPr>
        <w:tc>
          <w:tcPr>
            <w:tcW w:w="4876" w:type="dxa"/>
            <w:tcBorders>
              <w:top w:val="nil"/>
              <w:left w:val="nil"/>
              <w:bottom w:val="nil"/>
              <w:right w:val="nil"/>
            </w:tcBorders>
          </w:tcPr>
          <w:p w14:paraId="52CECC7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286319D" w14:textId="77777777" w:rsidR="000104F2" w:rsidRPr="005F046F" w:rsidRDefault="000104F2" w:rsidP="00565F8F">
            <w:pPr>
              <w:pStyle w:val="AmColumnHeading"/>
            </w:pPr>
            <w:r w:rsidRPr="005F046F">
              <w:t>Módosítás</w:t>
            </w:r>
          </w:p>
        </w:tc>
      </w:tr>
      <w:tr w:rsidR="006C656F" w:rsidRPr="005F046F" w14:paraId="609962B0" w14:textId="77777777" w:rsidTr="00565F8F">
        <w:trPr>
          <w:jc w:val="center"/>
        </w:trPr>
        <w:tc>
          <w:tcPr>
            <w:tcW w:w="4876" w:type="dxa"/>
            <w:tcBorders>
              <w:top w:val="nil"/>
              <w:left w:val="nil"/>
              <w:bottom w:val="nil"/>
              <w:right w:val="nil"/>
            </w:tcBorders>
          </w:tcPr>
          <w:p w14:paraId="5EB527ED" w14:textId="77777777" w:rsidR="000104F2" w:rsidRPr="005F046F" w:rsidRDefault="000104F2" w:rsidP="00565F8F">
            <w:pPr>
              <w:pStyle w:val="Normal6a"/>
            </w:pPr>
          </w:p>
        </w:tc>
        <w:tc>
          <w:tcPr>
            <w:tcW w:w="4876" w:type="dxa"/>
            <w:tcBorders>
              <w:top w:val="nil"/>
              <w:left w:val="nil"/>
              <w:bottom w:val="nil"/>
              <w:right w:val="nil"/>
            </w:tcBorders>
          </w:tcPr>
          <w:p w14:paraId="66C9A3AF" w14:textId="77777777" w:rsidR="000104F2" w:rsidRPr="005F046F" w:rsidRDefault="000104F2" w:rsidP="00565F8F">
            <w:pPr>
              <w:pStyle w:val="Normal6a"/>
            </w:pPr>
            <w:r w:rsidRPr="005F046F">
              <w:rPr>
                <w:b/>
                <w:i/>
              </w:rPr>
              <w:t>18b.</w:t>
            </w:r>
            <w:r w:rsidRPr="005F046F">
              <w:tab/>
            </w:r>
            <w:r w:rsidRPr="005F046F">
              <w:rPr>
                <w:b/>
                <w:i/>
              </w:rPr>
              <w:t xml:space="preserve">megjegyzi, hogy bár valamennyi tagállam arról számol be, hogy rendelkezik valamilyen nemzeti csalás elleni stratégiával, csak korlátozott számú tagállam rendelkezik </w:t>
            </w:r>
            <w:proofErr w:type="spellStart"/>
            <w:r w:rsidRPr="005F046F">
              <w:rPr>
                <w:b/>
                <w:i/>
              </w:rPr>
              <w:t>teljeskörűen</w:t>
            </w:r>
            <w:proofErr w:type="spellEnd"/>
            <w:r w:rsidRPr="005F046F">
              <w:rPr>
                <w:b/>
                <w:i/>
              </w:rPr>
              <w:t xml:space="preserve"> kidolgozott és átfogó stratégiákkal; kéri a Bizottságot, hogy értékelje a nemzeti csalás elleni stratégiák minőségét, hatókörét és hatékony végrehajtását, valamint nyújtson iránymutatást és támogatást annak biztosítása érdekében, hogy az ilyen stratégiák koherensek, átfogóak és </w:t>
            </w:r>
            <w:proofErr w:type="spellStart"/>
            <w:r w:rsidRPr="005F046F">
              <w:rPr>
                <w:b/>
                <w:i/>
              </w:rPr>
              <w:t>eredményorientáltak</w:t>
            </w:r>
            <w:proofErr w:type="spellEnd"/>
            <w:r w:rsidRPr="005F046F">
              <w:rPr>
                <w:b/>
                <w:i/>
              </w:rPr>
              <w:t xml:space="preserve"> legyenek;</w:t>
            </w:r>
          </w:p>
        </w:tc>
      </w:tr>
    </w:tbl>
    <w:p w14:paraId="776BEC4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25440A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10A6EA1" w14:textId="77777777" w:rsidR="000104F2" w:rsidRPr="005F046F" w:rsidRDefault="000104F2" w:rsidP="000104F2">
      <w:pPr>
        <w:pStyle w:val="AmNumberTabs"/>
      </w:pPr>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79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8430E4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F88648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E8596F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FD486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BE0587F" w14:textId="77777777" w:rsidTr="00565F8F">
        <w:trPr>
          <w:trHeight w:hRule="exact" w:val="240"/>
          <w:jc w:val="center"/>
        </w:trPr>
        <w:tc>
          <w:tcPr>
            <w:tcW w:w="9752" w:type="dxa"/>
            <w:gridSpan w:val="2"/>
            <w:tcBorders>
              <w:top w:val="nil"/>
              <w:left w:val="nil"/>
              <w:bottom w:val="nil"/>
              <w:right w:val="nil"/>
            </w:tcBorders>
          </w:tcPr>
          <w:p w14:paraId="70CEE2D1" w14:textId="77777777" w:rsidR="000104F2" w:rsidRPr="005F046F" w:rsidRDefault="000104F2" w:rsidP="00565F8F"/>
        </w:tc>
      </w:tr>
      <w:tr w:rsidR="006C656F" w:rsidRPr="005F046F" w14:paraId="5F687502" w14:textId="77777777" w:rsidTr="00565F8F">
        <w:trPr>
          <w:trHeight w:val="240"/>
          <w:jc w:val="center"/>
        </w:trPr>
        <w:tc>
          <w:tcPr>
            <w:tcW w:w="4876" w:type="dxa"/>
            <w:tcBorders>
              <w:top w:val="nil"/>
              <w:left w:val="nil"/>
              <w:bottom w:val="nil"/>
              <w:right w:val="nil"/>
            </w:tcBorders>
          </w:tcPr>
          <w:p w14:paraId="78AFE19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E6F504E" w14:textId="77777777" w:rsidR="000104F2" w:rsidRPr="005F046F" w:rsidRDefault="000104F2" w:rsidP="00565F8F">
            <w:pPr>
              <w:pStyle w:val="AmColumnHeading"/>
            </w:pPr>
            <w:r w:rsidRPr="005F046F">
              <w:t>Módosítás</w:t>
            </w:r>
          </w:p>
        </w:tc>
      </w:tr>
      <w:tr w:rsidR="006C656F" w:rsidRPr="005F046F" w14:paraId="36E701E8" w14:textId="77777777" w:rsidTr="00565F8F">
        <w:trPr>
          <w:jc w:val="center"/>
        </w:trPr>
        <w:tc>
          <w:tcPr>
            <w:tcW w:w="4876" w:type="dxa"/>
            <w:tcBorders>
              <w:top w:val="nil"/>
              <w:left w:val="nil"/>
              <w:bottom w:val="nil"/>
              <w:right w:val="nil"/>
            </w:tcBorders>
          </w:tcPr>
          <w:p w14:paraId="455DC22A" w14:textId="77777777" w:rsidR="000104F2" w:rsidRPr="005F046F" w:rsidRDefault="000104F2" w:rsidP="00565F8F">
            <w:pPr>
              <w:pStyle w:val="Normal6a"/>
            </w:pPr>
          </w:p>
        </w:tc>
        <w:tc>
          <w:tcPr>
            <w:tcW w:w="4876" w:type="dxa"/>
            <w:tcBorders>
              <w:top w:val="nil"/>
              <w:left w:val="nil"/>
              <w:bottom w:val="nil"/>
              <w:right w:val="nil"/>
            </w:tcBorders>
          </w:tcPr>
          <w:p w14:paraId="38EEA970" w14:textId="77777777" w:rsidR="000104F2" w:rsidRPr="005F046F" w:rsidRDefault="000104F2" w:rsidP="00565F8F">
            <w:pPr>
              <w:pStyle w:val="Normal6a"/>
            </w:pPr>
            <w:r w:rsidRPr="005F046F">
              <w:rPr>
                <w:b/>
                <w:i/>
              </w:rPr>
              <w:t>18a.</w:t>
            </w:r>
            <w:r w:rsidRPr="005F046F">
              <w:tab/>
            </w:r>
            <w:r w:rsidRPr="005F046F">
              <w:rPr>
                <w:b/>
                <w:i/>
              </w:rPr>
              <w:t>úgy véli, hogy a tagállamok között a közigazgatási kapacitások, az emberi erőforrások és az elemzési eszközök tekintetében fennálló tartós egyenlőtlenségek gyengítik az Unió pénzügyi érdekeinek védelmét; kéri a Bizottságot, hogy vizsgálja meg annak lehetőségét, hogy a szubszidiaritás elvének tiszteletben tartása mellett az illetékes nemzeti hatóságok – különösen a csalásellenes koordinációs szolgálatok – csalás elleni küzdelemmel kapcsolatos kapacitására vonatkozóan közös minimumszabályokat határozzon meg;</w:t>
            </w:r>
          </w:p>
        </w:tc>
      </w:tr>
    </w:tbl>
    <w:p w14:paraId="5741016A"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3E01B11"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0DD4D6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4EF94F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63320E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280F3F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81CF6B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19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7614CD1" w14:textId="77777777" w:rsidTr="00565F8F">
        <w:trPr>
          <w:trHeight w:hRule="exact" w:val="240"/>
          <w:jc w:val="center"/>
        </w:trPr>
        <w:tc>
          <w:tcPr>
            <w:tcW w:w="9752" w:type="dxa"/>
            <w:gridSpan w:val="2"/>
            <w:tcBorders>
              <w:top w:val="nil"/>
              <w:left w:val="nil"/>
              <w:bottom w:val="nil"/>
              <w:right w:val="nil"/>
            </w:tcBorders>
          </w:tcPr>
          <w:p w14:paraId="6A32BBF3" w14:textId="77777777" w:rsidR="000104F2" w:rsidRPr="005F046F" w:rsidRDefault="000104F2" w:rsidP="00565F8F"/>
        </w:tc>
      </w:tr>
      <w:tr w:rsidR="006C656F" w:rsidRPr="005F046F" w14:paraId="4FFC20BC" w14:textId="77777777" w:rsidTr="00565F8F">
        <w:trPr>
          <w:trHeight w:val="240"/>
          <w:jc w:val="center"/>
        </w:trPr>
        <w:tc>
          <w:tcPr>
            <w:tcW w:w="4876" w:type="dxa"/>
            <w:tcBorders>
              <w:top w:val="nil"/>
              <w:left w:val="nil"/>
              <w:bottom w:val="nil"/>
              <w:right w:val="nil"/>
            </w:tcBorders>
          </w:tcPr>
          <w:p w14:paraId="2ACCCB3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D9CB5EE" w14:textId="77777777" w:rsidR="000104F2" w:rsidRPr="005F046F" w:rsidRDefault="000104F2" w:rsidP="00565F8F">
            <w:pPr>
              <w:pStyle w:val="AmColumnHeading"/>
            </w:pPr>
            <w:r w:rsidRPr="005F046F">
              <w:t>Módosítás</w:t>
            </w:r>
          </w:p>
        </w:tc>
      </w:tr>
      <w:tr w:rsidR="006C656F" w:rsidRPr="005F046F" w14:paraId="6D3CDB27" w14:textId="77777777" w:rsidTr="00565F8F">
        <w:trPr>
          <w:jc w:val="center"/>
        </w:trPr>
        <w:tc>
          <w:tcPr>
            <w:tcW w:w="4876" w:type="dxa"/>
            <w:tcBorders>
              <w:top w:val="nil"/>
              <w:left w:val="nil"/>
              <w:bottom w:val="nil"/>
              <w:right w:val="nil"/>
            </w:tcBorders>
          </w:tcPr>
          <w:p w14:paraId="1680ABC2" w14:textId="77777777" w:rsidR="000104F2" w:rsidRPr="005F046F" w:rsidRDefault="000104F2" w:rsidP="00565F8F">
            <w:pPr>
              <w:pStyle w:val="Normal6a"/>
            </w:pPr>
            <w:r w:rsidRPr="005F046F">
              <w:t>19.</w:t>
            </w:r>
            <w:r w:rsidRPr="005F046F">
              <w:tab/>
              <w:t>hangsúlyozza, hogy az Európai Ügyészség folyamatban lévő vizsgálataira vonatkozó információkat továbbítani kell a Bizottságnak, amennyiben az Európai Ügyészségről szóló rendelet</w:t>
            </w:r>
            <w:r w:rsidRPr="005F046F">
              <w:rPr>
                <w:vertAlign w:val="superscript"/>
              </w:rPr>
              <w:t>23</w:t>
            </w:r>
            <w:r w:rsidRPr="005F046F">
              <w:t xml:space="preserve"> 103. cikkében meghatározott feltételek ezt lehetővé teszik; megjegyzi azonban, hogy a 2024. évi PIF-jelentés szerint a Helyreállítási és </w:t>
            </w:r>
            <w:proofErr w:type="spellStart"/>
            <w:r w:rsidRPr="005F046F">
              <w:t>Rezilienciaépítési</w:t>
            </w:r>
            <w:proofErr w:type="spellEnd"/>
            <w:r w:rsidRPr="005F046F">
              <w:t xml:space="preserve"> Eszköz végrehajtásának kezdetétől 2025. május 27-ig a Bizottsághoz csak 75 értesítés érkezett az Európai Ügyészségtől, amelyek közül 64 folyamatban lévő ügyekre vonatkozott, míg 2024 végén 279, a </w:t>
            </w:r>
            <w:r w:rsidRPr="005F046F">
              <w:lastRenderedPageBreak/>
              <w:t xml:space="preserve">Helyreállítási és </w:t>
            </w:r>
            <w:proofErr w:type="spellStart"/>
            <w:r w:rsidRPr="005F046F">
              <w:t>Rezilienciaépítési</w:t>
            </w:r>
            <w:proofErr w:type="spellEnd"/>
            <w:r w:rsidRPr="005F046F">
              <w:t xml:space="preserve"> Eszközzel kapcsolatos vizsgálat volt folyamatban, amelyek becsült teljes pénzügyi kára 2,7 milliárd EUR; megjegyzi, hogy ez megakadályozza a Helyreállítási és </w:t>
            </w:r>
            <w:proofErr w:type="spellStart"/>
            <w:r w:rsidRPr="005F046F">
              <w:t>Rezilienciaépítési</w:t>
            </w:r>
            <w:proofErr w:type="spellEnd"/>
            <w:r w:rsidRPr="005F046F">
              <w:t xml:space="preserve"> Eszköz végrehajtása aktuális állásának teljes körű megértését;</w:t>
            </w:r>
          </w:p>
        </w:tc>
        <w:tc>
          <w:tcPr>
            <w:tcW w:w="4876" w:type="dxa"/>
            <w:tcBorders>
              <w:top w:val="nil"/>
              <w:left w:val="nil"/>
              <w:bottom w:val="nil"/>
              <w:right w:val="nil"/>
            </w:tcBorders>
          </w:tcPr>
          <w:p w14:paraId="6149F4AF" w14:textId="1065D6CC" w:rsidR="000104F2" w:rsidRPr="005F046F" w:rsidRDefault="000104F2" w:rsidP="00565F8F">
            <w:pPr>
              <w:pStyle w:val="Normal6a"/>
            </w:pPr>
            <w:r w:rsidRPr="005F046F">
              <w:lastRenderedPageBreak/>
              <w:t>19.</w:t>
            </w:r>
            <w:r w:rsidRPr="005F046F">
              <w:tab/>
              <w:t>hangsúlyozza, hogy az Európai Ügyészség folyamatban lévő vizsgálataira vonatkozó információkat továbbítani kell a Bizottságnak, amennyiben az Európai Ügyészségről szóló rendelet</w:t>
            </w:r>
            <w:r w:rsidRPr="005F046F">
              <w:rPr>
                <w:vertAlign w:val="superscript"/>
              </w:rPr>
              <w:t>23</w:t>
            </w:r>
            <w:r w:rsidRPr="005F046F">
              <w:t xml:space="preserve"> 103. cikkében meghatározott feltételek ezt lehetővé teszik; megjegyzi azonban, hogy a 2024. évi PIF-jelentés szerint a Helyreállítási és </w:t>
            </w:r>
            <w:proofErr w:type="spellStart"/>
            <w:r w:rsidRPr="005F046F">
              <w:t>Rezilienciaépítési</w:t>
            </w:r>
            <w:proofErr w:type="spellEnd"/>
            <w:r w:rsidRPr="005F046F">
              <w:t xml:space="preserve"> Eszköz végrehajtásának kezdetétől 2025. május 27-ig a Bizottsághoz csak 75 értesítés érkezett az Európai Ügyészségtől, amelyek közül 64 folyamatban lévő ügyekre vonatkozott, míg 2024 végén 279, a </w:t>
            </w:r>
            <w:r w:rsidRPr="005F046F">
              <w:lastRenderedPageBreak/>
              <w:t xml:space="preserve">Helyreállítási és </w:t>
            </w:r>
            <w:proofErr w:type="spellStart"/>
            <w:r w:rsidRPr="005F046F">
              <w:t>Rezilienciaépítési</w:t>
            </w:r>
            <w:proofErr w:type="spellEnd"/>
            <w:r w:rsidRPr="005F046F">
              <w:t xml:space="preserve"> Eszközzel kapcsolatos vizsgálat volt folyamatban, amelyek becsült teljes pénzügyi kára 2,7 milliárd EUR; megjegyzi, hogy ez megakadályozza a Helyreállítási és </w:t>
            </w:r>
            <w:proofErr w:type="spellStart"/>
            <w:r w:rsidRPr="005F046F">
              <w:t>Rezilienciaépítési</w:t>
            </w:r>
            <w:proofErr w:type="spellEnd"/>
            <w:r w:rsidRPr="005F046F">
              <w:t xml:space="preserve"> Eszköz végrehajtása aktuális állásának teljes körű megértését;</w:t>
            </w:r>
            <w:r w:rsidR="00FE3101">
              <w:t xml:space="preserve"> </w:t>
            </w:r>
            <w:r w:rsidRPr="005F046F">
              <w:rPr>
                <w:b/>
                <w:i/>
              </w:rPr>
              <w:t xml:space="preserve">az időben történő és strukturált információmegosztás javítását szorgalmazza, teljes mértékben tiszteletben tartva az Európai Ügyészség függetlenségét, különösen a Helyreállítási és </w:t>
            </w:r>
            <w:proofErr w:type="spellStart"/>
            <w:r w:rsidRPr="005F046F">
              <w:rPr>
                <w:b/>
                <w:i/>
              </w:rPr>
              <w:t>Rezilienciaépítési</w:t>
            </w:r>
            <w:proofErr w:type="spellEnd"/>
            <w:r w:rsidRPr="005F046F">
              <w:rPr>
                <w:b/>
                <w:i/>
              </w:rPr>
              <w:t xml:space="preserve"> Eszközhöz hasonló, magas kockázatú programok esetében;</w:t>
            </w:r>
          </w:p>
        </w:tc>
      </w:tr>
      <w:tr w:rsidR="006C656F" w:rsidRPr="005F046F" w14:paraId="3139F143" w14:textId="77777777" w:rsidTr="00565F8F">
        <w:trPr>
          <w:jc w:val="center"/>
        </w:trPr>
        <w:tc>
          <w:tcPr>
            <w:tcW w:w="4876" w:type="dxa"/>
            <w:tcBorders>
              <w:top w:val="nil"/>
              <w:left w:val="nil"/>
              <w:bottom w:val="nil"/>
              <w:right w:val="nil"/>
            </w:tcBorders>
          </w:tcPr>
          <w:p w14:paraId="52B0517E" w14:textId="77777777" w:rsidR="000104F2" w:rsidRPr="005F046F" w:rsidRDefault="000104F2" w:rsidP="00565F8F">
            <w:pPr>
              <w:pStyle w:val="Normal6a"/>
            </w:pPr>
            <w:r w:rsidRPr="005F046F">
              <w:rPr>
                <w:b/>
                <w:i/>
              </w:rPr>
              <w:lastRenderedPageBreak/>
              <w:t>_________________</w:t>
            </w:r>
          </w:p>
        </w:tc>
        <w:tc>
          <w:tcPr>
            <w:tcW w:w="4876" w:type="dxa"/>
            <w:tcBorders>
              <w:top w:val="nil"/>
              <w:left w:val="nil"/>
              <w:bottom w:val="nil"/>
              <w:right w:val="nil"/>
            </w:tcBorders>
          </w:tcPr>
          <w:p w14:paraId="51331F05" w14:textId="77777777" w:rsidR="000104F2" w:rsidRPr="005F046F" w:rsidRDefault="000104F2" w:rsidP="00565F8F">
            <w:pPr>
              <w:pStyle w:val="Normal6a"/>
            </w:pPr>
            <w:r w:rsidRPr="005F046F">
              <w:rPr>
                <w:b/>
                <w:i/>
              </w:rPr>
              <w:t>_________________</w:t>
            </w:r>
          </w:p>
        </w:tc>
      </w:tr>
      <w:tr w:rsidR="006C656F" w:rsidRPr="005F046F" w14:paraId="4A23F2A4" w14:textId="77777777" w:rsidTr="00565F8F">
        <w:trPr>
          <w:jc w:val="center"/>
        </w:trPr>
        <w:tc>
          <w:tcPr>
            <w:tcW w:w="4876" w:type="dxa"/>
            <w:tcBorders>
              <w:top w:val="nil"/>
              <w:left w:val="nil"/>
              <w:bottom w:val="nil"/>
              <w:right w:val="nil"/>
            </w:tcBorders>
          </w:tcPr>
          <w:p w14:paraId="16E96724" w14:textId="77777777" w:rsidR="000104F2" w:rsidRPr="005F046F" w:rsidRDefault="000104F2" w:rsidP="00565F8F">
            <w:pPr>
              <w:pStyle w:val="Normal6a"/>
            </w:pPr>
            <w:r w:rsidRPr="005F046F">
              <w:rPr>
                <w:vertAlign w:val="superscript"/>
              </w:rPr>
              <w:t>23</w:t>
            </w:r>
            <w:r w:rsidRPr="005F046F">
              <w:t xml:space="preserve"> A Tanács (EU) 2017/1939 rendelete (2017. október 12.) az Európai Ügyészség létrehozására vonatkozó megerősített együttműködés bevezetéséről (HL L 283., 2017.10.31., 1. o., ELI: http://data.europa.eu/eli/reg/2017/1939/oj).</w:t>
            </w:r>
          </w:p>
        </w:tc>
        <w:tc>
          <w:tcPr>
            <w:tcW w:w="4876" w:type="dxa"/>
            <w:tcBorders>
              <w:top w:val="nil"/>
              <w:left w:val="nil"/>
              <w:bottom w:val="nil"/>
              <w:right w:val="nil"/>
            </w:tcBorders>
          </w:tcPr>
          <w:p w14:paraId="132694B7" w14:textId="77777777" w:rsidR="000104F2" w:rsidRPr="005F046F" w:rsidRDefault="000104F2" w:rsidP="00565F8F">
            <w:pPr>
              <w:pStyle w:val="Normal6a"/>
            </w:pPr>
            <w:r w:rsidRPr="005F046F">
              <w:rPr>
                <w:vertAlign w:val="superscript"/>
              </w:rPr>
              <w:t>23</w:t>
            </w:r>
            <w:r w:rsidRPr="005F046F">
              <w:t xml:space="preserve"> A Tanács (EU) 2017/1939 rendelete (2017. október 12.) az Európai Ügyészség létrehozására vonatkozó megerősített együttműködés bevezetéséről (HL L 283., 2017.10.31., 1. o., ELI: http://data.europa.eu/eli/reg/2017/1939/oj).</w:t>
            </w:r>
          </w:p>
        </w:tc>
      </w:tr>
    </w:tbl>
    <w:p w14:paraId="60206654"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6027BCE"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0AFA30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D0D204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B9BFF24"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1A97C1B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AEEBDA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3EE906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19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AEF8BE4" w14:textId="77777777" w:rsidTr="00565F8F">
        <w:trPr>
          <w:trHeight w:hRule="exact" w:val="240"/>
          <w:jc w:val="center"/>
        </w:trPr>
        <w:tc>
          <w:tcPr>
            <w:tcW w:w="9752" w:type="dxa"/>
            <w:gridSpan w:val="2"/>
            <w:tcBorders>
              <w:top w:val="nil"/>
              <w:left w:val="nil"/>
              <w:bottom w:val="nil"/>
              <w:right w:val="nil"/>
            </w:tcBorders>
          </w:tcPr>
          <w:p w14:paraId="32268600" w14:textId="77777777" w:rsidR="000104F2" w:rsidRPr="005F046F" w:rsidRDefault="000104F2" w:rsidP="00565F8F"/>
        </w:tc>
      </w:tr>
      <w:tr w:rsidR="006C656F" w:rsidRPr="005F046F" w14:paraId="6B48C5BF" w14:textId="77777777" w:rsidTr="00565F8F">
        <w:trPr>
          <w:trHeight w:val="240"/>
          <w:jc w:val="center"/>
        </w:trPr>
        <w:tc>
          <w:tcPr>
            <w:tcW w:w="4876" w:type="dxa"/>
            <w:tcBorders>
              <w:top w:val="nil"/>
              <w:left w:val="nil"/>
              <w:bottom w:val="nil"/>
              <w:right w:val="nil"/>
            </w:tcBorders>
          </w:tcPr>
          <w:p w14:paraId="22D64DC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27345C8" w14:textId="77777777" w:rsidR="000104F2" w:rsidRPr="005F046F" w:rsidRDefault="000104F2" w:rsidP="00565F8F">
            <w:pPr>
              <w:pStyle w:val="AmColumnHeading"/>
            </w:pPr>
            <w:r w:rsidRPr="005F046F">
              <w:t>Módosítás</w:t>
            </w:r>
          </w:p>
        </w:tc>
      </w:tr>
      <w:tr w:rsidR="006C656F" w:rsidRPr="005F046F" w14:paraId="38AC6474" w14:textId="77777777" w:rsidTr="00565F8F">
        <w:trPr>
          <w:jc w:val="center"/>
        </w:trPr>
        <w:tc>
          <w:tcPr>
            <w:tcW w:w="4876" w:type="dxa"/>
            <w:tcBorders>
              <w:top w:val="nil"/>
              <w:left w:val="nil"/>
              <w:bottom w:val="nil"/>
              <w:right w:val="nil"/>
            </w:tcBorders>
          </w:tcPr>
          <w:p w14:paraId="61D72426" w14:textId="77777777" w:rsidR="000104F2" w:rsidRPr="005F046F" w:rsidRDefault="000104F2" w:rsidP="00565F8F">
            <w:pPr>
              <w:pStyle w:val="Normal6a"/>
            </w:pPr>
            <w:r w:rsidRPr="005F046F">
              <w:t>19.</w:t>
            </w:r>
            <w:r w:rsidRPr="005F046F">
              <w:tab/>
              <w:t>hangsúlyozza, hogy az Európai Ügyészség folyamatban lévő vizsgálataira vonatkozó információkat továbbítani kell a Bizottságnak, amennyiben az Európai Ügyészségről szóló rendelet</w:t>
            </w:r>
            <w:r w:rsidRPr="005F046F">
              <w:rPr>
                <w:vertAlign w:val="superscript"/>
              </w:rPr>
              <w:t>23</w:t>
            </w:r>
            <w:r w:rsidRPr="005F046F">
              <w:t xml:space="preserve"> 103. cikkében meghatározott feltételek ezt lehetővé teszik; megjegyzi </w:t>
            </w:r>
            <w:r w:rsidRPr="005F046F">
              <w:rPr>
                <w:b/>
                <w:bCs/>
                <w:i/>
                <w:iCs/>
              </w:rPr>
              <w:t>azonban</w:t>
            </w:r>
            <w:r w:rsidRPr="005F046F">
              <w:t>, hogy</w:t>
            </w:r>
            <w:r w:rsidRPr="005F046F">
              <w:rPr>
                <w:b/>
                <w:bCs/>
                <w:i/>
                <w:iCs/>
              </w:rPr>
              <w:t xml:space="preserve"> a 2024. évi PIF-jelentés szerint a Helyreállítási és </w:t>
            </w:r>
            <w:proofErr w:type="spellStart"/>
            <w:r w:rsidRPr="005F046F">
              <w:rPr>
                <w:b/>
                <w:bCs/>
                <w:i/>
                <w:iCs/>
              </w:rPr>
              <w:t>Rezilienciaépítési</w:t>
            </w:r>
            <w:proofErr w:type="spellEnd"/>
            <w:r w:rsidRPr="005F046F">
              <w:rPr>
                <w:b/>
                <w:bCs/>
                <w:i/>
                <w:iCs/>
              </w:rPr>
              <w:t xml:space="preserve"> Eszköz végrehajtásának kezdetétől 2025. május 27-ig </w:t>
            </w:r>
            <w:r w:rsidRPr="005F046F">
              <w:t xml:space="preserve">a Bizottsághoz </w:t>
            </w:r>
            <w:r w:rsidRPr="005F046F">
              <w:rPr>
                <w:b/>
                <w:bCs/>
                <w:i/>
                <w:iCs/>
              </w:rPr>
              <w:t xml:space="preserve">csak 75 értesítés érkezett </w:t>
            </w:r>
            <w:r w:rsidRPr="005F046F">
              <w:t xml:space="preserve">az Európai </w:t>
            </w:r>
            <w:r w:rsidRPr="005F046F">
              <w:rPr>
                <w:b/>
                <w:bCs/>
                <w:i/>
                <w:iCs/>
              </w:rPr>
              <w:t xml:space="preserve">Ügyészségtől, amelyek </w:t>
            </w:r>
            <w:r w:rsidRPr="005F046F">
              <w:rPr>
                <w:b/>
                <w:bCs/>
                <w:i/>
                <w:iCs/>
              </w:rPr>
              <w:lastRenderedPageBreak/>
              <w:t xml:space="preserve">közül 64 folyamatban lévő ügyekre vonatkozott, míg 2024 végén 279, a Helyreállítási és </w:t>
            </w:r>
            <w:proofErr w:type="spellStart"/>
            <w:r w:rsidRPr="005F046F">
              <w:rPr>
                <w:b/>
                <w:bCs/>
                <w:i/>
                <w:iCs/>
              </w:rPr>
              <w:t>Rezilienciaépítési</w:t>
            </w:r>
            <w:proofErr w:type="spellEnd"/>
            <w:r w:rsidRPr="005F046F">
              <w:rPr>
                <w:b/>
                <w:bCs/>
                <w:i/>
                <w:iCs/>
              </w:rPr>
              <w:t xml:space="preserve"> Eszközzel kapcsolatos vizsgálat volt folyamatban, amelyek becsült teljes pénzügyi kára 2,7 milliárd EUR</w:t>
            </w:r>
            <w:r w:rsidRPr="005F046F">
              <w:t xml:space="preserve">; megjegyzi, hogy ez megakadályozza a Helyreállítási és </w:t>
            </w:r>
            <w:proofErr w:type="spellStart"/>
            <w:r w:rsidRPr="005F046F">
              <w:t>Rezilienciaépítési</w:t>
            </w:r>
            <w:proofErr w:type="spellEnd"/>
            <w:r w:rsidRPr="005F046F">
              <w:t xml:space="preserve"> Eszköz végrehajtása aktuális állásának teljes körű megértését;</w:t>
            </w:r>
          </w:p>
        </w:tc>
        <w:tc>
          <w:tcPr>
            <w:tcW w:w="4876" w:type="dxa"/>
            <w:tcBorders>
              <w:top w:val="nil"/>
              <w:left w:val="nil"/>
              <w:bottom w:val="nil"/>
              <w:right w:val="nil"/>
            </w:tcBorders>
          </w:tcPr>
          <w:p w14:paraId="1592B813" w14:textId="77777777" w:rsidR="000104F2" w:rsidRPr="005F046F" w:rsidRDefault="000104F2" w:rsidP="00565F8F">
            <w:pPr>
              <w:pStyle w:val="Normal6a"/>
            </w:pPr>
            <w:r w:rsidRPr="005F046F">
              <w:lastRenderedPageBreak/>
              <w:t>19.</w:t>
            </w:r>
            <w:r w:rsidRPr="005F046F">
              <w:tab/>
              <w:t>hangsúlyozza, hogy az Európai Ügyészség folyamatban lévő vizsgálataira vonatkozó információkat továbbítani kell a Bizottságnak, amennyiben az Európai Ügyészségről szóló rendelet</w:t>
            </w:r>
            <w:r w:rsidRPr="005F046F">
              <w:rPr>
                <w:vertAlign w:val="superscript"/>
              </w:rPr>
              <w:t>23</w:t>
            </w:r>
            <w:r w:rsidRPr="005F046F">
              <w:t xml:space="preserve"> 103. cikkében meghatározott feltételek ezt lehetővé teszik; megjegyzi, hogy a Bizottsághoz </w:t>
            </w:r>
            <w:r w:rsidRPr="005F046F">
              <w:rPr>
                <w:b/>
                <w:bCs/>
                <w:i/>
                <w:iCs/>
              </w:rPr>
              <w:t>beérkezett, 103. cikk szerinti értesítések száma nem felel meg automatikusan</w:t>
            </w:r>
            <w:r w:rsidRPr="005F046F">
              <w:t xml:space="preserve"> az Európai </w:t>
            </w:r>
            <w:r w:rsidRPr="005F046F">
              <w:rPr>
                <w:b/>
                <w:bCs/>
                <w:i/>
                <w:iCs/>
              </w:rPr>
              <w:t xml:space="preserve">Ügyészség által végzett vizsgálatok teljes számának, mivel az értesítések esetében eseti alapon kell </w:t>
            </w:r>
            <w:r w:rsidRPr="005F046F">
              <w:rPr>
                <w:b/>
                <w:bCs/>
                <w:i/>
                <w:iCs/>
              </w:rPr>
              <w:lastRenderedPageBreak/>
              <w:t>értékelni a titoktartást, valamint azt, hogy a Bizottság intézkedései lehetségesek és relevánsak-e;</w:t>
            </w:r>
            <w:r w:rsidRPr="005F046F">
              <w:rPr>
                <w:b/>
                <w:i/>
              </w:rPr>
              <w:t xml:space="preserve"> </w:t>
            </w:r>
            <w:r w:rsidRPr="005F046F">
              <w:rPr>
                <w:b/>
                <w:bCs/>
                <w:i/>
                <w:iCs/>
              </w:rPr>
              <w:t>mindazonáltal arra kéri a Bizottságot és az Európai Ügyészséget, hogy a jogi korlátokon belül javítsák a strukturált információáramlást, lehetővé téve az időben meghozott óvintézkedéseket és visszafizettetési intézkedéseket</w:t>
            </w:r>
            <w:r w:rsidRPr="005F046F">
              <w:t xml:space="preserve">; megjegyzi, hogy ez megakadályozza a Helyreállítási és </w:t>
            </w:r>
            <w:proofErr w:type="spellStart"/>
            <w:r w:rsidRPr="005F046F">
              <w:t>Rezilienciaépítési</w:t>
            </w:r>
            <w:proofErr w:type="spellEnd"/>
            <w:r w:rsidRPr="005F046F">
              <w:t xml:space="preserve"> Eszköz végrehajtása aktuális állásának teljes körű megértését;</w:t>
            </w:r>
          </w:p>
        </w:tc>
      </w:tr>
      <w:tr w:rsidR="006C656F" w:rsidRPr="005F046F" w14:paraId="6B3649B2" w14:textId="77777777" w:rsidTr="00565F8F">
        <w:trPr>
          <w:jc w:val="center"/>
        </w:trPr>
        <w:tc>
          <w:tcPr>
            <w:tcW w:w="4876" w:type="dxa"/>
            <w:tcBorders>
              <w:top w:val="nil"/>
              <w:left w:val="nil"/>
              <w:bottom w:val="nil"/>
              <w:right w:val="nil"/>
            </w:tcBorders>
          </w:tcPr>
          <w:p w14:paraId="48968EC8" w14:textId="77777777" w:rsidR="000104F2" w:rsidRPr="005F046F" w:rsidRDefault="000104F2" w:rsidP="00565F8F">
            <w:pPr>
              <w:pStyle w:val="Normal6a"/>
            </w:pPr>
            <w:r w:rsidRPr="005F046F">
              <w:rPr>
                <w:b/>
                <w:i/>
              </w:rPr>
              <w:lastRenderedPageBreak/>
              <w:t>_________________</w:t>
            </w:r>
          </w:p>
        </w:tc>
        <w:tc>
          <w:tcPr>
            <w:tcW w:w="4876" w:type="dxa"/>
            <w:tcBorders>
              <w:top w:val="nil"/>
              <w:left w:val="nil"/>
              <w:bottom w:val="nil"/>
              <w:right w:val="nil"/>
            </w:tcBorders>
          </w:tcPr>
          <w:p w14:paraId="52F063EC" w14:textId="77777777" w:rsidR="000104F2" w:rsidRPr="005F046F" w:rsidRDefault="000104F2" w:rsidP="00565F8F">
            <w:pPr>
              <w:pStyle w:val="Normal6a"/>
            </w:pPr>
            <w:r w:rsidRPr="005F046F">
              <w:rPr>
                <w:b/>
                <w:i/>
              </w:rPr>
              <w:t>_________________</w:t>
            </w:r>
          </w:p>
        </w:tc>
      </w:tr>
      <w:tr w:rsidR="006C656F" w:rsidRPr="005F046F" w14:paraId="33B165E0" w14:textId="77777777" w:rsidTr="00565F8F">
        <w:trPr>
          <w:jc w:val="center"/>
        </w:trPr>
        <w:tc>
          <w:tcPr>
            <w:tcW w:w="4876" w:type="dxa"/>
            <w:tcBorders>
              <w:top w:val="nil"/>
              <w:left w:val="nil"/>
              <w:bottom w:val="nil"/>
              <w:right w:val="nil"/>
            </w:tcBorders>
          </w:tcPr>
          <w:p w14:paraId="1CB62043" w14:textId="77777777" w:rsidR="000104F2" w:rsidRPr="005F046F" w:rsidRDefault="000104F2" w:rsidP="00565F8F">
            <w:pPr>
              <w:pStyle w:val="Normal6a"/>
            </w:pPr>
            <w:r w:rsidRPr="005F046F">
              <w:rPr>
                <w:vertAlign w:val="superscript"/>
              </w:rPr>
              <w:t>23</w:t>
            </w:r>
            <w:r w:rsidRPr="005F046F">
              <w:t xml:space="preserve"> A Tanács (EU) 2017/1939 rendelete (2017. október 12.) az Európai Ügyészség létrehozására vonatkozó megerősített együttműködés bevezetéséről (HL L 283., 2017.10.31., 1. o., ELI: http://data.europa.eu/eli/reg/2017/1939/oj).</w:t>
            </w:r>
          </w:p>
        </w:tc>
        <w:tc>
          <w:tcPr>
            <w:tcW w:w="4876" w:type="dxa"/>
            <w:tcBorders>
              <w:top w:val="nil"/>
              <w:left w:val="nil"/>
              <w:bottom w:val="nil"/>
              <w:right w:val="nil"/>
            </w:tcBorders>
          </w:tcPr>
          <w:p w14:paraId="120061B7" w14:textId="77777777" w:rsidR="000104F2" w:rsidRPr="005F046F" w:rsidRDefault="000104F2" w:rsidP="00565F8F">
            <w:pPr>
              <w:pStyle w:val="Normal6a"/>
            </w:pPr>
            <w:r w:rsidRPr="005F046F">
              <w:rPr>
                <w:vertAlign w:val="superscript"/>
              </w:rPr>
              <w:t>23</w:t>
            </w:r>
            <w:r w:rsidRPr="005F046F">
              <w:t xml:space="preserve"> A Tanács (EU) 2017/1939 rendelete (2017. október 12.) az Európai Ügyészség létrehozására vonatkozó megerősített együttműködés bevezetéséről (HL L 283., 2017.10.31., 1. o., ELI: http://data.europa.eu/eli/reg/2017/1939/oj).</w:t>
            </w:r>
          </w:p>
        </w:tc>
      </w:tr>
    </w:tbl>
    <w:p w14:paraId="379E054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43DA33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D6AE03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827777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D1FDF6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AC99EC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3DDDD0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19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701037D" w14:textId="77777777" w:rsidTr="00565F8F">
        <w:trPr>
          <w:trHeight w:hRule="exact" w:val="240"/>
          <w:jc w:val="center"/>
        </w:trPr>
        <w:tc>
          <w:tcPr>
            <w:tcW w:w="9752" w:type="dxa"/>
            <w:gridSpan w:val="2"/>
            <w:tcBorders>
              <w:top w:val="nil"/>
              <w:left w:val="nil"/>
              <w:bottom w:val="nil"/>
              <w:right w:val="nil"/>
            </w:tcBorders>
          </w:tcPr>
          <w:p w14:paraId="317595CF" w14:textId="77777777" w:rsidR="000104F2" w:rsidRPr="005F046F" w:rsidRDefault="000104F2" w:rsidP="00565F8F"/>
        </w:tc>
      </w:tr>
      <w:tr w:rsidR="006C656F" w:rsidRPr="005F046F" w14:paraId="592E751F" w14:textId="77777777" w:rsidTr="00565F8F">
        <w:trPr>
          <w:trHeight w:val="240"/>
          <w:jc w:val="center"/>
        </w:trPr>
        <w:tc>
          <w:tcPr>
            <w:tcW w:w="4876" w:type="dxa"/>
            <w:tcBorders>
              <w:top w:val="nil"/>
              <w:left w:val="nil"/>
              <w:bottom w:val="nil"/>
              <w:right w:val="nil"/>
            </w:tcBorders>
          </w:tcPr>
          <w:p w14:paraId="4CEF8B5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CC1FDB3" w14:textId="77777777" w:rsidR="000104F2" w:rsidRPr="005F046F" w:rsidRDefault="000104F2" w:rsidP="00565F8F">
            <w:pPr>
              <w:pStyle w:val="AmColumnHeading"/>
            </w:pPr>
            <w:r w:rsidRPr="005F046F">
              <w:t>Módosítás</w:t>
            </w:r>
          </w:p>
        </w:tc>
      </w:tr>
      <w:tr w:rsidR="006C656F" w:rsidRPr="005F046F" w14:paraId="45E0B054" w14:textId="77777777" w:rsidTr="00565F8F">
        <w:trPr>
          <w:jc w:val="center"/>
        </w:trPr>
        <w:tc>
          <w:tcPr>
            <w:tcW w:w="4876" w:type="dxa"/>
            <w:tcBorders>
              <w:top w:val="nil"/>
              <w:left w:val="nil"/>
              <w:bottom w:val="nil"/>
              <w:right w:val="nil"/>
            </w:tcBorders>
          </w:tcPr>
          <w:p w14:paraId="66500FD5" w14:textId="77777777" w:rsidR="000104F2" w:rsidRPr="005F046F" w:rsidRDefault="000104F2" w:rsidP="00565F8F">
            <w:pPr>
              <w:pStyle w:val="Normal6a"/>
            </w:pPr>
          </w:p>
        </w:tc>
        <w:tc>
          <w:tcPr>
            <w:tcW w:w="4876" w:type="dxa"/>
            <w:tcBorders>
              <w:top w:val="nil"/>
              <w:left w:val="nil"/>
              <w:bottom w:val="nil"/>
              <w:right w:val="nil"/>
            </w:tcBorders>
          </w:tcPr>
          <w:p w14:paraId="287C5BF6" w14:textId="1FFDD84E" w:rsidR="000104F2" w:rsidRPr="005F046F" w:rsidRDefault="000104F2" w:rsidP="00565F8F">
            <w:pPr>
              <w:pStyle w:val="Normal6a"/>
            </w:pPr>
            <w:r w:rsidRPr="005F046F">
              <w:rPr>
                <w:b/>
                <w:i/>
              </w:rPr>
              <w:t>19a.</w:t>
            </w:r>
            <w:r w:rsidRPr="005F046F">
              <w:tab/>
            </w:r>
            <w:r w:rsidRPr="005F046F">
              <w:rPr>
                <w:b/>
                <w:i/>
              </w:rPr>
              <w:t xml:space="preserve">elismeri, hogy az Európai Ügyészség csak akkor indíthat nyomozást, ha az információk eljutottak az ügyészekhez, továbbá elvárja a tagállamoktól, hogy tegyenek eleget jogi kötelezettségeiknek, és minden releváns ügyet jelentsenek az Európai Ügyészségnek; aggodalommal állapítja meg, hogy egyes tagállamok nemzeti ügynek nyilvánították az Unió pénzügyi érdekeit érintő bűncselekményeket ahelyett, hogy elismerték volna az Európai Ügyészség hatáskörét; aggodalmát fejezi ki amiatt, hogy ezek a hatásköri összeütközések kedvezőtlen </w:t>
            </w:r>
            <w:r w:rsidRPr="005F046F">
              <w:rPr>
                <w:b/>
                <w:i/>
              </w:rPr>
              <w:lastRenderedPageBreak/>
              <w:t>hatással lehetnek a vizsgálatokra, ideértve a bizonyítékok elvesztését vagy késedelmes begyűjtését; megjegyzi, hogy annak ellenére, hogy az (EU) 2017/1939 rendelet 22. cikkének (1) és (2) bekezdése, valamint 23. cikke egyértelműen meghatározza az Európai Ügyészség hatáskörét, a nemzeti hatóságok és a delegált európai ügyészek között gyakran merülnek fel hatásköri kérdések, ahogy arra 2024-ben is számos alkalommal sor került; hangsúlyozza, hogy ezeket az ügyeket az Európai Ügyészségről szóló rendelettel összhangban kell kezelni, amely az ügyeket a nemzeti ügyészek közötti hatásköri összeütközések eseteinek elbírálására hatáskörrel rendelkező nemzeti igazságügyi hatósághoz utalja, azzal a feltétellel, hogy határozata a Bíróság előzetes döntéshozatalának tárgyát képezheti, ahogy arról az (EU)</w:t>
            </w:r>
            <w:r w:rsidR="00FE3101">
              <w:rPr>
                <w:b/>
                <w:i/>
              </w:rPr>
              <w:t> </w:t>
            </w:r>
            <w:r w:rsidRPr="005F046F">
              <w:rPr>
                <w:b/>
                <w:i/>
              </w:rPr>
              <w:t xml:space="preserve">2017/1939 rendelet 25. cikkének (6) bekezdése rendelkezik, megismételve az EUMSZ 267. cikkét, amely előírja, hogy a Bíróság hatáskörrel rendelkezik arra, hogy előzetes döntést hozzon az Európai Ügyészség és a nemzeti hatóságok közötti hatásköri összeütközésekre vonatkozó rendelkezés értelmezését illetően; megismétli, hogy mivel a jelenlegi helyzet jogi szempontból nem egyértelmű, mivel számos tagállamban a nemzeti hatóság hatásköri összeütközésre vonatkozó határozata nem képezheti előzetes döntéshozatal tárgyát a Bíróság előtt; ösztönzi az Európai Ügyészség hatáskörével kapcsolatban kétségeket megfogalmazó tagállamokat, hogy az EUMSZ 267. cikke és az (EU) 2017/1939 rendelet 42. cikke (2) bekezdésének c) pontja alapján előzetes döntéshozatal céljából terjesszenek kérdést a Bíróság elé; kéri a Bizottságot, hogy gyűjtse össze és értékelje a hatásköri összeütközések eseteire vonatkozó információkat annak érdekében, hogy releváns adatok álljanak rendelkezésre, továbbá az Európai Ügyészségről szóló rendelet </w:t>
            </w:r>
            <w:r w:rsidRPr="005F046F">
              <w:rPr>
                <w:b/>
                <w:i/>
              </w:rPr>
              <w:lastRenderedPageBreak/>
              <w:t>felülvizsgálatakor foglalkozzon a kérdéssel;</w:t>
            </w:r>
          </w:p>
        </w:tc>
      </w:tr>
    </w:tbl>
    <w:p w14:paraId="57D956B0"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7DF856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912FBB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84E3E4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CB8954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044341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901C8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6A8E948" w14:textId="77777777" w:rsidTr="00565F8F">
        <w:trPr>
          <w:trHeight w:hRule="exact" w:val="240"/>
          <w:jc w:val="center"/>
        </w:trPr>
        <w:tc>
          <w:tcPr>
            <w:tcW w:w="9752" w:type="dxa"/>
            <w:gridSpan w:val="2"/>
            <w:tcBorders>
              <w:top w:val="nil"/>
              <w:left w:val="nil"/>
              <w:bottom w:val="nil"/>
              <w:right w:val="nil"/>
            </w:tcBorders>
          </w:tcPr>
          <w:p w14:paraId="1AA2E7F2" w14:textId="77777777" w:rsidR="000104F2" w:rsidRPr="005F046F" w:rsidRDefault="000104F2" w:rsidP="00565F8F"/>
        </w:tc>
      </w:tr>
      <w:tr w:rsidR="006C656F" w:rsidRPr="005F046F" w14:paraId="103659F4" w14:textId="77777777" w:rsidTr="00565F8F">
        <w:trPr>
          <w:trHeight w:val="240"/>
          <w:jc w:val="center"/>
        </w:trPr>
        <w:tc>
          <w:tcPr>
            <w:tcW w:w="4876" w:type="dxa"/>
            <w:tcBorders>
              <w:top w:val="nil"/>
              <w:left w:val="nil"/>
              <w:bottom w:val="nil"/>
              <w:right w:val="nil"/>
            </w:tcBorders>
          </w:tcPr>
          <w:p w14:paraId="490A5C1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D7C2F7B" w14:textId="77777777" w:rsidR="000104F2" w:rsidRPr="005F046F" w:rsidRDefault="000104F2" w:rsidP="00565F8F">
            <w:pPr>
              <w:pStyle w:val="AmColumnHeading"/>
            </w:pPr>
            <w:r w:rsidRPr="005F046F">
              <w:t>Módosítás</w:t>
            </w:r>
          </w:p>
        </w:tc>
      </w:tr>
      <w:tr w:rsidR="006C656F" w:rsidRPr="005F046F" w14:paraId="10ED20F6" w14:textId="77777777" w:rsidTr="00565F8F">
        <w:trPr>
          <w:jc w:val="center"/>
        </w:trPr>
        <w:tc>
          <w:tcPr>
            <w:tcW w:w="4876" w:type="dxa"/>
            <w:tcBorders>
              <w:top w:val="nil"/>
              <w:left w:val="nil"/>
              <w:bottom w:val="nil"/>
              <w:right w:val="nil"/>
            </w:tcBorders>
          </w:tcPr>
          <w:p w14:paraId="10259812" w14:textId="77777777" w:rsidR="000104F2" w:rsidRPr="005F046F" w:rsidRDefault="000104F2" w:rsidP="00565F8F">
            <w:pPr>
              <w:pStyle w:val="Normal6a"/>
            </w:pPr>
            <w:r w:rsidRPr="005F046F">
              <w:t>20.</w:t>
            </w:r>
            <w:r w:rsidRPr="005F046F">
              <w:tab/>
              <w:t>elismeri, hogy a behajtás összetett folyamat, amely együttműködést igényel a Bizottságon belül, valamint más szereplőkkel és nemzeti hatóságokkal;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w:t>
            </w:r>
          </w:p>
        </w:tc>
        <w:tc>
          <w:tcPr>
            <w:tcW w:w="4876" w:type="dxa"/>
            <w:tcBorders>
              <w:top w:val="nil"/>
              <w:left w:val="nil"/>
              <w:bottom w:val="nil"/>
              <w:right w:val="nil"/>
            </w:tcBorders>
          </w:tcPr>
          <w:p w14:paraId="0D47A762" w14:textId="77777777" w:rsidR="000104F2" w:rsidRPr="005F046F" w:rsidRDefault="000104F2" w:rsidP="00565F8F">
            <w:pPr>
              <w:pStyle w:val="Normal6a"/>
            </w:pPr>
            <w:r w:rsidRPr="005F046F">
              <w:t>20.</w:t>
            </w:r>
            <w:r w:rsidRPr="005F046F">
              <w:tab/>
              <w:t>elismeri, hogy a behajtás összetett folyamat, amely együttműködést igényel a Bizottságon belül, valamint más szereplőkkel és nemzeti hatóságokkal;</w:t>
            </w:r>
            <w:r w:rsidRPr="005F046F">
              <w:rPr>
                <w:b/>
                <w:i/>
              </w:rPr>
              <w:t xml:space="preserve"> </w:t>
            </w:r>
            <w:r w:rsidRPr="005F046F">
              <w:rPr>
                <w:b/>
                <w:bCs/>
                <w:i/>
                <w:iCs/>
              </w:rPr>
              <w:t>megjegyzi, hogy a visszafizettetéssel kapcsolatos fő akadályok a hosszadalmas közigazgatási és bírósági eljárásokból, a pénzeszközök bizonyos intézkedések keretében történő visszafizettetésére vonatkozó korlátozó feltételekből, valamint az ágazati jogszabályokban foglalt szigorú elévülési időkből fakadnak;</w:t>
            </w:r>
            <w:r w:rsidRPr="005F046F">
              <w:t xml:space="preserve">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 </w:t>
            </w:r>
            <w:r w:rsidRPr="005F046F">
              <w:rPr>
                <w:b/>
                <w:bCs/>
                <w:i/>
                <w:iCs/>
              </w:rPr>
              <w:t xml:space="preserve">kéri a Bizottságot, hogy dolgozzon ki teljesítményértékelési rendszert a visszafizettetés hatékonyságának mérésére, ideértve az olyan mutatókat is, mint a visszafizettetésre ajánlott és a visszafizettetésre megállapított összegek aránya, a vizsgálat lezárása és a visszafizettetési határozat közötti késedelem, valamint az eredményekhez kapcsolódó visszafizettetési eljárások </w:t>
            </w:r>
            <w:r w:rsidRPr="005F046F">
              <w:rPr>
                <w:b/>
                <w:bCs/>
                <w:i/>
                <w:iCs/>
              </w:rPr>
              <w:lastRenderedPageBreak/>
              <w:t>hossza;</w:t>
            </w:r>
          </w:p>
        </w:tc>
      </w:tr>
    </w:tbl>
    <w:p w14:paraId="74164658"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5959B0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12BFC9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F85BE6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8E5C924"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42621BA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8CB558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B9E0B3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33052AA" w14:textId="77777777" w:rsidTr="00565F8F">
        <w:trPr>
          <w:trHeight w:hRule="exact" w:val="240"/>
          <w:jc w:val="center"/>
        </w:trPr>
        <w:tc>
          <w:tcPr>
            <w:tcW w:w="9752" w:type="dxa"/>
            <w:gridSpan w:val="2"/>
            <w:tcBorders>
              <w:top w:val="nil"/>
              <w:left w:val="nil"/>
              <w:bottom w:val="nil"/>
              <w:right w:val="nil"/>
            </w:tcBorders>
          </w:tcPr>
          <w:p w14:paraId="39203224" w14:textId="77777777" w:rsidR="000104F2" w:rsidRPr="005F046F" w:rsidRDefault="000104F2" w:rsidP="00565F8F"/>
        </w:tc>
      </w:tr>
      <w:tr w:rsidR="006C656F" w:rsidRPr="005F046F" w14:paraId="023ED3F9" w14:textId="77777777" w:rsidTr="00565F8F">
        <w:trPr>
          <w:trHeight w:val="240"/>
          <w:jc w:val="center"/>
        </w:trPr>
        <w:tc>
          <w:tcPr>
            <w:tcW w:w="4876" w:type="dxa"/>
            <w:tcBorders>
              <w:top w:val="nil"/>
              <w:left w:val="nil"/>
              <w:bottom w:val="nil"/>
              <w:right w:val="nil"/>
            </w:tcBorders>
          </w:tcPr>
          <w:p w14:paraId="0FE0177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2F092DC" w14:textId="77777777" w:rsidR="000104F2" w:rsidRPr="005F046F" w:rsidRDefault="000104F2" w:rsidP="00565F8F">
            <w:pPr>
              <w:pStyle w:val="AmColumnHeading"/>
            </w:pPr>
            <w:r w:rsidRPr="005F046F">
              <w:t>Módosítás</w:t>
            </w:r>
          </w:p>
        </w:tc>
      </w:tr>
      <w:tr w:rsidR="006C656F" w:rsidRPr="005F046F" w14:paraId="6BD06052" w14:textId="77777777" w:rsidTr="00565F8F">
        <w:trPr>
          <w:jc w:val="center"/>
        </w:trPr>
        <w:tc>
          <w:tcPr>
            <w:tcW w:w="4876" w:type="dxa"/>
            <w:tcBorders>
              <w:top w:val="nil"/>
              <w:left w:val="nil"/>
              <w:bottom w:val="nil"/>
              <w:right w:val="nil"/>
            </w:tcBorders>
          </w:tcPr>
          <w:p w14:paraId="3F56A6F6" w14:textId="77777777" w:rsidR="000104F2" w:rsidRPr="005F046F" w:rsidRDefault="000104F2" w:rsidP="00565F8F">
            <w:pPr>
              <w:pStyle w:val="Normal6a"/>
            </w:pPr>
            <w:r w:rsidRPr="005F046F">
              <w:t>20.</w:t>
            </w:r>
            <w:r w:rsidRPr="005F046F">
              <w:tab/>
              <w:t>elismeri, hogy a behajtás összetett folyamat, amely együttműködést igényel a Bizottságon belül, valamint más szereplőkkel és nemzeti hatóságokkal;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w:t>
            </w:r>
          </w:p>
        </w:tc>
        <w:tc>
          <w:tcPr>
            <w:tcW w:w="4876" w:type="dxa"/>
            <w:tcBorders>
              <w:top w:val="nil"/>
              <w:left w:val="nil"/>
              <w:bottom w:val="nil"/>
              <w:right w:val="nil"/>
            </w:tcBorders>
          </w:tcPr>
          <w:p w14:paraId="7A500B59" w14:textId="404CCE90" w:rsidR="000104F2" w:rsidRPr="005F046F" w:rsidRDefault="000104F2" w:rsidP="00565F8F">
            <w:pPr>
              <w:pStyle w:val="Normal6a"/>
            </w:pPr>
            <w:r w:rsidRPr="005F046F">
              <w:t>20.</w:t>
            </w:r>
            <w:r w:rsidRPr="005F046F">
              <w:tab/>
              <w:t>elismeri, hogy a behajtás összetett folyamat, amely együttműködést igényel a Bizottságon belül, valamint más szereplőkkel és nemzeti hatóságokkal;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w:t>
            </w:r>
            <w:r w:rsidR="00FE3101">
              <w:rPr>
                <w:b/>
                <w:i/>
              </w:rPr>
              <w:t xml:space="preserve"> </w:t>
            </w:r>
            <w:r w:rsidRPr="005F046F">
              <w:rPr>
                <w:b/>
                <w:i/>
              </w:rPr>
              <w:t>kéri a Bizottságot, hogy hozzon létre strukturált visszacsatolási mechanizmust az Európai Ügyészség ügyeit követő visszafizettetésekre és óvintézkedésekre vonatkozóan annak érdekében, hogy nyomon lehessen követni és elemezni lehessen az eredményeket anélkül, hogy elvonnák az Európai Ügyészség erőforrásait a büntetőeljárástól; megjegyzi, hogy az Európai Ügyészség jelenleg csak informális tájékoztatást kap a visszafizettetéssel kapcsolatos eredményekről;</w:t>
            </w:r>
          </w:p>
        </w:tc>
      </w:tr>
    </w:tbl>
    <w:p w14:paraId="340C27E5"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1634AA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7F2CBE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860A4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945351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F117689"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BFD49C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E6DEB7C" w14:textId="77777777" w:rsidTr="00565F8F">
        <w:trPr>
          <w:trHeight w:hRule="exact" w:val="240"/>
          <w:jc w:val="center"/>
        </w:trPr>
        <w:tc>
          <w:tcPr>
            <w:tcW w:w="9752" w:type="dxa"/>
            <w:gridSpan w:val="2"/>
            <w:tcBorders>
              <w:top w:val="nil"/>
              <w:left w:val="nil"/>
              <w:bottom w:val="nil"/>
              <w:right w:val="nil"/>
            </w:tcBorders>
          </w:tcPr>
          <w:p w14:paraId="7F0503C0" w14:textId="77777777" w:rsidR="000104F2" w:rsidRPr="005F046F" w:rsidRDefault="000104F2" w:rsidP="00565F8F"/>
        </w:tc>
      </w:tr>
      <w:tr w:rsidR="006C656F" w:rsidRPr="005F046F" w14:paraId="1E2B3D77" w14:textId="77777777" w:rsidTr="00565F8F">
        <w:trPr>
          <w:trHeight w:val="240"/>
          <w:jc w:val="center"/>
        </w:trPr>
        <w:tc>
          <w:tcPr>
            <w:tcW w:w="4876" w:type="dxa"/>
            <w:tcBorders>
              <w:top w:val="nil"/>
              <w:left w:val="nil"/>
              <w:bottom w:val="nil"/>
              <w:right w:val="nil"/>
            </w:tcBorders>
          </w:tcPr>
          <w:p w14:paraId="59EFF54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5A24B2F" w14:textId="77777777" w:rsidR="000104F2" w:rsidRPr="005F046F" w:rsidRDefault="000104F2" w:rsidP="00565F8F">
            <w:pPr>
              <w:pStyle w:val="AmColumnHeading"/>
            </w:pPr>
            <w:r w:rsidRPr="005F046F">
              <w:t>Módosítás</w:t>
            </w:r>
          </w:p>
        </w:tc>
      </w:tr>
      <w:tr w:rsidR="006C656F" w:rsidRPr="005F046F" w14:paraId="17989477" w14:textId="77777777" w:rsidTr="00565F8F">
        <w:trPr>
          <w:jc w:val="center"/>
        </w:trPr>
        <w:tc>
          <w:tcPr>
            <w:tcW w:w="4876" w:type="dxa"/>
            <w:tcBorders>
              <w:top w:val="nil"/>
              <w:left w:val="nil"/>
              <w:bottom w:val="nil"/>
              <w:right w:val="nil"/>
            </w:tcBorders>
          </w:tcPr>
          <w:p w14:paraId="7BE1CD94" w14:textId="77777777" w:rsidR="000104F2" w:rsidRPr="005F046F" w:rsidRDefault="000104F2" w:rsidP="00565F8F">
            <w:pPr>
              <w:pStyle w:val="Normal6a"/>
            </w:pPr>
            <w:r w:rsidRPr="005F046F">
              <w:t>20.</w:t>
            </w:r>
            <w:r w:rsidRPr="005F046F">
              <w:tab/>
              <w:t>elismeri, hogy a behajtás összetett folyamat, amely együttműködést igényel a Bizottságon belül, valamint más szereplőkkel és nemzeti hatóságokkal;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w:t>
            </w:r>
          </w:p>
        </w:tc>
        <w:tc>
          <w:tcPr>
            <w:tcW w:w="4876" w:type="dxa"/>
            <w:tcBorders>
              <w:top w:val="nil"/>
              <w:left w:val="nil"/>
              <w:bottom w:val="nil"/>
              <w:right w:val="nil"/>
            </w:tcBorders>
          </w:tcPr>
          <w:p w14:paraId="20988E52" w14:textId="77777777" w:rsidR="000104F2" w:rsidRPr="005F046F" w:rsidRDefault="000104F2" w:rsidP="00565F8F">
            <w:pPr>
              <w:pStyle w:val="Normal6a"/>
            </w:pPr>
            <w:r w:rsidRPr="005F046F">
              <w:t>20.</w:t>
            </w:r>
            <w:r w:rsidRPr="005F046F">
              <w:tab/>
              <w:t xml:space="preserve">elismeri, hogy a behajtás </w:t>
            </w:r>
            <w:r w:rsidRPr="005F046F">
              <w:rPr>
                <w:b/>
                <w:bCs/>
                <w:i/>
                <w:iCs/>
              </w:rPr>
              <w:t>erőteljes visszatartó erőt jelent és hatékony eszközként szolgál a súlyos és szervezett bűnözés elleni küzdelemben, illetve olyan</w:t>
            </w:r>
            <w:r w:rsidRPr="005F046F">
              <w:t xml:space="preserve"> összetett folyamat, amely együttműködést igényel a Bizottságon belül, valamint más szereplőkkel és nemzeti hatóságokkal </w:t>
            </w:r>
            <w:r w:rsidRPr="005F046F">
              <w:rPr>
                <w:b/>
                <w:bCs/>
                <w:i/>
                <w:iCs/>
              </w:rPr>
              <w:t>is</w:t>
            </w:r>
            <w:r w:rsidRPr="005F046F">
              <w:t xml:space="preserve">; ismételten felhívja a Bizottságot, hogy biztosítsa az OLAF ajánlásainak és az Európai Ügyészség eljárásainak hatékony nyomon követését annak érdekében, hogy megbízhatóan mérni lehessen intézkedéseik tényleges hatását, és további bizonyítékokkal lehessen alátámasztani az eredményorientált szakpolitikai döntéshozatalt; </w:t>
            </w:r>
            <w:r w:rsidRPr="005F046F">
              <w:rPr>
                <w:b/>
                <w:i/>
              </w:rPr>
              <w:t xml:space="preserve">kéri a Bizottságot, hogy az </w:t>
            </w:r>
            <w:proofErr w:type="spellStart"/>
            <w:r w:rsidRPr="005F046F">
              <w:rPr>
                <w:b/>
                <w:i/>
              </w:rPr>
              <w:t>Europol</w:t>
            </w:r>
            <w:proofErr w:type="spellEnd"/>
            <w:r w:rsidRPr="005F046F">
              <w:rPr>
                <w:b/>
                <w:i/>
              </w:rPr>
              <w:t xml:space="preserve"> megbízatásának közelgő, 2026-ra tervezett felülvizsgálata keretében tegyen javaslatot egy, az </w:t>
            </w:r>
            <w:proofErr w:type="spellStart"/>
            <w:r w:rsidRPr="005F046F">
              <w:rPr>
                <w:b/>
                <w:i/>
              </w:rPr>
              <w:t>Europol</w:t>
            </w:r>
            <w:proofErr w:type="spellEnd"/>
            <w:r w:rsidRPr="005F046F">
              <w:rPr>
                <w:b/>
                <w:i/>
              </w:rPr>
              <w:t xml:space="preserve"> keretében működő uniós vagyonvisszaszerzési hivatal létrehozására</w:t>
            </w:r>
            <w:r w:rsidRPr="005F046F">
              <w:rPr>
                <w:b/>
                <w:bCs/>
                <w:i/>
                <w:iCs/>
              </w:rPr>
              <w:t>;</w:t>
            </w:r>
          </w:p>
        </w:tc>
      </w:tr>
    </w:tbl>
    <w:p w14:paraId="5384674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97BFF8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05B467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ABCD6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1F2BCE8"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6845F2B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E7E0A0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454D3A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20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83BAA72" w14:textId="77777777" w:rsidTr="00565F8F">
        <w:trPr>
          <w:trHeight w:hRule="exact" w:val="240"/>
          <w:jc w:val="center"/>
        </w:trPr>
        <w:tc>
          <w:tcPr>
            <w:tcW w:w="9752" w:type="dxa"/>
            <w:gridSpan w:val="2"/>
            <w:tcBorders>
              <w:top w:val="nil"/>
              <w:left w:val="nil"/>
              <w:bottom w:val="nil"/>
              <w:right w:val="nil"/>
            </w:tcBorders>
          </w:tcPr>
          <w:p w14:paraId="65480D86" w14:textId="77777777" w:rsidR="000104F2" w:rsidRPr="005F046F" w:rsidRDefault="000104F2" w:rsidP="00565F8F"/>
        </w:tc>
      </w:tr>
      <w:tr w:rsidR="006C656F" w:rsidRPr="005F046F" w14:paraId="3976A11B" w14:textId="77777777" w:rsidTr="00565F8F">
        <w:trPr>
          <w:trHeight w:val="240"/>
          <w:jc w:val="center"/>
        </w:trPr>
        <w:tc>
          <w:tcPr>
            <w:tcW w:w="4876" w:type="dxa"/>
            <w:tcBorders>
              <w:top w:val="nil"/>
              <w:left w:val="nil"/>
              <w:bottom w:val="nil"/>
              <w:right w:val="nil"/>
            </w:tcBorders>
          </w:tcPr>
          <w:p w14:paraId="440685F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94D6709" w14:textId="77777777" w:rsidR="000104F2" w:rsidRPr="005F046F" w:rsidRDefault="000104F2" w:rsidP="00565F8F">
            <w:pPr>
              <w:pStyle w:val="AmColumnHeading"/>
            </w:pPr>
            <w:r w:rsidRPr="005F046F">
              <w:t>Módosítás</w:t>
            </w:r>
          </w:p>
        </w:tc>
      </w:tr>
      <w:tr w:rsidR="006C656F" w:rsidRPr="005F046F" w14:paraId="4604BA42" w14:textId="77777777" w:rsidTr="00565F8F">
        <w:trPr>
          <w:jc w:val="center"/>
        </w:trPr>
        <w:tc>
          <w:tcPr>
            <w:tcW w:w="4876" w:type="dxa"/>
            <w:tcBorders>
              <w:top w:val="nil"/>
              <w:left w:val="nil"/>
              <w:bottom w:val="nil"/>
              <w:right w:val="nil"/>
            </w:tcBorders>
          </w:tcPr>
          <w:p w14:paraId="170F64AC" w14:textId="77777777" w:rsidR="000104F2" w:rsidRPr="005F046F" w:rsidRDefault="000104F2" w:rsidP="00565F8F">
            <w:pPr>
              <w:pStyle w:val="Normal6a"/>
            </w:pPr>
          </w:p>
        </w:tc>
        <w:tc>
          <w:tcPr>
            <w:tcW w:w="4876" w:type="dxa"/>
            <w:tcBorders>
              <w:top w:val="nil"/>
              <w:left w:val="nil"/>
              <w:bottom w:val="nil"/>
              <w:right w:val="nil"/>
            </w:tcBorders>
          </w:tcPr>
          <w:p w14:paraId="4495E87C" w14:textId="77777777" w:rsidR="000104F2" w:rsidRPr="005F046F" w:rsidRDefault="000104F2" w:rsidP="00565F8F">
            <w:pPr>
              <w:pStyle w:val="Normal6a"/>
            </w:pPr>
            <w:r w:rsidRPr="005F046F">
              <w:rPr>
                <w:b/>
                <w:i/>
              </w:rPr>
              <w:t>20a.</w:t>
            </w:r>
            <w:r w:rsidRPr="005F046F">
              <w:tab/>
            </w:r>
            <w:r w:rsidRPr="005F046F">
              <w:rPr>
                <w:b/>
                <w:i/>
              </w:rPr>
              <w:t xml:space="preserve">emlékeztet arra, hogy az Unió pénzügyi érdekeinek védelme egyformán vonatkozik az uniós pénzeszközök valamennyi kedvezményezettjére, az Európai Parlamenten belül működő képviselőcsoportokat is ideértve; megjegyzi, hogy az egykori Identitás és Demokrácia képviselőcsoport által az uniós pénzeszközökkel való feltételezett </w:t>
            </w:r>
            <w:r w:rsidRPr="005F046F">
              <w:rPr>
                <w:b/>
                <w:i/>
              </w:rPr>
              <w:lastRenderedPageBreak/>
              <w:t>visszaéléssel kapcsolatos közelmúltbeli vizsgálatok és visszafizettetési intézkedések rávilágítanak a szilárd belső ellenőrzések, a hatékony utólagos ellenőrzés és a gyors visszafizettetési mechanizmusok fontosságára; hangsúlyozza, hogy az Unió csalás elleni politikájának hitelessége az átláthatósági, elszámoltathatósági és visszafizettetési szabályok következetes, kettős mérce nélküli, politikai hovatartozástól vagy intézményi pozíciótól független alkalmazását követeli meg;</w:t>
            </w:r>
          </w:p>
        </w:tc>
      </w:tr>
    </w:tbl>
    <w:p w14:paraId="3E6A4E5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F4B593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7018C9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17C41A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6F026C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60C31C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CDD78F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3E58A77" w14:textId="77777777" w:rsidTr="00565F8F">
        <w:trPr>
          <w:trHeight w:hRule="exact" w:val="240"/>
          <w:jc w:val="center"/>
        </w:trPr>
        <w:tc>
          <w:tcPr>
            <w:tcW w:w="9752" w:type="dxa"/>
            <w:gridSpan w:val="2"/>
            <w:tcBorders>
              <w:top w:val="nil"/>
              <w:left w:val="nil"/>
              <w:bottom w:val="nil"/>
              <w:right w:val="nil"/>
            </w:tcBorders>
          </w:tcPr>
          <w:p w14:paraId="5775F930" w14:textId="77777777" w:rsidR="000104F2" w:rsidRPr="005F046F" w:rsidRDefault="000104F2" w:rsidP="00565F8F"/>
        </w:tc>
      </w:tr>
      <w:tr w:rsidR="006C656F" w:rsidRPr="005F046F" w14:paraId="64EFD0A3" w14:textId="77777777" w:rsidTr="00565F8F">
        <w:trPr>
          <w:trHeight w:val="240"/>
          <w:jc w:val="center"/>
        </w:trPr>
        <w:tc>
          <w:tcPr>
            <w:tcW w:w="4876" w:type="dxa"/>
            <w:tcBorders>
              <w:top w:val="nil"/>
              <w:left w:val="nil"/>
              <w:bottom w:val="nil"/>
              <w:right w:val="nil"/>
            </w:tcBorders>
          </w:tcPr>
          <w:p w14:paraId="77FDE3E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21BF0C0" w14:textId="77777777" w:rsidR="000104F2" w:rsidRPr="005F046F" w:rsidRDefault="000104F2" w:rsidP="00565F8F">
            <w:pPr>
              <w:pStyle w:val="AmColumnHeading"/>
            </w:pPr>
            <w:r w:rsidRPr="005F046F">
              <w:t>Módosítás</w:t>
            </w:r>
          </w:p>
        </w:tc>
      </w:tr>
      <w:tr w:rsidR="006C656F" w:rsidRPr="005F046F" w14:paraId="04ABA464" w14:textId="77777777" w:rsidTr="00565F8F">
        <w:trPr>
          <w:jc w:val="center"/>
        </w:trPr>
        <w:tc>
          <w:tcPr>
            <w:tcW w:w="4876" w:type="dxa"/>
            <w:tcBorders>
              <w:top w:val="nil"/>
              <w:left w:val="nil"/>
              <w:bottom w:val="nil"/>
              <w:right w:val="nil"/>
            </w:tcBorders>
          </w:tcPr>
          <w:p w14:paraId="5F23E3B7" w14:textId="77777777" w:rsidR="000104F2" w:rsidRPr="005F046F" w:rsidRDefault="000104F2" w:rsidP="00565F8F">
            <w:pPr>
              <w:pStyle w:val="Normal6a"/>
            </w:pPr>
            <w:r w:rsidRPr="005F046F">
              <w:t>21.</w:t>
            </w:r>
            <w:r w:rsidRPr="005F046F">
              <w:tab/>
              <w:t xml:space="preserve">nem ért egyet a Bizottság által a 2025. május 6-i állásfoglalására adott válasszal, amely szerint a behajtásra vonatkozó információk pontosak és elérhetők; hangsúlyozza, hogy az OLAF pénzügyi ajánlásait követő tényleges visszafizettetésekre vonatkozó adatokat nem teszik közzé sem az OLAF éves jelentésében, sem a Bizottság bármely más hivatalos jelentésében; sajnálja, hogy csak összesített adatok állnak rendelkezésre; </w:t>
            </w:r>
            <w:r w:rsidRPr="005F046F">
              <w:rPr>
                <w:b/>
                <w:bCs/>
                <w:i/>
                <w:iCs/>
              </w:rPr>
              <w:t>kiemeli</w:t>
            </w:r>
            <w:r w:rsidRPr="005F046F">
              <w:t xml:space="preserve">,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w:t>
            </w:r>
            <w:r w:rsidRPr="005F046F">
              <w:lastRenderedPageBreak/>
              <w:t>hiányosságok okait;</w:t>
            </w:r>
          </w:p>
        </w:tc>
        <w:tc>
          <w:tcPr>
            <w:tcW w:w="4876" w:type="dxa"/>
            <w:tcBorders>
              <w:top w:val="nil"/>
              <w:left w:val="nil"/>
              <w:bottom w:val="nil"/>
              <w:right w:val="nil"/>
            </w:tcBorders>
          </w:tcPr>
          <w:p w14:paraId="7EE3CFE6" w14:textId="3E043E84" w:rsidR="000104F2" w:rsidRPr="005F046F" w:rsidRDefault="000104F2" w:rsidP="00565F8F">
            <w:pPr>
              <w:pStyle w:val="Normal6a"/>
            </w:pPr>
            <w:r w:rsidRPr="005F046F">
              <w:lastRenderedPageBreak/>
              <w:t>21.</w:t>
            </w:r>
            <w:r w:rsidRPr="005F046F">
              <w:tab/>
              <w:t xml:space="preserve">nem ért egyet a Bizottság által a 2025. május 6-i állásfoglalására adott válasszal, amely szerint a behajtásra vonatkozó információk pontosak és elérhetők; hangsúlyozza, hogy az OLAF pénzügyi ajánlásait követő tényleges visszafizettetésekre vonatkozó adatokat nem teszik közzé sem az OLAF éves jelentésében, sem a Bizottság bármely más hivatalos jelentésében; sajnálja, hogy csak összesített adatok állnak rendelkezésre; </w:t>
            </w:r>
            <w:r w:rsidRPr="005F046F">
              <w:rPr>
                <w:b/>
                <w:i/>
              </w:rPr>
              <w:t xml:space="preserve">megjegyzi, hogy az Európai Parlament ismételt felhívását követően a 2024. évi PIF-jelentés tartalmazza az OLAF 2022–2024-es időszakra vonatkozó ajánlásait követő visszafizettetésekre vonatkozó számadatokat, amelyek szerint a behajtott összeg 4,5 milliárd EUR volt; megjegyzi azonban, hogy ez a számadat nagyrészt egyetlen jelentős ügy (C-213/19. sz. ügy) eredményét tükrözi, amely több mint 2,7 </w:t>
            </w:r>
            <w:r w:rsidRPr="005F046F">
              <w:rPr>
                <w:b/>
                <w:i/>
              </w:rPr>
              <w:lastRenderedPageBreak/>
              <w:t xml:space="preserve">milliárd EUR-t tesz ki, ami korlátozza annak az OLAF tevékenységei által az uniós költségvetésre gyakorolt általános hatás értékeléséhez szükséges referenciaértékként hordozott értékét; rámutat, hogy a Bizottság egyéb adataiból az derül ki, hogy a 2015–2024-es időszakban az OLAF – összesen 3,3 milliárd EUR értékben – 982 pénzügyi ajánlást adott ki a kiadások tekintetében; hangsúlyozza, hogy a tényleges visszafizettetési arányok továbbra is korlátozottak, és a költségvetés végrehajtási módjától függően jelentős eltérést mutatnak: megosztott irányítás esetében mintegy 38%, közvetett irányítás esetében 14%, közvetlen irányítás esetében pedig 7%, ami ugyanebben az időszakban összesen 974 millió EUR tényleges visszafizettetést eredményezett; </w:t>
            </w:r>
            <w:r w:rsidRPr="005F046F">
              <w:rPr>
                <w:b/>
                <w:bCs/>
                <w:i/>
                <w:iCs/>
              </w:rPr>
              <w:t>aggodalmát fejezi ki amiatt</w:t>
            </w:r>
            <w:r w:rsidRPr="005F046F">
              <w:t>,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w:t>
            </w:r>
          </w:p>
        </w:tc>
      </w:tr>
    </w:tbl>
    <w:p w14:paraId="47CE514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111703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B94D43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79D6F6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DC7E2B1"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4850681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FB5C7E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BC3577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441C22A" w14:textId="77777777" w:rsidTr="00565F8F">
        <w:trPr>
          <w:trHeight w:hRule="exact" w:val="240"/>
          <w:jc w:val="center"/>
        </w:trPr>
        <w:tc>
          <w:tcPr>
            <w:tcW w:w="9752" w:type="dxa"/>
            <w:gridSpan w:val="2"/>
            <w:tcBorders>
              <w:top w:val="nil"/>
              <w:left w:val="nil"/>
              <w:bottom w:val="nil"/>
              <w:right w:val="nil"/>
            </w:tcBorders>
          </w:tcPr>
          <w:p w14:paraId="60003D6F" w14:textId="77777777" w:rsidR="000104F2" w:rsidRPr="005F046F" w:rsidRDefault="000104F2" w:rsidP="00565F8F"/>
        </w:tc>
      </w:tr>
      <w:tr w:rsidR="006C656F" w:rsidRPr="005F046F" w14:paraId="4A7983E4" w14:textId="77777777" w:rsidTr="00565F8F">
        <w:trPr>
          <w:trHeight w:val="240"/>
          <w:jc w:val="center"/>
        </w:trPr>
        <w:tc>
          <w:tcPr>
            <w:tcW w:w="4876" w:type="dxa"/>
            <w:tcBorders>
              <w:top w:val="nil"/>
              <w:left w:val="nil"/>
              <w:bottom w:val="nil"/>
              <w:right w:val="nil"/>
            </w:tcBorders>
          </w:tcPr>
          <w:p w14:paraId="69C27BE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5175089" w14:textId="77777777" w:rsidR="000104F2" w:rsidRPr="005F046F" w:rsidRDefault="000104F2" w:rsidP="00565F8F">
            <w:pPr>
              <w:pStyle w:val="AmColumnHeading"/>
            </w:pPr>
            <w:r w:rsidRPr="005F046F">
              <w:t>Módosítás</w:t>
            </w:r>
          </w:p>
        </w:tc>
      </w:tr>
      <w:tr w:rsidR="006C656F" w:rsidRPr="005F046F" w14:paraId="439EC51F" w14:textId="77777777" w:rsidTr="00565F8F">
        <w:trPr>
          <w:jc w:val="center"/>
        </w:trPr>
        <w:tc>
          <w:tcPr>
            <w:tcW w:w="4876" w:type="dxa"/>
            <w:tcBorders>
              <w:top w:val="nil"/>
              <w:left w:val="nil"/>
              <w:bottom w:val="nil"/>
              <w:right w:val="nil"/>
            </w:tcBorders>
          </w:tcPr>
          <w:p w14:paraId="32C59FCA" w14:textId="77777777" w:rsidR="000104F2" w:rsidRPr="005F046F" w:rsidRDefault="000104F2" w:rsidP="00565F8F">
            <w:pPr>
              <w:pStyle w:val="Normal6a"/>
            </w:pPr>
            <w:r w:rsidRPr="005F046F">
              <w:t>21.</w:t>
            </w:r>
            <w:r w:rsidRPr="005F046F">
              <w:tab/>
              <w:t xml:space="preserve">nem ért egyet a Bizottság által a 2025. május 6-i állásfoglalására adott válasszal, amely szerint a behajtásra </w:t>
            </w:r>
            <w:r w:rsidRPr="005F046F">
              <w:lastRenderedPageBreak/>
              <w:t>vonatkozó információk pontosak és elérhetők; hangsúlyozza, hogy az OLAF pénzügyi ajánlásait követő tényleges visszafizettetésekre vonatkozó adatokat nem teszik közzé sem az OLAF éves jelentésében, sem a Bizottság bármely más hivatalos jelentésében; sajnálja, hogy csak összesített adatok állnak rendelkezésre; kiemeli,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w:t>
            </w:r>
          </w:p>
        </w:tc>
        <w:tc>
          <w:tcPr>
            <w:tcW w:w="4876" w:type="dxa"/>
            <w:tcBorders>
              <w:top w:val="nil"/>
              <w:left w:val="nil"/>
              <w:bottom w:val="nil"/>
              <w:right w:val="nil"/>
            </w:tcBorders>
          </w:tcPr>
          <w:p w14:paraId="628FD9AE" w14:textId="77777777" w:rsidR="000104F2" w:rsidRPr="005F046F" w:rsidRDefault="000104F2" w:rsidP="00565F8F">
            <w:pPr>
              <w:pStyle w:val="Normal6a"/>
            </w:pPr>
            <w:r w:rsidRPr="005F046F">
              <w:lastRenderedPageBreak/>
              <w:t>21.</w:t>
            </w:r>
            <w:r w:rsidRPr="005F046F">
              <w:tab/>
              <w:t xml:space="preserve">nem ért egyet a Bizottság által a 2025. május 6-i állásfoglalására adott válasszal, amely szerint a behajtásra </w:t>
            </w:r>
            <w:r w:rsidRPr="005F046F">
              <w:lastRenderedPageBreak/>
              <w:t xml:space="preserve">vonatkozó információk pontosak és elérhetők; hangsúlyozza, hogy az OLAF pénzügyi ajánlásait követő tényleges visszafizettetésekre vonatkozó adatokat nem teszik közzé sem az OLAF éves jelentésében, sem a Bizottság bármely más hivatalos jelentésében; sajnálja, hogy csak összesített adatok állnak rendelkezésre; kiemeli,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 </w:t>
            </w:r>
            <w:r w:rsidRPr="005F046F">
              <w:rPr>
                <w:b/>
                <w:i/>
              </w:rPr>
              <w:t>kéri a Bizottságot, hogy összehasonlítható formában évente tegye közzé az OLAF pénzügyi ajánlásaival kapcsolatos teljes behajtási láncra vonatkozó adatokat – ajánlott és visszafizetett összegek szerinti bontásban –, beleértve az átlagos határidőket és a hiányosságok okait is, hogy a Parlament értékelni tudja a tényleges hatást és az elrettentés mértékét;</w:t>
            </w:r>
          </w:p>
        </w:tc>
      </w:tr>
    </w:tbl>
    <w:p w14:paraId="3CFD1918"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4B8779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83B712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89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B70ECA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63329A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D15F2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23C4E8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485B229" w14:textId="77777777" w:rsidTr="00565F8F">
        <w:trPr>
          <w:trHeight w:hRule="exact" w:val="240"/>
          <w:jc w:val="center"/>
        </w:trPr>
        <w:tc>
          <w:tcPr>
            <w:tcW w:w="9752" w:type="dxa"/>
            <w:gridSpan w:val="2"/>
            <w:tcBorders>
              <w:top w:val="nil"/>
              <w:left w:val="nil"/>
              <w:bottom w:val="nil"/>
              <w:right w:val="nil"/>
            </w:tcBorders>
          </w:tcPr>
          <w:p w14:paraId="3E9E934C" w14:textId="77777777" w:rsidR="000104F2" w:rsidRPr="005F046F" w:rsidRDefault="000104F2" w:rsidP="00565F8F"/>
        </w:tc>
      </w:tr>
      <w:tr w:rsidR="006C656F" w:rsidRPr="005F046F" w14:paraId="7F999EF3" w14:textId="77777777" w:rsidTr="00565F8F">
        <w:trPr>
          <w:trHeight w:val="240"/>
          <w:jc w:val="center"/>
        </w:trPr>
        <w:tc>
          <w:tcPr>
            <w:tcW w:w="4876" w:type="dxa"/>
            <w:tcBorders>
              <w:top w:val="nil"/>
              <w:left w:val="nil"/>
              <w:bottom w:val="nil"/>
              <w:right w:val="nil"/>
            </w:tcBorders>
          </w:tcPr>
          <w:p w14:paraId="7810A9C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24E4429" w14:textId="77777777" w:rsidR="000104F2" w:rsidRPr="005F046F" w:rsidRDefault="000104F2" w:rsidP="00565F8F">
            <w:pPr>
              <w:pStyle w:val="AmColumnHeading"/>
            </w:pPr>
            <w:r w:rsidRPr="005F046F">
              <w:t>Módosítás</w:t>
            </w:r>
          </w:p>
        </w:tc>
      </w:tr>
      <w:tr w:rsidR="006C656F" w:rsidRPr="005F046F" w14:paraId="2217A37C" w14:textId="77777777" w:rsidTr="00565F8F">
        <w:trPr>
          <w:jc w:val="center"/>
        </w:trPr>
        <w:tc>
          <w:tcPr>
            <w:tcW w:w="4876" w:type="dxa"/>
            <w:tcBorders>
              <w:top w:val="nil"/>
              <w:left w:val="nil"/>
              <w:bottom w:val="nil"/>
              <w:right w:val="nil"/>
            </w:tcBorders>
          </w:tcPr>
          <w:p w14:paraId="4373CA1C" w14:textId="77777777" w:rsidR="000104F2" w:rsidRPr="005F046F" w:rsidRDefault="000104F2" w:rsidP="00565F8F">
            <w:pPr>
              <w:pStyle w:val="Normal6a"/>
            </w:pPr>
            <w:r w:rsidRPr="005F046F">
              <w:t>21.</w:t>
            </w:r>
            <w:r w:rsidRPr="005F046F">
              <w:tab/>
              <w:t xml:space="preserve">nem ért egyet a Bizottság által a 2025. május 6-i állásfoglalására adott válasszal, amely szerint a behajtásra vonatkozó információk pontosak és elérhetők; hangsúlyozza, hogy az OLAF pénzügyi ajánlásait követő tényleges </w:t>
            </w:r>
            <w:r w:rsidRPr="005F046F">
              <w:lastRenderedPageBreak/>
              <w:t>visszafizettetésekre vonatkozó adatokat nem teszik közzé sem az OLAF éves jelentésében, sem a Bizottság bármely más hivatalos jelentésében; sajnálja, hogy csak összesített adatok állnak rendelkezésre; kiemeli,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w:t>
            </w:r>
          </w:p>
        </w:tc>
        <w:tc>
          <w:tcPr>
            <w:tcW w:w="4876" w:type="dxa"/>
            <w:tcBorders>
              <w:top w:val="nil"/>
              <w:left w:val="nil"/>
              <w:bottom w:val="nil"/>
              <w:right w:val="nil"/>
            </w:tcBorders>
          </w:tcPr>
          <w:p w14:paraId="4C1D7B7F" w14:textId="77777777" w:rsidR="000104F2" w:rsidRPr="005F046F" w:rsidRDefault="000104F2" w:rsidP="00565F8F">
            <w:pPr>
              <w:pStyle w:val="Normal6a"/>
            </w:pPr>
            <w:r w:rsidRPr="005F046F">
              <w:lastRenderedPageBreak/>
              <w:t>21.</w:t>
            </w:r>
            <w:r w:rsidRPr="005F046F">
              <w:tab/>
              <w:t xml:space="preserve">nem ért egyet a Bizottság által a 2025. május 6-i állásfoglalására adott válasszal, amely szerint a behajtásra vonatkozó információk pontosak és elérhetők; hangsúlyozza, hogy az OLAF pénzügyi ajánlásait követő tényleges </w:t>
            </w:r>
            <w:r w:rsidRPr="005F046F">
              <w:lastRenderedPageBreak/>
              <w:t xml:space="preserve">visszafizettetésekre vonatkozó adatokat nem teszik közzé sem az OLAF éves jelentésében, sem a Bizottság bármely más hivatalos jelentésében; sajnálja, hogy csak összesített adatok állnak rendelkezésre; kiemeli, hogy továbbra is jelentős 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 </w:t>
            </w:r>
            <w:r w:rsidRPr="005F046F">
              <w:rPr>
                <w:b/>
                <w:i/>
              </w:rPr>
              <w:t>kéri a Bizottságot, hogy éves bontásban tegye közzé a visszafizettetést akadályozó jogi és igazgatási szűk keresztmetszeteket, a visszafizettetési arányok tagállamok közötti összehasonlító elemzésével együtt, amelyet a bevált gyakorlatokra vonatkozó ajánlások követnek;</w:t>
            </w:r>
          </w:p>
        </w:tc>
      </w:tr>
    </w:tbl>
    <w:p w14:paraId="7FE7988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2D41E2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B0A0BC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B7236B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7A911F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C243A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4E4482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28B36E0" w14:textId="77777777" w:rsidTr="00565F8F">
        <w:trPr>
          <w:trHeight w:hRule="exact" w:val="240"/>
          <w:jc w:val="center"/>
        </w:trPr>
        <w:tc>
          <w:tcPr>
            <w:tcW w:w="9752" w:type="dxa"/>
            <w:gridSpan w:val="2"/>
            <w:tcBorders>
              <w:top w:val="nil"/>
              <w:left w:val="nil"/>
              <w:bottom w:val="nil"/>
              <w:right w:val="nil"/>
            </w:tcBorders>
          </w:tcPr>
          <w:p w14:paraId="54B15809" w14:textId="77777777" w:rsidR="000104F2" w:rsidRPr="005F046F" w:rsidRDefault="000104F2" w:rsidP="00565F8F"/>
        </w:tc>
      </w:tr>
      <w:tr w:rsidR="006C656F" w:rsidRPr="005F046F" w14:paraId="6A7422FB" w14:textId="77777777" w:rsidTr="00565F8F">
        <w:trPr>
          <w:trHeight w:val="240"/>
          <w:jc w:val="center"/>
        </w:trPr>
        <w:tc>
          <w:tcPr>
            <w:tcW w:w="4876" w:type="dxa"/>
            <w:tcBorders>
              <w:top w:val="nil"/>
              <w:left w:val="nil"/>
              <w:bottom w:val="nil"/>
              <w:right w:val="nil"/>
            </w:tcBorders>
          </w:tcPr>
          <w:p w14:paraId="21C4EE8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B0002B2" w14:textId="77777777" w:rsidR="000104F2" w:rsidRPr="005F046F" w:rsidRDefault="000104F2" w:rsidP="00565F8F">
            <w:pPr>
              <w:pStyle w:val="AmColumnHeading"/>
            </w:pPr>
            <w:r w:rsidRPr="005F046F">
              <w:t>Módosítás</w:t>
            </w:r>
          </w:p>
        </w:tc>
      </w:tr>
      <w:tr w:rsidR="006C656F" w:rsidRPr="005F046F" w14:paraId="5FB6D63A" w14:textId="77777777" w:rsidTr="00565F8F">
        <w:trPr>
          <w:jc w:val="center"/>
        </w:trPr>
        <w:tc>
          <w:tcPr>
            <w:tcW w:w="4876" w:type="dxa"/>
            <w:tcBorders>
              <w:top w:val="nil"/>
              <w:left w:val="nil"/>
              <w:bottom w:val="nil"/>
              <w:right w:val="nil"/>
            </w:tcBorders>
          </w:tcPr>
          <w:p w14:paraId="046ED97E" w14:textId="77777777" w:rsidR="000104F2" w:rsidRPr="005F046F" w:rsidRDefault="000104F2" w:rsidP="00565F8F">
            <w:pPr>
              <w:pStyle w:val="Normal6a"/>
            </w:pPr>
            <w:r w:rsidRPr="005F046F">
              <w:t>21.</w:t>
            </w:r>
            <w:r w:rsidRPr="005F046F">
              <w:tab/>
              <w:t xml:space="preserve">nem ért egyet a Bizottság által a 2025. május 6-i állásfoglalására adott válasszal, amely szerint a behajtásra vonatkozó információk pontosak és elérhetők; hangsúlyozza, hogy az OLAF pénzügyi ajánlásait követő tényleges visszafizettetésekre vonatkozó adatokat nem teszik közzé sem az OLAF éves jelentésében, sem a Bizottság bármely más hivatalos jelentésében; sajnálja, hogy csak összesített adatok állnak rendelkezésre; kiemeli, hogy továbbra is jelentős </w:t>
            </w:r>
            <w:r w:rsidRPr="005F046F">
              <w:lastRenderedPageBreak/>
              <w:t>különbség van az OLAF által visszafizettetésre ajánlott összegek, a Bizottság szolgálatai által behajthatónak tartott összeg és a gazdasági szereplőktől ténylegesen visszaszerzett összeg között; megismétli a Bizottsághoz intézett felhívását, hogy biztosítson megfelelő részletességű adatokat a behajtásról, és értékelje és tegye közzé az ilyen hiányosságok okait;</w:t>
            </w:r>
          </w:p>
        </w:tc>
        <w:tc>
          <w:tcPr>
            <w:tcW w:w="4876" w:type="dxa"/>
            <w:tcBorders>
              <w:top w:val="nil"/>
              <w:left w:val="nil"/>
              <w:bottom w:val="nil"/>
              <w:right w:val="nil"/>
            </w:tcBorders>
          </w:tcPr>
          <w:p w14:paraId="2B9A763D" w14:textId="53D938AB" w:rsidR="000104F2" w:rsidRPr="005F046F" w:rsidRDefault="000104F2" w:rsidP="00565F8F">
            <w:pPr>
              <w:pStyle w:val="Normal6a"/>
            </w:pPr>
            <w:r w:rsidRPr="005F046F">
              <w:rPr>
                <w:i/>
                <w:iCs/>
              </w:rPr>
              <w:lastRenderedPageBreak/>
              <w:t>(A magyar változatot nem érinti.)</w:t>
            </w:r>
          </w:p>
        </w:tc>
      </w:tr>
    </w:tbl>
    <w:p w14:paraId="044567A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5A56F4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2D985C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DEEEED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24DF1D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42C9D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4466B6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05765A9" w14:textId="77777777" w:rsidTr="00565F8F">
        <w:trPr>
          <w:trHeight w:hRule="exact" w:val="240"/>
          <w:jc w:val="center"/>
        </w:trPr>
        <w:tc>
          <w:tcPr>
            <w:tcW w:w="9752" w:type="dxa"/>
            <w:gridSpan w:val="2"/>
            <w:tcBorders>
              <w:top w:val="nil"/>
              <w:left w:val="nil"/>
              <w:bottom w:val="nil"/>
              <w:right w:val="nil"/>
            </w:tcBorders>
          </w:tcPr>
          <w:p w14:paraId="1C92A1D7" w14:textId="77777777" w:rsidR="000104F2" w:rsidRPr="005F046F" w:rsidRDefault="000104F2" w:rsidP="00565F8F"/>
        </w:tc>
      </w:tr>
      <w:tr w:rsidR="006C656F" w:rsidRPr="005F046F" w14:paraId="0FC576C1" w14:textId="77777777" w:rsidTr="00565F8F">
        <w:trPr>
          <w:trHeight w:val="240"/>
          <w:jc w:val="center"/>
        </w:trPr>
        <w:tc>
          <w:tcPr>
            <w:tcW w:w="4876" w:type="dxa"/>
            <w:tcBorders>
              <w:top w:val="nil"/>
              <w:left w:val="nil"/>
              <w:bottom w:val="nil"/>
              <w:right w:val="nil"/>
            </w:tcBorders>
          </w:tcPr>
          <w:p w14:paraId="73E3D2D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61C8921" w14:textId="77777777" w:rsidR="000104F2" w:rsidRPr="005F046F" w:rsidRDefault="000104F2" w:rsidP="00565F8F">
            <w:pPr>
              <w:pStyle w:val="AmColumnHeading"/>
            </w:pPr>
            <w:r w:rsidRPr="005F046F">
              <w:t>Módosítás</w:t>
            </w:r>
          </w:p>
        </w:tc>
      </w:tr>
      <w:tr w:rsidR="006C656F" w:rsidRPr="005F046F" w14:paraId="512DA92D" w14:textId="77777777" w:rsidTr="00565F8F">
        <w:trPr>
          <w:jc w:val="center"/>
        </w:trPr>
        <w:tc>
          <w:tcPr>
            <w:tcW w:w="4876" w:type="dxa"/>
            <w:tcBorders>
              <w:top w:val="nil"/>
              <w:left w:val="nil"/>
              <w:bottom w:val="nil"/>
              <w:right w:val="nil"/>
            </w:tcBorders>
          </w:tcPr>
          <w:p w14:paraId="256993B2" w14:textId="77777777" w:rsidR="000104F2" w:rsidRPr="005F046F" w:rsidRDefault="000104F2" w:rsidP="00565F8F">
            <w:pPr>
              <w:pStyle w:val="Normal6a"/>
            </w:pPr>
          </w:p>
        </w:tc>
        <w:tc>
          <w:tcPr>
            <w:tcW w:w="4876" w:type="dxa"/>
            <w:tcBorders>
              <w:top w:val="nil"/>
              <w:left w:val="nil"/>
              <w:bottom w:val="nil"/>
              <w:right w:val="nil"/>
            </w:tcBorders>
          </w:tcPr>
          <w:p w14:paraId="5E53D560" w14:textId="77777777" w:rsidR="000104F2" w:rsidRPr="005F046F" w:rsidRDefault="000104F2" w:rsidP="00565F8F">
            <w:pPr>
              <w:pStyle w:val="Normal6a"/>
            </w:pPr>
            <w:r w:rsidRPr="005F046F">
              <w:rPr>
                <w:b/>
                <w:i/>
              </w:rPr>
              <w:t>21a.</w:t>
            </w:r>
            <w:r w:rsidRPr="005F046F">
              <w:tab/>
            </w:r>
            <w:r w:rsidRPr="005F046F">
              <w:rPr>
                <w:b/>
                <w:i/>
              </w:rPr>
              <w:t>ismételten kéri a Bizottságot, hogy biztosítsa az OLAF ajánlásainak és az Európai Ügyészség vádeljárásainak megfelelő nyomon követését annak érdekében, hogy megbízható módon értékelni lehessen intézkedéseiknek az uniós költségvetés védelmére gyakorolt hatását; üdvözli az „OLAF Monitoring Site” elnevezésű eszköz 2024-es létrehozását, amely lehetővé teszi a Bizottságon és végrehajtó ügynökségein belüli központosított és valós idejű kommunikációt, és hozzájárul az OLAF ügyeinek pontosabb pénzügyi és igazgatási nyomon követéséhez;</w:t>
            </w:r>
          </w:p>
        </w:tc>
      </w:tr>
    </w:tbl>
    <w:p w14:paraId="5FC0135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6B3C5D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26A61C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636830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44DC56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69A64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C21520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496C18F" w14:textId="77777777" w:rsidTr="00565F8F">
        <w:trPr>
          <w:trHeight w:hRule="exact" w:val="240"/>
          <w:jc w:val="center"/>
        </w:trPr>
        <w:tc>
          <w:tcPr>
            <w:tcW w:w="9752" w:type="dxa"/>
            <w:gridSpan w:val="2"/>
            <w:tcBorders>
              <w:top w:val="nil"/>
              <w:left w:val="nil"/>
              <w:bottom w:val="nil"/>
              <w:right w:val="nil"/>
            </w:tcBorders>
          </w:tcPr>
          <w:p w14:paraId="75554DCE" w14:textId="77777777" w:rsidR="000104F2" w:rsidRPr="005F046F" w:rsidRDefault="000104F2" w:rsidP="00565F8F"/>
        </w:tc>
      </w:tr>
      <w:tr w:rsidR="006C656F" w:rsidRPr="005F046F" w14:paraId="3EFDB0DB" w14:textId="77777777" w:rsidTr="00565F8F">
        <w:trPr>
          <w:trHeight w:val="240"/>
          <w:jc w:val="center"/>
        </w:trPr>
        <w:tc>
          <w:tcPr>
            <w:tcW w:w="4876" w:type="dxa"/>
            <w:tcBorders>
              <w:top w:val="nil"/>
              <w:left w:val="nil"/>
              <w:bottom w:val="nil"/>
              <w:right w:val="nil"/>
            </w:tcBorders>
          </w:tcPr>
          <w:p w14:paraId="068C702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4B85765" w14:textId="77777777" w:rsidR="000104F2" w:rsidRPr="005F046F" w:rsidRDefault="000104F2" w:rsidP="00565F8F">
            <w:pPr>
              <w:pStyle w:val="AmColumnHeading"/>
            </w:pPr>
            <w:r w:rsidRPr="005F046F">
              <w:t>Módosítás</w:t>
            </w:r>
          </w:p>
        </w:tc>
      </w:tr>
      <w:tr w:rsidR="006C656F" w:rsidRPr="005F046F" w14:paraId="4F5D55CA" w14:textId="77777777" w:rsidTr="00565F8F">
        <w:trPr>
          <w:jc w:val="center"/>
        </w:trPr>
        <w:tc>
          <w:tcPr>
            <w:tcW w:w="4876" w:type="dxa"/>
            <w:tcBorders>
              <w:top w:val="nil"/>
              <w:left w:val="nil"/>
              <w:bottom w:val="nil"/>
              <w:right w:val="nil"/>
            </w:tcBorders>
          </w:tcPr>
          <w:p w14:paraId="2576A25E" w14:textId="77777777" w:rsidR="000104F2" w:rsidRPr="005F046F" w:rsidRDefault="000104F2" w:rsidP="00565F8F">
            <w:pPr>
              <w:pStyle w:val="Normal6a"/>
            </w:pPr>
          </w:p>
        </w:tc>
        <w:tc>
          <w:tcPr>
            <w:tcW w:w="4876" w:type="dxa"/>
            <w:tcBorders>
              <w:top w:val="nil"/>
              <w:left w:val="nil"/>
              <w:bottom w:val="nil"/>
              <w:right w:val="nil"/>
            </w:tcBorders>
          </w:tcPr>
          <w:p w14:paraId="533FBDB3" w14:textId="77777777" w:rsidR="000104F2" w:rsidRPr="005F046F" w:rsidRDefault="000104F2" w:rsidP="00565F8F">
            <w:pPr>
              <w:pStyle w:val="Normal6a"/>
            </w:pPr>
            <w:r w:rsidRPr="005F046F">
              <w:rPr>
                <w:b/>
                <w:i/>
              </w:rPr>
              <w:t>21a.</w:t>
            </w:r>
            <w:r w:rsidRPr="005F046F">
              <w:tab/>
            </w:r>
            <w:r w:rsidRPr="005F046F">
              <w:rPr>
                <w:b/>
                <w:i/>
              </w:rPr>
              <w:t>kéri a Bizottságot, hogy végezzen szisztematikus elemzést a visszafizettetésre ajánlott összegek, a visszafizettetésre megállapított összegek és a ténylegesen visszafizettetett összegek közötti különbség okairól – beleértve az olyan tényezőket is, mint az eljárások hossza, az elévülési idők, a gazdasági szereplők fizetésképtelensége vagy a büntető eljárás indításának elmaradása –, és ezen elemzésre támaszkodva javítsa az eljárásokat és kezelje prioritásként a legnagyobb költségvetési hatással járó intézkedéseket;</w:t>
            </w:r>
          </w:p>
        </w:tc>
      </w:tr>
    </w:tbl>
    <w:p w14:paraId="4AB11773"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6DD744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02181A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077549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CF5AB0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7AF1AE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3A74D2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320D0B6" w14:textId="77777777" w:rsidTr="00565F8F">
        <w:trPr>
          <w:trHeight w:hRule="exact" w:val="240"/>
          <w:jc w:val="center"/>
        </w:trPr>
        <w:tc>
          <w:tcPr>
            <w:tcW w:w="9752" w:type="dxa"/>
            <w:gridSpan w:val="2"/>
            <w:tcBorders>
              <w:top w:val="nil"/>
              <w:left w:val="nil"/>
              <w:bottom w:val="nil"/>
              <w:right w:val="nil"/>
            </w:tcBorders>
          </w:tcPr>
          <w:p w14:paraId="6447D770" w14:textId="77777777" w:rsidR="000104F2" w:rsidRPr="005F046F" w:rsidRDefault="000104F2" w:rsidP="00565F8F"/>
        </w:tc>
      </w:tr>
      <w:tr w:rsidR="006C656F" w:rsidRPr="005F046F" w14:paraId="40779B25" w14:textId="77777777" w:rsidTr="00565F8F">
        <w:trPr>
          <w:trHeight w:val="240"/>
          <w:jc w:val="center"/>
        </w:trPr>
        <w:tc>
          <w:tcPr>
            <w:tcW w:w="4876" w:type="dxa"/>
            <w:tcBorders>
              <w:top w:val="nil"/>
              <w:left w:val="nil"/>
              <w:bottom w:val="nil"/>
              <w:right w:val="nil"/>
            </w:tcBorders>
          </w:tcPr>
          <w:p w14:paraId="0CF3949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798EAE0" w14:textId="77777777" w:rsidR="000104F2" w:rsidRPr="005F046F" w:rsidRDefault="000104F2" w:rsidP="00565F8F">
            <w:pPr>
              <w:pStyle w:val="AmColumnHeading"/>
            </w:pPr>
            <w:r w:rsidRPr="005F046F">
              <w:t>Módosítás</w:t>
            </w:r>
          </w:p>
        </w:tc>
      </w:tr>
      <w:tr w:rsidR="006C656F" w:rsidRPr="005F046F" w14:paraId="63E661F8" w14:textId="77777777" w:rsidTr="00565F8F">
        <w:trPr>
          <w:jc w:val="center"/>
        </w:trPr>
        <w:tc>
          <w:tcPr>
            <w:tcW w:w="4876" w:type="dxa"/>
            <w:tcBorders>
              <w:top w:val="nil"/>
              <w:left w:val="nil"/>
              <w:bottom w:val="nil"/>
              <w:right w:val="nil"/>
            </w:tcBorders>
          </w:tcPr>
          <w:p w14:paraId="4787B960" w14:textId="77777777" w:rsidR="000104F2" w:rsidRPr="005F046F" w:rsidRDefault="000104F2" w:rsidP="00565F8F">
            <w:pPr>
              <w:pStyle w:val="Normal6a"/>
            </w:pPr>
          </w:p>
        </w:tc>
        <w:tc>
          <w:tcPr>
            <w:tcW w:w="4876" w:type="dxa"/>
            <w:tcBorders>
              <w:top w:val="nil"/>
              <w:left w:val="nil"/>
              <w:bottom w:val="nil"/>
              <w:right w:val="nil"/>
            </w:tcBorders>
          </w:tcPr>
          <w:p w14:paraId="3CDF7709" w14:textId="77777777" w:rsidR="000104F2" w:rsidRPr="005F046F" w:rsidRDefault="000104F2" w:rsidP="00565F8F">
            <w:pPr>
              <w:pStyle w:val="Normal6a"/>
            </w:pPr>
            <w:r w:rsidRPr="005F046F">
              <w:rPr>
                <w:b/>
                <w:i/>
              </w:rPr>
              <w:t>21a.</w:t>
            </w:r>
            <w:r w:rsidRPr="005F046F">
              <w:tab/>
            </w:r>
            <w:r w:rsidRPr="005F046F">
              <w:rPr>
                <w:b/>
                <w:i/>
              </w:rPr>
              <w:t>felhívja a figyelmet az Európai Számvevőszéknek a kohéziós politikán belüli pénzügyi korrekciókra vonatkozó megállapításaira</w:t>
            </w:r>
            <w:r w:rsidRPr="005F046F">
              <w:rPr>
                <w:b/>
                <w:i/>
                <w:vertAlign w:val="superscript"/>
              </w:rPr>
              <w:t>1a</w:t>
            </w:r>
            <w:r w:rsidRPr="005F046F">
              <w:rPr>
                <w:b/>
                <w:i/>
              </w:rPr>
              <w:t>; sajnálja, hogy több mint 10 évbe telt, mire a Bizottság 2025 szeptemberében elfogadta a 2014–2020-as időszakra vonatkozó első pénzügyi korrekciós határozatát, továbbá sajnálja, hogy számos javasolt korrekciót megfelelő indokolás nélkül csökkentettek vagy akár teljesen visszavontak;</w:t>
            </w:r>
          </w:p>
        </w:tc>
      </w:tr>
      <w:tr w:rsidR="006C656F" w:rsidRPr="005F046F" w14:paraId="4A7C814C" w14:textId="77777777" w:rsidTr="00565F8F">
        <w:trPr>
          <w:jc w:val="center"/>
        </w:trPr>
        <w:tc>
          <w:tcPr>
            <w:tcW w:w="4876" w:type="dxa"/>
            <w:tcBorders>
              <w:top w:val="nil"/>
              <w:left w:val="nil"/>
              <w:bottom w:val="nil"/>
              <w:right w:val="nil"/>
            </w:tcBorders>
          </w:tcPr>
          <w:p w14:paraId="18494ECC" w14:textId="77777777" w:rsidR="000104F2" w:rsidRPr="005F046F" w:rsidRDefault="000104F2" w:rsidP="00565F8F"/>
        </w:tc>
        <w:tc>
          <w:tcPr>
            <w:tcW w:w="4876" w:type="dxa"/>
            <w:tcBorders>
              <w:top w:val="nil"/>
              <w:left w:val="nil"/>
              <w:bottom w:val="nil"/>
              <w:right w:val="nil"/>
            </w:tcBorders>
          </w:tcPr>
          <w:p w14:paraId="4F60AA92" w14:textId="77777777" w:rsidR="000104F2" w:rsidRPr="005F046F" w:rsidRDefault="000104F2" w:rsidP="00565F8F">
            <w:pPr>
              <w:pStyle w:val="Normal6a"/>
            </w:pPr>
            <w:r w:rsidRPr="005F046F">
              <w:rPr>
                <w:b/>
                <w:i/>
              </w:rPr>
              <w:t>_________________</w:t>
            </w:r>
          </w:p>
        </w:tc>
      </w:tr>
      <w:tr w:rsidR="006C656F" w:rsidRPr="005F046F" w14:paraId="4834EFF5" w14:textId="77777777" w:rsidTr="00565F8F">
        <w:trPr>
          <w:jc w:val="center"/>
        </w:trPr>
        <w:tc>
          <w:tcPr>
            <w:tcW w:w="4876" w:type="dxa"/>
            <w:tcBorders>
              <w:top w:val="nil"/>
              <w:left w:val="nil"/>
              <w:bottom w:val="nil"/>
              <w:right w:val="nil"/>
            </w:tcBorders>
          </w:tcPr>
          <w:p w14:paraId="25792DC8" w14:textId="77777777" w:rsidR="000104F2" w:rsidRPr="005F046F" w:rsidRDefault="000104F2" w:rsidP="00565F8F"/>
        </w:tc>
        <w:tc>
          <w:tcPr>
            <w:tcW w:w="4876" w:type="dxa"/>
            <w:tcBorders>
              <w:top w:val="nil"/>
              <w:left w:val="nil"/>
              <w:bottom w:val="nil"/>
              <w:right w:val="nil"/>
            </w:tcBorders>
          </w:tcPr>
          <w:p w14:paraId="34DE1E16" w14:textId="5D9D4127" w:rsidR="000104F2" w:rsidRPr="005F046F" w:rsidRDefault="000104F2" w:rsidP="00565F8F">
            <w:pPr>
              <w:pStyle w:val="Normal6a"/>
            </w:pPr>
            <w:r w:rsidRPr="005F046F">
              <w:rPr>
                <w:b/>
                <w:bCs/>
                <w:i/>
                <w:iCs/>
                <w:vertAlign w:val="superscript"/>
              </w:rPr>
              <w:t>1a</w:t>
            </w:r>
            <w:r w:rsidRPr="005F046F">
              <w:t xml:space="preserve"> </w:t>
            </w:r>
            <w:r w:rsidRPr="005F046F">
              <w:rPr>
                <w:b/>
                <w:bCs/>
                <w:i/>
                <w:iCs/>
              </w:rPr>
              <w:t xml:space="preserve">Az Európai Számvevőszék 22/2025. sz. </w:t>
            </w:r>
            <w:proofErr w:type="spellStart"/>
            <w:r w:rsidRPr="005F046F">
              <w:rPr>
                <w:b/>
                <w:bCs/>
                <w:i/>
                <w:iCs/>
              </w:rPr>
              <w:t>különjelentése</w:t>
            </w:r>
            <w:proofErr w:type="spellEnd"/>
            <w:r w:rsidR="00FE3101">
              <w:rPr>
                <w:b/>
                <w:bCs/>
                <w:i/>
                <w:iCs/>
              </w:rPr>
              <w:t>.</w:t>
            </w:r>
          </w:p>
        </w:tc>
      </w:tr>
    </w:tbl>
    <w:p w14:paraId="31E66C2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FD038C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57C13BE" w14:textId="77777777" w:rsidR="000104F2" w:rsidRPr="005F046F" w:rsidRDefault="000104F2" w:rsidP="000104F2">
      <w:pPr>
        <w:pStyle w:val="AmNumberTabs"/>
      </w:pPr>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40E0CD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A0F12A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F4C8C1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6A7BB0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A28BFD6" w14:textId="77777777" w:rsidTr="00565F8F">
        <w:trPr>
          <w:trHeight w:hRule="exact" w:val="240"/>
          <w:jc w:val="center"/>
        </w:trPr>
        <w:tc>
          <w:tcPr>
            <w:tcW w:w="9752" w:type="dxa"/>
            <w:gridSpan w:val="2"/>
            <w:tcBorders>
              <w:top w:val="nil"/>
              <w:left w:val="nil"/>
              <w:bottom w:val="nil"/>
              <w:right w:val="nil"/>
            </w:tcBorders>
          </w:tcPr>
          <w:p w14:paraId="7BBFDA5B" w14:textId="77777777" w:rsidR="000104F2" w:rsidRPr="005F046F" w:rsidRDefault="000104F2" w:rsidP="00565F8F"/>
        </w:tc>
      </w:tr>
      <w:tr w:rsidR="006C656F" w:rsidRPr="005F046F" w14:paraId="18D38DD0" w14:textId="77777777" w:rsidTr="00565F8F">
        <w:trPr>
          <w:trHeight w:val="240"/>
          <w:jc w:val="center"/>
        </w:trPr>
        <w:tc>
          <w:tcPr>
            <w:tcW w:w="4876" w:type="dxa"/>
            <w:tcBorders>
              <w:top w:val="nil"/>
              <w:left w:val="nil"/>
              <w:bottom w:val="nil"/>
              <w:right w:val="nil"/>
            </w:tcBorders>
          </w:tcPr>
          <w:p w14:paraId="5854221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EAC089F" w14:textId="77777777" w:rsidR="000104F2" w:rsidRPr="005F046F" w:rsidRDefault="000104F2" w:rsidP="00565F8F">
            <w:pPr>
              <w:pStyle w:val="AmColumnHeading"/>
            </w:pPr>
            <w:r w:rsidRPr="005F046F">
              <w:t>Módosítás</w:t>
            </w:r>
          </w:p>
        </w:tc>
      </w:tr>
      <w:tr w:rsidR="006C656F" w:rsidRPr="005F046F" w14:paraId="4E1CE285" w14:textId="77777777" w:rsidTr="00565F8F">
        <w:trPr>
          <w:jc w:val="center"/>
        </w:trPr>
        <w:tc>
          <w:tcPr>
            <w:tcW w:w="4876" w:type="dxa"/>
            <w:tcBorders>
              <w:top w:val="nil"/>
              <w:left w:val="nil"/>
              <w:bottom w:val="nil"/>
              <w:right w:val="nil"/>
            </w:tcBorders>
          </w:tcPr>
          <w:p w14:paraId="06F41412" w14:textId="77777777" w:rsidR="000104F2" w:rsidRPr="005F046F" w:rsidRDefault="000104F2" w:rsidP="00565F8F">
            <w:pPr>
              <w:pStyle w:val="Normal6a"/>
            </w:pPr>
          </w:p>
        </w:tc>
        <w:tc>
          <w:tcPr>
            <w:tcW w:w="4876" w:type="dxa"/>
            <w:tcBorders>
              <w:top w:val="nil"/>
              <w:left w:val="nil"/>
              <w:bottom w:val="nil"/>
              <w:right w:val="nil"/>
            </w:tcBorders>
          </w:tcPr>
          <w:p w14:paraId="5CB2B028" w14:textId="77777777" w:rsidR="000104F2" w:rsidRPr="005F046F" w:rsidRDefault="000104F2" w:rsidP="00565F8F">
            <w:pPr>
              <w:pStyle w:val="Normal6a"/>
            </w:pPr>
            <w:r w:rsidRPr="005F046F">
              <w:rPr>
                <w:b/>
                <w:i/>
              </w:rPr>
              <w:t>21b.</w:t>
            </w:r>
            <w:r w:rsidRPr="005F046F">
              <w:tab/>
            </w:r>
            <w:r w:rsidRPr="005F046F">
              <w:rPr>
                <w:b/>
                <w:i/>
              </w:rPr>
              <w:t>kéri a Bizottságot, hogy orvosolja az Európai Számvevőszék által a pénzügyi korrekciós eszköz alkalmazása kapcsán feltárt hiányosságokat;</w:t>
            </w:r>
            <w:r w:rsidRPr="005F046F">
              <w:t xml:space="preserve"> </w:t>
            </w:r>
            <w:r w:rsidRPr="005F046F">
              <w:rPr>
                <w:b/>
                <w:i/>
              </w:rPr>
              <w:t>rámutat, hogy a szükségtelen késedelmek elkerülése érdekében tisztázni kell a pénzügyi korrekciók jogi keretét, és a jövőben az eljárásokat illetően egyértelműen meghatározott határidőket kell alkalmazni;</w:t>
            </w:r>
          </w:p>
        </w:tc>
      </w:tr>
    </w:tbl>
    <w:p w14:paraId="452AE90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{NL}</w:t>
      </w:r>
      <w:proofErr w:type="spellStart"/>
      <w:r w:rsidRPr="005F046F">
        <w:t>nl</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7E1379D" w14:textId="0B0BFDF3"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17627E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CE6AE0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8AF10D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F26014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00B5C8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F80AA14" w14:textId="77777777" w:rsidTr="00565F8F">
        <w:trPr>
          <w:trHeight w:hRule="exact" w:val="240"/>
          <w:jc w:val="center"/>
        </w:trPr>
        <w:tc>
          <w:tcPr>
            <w:tcW w:w="9752" w:type="dxa"/>
            <w:gridSpan w:val="2"/>
            <w:tcBorders>
              <w:top w:val="nil"/>
              <w:left w:val="nil"/>
              <w:bottom w:val="nil"/>
              <w:right w:val="nil"/>
            </w:tcBorders>
          </w:tcPr>
          <w:p w14:paraId="1EE9842E" w14:textId="77777777" w:rsidR="000104F2" w:rsidRPr="005F046F" w:rsidRDefault="000104F2" w:rsidP="00565F8F"/>
        </w:tc>
      </w:tr>
      <w:tr w:rsidR="006C656F" w:rsidRPr="005F046F" w14:paraId="30B95950" w14:textId="77777777" w:rsidTr="00565F8F">
        <w:trPr>
          <w:trHeight w:val="240"/>
          <w:jc w:val="center"/>
        </w:trPr>
        <w:tc>
          <w:tcPr>
            <w:tcW w:w="4876" w:type="dxa"/>
            <w:tcBorders>
              <w:top w:val="nil"/>
              <w:left w:val="nil"/>
              <w:bottom w:val="nil"/>
              <w:right w:val="nil"/>
            </w:tcBorders>
          </w:tcPr>
          <w:p w14:paraId="0609CB8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0D11903" w14:textId="77777777" w:rsidR="000104F2" w:rsidRPr="005F046F" w:rsidRDefault="000104F2" w:rsidP="00565F8F">
            <w:pPr>
              <w:pStyle w:val="AmColumnHeading"/>
            </w:pPr>
            <w:r w:rsidRPr="005F046F">
              <w:t>Módosítás</w:t>
            </w:r>
          </w:p>
        </w:tc>
      </w:tr>
      <w:tr w:rsidR="006C656F" w:rsidRPr="005F046F" w14:paraId="02300DEF" w14:textId="77777777" w:rsidTr="00565F8F">
        <w:trPr>
          <w:jc w:val="center"/>
        </w:trPr>
        <w:tc>
          <w:tcPr>
            <w:tcW w:w="4876" w:type="dxa"/>
            <w:tcBorders>
              <w:top w:val="nil"/>
              <w:left w:val="nil"/>
              <w:bottom w:val="nil"/>
              <w:right w:val="nil"/>
            </w:tcBorders>
          </w:tcPr>
          <w:p w14:paraId="51A42801" w14:textId="77777777" w:rsidR="000104F2" w:rsidRPr="005F046F" w:rsidRDefault="000104F2" w:rsidP="00565F8F">
            <w:pPr>
              <w:pStyle w:val="Normal6a"/>
            </w:pPr>
          </w:p>
        </w:tc>
        <w:tc>
          <w:tcPr>
            <w:tcW w:w="4876" w:type="dxa"/>
            <w:tcBorders>
              <w:top w:val="nil"/>
              <w:left w:val="nil"/>
              <w:bottom w:val="nil"/>
              <w:right w:val="nil"/>
            </w:tcBorders>
          </w:tcPr>
          <w:p w14:paraId="219F9551" w14:textId="77777777" w:rsidR="000104F2" w:rsidRPr="005F046F" w:rsidRDefault="000104F2" w:rsidP="00565F8F">
            <w:pPr>
              <w:pStyle w:val="Normal6a"/>
            </w:pPr>
            <w:r w:rsidRPr="005F046F">
              <w:rPr>
                <w:b/>
                <w:i/>
              </w:rPr>
              <w:t>21b.</w:t>
            </w:r>
            <w:r w:rsidRPr="005F046F">
              <w:tab/>
            </w:r>
            <w:r w:rsidRPr="005F046F">
              <w:rPr>
                <w:b/>
                <w:i/>
              </w:rPr>
              <w:t xml:space="preserve">emlékeztet a vagyonvisszaszerzésről és -elkobzásról szóló (EU) 2024/1260 irányelv közelmúltbeli elfogadására, amely előírja a tagállamok számára annak biztosítását, hogy a vagyoni eszközök befagyasztása vagy elkobzása során figyelembe vegyék a bűncselekmények áldozatainak jogait; úgy véli, hogy ezen irányelv nemzeti eljárásjogba való átültetése fontos eszközként szolgálhat a pénzeszközök uniós költségvetésbe történő visszafizetésének biztosításához; kiemeli, hogy az Európai Ügyészségről szóló rendelet közelgő felülvizsgálata lehetőséget kínál a meglévő rendelkezések pontosítására és jobb összehangolására, </w:t>
            </w:r>
            <w:r w:rsidRPr="005F046F">
              <w:rPr>
                <w:b/>
                <w:i/>
              </w:rPr>
              <w:lastRenderedPageBreak/>
              <w:t>ideértve a 4. cikket, amely jelenleg korlátozza az Európai Ügyészség hatáskörét az ügy végleges lezárásáig, illetve a 38. cikket, amely az elkobzott vagyoni eszközökről való rendelkezést a nemzeti jogra bízza; hangsúlyozza, hogy tisztázni kell, hogyan lehet megvédeni az EU pénzügyi érdekeit a vagyoni eszközök elkobzása után, és figyelembe kell venni a bírósági határozatok végrehajtására vonatkozó nemzeti szabályok közötti különbségeket, ideértve azt is, hogy ebben a szakaszban kell-e megfelelő hatásköröket biztosítani a delegált európai ügyészek számára;</w:t>
            </w:r>
          </w:p>
        </w:tc>
      </w:tr>
    </w:tbl>
    <w:p w14:paraId="08934492"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4BA581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D88877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9C0B5D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10CF78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980207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36AB18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E867057" w14:textId="77777777" w:rsidTr="00565F8F">
        <w:trPr>
          <w:trHeight w:hRule="exact" w:val="240"/>
          <w:jc w:val="center"/>
        </w:trPr>
        <w:tc>
          <w:tcPr>
            <w:tcW w:w="9752" w:type="dxa"/>
            <w:gridSpan w:val="2"/>
            <w:tcBorders>
              <w:top w:val="nil"/>
              <w:left w:val="nil"/>
              <w:bottom w:val="nil"/>
              <w:right w:val="nil"/>
            </w:tcBorders>
          </w:tcPr>
          <w:p w14:paraId="3F294D47" w14:textId="77777777" w:rsidR="000104F2" w:rsidRPr="005F046F" w:rsidRDefault="000104F2" w:rsidP="00565F8F"/>
        </w:tc>
      </w:tr>
      <w:tr w:rsidR="006C656F" w:rsidRPr="005F046F" w14:paraId="15F7CBCF" w14:textId="77777777" w:rsidTr="00565F8F">
        <w:trPr>
          <w:trHeight w:val="240"/>
          <w:jc w:val="center"/>
        </w:trPr>
        <w:tc>
          <w:tcPr>
            <w:tcW w:w="4876" w:type="dxa"/>
            <w:tcBorders>
              <w:top w:val="nil"/>
              <w:left w:val="nil"/>
              <w:bottom w:val="nil"/>
              <w:right w:val="nil"/>
            </w:tcBorders>
          </w:tcPr>
          <w:p w14:paraId="7690816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0C08D41" w14:textId="77777777" w:rsidR="000104F2" w:rsidRPr="005F046F" w:rsidRDefault="000104F2" w:rsidP="00565F8F">
            <w:pPr>
              <w:pStyle w:val="AmColumnHeading"/>
            </w:pPr>
            <w:r w:rsidRPr="005F046F">
              <w:t>Módosítás</w:t>
            </w:r>
          </w:p>
        </w:tc>
      </w:tr>
      <w:tr w:rsidR="006C656F" w:rsidRPr="005F046F" w14:paraId="51FF814B" w14:textId="77777777" w:rsidTr="00565F8F">
        <w:trPr>
          <w:jc w:val="center"/>
        </w:trPr>
        <w:tc>
          <w:tcPr>
            <w:tcW w:w="4876" w:type="dxa"/>
            <w:tcBorders>
              <w:top w:val="nil"/>
              <w:left w:val="nil"/>
              <w:bottom w:val="nil"/>
              <w:right w:val="nil"/>
            </w:tcBorders>
          </w:tcPr>
          <w:p w14:paraId="5E528BD4" w14:textId="77777777" w:rsidR="000104F2" w:rsidRPr="005F046F" w:rsidRDefault="000104F2" w:rsidP="00565F8F">
            <w:pPr>
              <w:pStyle w:val="Normal6a"/>
            </w:pPr>
          </w:p>
        </w:tc>
        <w:tc>
          <w:tcPr>
            <w:tcW w:w="4876" w:type="dxa"/>
            <w:tcBorders>
              <w:top w:val="nil"/>
              <w:left w:val="nil"/>
              <w:bottom w:val="nil"/>
              <w:right w:val="nil"/>
            </w:tcBorders>
          </w:tcPr>
          <w:p w14:paraId="1FCB36BC" w14:textId="77777777" w:rsidR="000104F2" w:rsidRPr="005F046F" w:rsidRDefault="000104F2" w:rsidP="00565F8F">
            <w:pPr>
              <w:pStyle w:val="Normal6a"/>
            </w:pPr>
            <w:r w:rsidRPr="005F046F">
              <w:rPr>
                <w:b/>
                <w:i/>
              </w:rPr>
              <w:t>21a.</w:t>
            </w:r>
            <w:r w:rsidRPr="005F046F">
              <w:tab/>
            </w:r>
            <w:r w:rsidRPr="005F046F">
              <w:rPr>
                <w:b/>
                <w:i/>
              </w:rPr>
              <w:t xml:space="preserve">üdvözli, hogy az </w:t>
            </w:r>
            <w:proofErr w:type="spellStart"/>
            <w:r w:rsidRPr="005F046F">
              <w:rPr>
                <w:b/>
                <w:i/>
              </w:rPr>
              <w:t>Eurojust</w:t>
            </w:r>
            <w:proofErr w:type="spellEnd"/>
            <w:r w:rsidRPr="005F046F">
              <w:rPr>
                <w:b/>
                <w:i/>
              </w:rPr>
              <w:t xml:space="preserve"> a 2025 novemberében tartott éves intézményközi eszmecsere keretében kijelentette, hogy nagyobb szerepet tud játszani a behajtási folyamatban, különös tekintettel arra, hogy az </w:t>
            </w:r>
            <w:proofErr w:type="spellStart"/>
            <w:r w:rsidRPr="005F046F">
              <w:rPr>
                <w:b/>
                <w:i/>
              </w:rPr>
              <w:t>Eurojust</w:t>
            </w:r>
            <w:proofErr w:type="spellEnd"/>
            <w:r w:rsidRPr="005F046F">
              <w:rPr>
                <w:b/>
                <w:i/>
              </w:rPr>
              <w:t xml:space="preserve"> kapcsolattartó pontjai hozzájárulhatnak a tagállamokban található releváns vagyontárgyak azonosításához és értékeléséhez;</w:t>
            </w:r>
          </w:p>
        </w:tc>
      </w:tr>
    </w:tbl>
    <w:p w14:paraId="5210008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AF0EC3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72A430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B5A4F8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2A94AF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3AE325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CCECFA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E8869FA" w14:textId="77777777" w:rsidTr="00565F8F">
        <w:trPr>
          <w:trHeight w:hRule="exact" w:val="240"/>
          <w:jc w:val="center"/>
        </w:trPr>
        <w:tc>
          <w:tcPr>
            <w:tcW w:w="9752" w:type="dxa"/>
            <w:gridSpan w:val="2"/>
            <w:tcBorders>
              <w:top w:val="nil"/>
              <w:left w:val="nil"/>
              <w:bottom w:val="nil"/>
              <w:right w:val="nil"/>
            </w:tcBorders>
          </w:tcPr>
          <w:p w14:paraId="150150E0" w14:textId="77777777" w:rsidR="000104F2" w:rsidRPr="005F046F" w:rsidRDefault="000104F2" w:rsidP="00565F8F"/>
        </w:tc>
      </w:tr>
      <w:tr w:rsidR="006C656F" w:rsidRPr="005F046F" w14:paraId="4ADF8D0A" w14:textId="77777777" w:rsidTr="00565F8F">
        <w:trPr>
          <w:trHeight w:val="240"/>
          <w:jc w:val="center"/>
        </w:trPr>
        <w:tc>
          <w:tcPr>
            <w:tcW w:w="4876" w:type="dxa"/>
            <w:tcBorders>
              <w:top w:val="nil"/>
              <w:left w:val="nil"/>
              <w:bottom w:val="nil"/>
              <w:right w:val="nil"/>
            </w:tcBorders>
          </w:tcPr>
          <w:p w14:paraId="02569C67"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4FBAC334" w14:textId="77777777" w:rsidR="000104F2" w:rsidRPr="005F046F" w:rsidRDefault="000104F2" w:rsidP="00565F8F">
            <w:pPr>
              <w:pStyle w:val="AmColumnHeading"/>
            </w:pPr>
            <w:r w:rsidRPr="005F046F">
              <w:t>Módosítás</w:t>
            </w:r>
          </w:p>
        </w:tc>
      </w:tr>
      <w:tr w:rsidR="006C656F" w:rsidRPr="005F046F" w14:paraId="5CA31999" w14:textId="77777777" w:rsidTr="00565F8F">
        <w:trPr>
          <w:jc w:val="center"/>
        </w:trPr>
        <w:tc>
          <w:tcPr>
            <w:tcW w:w="4876" w:type="dxa"/>
            <w:tcBorders>
              <w:top w:val="nil"/>
              <w:left w:val="nil"/>
              <w:bottom w:val="nil"/>
              <w:right w:val="nil"/>
            </w:tcBorders>
          </w:tcPr>
          <w:p w14:paraId="7D329FBB" w14:textId="77777777" w:rsidR="000104F2" w:rsidRPr="005F046F" w:rsidRDefault="000104F2" w:rsidP="00565F8F">
            <w:pPr>
              <w:pStyle w:val="Normal6a"/>
            </w:pPr>
          </w:p>
        </w:tc>
        <w:tc>
          <w:tcPr>
            <w:tcW w:w="4876" w:type="dxa"/>
            <w:tcBorders>
              <w:top w:val="nil"/>
              <w:left w:val="nil"/>
              <w:bottom w:val="nil"/>
              <w:right w:val="nil"/>
            </w:tcBorders>
          </w:tcPr>
          <w:p w14:paraId="1A26C6BE" w14:textId="77777777" w:rsidR="000104F2" w:rsidRPr="005F046F" w:rsidRDefault="000104F2" w:rsidP="00565F8F">
            <w:pPr>
              <w:pStyle w:val="Normal6a"/>
            </w:pPr>
            <w:r w:rsidRPr="005F046F">
              <w:rPr>
                <w:b/>
                <w:i/>
              </w:rPr>
              <w:t>21b.</w:t>
            </w:r>
            <w:r w:rsidRPr="005F046F">
              <w:tab/>
            </w:r>
            <w:r w:rsidRPr="005F046F">
              <w:rPr>
                <w:b/>
                <w:i/>
              </w:rPr>
              <w:t>kéri a Bizottságot, hogy tegyen javaslatot a meglévő szabályozási keret olyan módosításaira, amelyek a szabálytalanságkezelő rendszeren belüli hatékony, átfogó, naprakész és folyamatos jelentéstétel biztosításához szükségesek; kéri az OLAF-ot, hogy tegyen eleget kötelezettségének, és tanácsadással és iránymutatással támogassa a tagállamokat az olyan belső eljárások és szervezeti intézkedések kidolgozásában, amelyek a tagállamok adott ágazatban szerzett nemzeti tapasztalataira épülnek, és amelyeket be kell építeni a jelentéstételre és a nyomon követésre, valamint a csalás elleni nemzeti stratégia kidolgozására és a csalásellenes koordinációs szolgálat megszervezésére vonatkozó konkrét iránymutatásokba;</w:t>
            </w:r>
          </w:p>
        </w:tc>
      </w:tr>
    </w:tbl>
    <w:p w14:paraId="7819F3B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6A7E4B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C67F0C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A8CDBB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Julien </w:t>
      </w:r>
      <w:proofErr w:type="spellStart"/>
      <w:r w:rsidRPr="005F046F">
        <w:t>Sanchez</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8D496C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EAA023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B24370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21 c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228E6C9" w14:textId="77777777" w:rsidTr="00565F8F">
        <w:trPr>
          <w:trHeight w:hRule="exact" w:val="240"/>
          <w:jc w:val="center"/>
        </w:trPr>
        <w:tc>
          <w:tcPr>
            <w:tcW w:w="9752" w:type="dxa"/>
            <w:gridSpan w:val="2"/>
            <w:tcBorders>
              <w:top w:val="nil"/>
              <w:left w:val="nil"/>
              <w:bottom w:val="nil"/>
              <w:right w:val="nil"/>
            </w:tcBorders>
          </w:tcPr>
          <w:p w14:paraId="0760A865" w14:textId="77777777" w:rsidR="000104F2" w:rsidRPr="005F046F" w:rsidRDefault="000104F2" w:rsidP="00565F8F"/>
        </w:tc>
      </w:tr>
      <w:tr w:rsidR="006C656F" w:rsidRPr="005F046F" w14:paraId="0B4431C3" w14:textId="77777777" w:rsidTr="00565F8F">
        <w:trPr>
          <w:trHeight w:val="240"/>
          <w:jc w:val="center"/>
        </w:trPr>
        <w:tc>
          <w:tcPr>
            <w:tcW w:w="4876" w:type="dxa"/>
            <w:tcBorders>
              <w:top w:val="nil"/>
              <w:left w:val="nil"/>
              <w:bottom w:val="nil"/>
              <w:right w:val="nil"/>
            </w:tcBorders>
          </w:tcPr>
          <w:p w14:paraId="162A7A6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6A74D0F" w14:textId="77777777" w:rsidR="000104F2" w:rsidRPr="005F046F" w:rsidRDefault="000104F2" w:rsidP="00565F8F">
            <w:pPr>
              <w:pStyle w:val="AmColumnHeading"/>
            </w:pPr>
            <w:r w:rsidRPr="005F046F">
              <w:t>Módosítás</w:t>
            </w:r>
          </w:p>
        </w:tc>
      </w:tr>
      <w:tr w:rsidR="006C656F" w:rsidRPr="005F046F" w14:paraId="1F43661A" w14:textId="77777777" w:rsidTr="00565F8F">
        <w:trPr>
          <w:jc w:val="center"/>
        </w:trPr>
        <w:tc>
          <w:tcPr>
            <w:tcW w:w="4876" w:type="dxa"/>
            <w:tcBorders>
              <w:top w:val="nil"/>
              <w:left w:val="nil"/>
              <w:bottom w:val="nil"/>
              <w:right w:val="nil"/>
            </w:tcBorders>
          </w:tcPr>
          <w:p w14:paraId="5235BC50" w14:textId="77777777" w:rsidR="000104F2" w:rsidRPr="005F046F" w:rsidRDefault="000104F2" w:rsidP="00565F8F">
            <w:pPr>
              <w:pStyle w:val="Normal6a"/>
            </w:pPr>
          </w:p>
        </w:tc>
        <w:tc>
          <w:tcPr>
            <w:tcW w:w="4876" w:type="dxa"/>
            <w:tcBorders>
              <w:top w:val="nil"/>
              <w:left w:val="nil"/>
              <w:bottom w:val="nil"/>
              <w:right w:val="nil"/>
            </w:tcBorders>
          </w:tcPr>
          <w:p w14:paraId="728624EC" w14:textId="77777777" w:rsidR="000104F2" w:rsidRPr="005F046F" w:rsidRDefault="000104F2" w:rsidP="00565F8F">
            <w:pPr>
              <w:pStyle w:val="Normal6a"/>
            </w:pPr>
            <w:r w:rsidRPr="005F046F">
              <w:rPr>
                <w:b/>
                <w:i/>
              </w:rPr>
              <w:t>21c.</w:t>
            </w:r>
            <w:r w:rsidRPr="005F046F">
              <w:tab/>
            </w:r>
            <w:r w:rsidRPr="005F046F">
              <w:rPr>
                <w:b/>
                <w:i/>
              </w:rPr>
              <w:t>megérti, hogy a szükséges korrekciós intézkedések meghozatalát követően végzett további elemzések lehetővé tennék, hogy levonják a tanulságokat a csalási esetekből, valamint javítsák azokat az intézkedéseket, amelyek megakadályozhatják a hasonló esetek jövőbeli előfordulását; kéri a Bizottságot, hogy a csalást lehetővé tevő tényezők elemzésével támogassa a tagállamokat, mivel ez az elemzés lehetővé tenné annak megfelelő értékelését, hogy szükség van-e a nemzeti irányítási és kontrollrendszerek ennek megfelelő felülvizsgálatára;</w:t>
            </w:r>
          </w:p>
        </w:tc>
      </w:tr>
    </w:tbl>
    <w:p w14:paraId="77B0AA5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F84B77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AE738F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99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38125F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C9B0E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38C5D4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AE22D4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77768A1" w14:textId="77777777" w:rsidTr="00565F8F">
        <w:trPr>
          <w:trHeight w:hRule="exact" w:val="240"/>
          <w:jc w:val="center"/>
        </w:trPr>
        <w:tc>
          <w:tcPr>
            <w:tcW w:w="9752" w:type="dxa"/>
            <w:gridSpan w:val="2"/>
            <w:tcBorders>
              <w:top w:val="nil"/>
              <w:left w:val="nil"/>
              <w:bottom w:val="nil"/>
              <w:right w:val="nil"/>
            </w:tcBorders>
          </w:tcPr>
          <w:p w14:paraId="41EFCC24" w14:textId="77777777" w:rsidR="000104F2" w:rsidRPr="005F046F" w:rsidRDefault="000104F2" w:rsidP="00565F8F"/>
        </w:tc>
      </w:tr>
      <w:tr w:rsidR="006C656F" w:rsidRPr="005F046F" w14:paraId="29C7EF4C" w14:textId="77777777" w:rsidTr="00565F8F">
        <w:trPr>
          <w:trHeight w:val="240"/>
          <w:jc w:val="center"/>
        </w:trPr>
        <w:tc>
          <w:tcPr>
            <w:tcW w:w="4876" w:type="dxa"/>
            <w:tcBorders>
              <w:top w:val="nil"/>
              <w:left w:val="nil"/>
              <w:bottom w:val="nil"/>
              <w:right w:val="nil"/>
            </w:tcBorders>
          </w:tcPr>
          <w:p w14:paraId="2AF5C36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1552061" w14:textId="77777777" w:rsidR="000104F2" w:rsidRPr="005F046F" w:rsidRDefault="000104F2" w:rsidP="00565F8F">
            <w:pPr>
              <w:pStyle w:val="AmColumnHeading"/>
            </w:pPr>
            <w:r w:rsidRPr="005F046F">
              <w:t>Módosítás</w:t>
            </w:r>
          </w:p>
        </w:tc>
      </w:tr>
      <w:tr w:rsidR="006C656F" w:rsidRPr="005F046F" w14:paraId="7C463588" w14:textId="77777777" w:rsidTr="00565F8F">
        <w:trPr>
          <w:jc w:val="center"/>
        </w:trPr>
        <w:tc>
          <w:tcPr>
            <w:tcW w:w="4876" w:type="dxa"/>
            <w:tcBorders>
              <w:top w:val="nil"/>
              <w:left w:val="nil"/>
              <w:bottom w:val="nil"/>
              <w:right w:val="nil"/>
            </w:tcBorders>
          </w:tcPr>
          <w:p w14:paraId="76340A14" w14:textId="77777777" w:rsidR="000104F2" w:rsidRPr="005F046F" w:rsidRDefault="000104F2" w:rsidP="00565F8F">
            <w:pPr>
              <w:pStyle w:val="Normal6a"/>
            </w:pPr>
            <w:r w:rsidRPr="005F046F">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xml:space="preserve">, jövedéki adócsalásokkal és vámcsalásokkal kapcsolatos pénzügyi károk nagyságrendjének értékelése, amelyek gyakran szoros kapcsolatban állnak a szervezett bűnözéssel, és amelyek </w:t>
            </w:r>
            <w:r w:rsidRPr="005F046F">
              <w:lastRenderedPageBreak/>
              <w:t>mindig nagy pénzügyi összegekkel járnak;</w:t>
            </w:r>
          </w:p>
        </w:tc>
        <w:tc>
          <w:tcPr>
            <w:tcW w:w="4876" w:type="dxa"/>
            <w:tcBorders>
              <w:top w:val="nil"/>
              <w:left w:val="nil"/>
              <w:bottom w:val="nil"/>
              <w:right w:val="nil"/>
            </w:tcBorders>
          </w:tcPr>
          <w:p w14:paraId="45738871" w14:textId="77777777" w:rsidR="000104F2" w:rsidRPr="005F046F" w:rsidRDefault="000104F2" w:rsidP="00565F8F">
            <w:pPr>
              <w:pStyle w:val="Normal6a"/>
            </w:pPr>
            <w:r w:rsidRPr="005F046F">
              <w:lastRenderedPageBreak/>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xml:space="preserve">, jövedéki adócsalásokkal és vámcsalásokkal kapcsolatos pénzügyi károk nagyságrendjének értékelése, amelyek gyakran szoros kapcsolatban állnak a szervezett bűnözéssel, és amelyek </w:t>
            </w:r>
            <w:r w:rsidRPr="005F046F">
              <w:lastRenderedPageBreak/>
              <w:t xml:space="preserve">mindig nagy pénzügyi összegekkel járnak; </w:t>
            </w:r>
            <w:r w:rsidRPr="005F046F">
              <w:rPr>
                <w:b/>
                <w:i/>
              </w:rPr>
              <w:t>úgy véli, hogy a szervezett bűnözésnek az Unió pénzügyi érdekeit érintő bűncselekményekben való növekvő részvétele szükségessé teszi az erőforrásoknak a legnagyobb pénzügyi hatással bíró területek szerinti stratégiai rangsorolását, különösen a bevételek terén, az alkalmazandó jogi keretben meghatározott hatáskörök tiszteletben tartásának sérelme nélkül;</w:t>
            </w:r>
          </w:p>
        </w:tc>
      </w:tr>
    </w:tbl>
    <w:p w14:paraId="2C80A47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E32E91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222C4B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AE079B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0A9486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94B84B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12FC50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64584E0" w14:textId="77777777" w:rsidTr="00565F8F">
        <w:trPr>
          <w:trHeight w:hRule="exact" w:val="240"/>
          <w:jc w:val="center"/>
        </w:trPr>
        <w:tc>
          <w:tcPr>
            <w:tcW w:w="9752" w:type="dxa"/>
            <w:gridSpan w:val="2"/>
            <w:tcBorders>
              <w:top w:val="nil"/>
              <w:left w:val="nil"/>
              <w:bottom w:val="nil"/>
              <w:right w:val="nil"/>
            </w:tcBorders>
          </w:tcPr>
          <w:p w14:paraId="60A5DE14" w14:textId="77777777" w:rsidR="000104F2" w:rsidRPr="005F046F" w:rsidRDefault="000104F2" w:rsidP="00565F8F"/>
        </w:tc>
      </w:tr>
      <w:tr w:rsidR="006C656F" w:rsidRPr="005F046F" w14:paraId="560AEEBD" w14:textId="77777777" w:rsidTr="00565F8F">
        <w:trPr>
          <w:trHeight w:val="240"/>
          <w:jc w:val="center"/>
        </w:trPr>
        <w:tc>
          <w:tcPr>
            <w:tcW w:w="4876" w:type="dxa"/>
            <w:tcBorders>
              <w:top w:val="nil"/>
              <w:left w:val="nil"/>
              <w:bottom w:val="nil"/>
              <w:right w:val="nil"/>
            </w:tcBorders>
          </w:tcPr>
          <w:p w14:paraId="4407568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88F21A7" w14:textId="77777777" w:rsidR="000104F2" w:rsidRPr="005F046F" w:rsidRDefault="000104F2" w:rsidP="00565F8F">
            <w:pPr>
              <w:pStyle w:val="AmColumnHeading"/>
            </w:pPr>
            <w:r w:rsidRPr="005F046F">
              <w:t>Módosítás</w:t>
            </w:r>
          </w:p>
        </w:tc>
      </w:tr>
      <w:tr w:rsidR="006C656F" w:rsidRPr="005F046F" w14:paraId="22272DDA" w14:textId="77777777" w:rsidTr="00565F8F">
        <w:trPr>
          <w:jc w:val="center"/>
        </w:trPr>
        <w:tc>
          <w:tcPr>
            <w:tcW w:w="4876" w:type="dxa"/>
            <w:tcBorders>
              <w:top w:val="nil"/>
              <w:left w:val="nil"/>
              <w:bottom w:val="nil"/>
              <w:right w:val="nil"/>
            </w:tcBorders>
          </w:tcPr>
          <w:p w14:paraId="7C75B826" w14:textId="77777777" w:rsidR="000104F2" w:rsidRPr="005F046F" w:rsidRDefault="000104F2" w:rsidP="00565F8F">
            <w:pPr>
              <w:pStyle w:val="Normal6a"/>
            </w:pPr>
            <w:r w:rsidRPr="005F046F">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w:t>
            </w:r>
            <w:r w:rsidRPr="005F046F">
              <w:lastRenderedPageBreak/>
              <w:t xml:space="preserve">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xml:space="preserve">, jövedéki adócsalásokkal és vámcsalásokkal kapcsolatos pénzügyi károk nagyságrendjének értékelése, amelyek gyakran szoros kapcsolatban állnak a szervezett bűnözéssel, és amelyek </w:t>
            </w:r>
            <w:r w:rsidRPr="005F046F">
              <w:rPr>
                <w:b/>
                <w:bCs/>
                <w:i/>
                <w:iCs/>
              </w:rPr>
              <w:t>mindig</w:t>
            </w:r>
            <w:r w:rsidRPr="005F046F">
              <w:t xml:space="preserve"> nagy pénzügyi összegekkel járnak;</w:t>
            </w:r>
          </w:p>
        </w:tc>
        <w:tc>
          <w:tcPr>
            <w:tcW w:w="4876" w:type="dxa"/>
            <w:tcBorders>
              <w:top w:val="nil"/>
              <w:left w:val="nil"/>
              <w:bottom w:val="nil"/>
              <w:right w:val="nil"/>
            </w:tcBorders>
          </w:tcPr>
          <w:p w14:paraId="4B2694CC" w14:textId="77777777" w:rsidR="000104F2" w:rsidRPr="005F046F" w:rsidRDefault="000104F2" w:rsidP="00565F8F">
            <w:pPr>
              <w:pStyle w:val="Normal6a"/>
            </w:pPr>
            <w:r w:rsidRPr="005F046F">
              <w:lastRenderedPageBreak/>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w:t>
            </w:r>
            <w:r w:rsidRPr="005F046F">
              <w:lastRenderedPageBreak/>
              <w:t xml:space="preserve">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w:t>
            </w:r>
            <w:r w:rsidRPr="005F046F">
              <w:rPr>
                <w:b/>
                <w:i/>
              </w:rPr>
              <w:t>hangsúlyozza, hogy a jogi korlátozások ellenére az Európai Ügyészség fontos hozzáadott értéket képvisel a csalás elleni küzdelemben, lehetővé téve az EU számára, hogy pótolja az összehangolatlan nemzeti kezdeményezések által hagyott űrt, ily módon pedig a leghatékonyabb eszközt jelenti, amely a transznacionális bűncselekmények megakadályozására és az Unió pénzügyi érdekeinek védelmébe való beavatkozásra szolgál;</w:t>
            </w:r>
            <w:r w:rsidRPr="005F046F">
              <w:t xml:space="preserve"> hangsúlyozza, hogy a szervezett bűnözés valós helyzetét jól tükrözi a </w:t>
            </w:r>
            <w:proofErr w:type="spellStart"/>
            <w:r w:rsidRPr="005F046F">
              <w:t>héacsalásokkal</w:t>
            </w:r>
            <w:proofErr w:type="spellEnd"/>
            <w:r w:rsidRPr="005F046F">
              <w:t xml:space="preserve">, jövedéki adócsalásokkal és vámcsalásokkal kapcsolatos pénzügyi károk nagyságrendjének értékelése, amelyek gyakran szoros kapcsolatban állnak a szervezett bűnözéssel, és amelyek </w:t>
            </w:r>
            <w:r w:rsidRPr="005F046F">
              <w:rPr>
                <w:b/>
                <w:bCs/>
                <w:i/>
                <w:iCs/>
              </w:rPr>
              <w:t>gyakran</w:t>
            </w:r>
            <w:r w:rsidRPr="005F046F">
              <w:t xml:space="preserve"> nagy pénzügyi összegekkel járnak;</w:t>
            </w:r>
          </w:p>
        </w:tc>
      </w:tr>
    </w:tbl>
    <w:p w14:paraId="5416D292"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A9904B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FE85B6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0084F8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9DF82E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EAC920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D6B21C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4A439C5" w14:textId="77777777" w:rsidTr="00565F8F">
        <w:trPr>
          <w:trHeight w:hRule="exact" w:val="240"/>
          <w:jc w:val="center"/>
        </w:trPr>
        <w:tc>
          <w:tcPr>
            <w:tcW w:w="9752" w:type="dxa"/>
            <w:gridSpan w:val="2"/>
            <w:tcBorders>
              <w:top w:val="nil"/>
              <w:left w:val="nil"/>
              <w:bottom w:val="nil"/>
              <w:right w:val="nil"/>
            </w:tcBorders>
          </w:tcPr>
          <w:p w14:paraId="31FAFC0D" w14:textId="77777777" w:rsidR="000104F2" w:rsidRPr="005F046F" w:rsidRDefault="000104F2" w:rsidP="00565F8F"/>
        </w:tc>
      </w:tr>
      <w:tr w:rsidR="006C656F" w:rsidRPr="005F046F" w14:paraId="45BEB313" w14:textId="77777777" w:rsidTr="00565F8F">
        <w:trPr>
          <w:trHeight w:val="240"/>
          <w:jc w:val="center"/>
        </w:trPr>
        <w:tc>
          <w:tcPr>
            <w:tcW w:w="4876" w:type="dxa"/>
            <w:tcBorders>
              <w:top w:val="nil"/>
              <w:left w:val="nil"/>
              <w:bottom w:val="nil"/>
              <w:right w:val="nil"/>
            </w:tcBorders>
          </w:tcPr>
          <w:p w14:paraId="2B48F32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8A464E0" w14:textId="77777777" w:rsidR="000104F2" w:rsidRPr="005F046F" w:rsidRDefault="000104F2" w:rsidP="00565F8F">
            <w:pPr>
              <w:pStyle w:val="AmColumnHeading"/>
            </w:pPr>
            <w:r w:rsidRPr="005F046F">
              <w:t>Módosítás</w:t>
            </w:r>
          </w:p>
        </w:tc>
      </w:tr>
      <w:tr w:rsidR="006C656F" w:rsidRPr="005F046F" w14:paraId="50542ED3" w14:textId="77777777" w:rsidTr="00565F8F">
        <w:trPr>
          <w:jc w:val="center"/>
        </w:trPr>
        <w:tc>
          <w:tcPr>
            <w:tcW w:w="4876" w:type="dxa"/>
            <w:tcBorders>
              <w:top w:val="nil"/>
              <w:left w:val="nil"/>
              <w:bottom w:val="nil"/>
              <w:right w:val="nil"/>
            </w:tcBorders>
          </w:tcPr>
          <w:p w14:paraId="3FE8C79A" w14:textId="77777777" w:rsidR="000104F2" w:rsidRPr="005F046F" w:rsidRDefault="000104F2" w:rsidP="00565F8F">
            <w:pPr>
              <w:pStyle w:val="Normal6a"/>
            </w:pPr>
            <w:r w:rsidRPr="005F046F">
              <w:t>22.</w:t>
            </w:r>
            <w:r w:rsidRPr="005F046F">
              <w:tab/>
              <w:t xml:space="preserve">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w:t>
            </w:r>
            <w:r w:rsidRPr="005F046F">
              <w:lastRenderedPageBreak/>
              <w:t>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jövedéki adócsalásokkal és vámcsalásokkal kapcsolatos pénzügyi károk nagyságrendjének értékelése, amelyek gyakran szoros kapcsolatban állnak a szervezett bűnözéssel, és amelyek mindig nagy pénzügyi összegekkel járnak;</w:t>
            </w:r>
          </w:p>
        </w:tc>
        <w:tc>
          <w:tcPr>
            <w:tcW w:w="4876" w:type="dxa"/>
            <w:tcBorders>
              <w:top w:val="nil"/>
              <w:left w:val="nil"/>
              <w:bottom w:val="nil"/>
              <w:right w:val="nil"/>
            </w:tcBorders>
          </w:tcPr>
          <w:p w14:paraId="603E47C5" w14:textId="77777777" w:rsidR="000104F2" w:rsidRPr="005F046F" w:rsidRDefault="000104F2" w:rsidP="00565F8F">
            <w:pPr>
              <w:pStyle w:val="Normal6a"/>
            </w:pPr>
            <w:r w:rsidRPr="005F046F">
              <w:lastRenderedPageBreak/>
              <w:t>22.</w:t>
            </w:r>
            <w:r w:rsidRPr="005F046F">
              <w:tab/>
              <w:t xml:space="preserve">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w:t>
            </w:r>
            <w:r w:rsidRPr="005F046F">
              <w:lastRenderedPageBreak/>
              <w:t>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w:t>
            </w:r>
            <w:r w:rsidRPr="005F046F">
              <w:rPr>
                <w:b/>
                <w:bCs/>
                <w:i/>
                <w:iCs/>
              </w:rPr>
              <w:t xml:space="preserve">emlékeztet arra, hogy az </w:t>
            </w:r>
            <w:proofErr w:type="spellStart"/>
            <w:r w:rsidRPr="005F046F">
              <w:rPr>
                <w:b/>
                <w:bCs/>
                <w:i/>
                <w:iCs/>
              </w:rPr>
              <w:t>Europol</w:t>
            </w:r>
            <w:proofErr w:type="spellEnd"/>
            <w:r w:rsidRPr="005F046F">
              <w:rPr>
                <w:b/>
                <w:bCs/>
                <w:i/>
                <w:iCs/>
              </w:rPr>
              <w:t xml:space="preserve"> támogatja és megerősíti a tagállamok illetékes hatóságainak intézkedéseit és kölcsönös együttműködését a – többek között az EU pénzügyi érdekeit sértő – súlyos bűncselekmények megelőzése és az ellenük folytatott küzdelem terén;</w:t>
            </w:r>
            <w:r w:rsidRPr="005F046F">
              <w:t xml:space="preserve"> hangsúlyozza, hogy a szervezett bűnözés valós helyzetét jól tükrözi a </w:t>
            </w:r>
            <w:proofErr w:type="spellStart"/>
            <w:r w:rsidRPr="005F046F">
              <w:t>héacsalásokkal</w:t>
            </w:r>
            <w:proofErr w:type="spellEnd"/>
            <w:r w:rsidRPr="005F046F">
              <w:t>, jövedéki adócsalásokkal és vámcsalásokkal kapcsolatos pénzügyi károk nagyságrendjének értékelése, amelyek gyakran szoros kapcsolatban állnak a szervezett bűnözéssel, és amelyek mindig nagy pénzügyi összegekkel járnak;</w:t>
            </w:r>
          </w:p>
        </w:tc>
      </w:tr>
    </w:tbl>
    <w:p w14:paraId="489541D3"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10B081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EAECDF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320716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AB0269"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3188645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87F251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0BFC7D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47D2401" w14:textId="77777777" w:rsidTr="00565F8F">
        <w:trPr>
          <w:trHeight w:hRule="exact" w:val="240"/>
          <w:jc w:val="center"/>
        </w:trPr>
        <w:tc>
          <w:tcPr>
            <w:tcW w:w="9752" w:type="dxa"/>
            <w:gridSpan w:val="2"/>
            <w:tcBorders>
              <w:top w:val="nil"/>
              <w:left w:val="nil"/>
              <w:bottom w:val="nil"/>
              <w:right w:val="nil"/>
            </w:tcBorders>
          </w:tcPr>
          <w:p w14:paraId="78634C90" w14:textId="77777777" w:rsidR="000104F2" w:rsidRPr="005F046F" w:rsidRDefault="000104F2" w:rsidP="00565F8F"/>
        </w:tc>
      </w:tr>
      <w:tr w:rsidR="006C656F" w:rsidRPr="005F046F" w14:paraId="1089FC52" w14:textId="77777777" w:rsidTr="00565F8F">
        <w:trPr>
          <w:trHeight w:val="240"/>
          <w:jc w:val="center"/>
        </w:trPr>
        <w:tc>
          <w:tcPr>
            <w:tcW w:w="4876" w:type="dxa"/>
            <w:tcBorders>
              <w:top w:val="nil"/>
              <w:left w:val="nil"/>
              <w:bottom w:val="nil"/>
              <w:right w:val="nil"/>
            </w:tcBorders>
          </w:tcPr>
          <w:p w14:paraId="1FDAFF3A"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2F7E04C6" w14:textId="77777777" w:rsidR="000104F2" w:rsidRPr="005F046F" w:rsidRDefault="000104F2" w:rsidP="00565F8F">
            <w:pPr>
              <w:pStyle w:val="AmColumnHeading"/>
            </w:pPr>
            <w:r w:rsidRPr="005F046F">
              <w:t>Módosítás</w:t>
            </w:r>
          </w:p>
        </w:tc>
      </w:tr>
      <w:tr w:rsidR="006C656F" w:rsidRPr="005F046F" w14:paraId="7D82AB57" w14:textId="77777777" w:rsidTr="00565F8F">
        <w:trPr>
          <w:jc w:val="center"/>
        </w:trPr>
        <w:tc>
          <w:tcPr>
            <w:tcW w:w="4876" w:type="dxa"/>
            <w:tcBorders>
              <w:top w:val="nil"/>
              <w:left w:val="nil"/>
              <w:bottom w:val="nil"/>
              <w:right w:val="nil"/>
            </w:tcBorders>
          </w:tcPr>
          <w:p w14:paraId="18A187D8" w14:textId="77777777" w:rsidR="000104F2" w:rsidRPr="005F046F" w:rsidRDefault="000104F2" w:rsidP="00565F8F">
            <w:pPr>
              <w:pStyle w:val="Normal6a"/>
            </w:pPr>
            <w:r w:rsidRPr="005F046F">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jövedéki adócsalásokkal és vámcsalásokkal kapcsolatos pénzügyi károk nagyságrendjének értékelése, amelyek gyakran szoros kapcsolatban állnak a szervezett bűnözéssel, és amelyek mindig nagy pénzügyi összegekkel járnak;</w:t>
            </w:r>
          </w:p>
        </w:tc>
        <w:tc>
          <w:tcPr>
            <w:tcW w:w="4876" w:type="dxa"/>
            <w:tcBorders>
              <w:top w:val="nil"/>
              <w:left w:val="nil"/>
              <w:bottom w:val="nil"/>
              <w:right w:val="nil"/>
            </w:tcBorders>
          </w:tcPr>
          <w:p w14:paraId="07E529D6" w14:textId="77777777" w:rsidR="000104F2" w:rsidRPr="005F046F" w:rsidRDefault="000104F2" w:rsidP="00565F8F">
            <w:pPr>
              <w:pStyle w:val="Normal6a"/>
            </w:pPr>
            <w:r w:rsidRPr="005F046F">
              <w:t>22.</w:t>
            </w:r>
            <w:r w:rsidRPr="005F046F">
              <w:tab/>
              <w:t>megjegyzi, hogy az Európai Ügyészség 385 bűncselekményről számolt be, amelyek PIF-orientált bűnszervezetekre vonatkoztak, és amelyekkel kapcsolatban 2024 végéig aktív nyomozást folytatott (az EPPO 2023. évi éves jelentése 209 PIF-orientált bűnszervezetekre vonatkozó nyomozást említett);</w:t>
            </w:r>
            <w:r w:rsidRPr="005F046F">
              <w:rPr>
                <w:b/>
                <w:i/>
              </w:rPr>
              <w:t xml:space="preserve"> emlékeztet arra, hogy a széttagolt nemzeti jogszabályok és a szervezett bűnözésnek az Európai Ügyészségről szóló rendeletben szereplő szűk fogalommeghatározása miatt a szervezett bűnözés uniós pénzügyi érdekeket érintő csalásokban való jelenléte valószínűleg nagyobb annál, mint amit az ügyviteli rendszerek formális bűncselekményként rögzítenek; </w:t>
            </w:r>
            <w:r w:rsidRPr="005F046F">
              <w:rPr>
                <w:b/>
                <w:bCs/>
                <w:i/>
                <w:iCs/>
              </w:rPr>
              <w:t>jogalkotási nyomon követést szorgalmaz annak biztosítása érdekében, hogy a fogalommeghatározások és eszközök az operatív valóságot tükrözzék;</w:t>
            </w:r>
            <w:r w:rsidRPr="005F046F">
              <w:t xml:space="preserve"> tisztában van azzal, hogy a szervezett bűnözés tényleges érintettsége és annak az uniós források felhasználására gyakorolt hatása nem számszerűsíthető pontosan; megjegyzi, hogy az EPPO által szolgáltatott adatok és elemzések szerint az esetek többségében a delegált európai ügyészek a nyomozásaikat az alapul szolgáló PIF-bűncselekményekre (hűtlen kezelés, csalás, korrupció), nem pedig magára a bűnszervezetre összpontosítják, mivel az EPPO-</w:t>
            </w:r>
            <w:proofErr w:type="spellStart"/>
            <w:r w:rsidRPr="005F046F">
              <w:t>ról</w:t>
            </w:r>
            <w:proofErr w:type="spellEnd"/>
            <w:r w:rsidRPr="005F046F">
              <w:t xml:space="preserve"> szóló rendelet az EPPO hatáskörét azokra a szervezett bűnözői csoportokra korlátozza, amelyek tevékenysége a PIF-bűncselekmények elkövetésére összpontosít (az EPPO-</w:t>
            </w:r>
            <w:proofErr w:type="spellStart"/>
            <w:r w:rsidRPr="005F046F">
              <w:t>ról</w:t>
            </w:r>
            <w:proofErr w:type="spellEnd"/>
            <w:r w:rsidRPr="005F046F">
              <w:t xml:space="preserve"> szóló rendelet 22. cikkének (2) bekezdése); emlékeztet arra, hogy az </w:t>
            </w:r>
            <w:proofErr w:type="spellStart"/>
            <w:r w:rsidRPr="005F046F">
              <w:t>Eurojust</w:t>
            </w:r>
            <w:proofErr w:type="spellEnd"/>
            <w:r w:rsidRPr="005F046F">
              <w:t xml:space="preserve"> segítséget nyújthat az Unió pénzügyi érdekeit sértő, szervezett bűnözéshez kapcsolódó bűncselekményekkel kapcsolatos nyomozások koordinálásához; hangsúlyozza, hogy a szervezett bűnözés valós helyzetét jól tükrözi a </w:t>
            </w:r>
            <w:proofErr w:type="spellStart"/>
            <w:r w:rsidRPr="005F046F">
              <w:t>héacsalásokkal</w:t>
            </w:r>
            <w:proofErr w:type="spellEnd"/>
            <w:r w:rsidRPr="005F046F">
              <w:t xml:space="preserve">, jövedéki adócsalásokkal és </w:t>
            </w:r>
            <w:r w:rsidRPr="005F046F">
              <w:lastRenderedPageBreak/>
              <w:t>vámcsalásokkal kapcsolatos pénzügyi károk nagyságrendjének értékelése, amelyek gyakran szoros kapcsolatban állnak a szervezett bűnözéssel, és amelyek mindig nagy pénzügyi összegekkel járnak;</w:t>
            </w:r>
          </w:p>
        </w:tc>
      </w:tr>
    </w:tbl>
    <w:p w14:paraId="18F41614"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6FFBF4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BF6461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1EC462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04C704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F7B53E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94E295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B804287" w14:textId="77777777" w:rsidTr="00565F8F">
        <w:trPr>
          <w:trHeight w:hRule="exact" w:val="240"/>
          <w:jc w:val="center"/>
        </w:trPr>
        <w:tc>
          <w:tcPr>
            <w:tcW w:w="9752" w:type="dxa"/>
            <w:gridSpan w:val="2"/>
            <w:tcBorders>
              <w:top w:val="nil"/>
              <w:left w:val="nil"/>
              <w:bottom w:val="nil"/>
              <w:right w:val="nil"/>
            </w:tcBorders>
          </w:tcPr>
          <w:p w14:paraId="0694F4CE" w14:textId="77777777" w:rsidR="000104F2" w:rsidRPr="005F046F" w:rsidRDefault="000104F2" w:rsidP="00565F8F"/>
        </w:tc>
      </w:tr>
      <w:tr w:rsidR="006C656F" w:rsidRPr="005F046F" w14:paraId="27A3DC37" w14:textId="77777777" w:rsidTr="00565F8F">
        <w:trPr>
          <w:trHeight w:val="240"/>
          <w:jc w:val="center"/>
        </w:trPr>
        <w:tc>
          <w:tcPr>
            <w:tcW w:w="4876" w:type="dxa"/>
            <w:tcBorders>
              <w:top w:val="nil"/>
              <w:left w:val="nil"/>
              <w:bottom w:val="nil"/>
              <w:right w:val="nil"/>
            </w:tcBorders>
          </w:tcPr>
          <w:p w14:paraId="2284F7A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21DADDD" w14:textId="77777777" w:rsidR="000104F2" w:rsidRPr="005F046F" w:rsidRDefault="000104F2" w:rsidP="00565F8F">
            <w:pPr>
              <w:pStyle w:val="AmColumnHeading"/>
            </w:pPr>
            <w:r w:rsidRPr="005F046F">
              <w:t>Módosítás</w:t>
            </w:r>
          </w:p>
        </w:tc>
      </w:tr>
      <w:tr w:rsidR="006C656F" w:rsidRPr="005F046F" w14:paraId="5D3FAF3C" w14:textId="77777777" w:rsidTr="00565F8F">
        <w:trPr>
          <w:jc w:val="center"/>
        </w:trPr>
        <w:tc>
          <w:tcPr>
            <w:tcW w:w="4876" w:type="dxa"/>
            <w:tcBorders>
              <w:top w:val="nil"/>
              <w:left w:val="nil"/>
              <w:bottom w:val="nil"/>
              <w:right w:val="nil"/>
            </w:tcBorders>
          </w:tcPr>
          <w:p w14:paraId="5443F728" w14:textId="77777777" w:rsidR="000104F2" w:rsidRPr="005F046F" w:rsidRDefault="000104F2" w:rsidP="00565F8F">
            <w:pPr>
              <w:pStyle w:val="Normal6a"/>
            </w:pPr>
          </w:p>
        </w:tc>
        <w:tc>
          <w:tcPr>
            <w:tcW w:w="4876" w:type="dxa"/>
            <w:tcBorders>
              <w:top w:val="nil"/>
              <w:left w:val="nil"/>
              <w:bottom w:val="nil"/>
              <w:right w:val="nil"/>
            </w:tcBorders>
          </w:tcPr>
          <w:p w14:paraId="4E6D96D1" w14:textId="77777777" w:rsidR="000104F2" w:rsidRPr="005F046F" w:rsidRDefault="000104F2" w:rsidP="00565F8F">
            <w:pPr>
              <w:pStyle w:val="Normal6a"/>
            </w:pPr>
            <w:r w:rsidRPr="005F046F">
              <w:rPr>
                <w:b/>
                <w:i/>
              </w:rPr>
              <w:t>22a.</w:t>
            </w:r>
            <w:r w:rsidRPr="005F046F">
              <w:tab/>
            </w:r>
            <w:r w:rsidRPr="005F046F">
              <w:rPr>
                <w:b/>
                <w:i/>
              </w:rPr>
              <w:t xml:space="preserve">megjegyzi, hogy a bűnszervezetek olyan összetett vállalati struktúrákban vesznek részt, amelyeket több – az uniós jog eltérő mértékű érvényesítésével jellemezhető – joghatóságon átívelően átláthatatlan fedőszervezetként használnak, ami egyre inkább az összes uniós alapot és a Helyreállítási és </w:t>
            </w:r>
            <w:proofErr w:type="spellStart"/>
            <w:r w:rsidRPr="005F046F">
              <w:rPr>
                <w:b/>
                <w:i/>
              </w:rPr>
              <w:t>Rezilienciaépítési</w:t>
            </w:r>
            <w:proofErr w:type="spellEnd"/>
            <w:r w:rsidRPr="005F046F">
              <w:rPr>
                <w:b/>
                <w:i/>
              </w:rPr>
              <w:t xml:space="preserve"> Eszközt érinti; hangsúlyozza, hogy az Unióban folytatott, szervezett bűnözés elleni küzdelem csak az uniós szintű adatelemzési kapacitás javításával és a csalás elleni küzdelemért felelős szervek számára a ciklus különböző szintjein biztosított megfelelő erőforrásokkal tehető eredményessé;</w:t>
            </w:r>
          </w:p>
        </w:tc>
      </w:tr>
    </w:tbl>
    <w:p w14:paraId="6F326C6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C76BDC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49B73C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AB52A4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324AEB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14FFED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4F0862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6BA7A6B" w14:textId="77777777" w:rsidTr="00565F8F">
        <w:trPr>
          <w:trHeight w:hRule="exact" w:val="240"/>
          <w:jc w:val="center"/>
        </w:trPr>
        <w:tc>
          <w:tcPr>
            <w:tcW w:w="9752" w:type="dxa"/>
            <w:gridSpan w:val="2"/>
            <w:tcBorders>
              <w:top w:val="nil"/>
              <w:left w:val="nil"/>
              <w:bottom w:val="nil"/>
              <w:right w:val="nil"/>
            </w:tcBorders>
          </w:tcPr>
          <w:p w14:paraId="6A5840CA" w14:textId="77777777" w:rsidR="000104F2" w:rsidRPr="005F046F" w:rsidRDefault="000104F2" w:rsidP="00565F8F"/>
        </w:tc>
      </w:tr>
      <w:tr w:rsidR="006C656F" w:rsidRPr="005F046F" w14:paraId="77665951" w14:textId="77777777" w:rsidTr="00565F8F">
        <w:trPr>
          <w:trHeight w:val="240"/>
          <w:jc w:val="center"/>
        </w:trPr>
        <w:tc>
          <w:tcPr>
            <w:tcW w:w="4876" w:type="dxa"/>
            <w:tcBorders>
              <w:top w:val="nil"/>
              <w:left w:val="nil"/>
              <w:bottom w:val="nil"/>
              <w:right w:val="nil"/>
            </w:tcBorders>
          </w:tcPr>
          <w:p w14:paraId="4AF7506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CD58BF1" w14:textId="77777777" w:rsidR="000104F2" w:rsidRPr="005F046F" w:rsidRDefault="000104F2" w:rsidP="00565F8F">
            <w:pPr>
              <w:pStyle w:val="AmColumnHeading"/>
            </w:pPr>
            <w:r w:rsidRPr="005F046F">
              <w:t>Módosítás</w:t>
            </w:r>
          </w:p>
        </w:tc>
      </w:tr>
      <w:tr w:rsidR="006C656F" w:rsidRPr="005F046F" w14:paraId="7C73DC9E" w14:textId="77777777" w:rsidTr="00565F8F">
        <w:trPr>
          <w:jc w:val="center"/>
        </w:trPr>
        <w:tc>
          <w:tcPr>
            <w:tcW w:w="4876" w:type="dxa"/>
            <w:tcBorders>
              <w:top w:val="nil"/>
              <w:left w:val="nil"/>
              <w:bottom w:val="nil"/>
              <w:right w:val="nil"/>
            </w:tcBorders>
          </w:tcPr>
          <w:p w14:paraId="2C7D5E2E" w14:textId="77777777" w:rsidR="000104F2" w:rsidRPr="005F046F" w:rsidRDefault="000104F2" w:rsidP="00565F8F">
            <w:pPr>
              <w:pStyle w:val="Normal6a"/>
            </w:pPr>
          </w:p>
        </w:tc>
        <w:tc>
          <w:tcPr>
            <w:tcW w:w="4876" w:type="dxa"/>
            <w:tcBorders>
              <w:top w:val="nil"/>
              <w:left w:val="nil"/>
              <w:bottom w:val="nil"/>
              <w:right w:val="nil"/>
            </w:tcBorders>
          </w:tcPr>
          <w:p w14:paraId="6092D7F6" w14:textId="77777777" w:rsidR="000104F2" w:rsidRPr="005F046F" w:rsidRDefault="000104F2" w:rsidP="00565F8F">
            <w:pPr>
              <w:pStyle w:val="Normal6a"/>
            </w:pPr>
            <w:r w:rsidRPr="005F046F">
              <w:rPr>
                <w:b/>
                <w:i/>
              </w:rPr>
              <w:t>22a.</w:t>
            </w:r>
            <w:r w:rsidRPr="005F046F">
              <w:tab/>
            </w:r>
            <w:r w:rsidRPr="005F046F">
              <w:rPr>
                <w:b/>
                <w:i/>
              </w:rPr>
              <w:t xml:space="preserve">tudatában van annak, hogy egyre nagyobb a kockázata annak, hogy a </w:t>
            </w:r>
            <w:r w:rsidRPr="005F046F">
              <w:rPr>
                <w:b/>
                <w:i/>
              </w:rPr>
              <w:lastRenderedPageBreak/>
              <w:t xml:space="preserve">mesterséges intelligencia által létrehozott tartalmakat a közbeszerzési eljárások vagy a pénzügyi műveletek integritásának aláásására, a vizsgálatok félrevezetésére vagy a szerződések meghamisítására, valamint digitális személyazonosság-lopásra használják fel; megérti, hogy megerősített, határokon átnyúló együttműködésre és adatmegosztási mechanizmusokra van szükség a tagállamok és az uniós hatóságok között a mesterséges intelligencián alapuló csalás elleni küzdelem érdekében, különösen az olyan magas kockázatú területeken, mint a </w:t>
            </w:r>
            <w:proofErr w:type="spellStart"/>
            <w:r w:rsidRPr="005F046F">
              <w:rPr>
                <w:b/>
                <w:i/>
              </w:rPr>
              <w:t>héa</w:t>
            </w:r>
            <w:proofErr w:type="spellEnd"/>
            <w:r w:rsidRPr="005F046F">
              <w:rPr>
                <w:b/>
                <w:i/>
              </w:rPr>
              <w:t xml:space="preserve">, a vámok és a pénzügyi támogatás elosztása; az OLAF, az Európai Ügyészség és az </w:t>
            </w:r>
            <w:proofErr w:type="spellStart"/>
            <w:r w:rsidRPr="005F046F">
              <w:rPr>
                <w:b/>
                <w:i/>
              </w:rPr>
              <w:t>Europol</w:t>
            </w:r>
            <w:proofErr w:type="spellEnd"/>
            <w:r w:rsidRPr="005F046F">
              <w:rPr>
                <w:b/>
                <w:i/>
              </w:rPr>
              <w:t xml:space="preserve"> MI-alapú csalásfelderítési mechanizmusainak kidolgozása érdekében szükségesnek tartja egy olyan célzott uniós szintű kezdeményezés elindítását, amely az uniós költségvetést sértő pénzügyi bűncselekményekre összpontosít; kéri a Bizottságot és a tagállamokat, hogy a csalásfelderítési rendszerekbe építsék be a mesterséges intelligenciát és az adatelemzést, az erős adatvédelmi biztosítékok fenntartása mellett biztosítva a nemzeti és uniós szintű adatbázisok közötti </w:t>
            </w:r>
            <w:proofErr w:type="spellStart"/>
            <w:r w:rsidRPr="005F046F">
              <w:rPr>
                <w:b/>
                <w:i/>
              </w:rPr>
              <w:t>interoperabilitást</w:t>
            </w:r>
            <w:proofErr w:type="spellEnd"/>
            <w:r w:rsidRPr="005F046F">
              <w:rPr>
                <w:b/>
                <w:i/>
              </w:rPr>
              <w:t xml:space="preserve">; a pénzügyi csalási ügyekben benyújtott valamennyi digitális bizonyíték esetében ismét kötelező törvényszéki ellenőrzési eljárást szorgalmaz, garantálva a vizsgálatok során használt dokumentumok és hang- és </w:t>
            </w:r>
            <w:proofErr w:type="spellStart"/>
            <w:r w:rsidRPr="005F046F">
              <w:rPr>
                <w:b/>
                <w:i/>
              </w:rPr>
              <w:t>videoanyagok</w:t>
            </w:r>
            <w:proofErr w:type="spellEnd"/>
            <w:r w:rsidRPr="005F046F">
              <w:rPr>
                <w:b/>
                <w:i/>
              </w:rPr>
              <w:t xml:space="preserve"> hitelességét;</w:t>
            </w:r>
          </w:p>
        </w:tc>
      </w:tr>
    </w:tbl>
    <w:p w14:paraId="03E39AF4"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DBC385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2F616D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5D6225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2F082A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FD2189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A06285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2FB8F97" w14:textId="77777777" w:rsidTr="00565F8F">
        <w:trPr>
          <w:trHeight w:hRule="exact" w:val="240"/>
          <w:jc w:val="center"/>
        </w:trPr>
        <w:tc>
          <w:tcPr>
            <w:tcW w:w="9752" w:type="dxa"/>
            <w:gridSpan w:val="2"/>
            <w:tcBorders>
              <w:top w:val="nil"/>
              <w:left w:val="nil"/>
              <w:bottom w:val="nil"/>
              <w:right w:val="nil"/>
            </w:tcBorders>
          </w:tcPr>
          <w:p w14:paraId="1946FA43" w14:textId="77777777" w:rsidR="000104F2" w:rsidRPr="005F046F" w:rsidRDefault="000104F2" w:rsidP="00565F8F"/>
        </w:tc>
      </w:tr>
      <w:tr w:rsidR="006C656F" w:rsidRPr="005F046F" w14:paraId="48D06213" w14:textId="77777777" w:rsidTr="00565F8F">
        <w:trPr>
          <w:trHeight w:val="240"/>
          <w:jc w:val="center"/>
        </w:trPr>
        <w:tc>
          <w:tcPr>
            <w:tcW w:w="4876" w:type="dxa"/>
            <w:tcBorders>
              <w:top w:val="nil"/>
              <w:left w:val="nil"/>
              <w:bottom w:val="nil"/>
              <w:right w:val="nil"/>
            </w:tcBorders>
          </w:tcPr>
          <w:p w14:paraId="17C076FD"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4DA1874D" w14:textId="77777777" w:rsidR="000104F2" w:rsidRPr="005F046F" w:rsidRDefault="000104F2" w:rsidP="00565F8F">
            <w:pPr>
              <w:pStyle w:val="AmColumnHeading"/>
            </w:pPr>
            <w:r w:rsidRPr="005F046F">
              <w:t>Módosítás</w:t>
            </w:r>
          </w:p>
        </w:tc>
      </w:tr>
      <w:tr w:rsidR="006C656F" w:rsidRPr="005F046F" w14:paraId="7D94A344" w14:textId="77777777" w:rsidTr="00565F8F">
        <w:trPr>
          <w:jc w:val="center"/>
        </w:trPr>
        <w:tc>
          <w:tcPr>
            <w:tcW w:w="4876" w:type="dxa"/>
            <w:tcBorders>
              <w:top w:val="nil"/>
              <w:left w:val="nil"/>
              <w:bottom w:val="nil"/>
              <w:right w:val="nil"/>
            </w:tcBorders>
          </w:tcPr>
          <w:p w14:paraId="7D4F4937" w14:textId="4EE93380" w:rsidR="000104F2" w:rsidRPr="005F046F" w:rsidRDefault="000104F2" w:rsidP="00565F8F">
            <w:pPr>
              <w:pStyle w:val="Normal6a"/>
            </w:pPr>
            <w:r w:rsidRPr="005F046F">
              <w:t>23.</w:t>
            </w:r>
            <w:r w:rsidRPr="005F046F">
              <w:tab/>
              <w:t xml:space="preserve">megjegyzi, hogy egyre több </w:t>
            </w:r>
            <w:proofErr w:type="spellStart"/>
            <w:r w:rsidRPr="005F046F">
              <w:t>héacsalási</w:t>
            </w:r>
            <w:proofErr w:type="spellEnd"/>
            <w:r w:rsidRPr="005F046F">
              <w:t xml:space="preserve"> esetet jelentenek be, és hogy azok 2023-ban az Európai Ügyészség folyamatban lévő ügyeinek mintegy 20%</w:t>
            </w:r>
            <w:r w:rsidR="00B321FB">
              <w:noBreakHyphen/>
            </w:r>
            <w:proofErr w:type="spellStart"/>
            <w:r w:rsidRPr="005F046F">
              <w:t>ában</w:t>
            </w:r>
            <w:proofErr w:type="spellEnd"/>
            <w:r w:rsidRPr="005F046F">
              <w:t xml:space="preserve"> voltak jelen, 873 esettel, és hogy 2024-ben összesen 1287 </w:t>
            </w:r>
            <w:proofErr w:type="spellStart"/>
            <w:r w:rsidRPr="005F046F">
              <w:t>héacsalással</w:t>
            </w:r>
            <w:proofErr w:type="spellEnd"/>
            <w:r w:rsidRPr="005F046F">
              <w:t xml:space="preserve"> kapcsolatos jogsértési ügy volt, ami az összes jogsértés 20,29%-át tette ki, és a becslések szerint 13,5 milliárd EUR veszteséget okozott, ami a teljes becsült veszteség 53%-</w:t>
            </w:r>
            <w:proofErr w:type="spellStart"/>
            <w:r w:rsidRPr="005F046F">
              <w:t>ának</w:t>
            </w:r>
            <w:proofErr w:type="spellEnd"/>
            <w:r w:rsidRPr="005F046F">
              <w:t xml:space="preserve"> felel meg;</w:t>
            </w:r>
          </w:p>
        </w:tc>
        <w:tc>
          <w:tcPr>
            <w:tcW w:w="4876" w:type="dxa"/>
            <w:tcBorders>
              <w:top w:val="nil"/>
              <w:left w:val="nil"/>
              <w:bottom w:val="nil"/>
              <w:right w:val="nil"/>
            </w:tcBorders>
          </w:tcPr>
          <w:p w14:paraId="65B8CCC6" w14:textId="04C1B650" w:rsidR="000104F2" w:rsidRPr="005F046F" w:rsidRDefault="000104F2" w:rsidP="00565F8F">
            <w:pPr>
              <w:pStyle w:val="Normal6a"/>
            </w:pPr>
            <w:r w:rsidRPr="005F046F">
              <w:t>23.</w:t>
            </w:r>
            <w:r w:rsidRPr="005F046F">
              <w:tab/>
              <w:t xml:space="preserve">megjegyzi, hogy egyre több </w:t>
            </w:r>
            <w:proofErr w:type="spellStart"/>
            <w:r w:rsidRPr="005F046F">
              <w:t>héacsalási</w:t>
            </w:r>
            <w:proofErr w:type="spellEnd"/>
            <w:r w:rsidRPr="005F046F">
              <w:t xml:space="preserve"> esetet jelentenek be, és hogy azok 2023-ban az Európai Ügyészség folyamatban lévő ügyeinek mintegy 20%</w:t>
            </w:r>
            <w:r w:rsidR="00B321FB">
              <w:noBreakHyphen/>
            </w:r>
            <w:proofErr w:type="spellStart"/>
            <w:r w:rsidRPr="005F046F">
              <w:t>ában</w:t>
            </w:r>
            <w:proofErr w:type="spellEnd"/>
            <w:r w:rsidRPr="005F046F">
              <w:t xml:space="preserve"> voltak jelen, 873 esettel, és hogy 2024-ben összesen 1287 </w:t>
            </w:r>
            <w:proofErr w:type="spellStart"/>
            <w:r w:rsidRPr="005F046F">
              <w:t>héacsalással</w:t>
            </w:r>
            <w:proofErr w:type="spellEnd"/>
            <w:r w:rsidRPr="005F046F">
              <w:t xml:space="preserve"> kapcsolatos jogsértési ügy volt, ami az összes jogsértés 20,29%-át tette ki, és a becslések szerint 13,5 milliárd EUR veszteséget okozott, ami a teljes becsült veszteség 53%-</w:t>
            </w:r>
            <w:proofErr w:type="spellStart"/>
            <w:r w:rsidRPr="005F046F">
              <w:t>ának</w:t>
            </w:r>
            <w:proofErr w:type="spellEnd"/>
            <w:r w:rsidRPr="005F046F">
              <w:t xml:space="preserve"> felel meg; </w:t>
            </w:r>
            <w:r w:rsidRPr="005F046F">
              <w:rPr>
                <w:b/>
                <w:i/>
              </w:rPr>
              <w:t xml:space="preserve">megjegyzi, hogy az értelmezéssel, a kárszámítási módszerekkel és az ügyek összetettségével kapcsolatos következetlen megközelítések miatt a PIF-irányelvben meghatározott jelenlegi 10 millió EUR-s küszöbérték nem hatékony kritérium az Európai Ügyészség hatáskörének </w:t>
            </w:r>
            <w:proofErr w:type="spellStart"/>
            <w:r w:rsidRPr="005F046F">
              <w:rPr>
                <w:b/>
                <w:i/>
              </w:rPr>
              <w:t>héaügyekben</w:t>
            </w:r>
            <w:proofErr w:type="spellEnd"/>
            <w:r w:rsidRPr="005F046F">
              <w:rPr>
                <w:b/>
                <w:i/>
              </w:rPr>
              <w:t xml:space="preserve"> való megállapításához, ami gyengíti a </w:t>
            </w:r>
            <w:proofErr w:type="spellStart"/>
            <w:r w:rsidRPr="005F046F">
              <w:rPr>
                <w:b/>
                <w:i/>
              </w:rPr>
              <w:t>héacsalási</w:t>
            </w:r>
            <w:proofErr w:type="spellEnd"/>
            <w:r w:rsidRPr="005F046F">
              <w:rPr>
                <w:b/>
                <w:i/>
              </w:rPr>
              <w:t xml:space="preserve"> ügyek egységes és következetes kezelését; ismételten kéri a Bizottságot, hogy vizsgálja felül a küszöbértéket, és garantálja a teljes kár következetes értelmezését azáltal, hogy határozottabb utasításokat és egyértelmű iránymutatást nyújt a tagállamoknak;</w:t>
            </w:r>
          </w:p>
        </w:tc>
      </w:tr>
    </w:tbl>
    <w:p w14:paraId="4A4851A7"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371478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9A3081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E79EC8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6752F8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8ADE29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1DB187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AE00C0E" w14:textId="77777777" w:rsidTr="00565F8F">
        <w:trPr>
          <w:trHeight w:hRule="exact" w:val="240"/>
          <w:jc w:val="center"/>
        </w:trPr>
        <w:tc>
          <w:tcPr>
            <w:tcW w:w="9752" w:type="dxa"/>
            <w:gridSpan w:val="2"/>
            <w:tcBorders>
              <w:top w:val="nil"/>
              <w:left w:val="nil"/>
              <w:bottom w:val="nil"/>
              <w:right w:val="nil"/>
            </w:tcBorders>
          </w:tcPr>
          <w:p w14:paraId="0D477F01" w14:textId="77777777" w:rsidR="000104F2" w:rsidRPr="005F046F" w:rsidRDefault="000104F2" w:rsidP="00565F8F"/>
        </w:tc>
      </w:tr>
      <w:tr w:rsidR="006C656F" w:rsidRPr="005F046F" w14:paraId="20CDBCF7" w14:textId="77777777" w:rsidTr="00565F8F">
        <w:trPr>
          <w:trHeight w:val="240"/>
          <w:jc w:val="center"/>
        </w:trPr>
        <w:tc>
          <w:tcPr>
            <w:tcW w:w="4876" w:type="dxa"/>
            <w:tcBorders>
              <w:top w:val="nil"/>
              <w:left w:val="nil"/>
              <w:bottom w:val="nil"/>
              <w:right w:val="nil"/>
            </w:tcBorders>
          </w:tcPr>
          <w:p w14:paraId="503B1B8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69BC47E" w14:textId="77777777" w:rsidR="000104F2" w:rsidRPr="005F046F" w:rsidRDefault="000104F2" w:rsidP="00565F8F">
            <w:pPr>
              <w:pStyle w:val="AmColumnHeading"/>
            </w:pPr>
            <w:r w:rsidRPr="005F046F">
              <w:t>Módosítás</w:t>
            </w:r>
          </w:p>
        </w:tc>
      </w:tr>
      <w:tr w:rsidR="006C656F" w:rsidRPr="005F046F" w14:paraId="0248C89A" w14:textId="77777777" w:rsidTr="00565F8F">
        <w:trPr>
          <w:jc w:val="center"/>
        </w:trPr>
        <w:tc>
          <w:tcPr>
            <w:tcW w:w="4876" w:type="dxa"/>
            <w:tcBorders>
              <w:top w:val="nil"/>
              <w:left w:val="nil"/>
              <w:bottom w:val="nil"/>
              <w:right w:val="nil"/>
            </w:tcBorders>
          </w:tcPr>
          <w:p w14:paraId="0FD70322" w14:textId="77777777" w:rsidR="000104F2" w:rsidRPr="005F046F" w:rsidRDefault="000104F2" w:rsidP="00565F8F">
            <w:pPr>
              <w:pStyle w:val="Normal6a"/>
            </w:pPr>
          </w:p>
        </w:tc>
        <w:tc>
          <w:tcPr>
            <w:tcW w:w="4876" w:type="dxa"/>
            <w:tcBorders>
              <w:top w:val="nil"/>
              <w:left w:val="nil"/>
              <w:bottom w:val="nil"/>
              <w:right w:val="nil"/>
            </w:tcBorders>
          </w:tcPr>
          <w:p w14:paraId="469FFA0E" w14:textId="77777777" w:rsidR="000104F2" w:rsidRPr="005F046F" w:rsidRDefault="000104F2" w:rsidP="00565F8F">
            <w:pPr>
              <w:pStyle w:val="Normal6a"/>
            </w:pPr>
            <w:r w:rsidRPr="005F046F">
              <w:rPr>
                <w:b/>
                <w:i/>
              </w:rPr>
              <w:t>25a.</w:t>
            </w:r>
            <w:r w:rsidRPr="005F046F">
              <w:tab/>
            </w:r>
            <w:r w:rsidRPr="005F046F">
              <w:rPr>
                <w:b/>
                <w:i/>
              </w:rPr>
              <w:t xml:space="preserve">hangsúlyozza, hogy a tagállamok közötti határokon átnyúló együttműködés és célzott adatmegosztás megerősítése nagy jelentőséggel bír az MI-alapú csalások megelőzése és leküzdése szempontjából, különösen az olyan magas kockázatú területeken, mint a </w:t>
            </w:r>
            <w:proofErr w:type="spellStart"/>
            <w:r w:rsidRPr="005F046F">
              <w:rPr>
                <w:b/>
                <w:i/>
              </w:rPr>
              <w:t>héa</w:t>
            </w:r>
            <w:proofErr w:type="spellEnd"/>
            <w:r w:rsidRPr="005F046F">
              <w:rPr>
                <w:b/>
                <w:i/>
              </w:rPr>
              <w:t xml:space="preserve">, a </w:t>
            </w:r>
            <w:r w:rsidRPr="005F046F">
              <w:rPr>
                <w:b/>
                <w:i/>
              </w:rPr>
              <w:lastRenderedPageBreak/>
              <w:t>vámok és az uniós pénzügyi támogatás; kéri a Bizottságot, hogy egy olyan összehangolt, uniós szintű hírszerzési központ létrehozásával támogassa a tagállamokat, amely hatékonyan és valós időben nyomon követi és kezeli az MI-alapú csalárd tevékenységeket;</w:t>
            </w:r>
          </w:p>
        </w:tc>
      </w:tr>
    </w:tbl>
    <w:p w14:paraId="3D44636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3A7689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345D9B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9BF784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175703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15DD71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810D4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E6E9736" w14:textId="77777777" w:rsidTr="00565F8F">
        <w:trPr>
          <w:trHeight w:hRule="exact" w:val="240"/>
          <w:jc w:val="center"/>
        </w:trPr>
        <w:tc>
          <w:tcPr>
            <w:tcW w:w="9752" w:type="dxa"/>
            <w:gridSpan w:val="2"/>
            <w:tcBorders>
              <w:top w:val="nil"/>
              <w:left w:val="nil"/>
              <w:bottom w:val="nil"/>
              <w:right w:val="nil"/>
            </w:tcBorders>
          </w:tcPr>
          <w:p w14:paraId="38B4780F" w14:textId="77777777" w:rsidR="000104F2" w:rsidRPr="005F046F" w:rsidRDefault="000104F2" w:rsidP="00565F8F"/>
        </w:tc>
      </w:tr>
      <w:tr w:rsidR="006C656F" w:rsidRPr="005F046F" w14:paraId="651F3B4C" w14:textId="77777777" w:rsidTr="00565F8F">
        <w:trPr>
          <w:trHeight w:val="240"/>
          <w:jc w:val="center"/>
        </w:trPr>
        <w:tc>
          <w:tcPr>
            <w:tcW w:w="4876" w:type="dxa"/>
            <w:tcBorders>
              <w:top w:val="nil"/>
              <w:left w:val="nil"/>
              <w:bottom w:val="nil"/>
              <w:right w:val="nil"/>
            </w:tcBorders>
          </w:tcPr>
          <w:p w14:paraId="73ABE28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41F702D" w14:textId="77777777" w:rsidR="000104F2" w:rsidRPr="005F046F" w:rsidRDefault="000104F2" w:rsidP="00565F8F">
            <w:pPr>
              <w:pStyle w:val="AmColumnHeading"/>
            </w:pPr>
            <w:r w:rsidRPr="005F046F">
              <w:t>Módosítás</w:t>
            </w:r>
          </w:p>
        </w:tc>
      </w:tr>
      <w:tr w:rsidR="006C656F" w:rsidRPr="005F046F" w14:paraId="487941BD" w14:textId="77777777" w:rsidTr="00565F8F">
        <w:trPr>
          <w:jc w:val="center"/>
        </w:trPr>
        <w:tc>
          <w:tcPr>
            <w:tcW w:w="4876" w:type="dxa"/>
            <w:tcBorders>
              <w:top w:val="nil"/>
              <w:left w:val="nil"/>
              <w:bottom w:val="nil"/>
              <w:right w:val="nil"/>
            </w:tcBorders>
          </w:tcPr>
          <w:p w14:paraId="7A32C15A" w14:textId="77777777" w:rsidR="000104F2" w:rsidRPr="005F046F" w:rsidRDefault="000104F2" w:rsidP="00565F8F">
            <w:pPr>
              <w:pStyle w:val="Normal6a"/>
            </w:pPr>
          </w:p>
        </w:tc>
        <w:tc>
          <w:tcPr>
            <w:tcW w:w="4876" w:type="dxa"/>
            <w:tcBorders>
              <w:top w:val="nil"/>
              <w:left w:val="nil"/>
              <w:bottom w:val="nil"/>
              <w:right w:val="nil"/>
            </w:tcBorders>
          </w:tcPr>
          <w:p w14:paraId="0830855F" w14:textId="77777777" w:rsidR="000104F2" w:rsidRPr="005F046F" w:rsidRDefault="000104F2" w:rsidP="00565F8F">
            <w:pPr>
              <w:pStyle w:val="Normal6a"/>
            </w:pPr>
            <w:r w:rsidRPr="005F046F">
              <w:rPr>
                <w:b/>
                <w:i/>
              </w:rPr>
              <w:t>25a.</w:t>
            </w:r>
            <w:r w:rsidRPr="005F046F">
              <w:tab/>
            </w:r>
            <w:r w:rsidRPr="005F046F">
              <w:rPr>
                <w:b/>
                <w:i/>
              </w:rPr>
              <w:t xml:space="preserve">fenntartja, hogy az OLAF és az EPPO számára egyaránt közvetlen és időszerű hozzáférést kell biztosítani a vonatkozó </w:t>
            </w:r>
            <w:proofErr w:type="spellStart"/>
            <w:r w:rsidRPr="005F046F">
              <w:rPr>
                <w:b/>
                <w:i/>
              </w:rPr>
              <w:t>héaadatokhoz</w:t>
            </w:r>
            <w:proofErr w:type="spellEnd"/>
            <w:r w:rsidRPr="005F046F">
              <w:rPr>
                <w:b/>
                <w:i/>
              </w:rPr>
              <w:t xml:space="preserve"> annak érdekében, hogy a Közösségen belüli </w:t>
            </w:r>
            <w:proofErr w:type="spellStart"/>
            <w:r w:rsidRPr="005F046F">
              <w:rPr>
                <w:b/>
                <w:i/>
              </w:rPr>
              <w:t>héacsalások</w:t>
            </w:r>
            <w:proofErr w:type="spellEnd"/>
            <w:r w:rsidRPr="005F046F">
              <w:rPr>
                <w:b/>
                <w:i/>
              </w:rPr>
              <w:t xml:space="preserve"> kivizsgálása hatékony és eredményes legyen; üdvözli e tekintetben a 904/2010/EU rendelet módosítására irányuló 2025. november 14-i javaslatot, amely mindkét szerv esetében javítaná a </w:t>
            </w:r>
            <w:proofErr w:type="spellStart"/>
            <w:r w:rsidRPr="005F046F">
              <w:rPr>
                <w:b/>
                <w:i/>
              </w:rPr>
              <w:t>héainformációkhoz</w:t>
            </w:r>
            <w:proofErr w:type="spellEnd"/>
            <w:r w:rsidRPr="005F046F">
              <w:rPr>
                <w:b/>
                <w:i/>
              </w:rPr>
              <w:t xml:space="preserve"> való uniós szintű hozzáférést, megerősítené az OLAF és az Európai Ügyészség közötti együttműködést, és jelentősen növelné a vizsgálatok hatékonyságát; a javasolt módosított rendelet haladéktalan elfogadását és végrehajtását szorgalmazza;</w:t>
            </w:r>
          </w:p>
        </w:tc>
      </w:tr>
    </w:tbl>
    <w:p w14:paraId="6EDBBA4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E867F6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E96F26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FDE57A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FD63DDE"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59106C6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61C785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D40E31D"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Article</w:t>
      </w:r>
      <w:proofErr w:type="spellEnd"/>
      <w:r w:rsidRPr="005F046F">
        <w:rPr>
          <w:rStyle w:val="HideTWBExt"/>
          <w:color w:val="auto"/>
        </w:rPr>
        <w:t>&gt;</w:t>
      </w:r>
      <w:r w:rsidRPr="005F046F">
        <w:t>25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D40B7BE" w14:textId="77777777" w:rsidTr="00565F8F">
        <w:trPr>
          <w:trHeight w:hRule="exact" w:val="240"/>
          <w:jc w:val="center"/>
        </w:trPr>
        <w:tc>
          <w:tcPr>
            <w:tcW w:w="9752" w:type="dxa"/>
            <w:gridSpan w:val="2"/>
            <w:tcBorders>
              <w:top w:val="nil"/>
              <w:left w:val="nil"/>
              <w:bottom w:val="nil"/>
              <w:right w:val="nil"/>
            </w:tcBorders>
          </w:tcPr>
          <w:p w14:paraId="6D55BD01" w14:textId="77777777" w:rsidR="000104F2" w:rsidRPr="005F046F" w:rsidRDefault="000104F2" w:rsidP="00565F8F"/>
        </w:tc>
      </w:tr>
      <w:tr w:rsidR="006C656F" w:rsidRPr="005F046F" w14:paraId="70985AD7" w14:textId="77777777" w:rsidTr="00565F8F">
        <w:trPr>
          <w:trHeight w:val="240"/>
          <w:jc w:val="center"/>
        </w:trPr>
        <w:tc>
          <w:tcPr>
            <w:tcW w:w="4876" w:type="dxa"/>
            <w:tcBorders>
              <w:top w:val="nil"/>
              <w:left w:val="nil"/>
              <w:bottom w:val="nil"/>
              <w:right w:val="nil"/>
            </w:tcBorders>
          </w:tcPr>
          <w:p w14:paraId="06D5A88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DAFE95C" w14:textId="77777777" w:rsidR="000104F2" w:rsidRPr="005F046F" w:rsidRDefault="000104F2" w:rsidP="00565F8F">
            <w:pPr>
              <w:pStyle w:val="AmColumnHeading"/>
            </w:pPr>
            <w:r w:rsidRPr="005F046F">
              <w:t>Módosítás</w:t>
            </w:r>
          </w:p>
        </w:tc>
      </w:tr>
      <w:tr w:rsidR="006C656F" w:rsidRPr="005F046F" w14:paraId="66C76EEF" w14:textId="77777777" w:rsidTr="00565F8F">
        <w:trPr>
          <w:jc w:val="center"/>
        </w:trPr>
        <w:tc>
          <w:tcPr>
            <w:tcW w:w="4876" w:type="dxa"/>
            <w:tcBorders>
              <w:top w:val="nil"/>
              <w:left w:val="nil"/>
              <w:bottom w:val="nil"/>
              <w:right w:val="nil"/>
            </w:tcBorders>
          </w:tcPr>
          <w:p w14:paraId="1FE1E3F1" w14:textId="77777777" w:rsidR="000104F2" w:rsidRPr="005F046F" w:rsidRDefault="000104F2" w:rsidP="00565F8F">
            <w:pPr>
              <w:pStyle w:val="Normal6a"/>
            </w:pPr>
          </w:p>
        </w:tc>
        <w:tc>
          <w:tcPr>
            <w:tcW w:w="4876" w:type="dxa"/>
            <w:tcBorders>
              <w:top w:val="nil"/>
              <w:left w:val="nil"/>
              <w:bottom w:val="nil"/>
              <w:right w:val="nil"/>
            </w:tcBorders>
          </w:tcPr>
          <w:p w14:paraId="37F25584" w14:textId="77777777" w:rsidR="000104F2" w:rsidRPr="005F046F" w:rsidRDefault="000104F2" w:rsidP="00565F8F">
            <w:pPr>
              <w:pStyle w:val="Normal6a"/>
            </w:pPr>
            <w:r w:rsidRPr="005F046F">
              <w:rPr>
                <w:b/>
                <w:i/>
              </w:rPr>
              <w:t>25a.</w:t>
            </w:r>
            <w:r w:rsidRPr="005F046F">
              <w:tab/>
            </w:r>
            <w:r w:rsidRPr="005F046F">
              <w:rPr>
                <w:b/>
                <w:i/>
              </w:rPr>
              <w:t xml:space="preserve">tudomásul veszi, hogy az </w:t>
            </w:r>
            <w:proofErr w:type="spellStart"/>
            <w:r w:rsidRPr="005F046F">
              <w:rPr>
                <w:b/>
                <w:i/>
              </w:rPr>
              <w:t>Eurofisc</w:t>
            </w:r>
            <w:proofErr w:type="spellEnd"/>
            <w:r w:rsidRPr="005F046F">
              <w:rPr>
                <w:b/>
                <w:i/>
              </w:rPr>
              <w:t xml:space="preserve"> a határokon átnyúló, körhinta jellegű </w:t>
            </w:r>
            <w:proofErr w:type="spellStart"/>
            <w:r w:rsidRPr="005F046F">
              <w:rPr>
                <w:b/>
                <w:i/>
              </w:rPr>
              <w:t>héacsalások</w:t>
            </w:r>
            <w:proofErr w:type="spellEnd"/>
            <w:r w:rsidRPr="005F046F">
              <w:rPr>
                <w:b/>
                <w:i/>
              </w:rPr>
              <w:t xml:space="preserve"> felderítése terén fontos szerepet játszik a korai előrejelzésben és kockázatértékelésben; erősebb, jogilag megalapozott információáramlást szorgalmaz a nemzeti adóhatóságok, az </w:t>
            </w:r>
            <w:proofErr w:type="spellStart"/>
            <w:r w:rsidRPr="005F046F">
              <w:rPr>
                <w:b/>
                <w:i/>
              </w:rPr>
              <w:t>Eurofisc</w:t>
            </w:r>
            <w:proofErr w:type="spellEnd"/>
            <w:r w:rsidRPr="005F046F">
              <w:rPr>
                <w:b/>
                <w:i/>
              </w:rPr>
              <w:t>, az OLAF és az Európai Ügyészség között a reagálási idő lerövidítése és a szervezett bűnözői hálózatok felszámolása érdekében;</w:t>
            </w:r>
          </w:p>
        </w:tc>
      </w:tr>
    </w:tbl>
    <w:p w14:paraId="0BF7B9B1"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99B803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4F8528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109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58203A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7D2902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F21A3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9E574B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1FD8BFC" w14:textId="77777777" w:rsidTr="00565F8F">
        <w:trPr>
          <w:trHeight w:hRule="exact" w:val="240"/>
          <w:jc w:val="center"/>
        </w:trPr>
        <w:tc>
          <w:tcPr>
            <w:tcW w:w="9752" w:type="dxa"/>
            <w:gridSpan w:val="2"/>
            <w:tcBorders>
              <w:top w:val="nil"/>
              <w:left w:val="nil"/>
              <w:bottom w:val="nil"/>
              <w:right w:val="nil"/>
            </w:tcBorders>
          </w:tcPr>
          <w:p w14:paraId="02BB9987" w14:textId="77777777" w:rsidR="000104F2" w:rsidRPr="005F046F" w:rsidRDefault="000104F2" w:rsidP="00565F8F"/>
        </w:tc>
      </w:tr>
      <w:tr w:rsidR="006C656F" w:rsidRPr="005F046F" w14:paraId="39A19468" w14:textId="77777777" w:rsidTr="00565F8F">
        <w:trPr>
          <w:trHeight w:val="240"/>
          <w:jc w:val="center"/>
        </w:trPr>
        <w:tc>
          <w:tcPr>
            <w:tcW w:w="4876" w:type="dxa"/>
            <w:tcBorders>
              <w:top w:val="nil"/>
              <w:left w:val="nil"/>
              <w:bottom w:val="nil"/>
              <w:right w:val="nil"/>
            </w:tcBorders>
          </w:tcPr>
          <w:p w14:paraId="26F0286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649D5F2" w14:textId="77777777" w:rsidR="000104F2" w:rsidRPr="005F046F" w:rsidRDefault="000104F2" w:rsidP="00565F8F">
            <w:pPr>
              <w:pStyle w:val="AmColumnHeading"/>
            </w:pPr>
            <w:r w:rsidRPr="005F046F">
              <w:t>Módosítás</w:t>
            </w:r>
          </w:p>
        </w:tc>
      </w:tr>
      <w:tr w:rsidR="006C656F" w:rsidRPr="005F046F" w14:paraId="5F9507F8" w14:textId="77777777" w:rsidTr="00565F8F">
        <w:trPr>
          <w:jc w:val="center"/>
        </w:trPr>
        <w:tc>
          <w:tcPr>
            <w:tcW w:w="4876" w:type="dxa"/>
            <w:tcBorders>
              <w:top w:val="nil"/>
              <w:left w:val="nil"/>
              <w:bottom w:val="nil"/>
              <w:right w:val="nil"/>
            </w:tcBorders>
          </w:tcPr>
          <w:p w14:paraId="06C73E6A" w14:textId="77777777" w:rsidR="000104F2" w:rsidRPr="005F046F" w:rsidRDefault="000104F2" w:rsidP="00565F8F">
            <w:pPr>
              <w:pStyle w:val="Normal6a"/>
            </w:pPr>
            <w:r w:rsidRPr="005F046F">
              <w:t>25.</w:t>
            </w:r>
            <w:r w:rsidRPr="005F046F">
              <w:tab/>
              <w:t xml:space="preserve">hangsúlyozza, hogy az OLAF korlátozott és közvetett hozzáférése bizonyos vám- és adóadatokhoz az Unió pénzügyi érdekeit sértő csalás elleni küzdelem hatékonyságának egyik fő akadálya; emlékeztet arra, hogy bizonyos alapvető információk megszerzése érdekében – különösen a </w:t>
            </w:r>
            <w:proofErr w:type="spellStart"/>
            <w:r w:rsidRPr="005F046F">
              <w:t>héa</w:t>
            </w:r>
            <w:proofErr w:type="spellEnd"/>
            <w:r w:rsidRPr="005F046F">
              <w:t xml:space="preserve"> területén – az OLAF-</w:t>
            </w:r>
            <w:proofErr w:type="spellStart"/>
            <w:r w:rsidRPr="005F046F">
              <w:t>nak</w:t>
            </w:r>
            <w:proofErr w:type="spellEnd"/>
            <w:r w:rsidRPr="005F046F">
              <w:t xml:space="preserve"> az illetékes nemzeti hatóságokhoz kell fordulnia, ami a csalási mechanizmusok gyorsaságával összeegyeztethetetlen késedelmeket eredményez; ezért kéri, hogy az alkalmazandó jogi kerettel összhangban haladéktalanul javítsák az OLAF releváns adatokhoz való hozzáférését;</w:t>
            </w:r>
          </w:p>
        </w:tc>
        <w:tc>
          <w:tcPr>
            <w:tcW w:w="4876" w:type="dxa"/>
            <w:tcBorders>
              <w:top w:val="nil"/>
              <w:left w:val="nil"/>
              <w:bottom w:val="nil"/>
              <w:right w:val="nil"/>
            </w:tcBorders>
          </w:tcPr>
          <w:p w14:paraId="24B219D0" w14:textId="77777777" w:rsidR="000104F2" w:rsidRPr="005F046F" w:rsidRDefault="000104F2" w:rsidP="00565F8F">
            <w:pPr>
              <w:pStyle w:val="Normal6a"/>
            </w:pPr>
            <w:r w:rsidRPr="005F046F">
              <w:t>25.</w:t>
            </w:r>
            <w:r w:rsidRPr="005F046F">
              <w:tab/>
              <w:t xml:space="preserve">hangsúlyozza, hogy az OLAF korlátozott és közvetett hozzáférése bizonyos vám- és adóadatokhoz az Unió pénzügyi érdekeit sértő csalás elleni küzdelem hatékonyságának egyik fő akadálya; emlékeztet arra, hogy bizonyos alapvető információk megszerzése érdekében – különösen a </w:t>
            </w:r>
            <w:proofErr w:type="spellStart"/>
            <w:r w:rsidRPr="005F046F">
              <w:t>héa</w:t>
            </w:r>
            <w:proofErr w:type="spellEnd"/>
            <w:r w:rsidRPr="005F046F">
              <w:t xml:space="preserve"> területén – az OLAF-</w:t>
            </w:r>
            <w:proofErr w:type="spellStart"/>
            <w:r w:rsidRPr="005F046F">
              <w:t>nak</w:t>
            </w:r>
            <w:proofErr w:type="spellEnd"/>
            <w:r w:rsidRPr="005F046F">
              <w:t xml:space="preserve"> az illetékes nemzeti hatóságokhoz kell fordulnia, ami a csalási mechanizmusok gyorsaságával összeegyeztethetetlen késedelmeket eredményez; ezért kéri, hogy az alkalmazandó jogi kerettel összhangban haladéktalanul javítsák az OLAF releváns adatokhoz való hozzáférését; </w:t>
            </w:r>
            <w:r w:rsidRPr="005F046F">
              <w:rPr>
                <w:b/>
                <w:i/>
              </w:rPr>
              <w:t xml:space="preserve">úgy véli, hogy az adózási és a vámügyi adatokhoz való hozzáférés korlátozása nem csupán az OLAF-ot, hanem a csalás elleni architektúra egészét érinti; kéri a Bizottságot, hogy vizsgálja meg azokat a </w:t>
            </w:r>
            <w:r w:rsidRPr="005F046F">
              <w:rPr>
                <w:b/>
                <w:i/>
              </w:rPr>
              <w:lastRenderedPageBreak/>
              <w:t>strukturális megoldásokat, amelyek az alkalmazandó jogi keret teljes körű tiszteletben tartása mellett valamennyi illetékes szereplő számára gyorsabb és biztonságosabb hozzáférést biztosítanak a releváns adatokhoz;</w:t>
            </w:r>
          </w:p>
        </w:tc>
      </w:tr>
    </w:tbl>
    <w:p w14:paraId="735F92E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49391A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41ADA6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53A864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13F17B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C7E402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270864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6 a alfejezet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937A012" w14:textId="77777777" w:rsidTr="00565F8F">
        <w:trPr>
          <w:trHeight w:hRule="exact" w:val="240"/>
          <w:jc w:val="center"/>
        </w:trPr>
        <w:tc>
          <w:tcPr>
            <w:tcW w:w="9752" w:type="dxa"/>
            <w:gridSpan w:val="2"/>
            <w:tcBorders>
              <w:top w:val="nil"/>
              <w:left w:val="nil"/>
              <w:bottom w:val="nil"/>
              <w:right w:val="nil"/>
            </w:tcBorders>
          </w:tcPr>
          <w:p w14:paraId="51DCA876" w14:textId="77777777" w:rsidR="000104F2" w:rsidRPr="005F046F" w:rsidRDefault="000104F2" w:rsidP="00565F8F"/>
        </w:tc>
      </w:tr>
      <w:tr w:rsidR="006C656F" w:rsidRPr="005F046F" w14:paraId="229BB0B4" w14:textId="77777777" w:rsidTr="00565F8F">
        <w:trPr>
          <w:trHeight w:val="240"/>
          <w:jc w:val="center"/>
        </w:trPr>
        <w:tc>
          <w:tcPr>
            <w:tcW w:w="4876" w:type="dxa"/>
            <w:tcBorders>
              <w:top w:val="nil"/>
              <w:left w:val="nil"/>
              <w:bottom w:val="nil"/>
              <w:right w:val="nil"/>
            </w:tcBorders>
          </w:tcPr>
          <w:p w14:paraId="060486E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6B89792" w14:textId="77777777" w:rsidR="000104F2" w:rsidRPr="005F046F" w:rsidRDefault="000104F2" w:rsidP="00565F8F">
            <w:pPr>
              <w:pStyle w:val="AmColumnHeading"/>
            </w:pPr>
            <w:r w:rsidRPr="005F046F">
              <w:t>Módosítás</w:t>
            </w:r>
          </w:p>
        </w:tc>
      </w:tr>
      <w:tr w:rsidR="006C656F" w:rsidRPr="005F046F" w14:paraId="2FC0837A" w14:textId="77777777" w:rsidTr="00565F8F">
        <w:trPr>
          <w:jc w:val="center"/>
        </w:trPr>
        <w:tc>
          <w:tcPr>
            <w:tcW w:w="4876" w:type="dxa"/>
            <w:tcBorders>
              <w:top w:val="nil"/>
              <w:left w:val="nil"/>
              <w:bottom w:val="nil"/>
              <w:right w:val="nil"/>
            </w:tcBorders>
          </w:tcPr>
          <w:p w14:paraId="49D6BC30" w14:textId="77777777" w:rsidR="000104F2" w:rsidRPr="005F046F" w:rsidRDefault="000104F2" w:rsidP="00565F8F">
            <w:pPr>
              <w:pStyle w:val="Normal6a"/>
            </w:pPr>
          </w:p>
        </w:tc>
        <w:tc>
          <w:tcPr>
            <w:tcW w:w="4876" w:type="dxa"/>
            <w:tcBorders>
              <w:top w:val="nil"/>
              <w:left w:val="nil"/>
              <w:bottom w:val="nil"/>
              <w:right w:val="nil"/>
            </w:tcBorders>
          </w:tcPr>
          <w:p w14:paraId="4DFE4C43" w14:textId="77777777" w:rsidR="000104F2" w:rsidRPr="005F046F" w:rsidRDefault="000104F2" w:rsidP="00565F8F">
            <w:pPr>
              <w:pStyle w:val="Normal6a"/>
            </w:pPr>
            <w:r w:rsidRPr="005F046F">
              <w:rPr>
                <w:b/>
                <w:i/>
              </w:rPr>
              <w:t>Fő fenyegetések – jogállamisági hiányosságok</w:t>
            </w:r>
          </w:p>
        </w:tc>
      </w:tr>
    </w:tbl>
    <w:p w14:paraId="0780B0B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F075A2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8D9928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DD63F1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F3E781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A911EF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C5E783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9EB2AF8" w14:textId="77777777" w:rsidTr="00565F8F">
        <w:trPr>
          <w:trHeight w:hRule="exact" w:val="240"/>
          <w:jc w:val="center"/>
        </w:trPr>
        <w:tc>
          <w:tcPr>
            <w:tcW w:w="9752" w:type="dxa"/>
            <w:gridSpan w:val="2"/>
            <w:tcBorders>
              <w:top w:val="nil"/>
              <w:left w:val="nil"/>
              <w:bottom w:val="nil"/>
              <w:right w:val="nil"/>
            </w:tcBorders>
          </w:tcPr>
          <w:p w14:paraId="7F36F1E7" w14:textId="77777777" w:rsidR="000104F2" w:rsidRPr="005F046F" w:rsidRDefault="000104F2" w:rsidP="00565F8F"/>
        </w:tc>
      </w:tr>
      <w:tr w:rsidR="006C656F" w:rsidRPr="005F046F" w14:paraId="57B2F48F" w14:textId="77777777" w:rsidTr="00565F8F">
        <w:trPr>
          <w:trHeight w:val="240"/>
          <w:jc w:val="center"/>
        </w:trPr>
        <w:tc>
          <w:tcPr>
            <w:tcW w:w="4876" w:type="dxa"/>
            <w:tcBorders>
              <w:top w:val="nil"/>
              <w:left w:val="nil"/>
              <w:bottom w:val="nil"/>
              <w:right w:val="nil"/>
            </w:tcBorders>
          </w:tcPr>
          <w:p w14:paraId="4DDC564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8E65761" w14:textId="77777777" w:rsidR="000104F2" w:rsidRPr="005F046F" w:rsidRDefault="000104F2" w:rsidP="00565F8F">
            <w:pPr>
              <w:pStyle w:val="AmColumnHeading"/>
            </w:pPr>
            <w:r w:rsidRPr="005F046F">
              <w:t>Módosítás</w:t>
            </w:r>
          </w:p>
        </w:tc>
      </w:tr>
      <w:tr w:rsidR="006C656F" w:rsidRPr="005F046F" w14:paraId="1ACC083E" w14:textId="77777777" w:rsidTr="00565F8F">
        <w:trPr>
          <w:jc w:val="center"/>
        </w:trPr>
        <w:tc>
          <w:tcPr>
            <w:tcW w:w="4876" w:type="dxa"/>
            <w:tcBorders>
              <w:top w:val="nil"/>
              <w:left w:val="nil"/>
              <w:bottom w:val="nil"/>
              <w:right w:val="nil"/>
            </w:tcBorders>
          </w:tcPr>
          <w:p w14:paraId="075D075E" w14:textId="77777777" w:rsidR="000104F2" w:rsidRPr="005F046F" w:rsidRDefault="000104F2" w:rsidP="00565F8F">
            <w:pPr>
              <w:pStyle w:val="Normal6a"/>
            </w:pPr>
          </w:p>
        </w:tc>
        <w:tc>
          <w:tcPr>
            <w:tcW w:w="4876" w:type="dxa"/>
            <w:tcBorders>
              <w:top w:val="nil"/>
              <w:left w:val="nil"/>
              <w:bottom w:val="nil"/>
              <w:right w:val="nil"/>
            </w:tcBorders>
          </w:tcPr>
          <w:p w14:paraId="16F04677" w14:textId="77777777" w:rsidR="000104F2" w:rsidRPr="005F046F" w:rsidRDefault="000104F2" w:rsidP="00565F8F">
            <w:pPr>
              <w:pStyle w:val="Normal6a"/>
            </w:pPr>
            <w:r w:rsidRPr="005F046F">
              <w:rPr>
                <w:b/>
                <w:i/>
              </w:rPr>
              <w:t>25a.</w:t>
            </w:r>
            <w:r w:rsidRPr="005F046F">
              <w:tab/>
            </w:r>
            <w:r w:rsidRPr="005F046F">
              <w:rPr>
                <w:b/>
                <w:i/>
              </w:rPr>
              <w:t xml:space="preserve">sajnálja, hogy a Bizottság éves jogállamisági jelentéseiben, valamint az Unió pénzügyi érdekeinek védelméről szóló éves bizottsági jelentésekben közzétett, az OLAF által tett megállapítások, illetve az EPPO által megfogalmazott egymást követő aggasztó megállapítások ellenére – amelyek költségvetési kockázatokra mutattak rá több tagállamban – csak két hivatalos értesítést küldtek, és csak egyetlen esetben döntöttek intézkedésekről a feltételrendszerről szóló rendelet alapján; hangsúlyozza, hogy a megállapítások és a végrehajtás közötti szakadék aláássa a </w:t>
            </w:r>
            <w:r w:rsidRPr="005F046F">
              <w:rPr>
                <w:b/>
                <w:i/>
              </w:rPr>
              <w:lastRenderedPageBreak/>
              <w:t>rendelet hitelességét, és gyengíti az EU pénzügyi érdekeinek védelmében betöltött megelőző funkcióját; emlékeztet a Számvevőszék azon figyelmeztetésére, hogy a pénzeszközök zárolására vagy felszabadítására vonatkozó, a Tanácsban minősített többséget igénylő döntések gyakran összefonódnak olyan, ehhez nem kapcsolódó magas szintű tárgyalásokkal, amelyekhez egyhangúság szükséges; hangsúlyozza, hogy az EU pénzügyi érdekeinek védelmére vonatkozó határozatoknak technikai és jogi megállapításokon kell alapulniuk, és nem képezhetik a Tanácsban egyhangúságot igénylő határozatok blokkolásával való fenyegetésen alapuló alku tárgyát;</w:t>
            </w:r>
          </w:p>
        </w:tc>
      </w:tr>
    </w:tbl>
    <w:p w14:paraId="2064F12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B84AC6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5F14EC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568E58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43ABB8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C38B5B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6A0ADA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9AE1B87" w14:textId="77777777" w:rsidTr="00565F8F">
        <w:trPr>
          <w:trHeight w:hRule="exact" w:val="240"/>
          <w:jc w:val="center"/>
        </w:trPr>
        <w:tc>
          <w:tcPr>
            <w:tcW w:w="9752" w:type="dxa"/>
            <w:gridSpan w:val="2"/>
            <w:tcBorders>
              <w:top w:val="nil"/>
              <w:left w:val="nil"/>
              <w:bottom w:val="nil"/>
              <w:right w:val="nil"/>
            </w:tcBorders>
          </w:tcPr>
          <w:p w14:paraId="1D33075C" w14:textId="77777777" w:rsidR="000104F2" w:rsidRPr="005F046F" w:rsidRDefault="000104F2" w:rsidP="00565F8F"/>
        </w:tc>
      </w:tr>
      <w:tr w:rsidR="006C656F" w:rsidRPr="005F046F" w14:paraId="676B2837" w14:textId="77777777" w:rsidTr="00565F8F">
        <w:trPr>
          <w:trHeight w:val="240"/>
          <w:jc w:val="center"/>
        </w:trPr>
        <w:tc>
          <w:tcPr>
            <w:tcW w:w="4876" w:type="dxa"/>
            <w:tcBorders>
              <w:top w:val="nil"/>
              <w:left w:val="nil"/>
              <w:bottom w:val="nil"/>
              <w:right w:val="nil"/>
            </w:tcBorders>
          </w:tcPr>
          <w:p w14:paraId="3762F25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9F7EDD0" w14:textId="77777777" w:rsidR="000104F2" w:rsidRPr="005F046F" w:rsidRDefault="000104F2" w:rsidP="00565F8F">
            <w:pPr>
              <w:pStyle w:val="AmColumnHeading"/>
            </w:pPr>
            <w:r w:rsidRPr="005F046F">
              <w:t>Módosítás</w:t>
            </w:r>
          </w:p>
        </w:tc>
      </w:tr>
      <w:tr w:rsidR="006C656F" w:rsidRPr="005F046F" w14:paraId="1DF7562D" w14:textId="77777777" w:rsidTr="00565F8F">
        <w:trPr>
          <w:jc w:val="center"/>
        </w:trPr>
        <w:tc>
          <w:tcPr>
            <w:tcW w:w="4876" w:type="dxa"/>
            <w:tcBorders>
              <w:top w:val="nil"/>
              <w:left w:val="nil"/>
              <w:bottom w:val="nil"/>
              <w:right w:val="nil"/>
            </w:tcBorders>
          </w:tcPr>
          <w:p w14:paraId="14F2B627" w14:textId="77777777" w:rsidR="000104F2" w:rsidRPr="005F046F" w:rsidRDefault="000104F2" w:rsidP="00565F8F">
            <w:pPr>
              <w:pStyle w:val="Normal6a"/>
            </w:pPr>
          </w:p>
        </w:tc>
        <w:tc>
          <w:tcPr>
            <w:tcW w:w="4876" w:type="dxa"/>
            <w:tcBorders>
              <w:top w:val="nil"/>
              <w:left w:val="nil"/>
              <w:bottom w:val="nil"/>
              <w:right w:val="nil"/>
            </w:tcBorders>
          </w:tcPr>
          <w:p w14:paraId="3E42A66C" w14:textId="77777777" w:rsidR="000104F2" w:rsidRPr="005F046F" w:rsidRDefault="000104F2" w:rsidP="00565F8F">
            <w:pPr>
              <w:pStyle w:val="Normal6a"/>
            </w:pPr>
            <w:r w:rsidRPr="005F046F">
              <w:rPr>
                <w:b/>
                <w:i/>
              </w:rPr>
              <w:t>25b.</w:t>
            </w:r>
            <w:r w:rsidRPr="005F046F">
              <w:tab/>
            </w:r>
            <w:r w:rsidRPr="005F046F">
              <w:rPr>
                <w:b/>
                <w:i/>
              </w:rPr>
              <w:t>hangsúlyozza, hogy a feltételrendszerről szóló rendeletet nem szabad kizárólag végső eszközként alkalmazni, mivel az lehetővé teszi a korai szakaszban történő részleges felfüggesztést is, amennyiben a jogállamiság olyan megsértését állapítják meg, amely súlyosan veszélyeztetheti az uniós költségvetést; e tekintetben felhívja a Bizottságot, hogy teljes mértékben és időben használja ki az eszközt;</w:t>
            </w:r>
          </w:p>
        </w:tc>
      </w:tr>
    </w:tbl>
    <w:p w14:paraId="34B1C721"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330FB1B"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100177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B9204C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BCE357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0E6C52B"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026C46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c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8D9FC9F" w14:textId="77777777" w:rsidTr="00565F8F">
        <w:trPr>
          <w:trHeight w:hRule="exact" w:val="240"/>
          <w:jc w:val="center"/>
        </w:trPr>
        <w:tc>
          <w:tcPr>
            <w:tcW w:w="9752" w:type="dxa"/>
            <w:gridSpan w:val="2"/>
            <w:tcBorders>
              <w:top w:val="nil"/>
              <w:left w:val="nil"/>
              <w:bottom w:val="nil"/>
              <w:right w:val="nil"/>
            </w:tcBorders>
          </w:tcPr>
          <w:p w14:paraId="6A49B60D" w14:textId="77777777" w:rsidR="000104F2" w:rsidRPr="005F046F" w:rsidRDefault="000104F2" w:rsidP="00565F8F"/>
        </w:tc>
      </w:tr>
      <w:tr w:rsidR="006C656F" w:rsidRPr="005F046F" w14:paraId="46063C49" w14:textId="77777777" w:rsidTr="00565F8F">
        <w:trPr>
          <w:trHeight w:val="240"/>
          <w:jc w:val="center"/>
        </w:trPr>
        <w:tc>
          <w:tcPr>
            <w:tcW w:w="4876" w:type="dxa"/>
            <w:tcBorders>
              <w:top w:val="nil"/>
              <w:left w:val="nil"/>
              <w:bottom w:val="nil"/>
              <w:right w:val="nil"/>
            </w:tcBorders>
          </w:tcPr>
          <w:p w14:paraId="4DBD373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EFB9EC1" w14:textId="77777777" w:rsidR="000104F2" w:rsidRPr="005F046F" w:rsidRDefault="000104F2" w:rsidP="00565F8F">
            <w:pPr>
              <w:pStyle w:val="AmColumnHeading"/>
            </w:pPr>
            <w:r w:rsidRPr="005F046F">
              <w:t>Módosítás</w:t>
            </w:r>
          </w:p>
        </w:tc>
      </w:tr>
      <w:tr w:rsidR="006C656F" w:rsidRPr="005F046F" w14:paraId="6E016D75" w14:textId="77777777" w:rsidTr="00565F8F">
        <w:trPr>
          <w:jc w:val="center"/>
        </w:trPr>
        <w:tc>
          <w:tcPr>
            <w:tcW w:w="4876" w:type="dxa"/>
            <w:tcBorders>
              <w:top w:val="nil"/>
              <w:left w:val="nil"/>
              <w:bottom w:val="nil"/>
              <w:right w:val="nil"/>
            </w:tcBorders>
          </w:tcPr>
          <w:p w14:paraId="7843A531" w14:textId="77777777" w:rsidR="000104F2" w:rsidRPr="005F046F" w:rsidRDefault="000104F2" w:rsidP="00565F8F">
            <w:pPr>
              <w:pStyle w:val="Normal6a"/>
            </w:pPr>
          </w:p>
        </w:tc>
        <w:tc>
          <w:tcPr>
            <w:tcW w:w="4876" w:type="dxa"/>
            <w:tcBorders>
              <w:top w:val="nil"/>
              <w:left w:val="nil"/>
              <w:bottom w:val="nil"/>
              <w:right w:val="nil"/>
            </w:tcBorders>
          </w:tcPr>
          <w:p w14:paraId="56253F7C" w14:textId="77777777" w:rsidR="000104F2" w:rsidRPr="005F046F" w:rsidRDefault="000104F2" w:rsidP="00565F8F">
            <w:pPr>
              <w:pStyle w:val="Normal6a"/>
            </w:pPr>
            <w:r w:rsidRPr="005F046F">
              <w:rPr>
                <w:b/>
                <w:i/>
              </w:rPr>
              <w:t>25c.</w:t>
            </w:r>
            <w:r w:rsidRPr="005F046F">
              <w:tab/>
            </w:r>
            <w:r w:rsidRPr="005F046F">
              <w:rPr>
                <w:b/>
                <w:i/>
              </w:rPr>
              <w:t>kéri a Bizottságot, hogy szisztematikusan hozzon létre kereszthivatkozásokat a kötelezettségszegési eljárások és a költségvetési rendelet 6. cikkével összhangban elfogadott intézkedések, valamint a feltételrendszer alapján végzett, függőben lévő átvilágítások között annak érdekében, hogy a tagállamok ne tudják kihasználni az egymástól elkülönülő eljárásokat, és hogy az EU pénzügyi érdekei az alkalmazott jogi eszköztől függetlenül védelemben részesüljenek;</w:t>
            </w:r>
          </w:p>
        </w:tc>
      </w:tr>
    </w:tbl>
    <w:p w14:paraId="47D1138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AE7A70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566981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BE4A64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DCB02E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03B11F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52DE80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25 d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8FC584F" w14:textId="77777777" w:rsidTr="00565F8F">
        <w:trPr>
          <w:trHeight w:hRule="exact" w:val="240"/>
          <w:jc w:val="center"/>
        </w:trPr>
        <w:tc>
          <w:tcPr>
            <w:tcW w:w="9752" w:type="dxa"/>
            <w:gridSpan w:val="2"/>
            <w:tcBorders>
              <w:top w:val="nil"/>
              <w:left w:val="nil"/>
              <w:bottom w:val="nil"/>
              <w:right w:val="nil"/>
            </w:tcBorders>
          </w:tcPr>
          <w:p w14:paraId="1D2C566D" w14:textId="77777777" w:rsidR="000104F2" w:rsidRPr="005F046F" w:rsidRDefault="000104F2" w:rsidP="00565F8F"/>
        </w:tc>
      </w:tr>
      <w:tr w:rsidR="006C656F" w:rsidRPr="005F046F" w14:paraId="49DA859B" w14:textId="77777777" w:rsidTr="00565F8F">
        <w:trPr>
          <w:trHeight w:val="240"/>
          <w:jc w:val="center"/>
        </w:trPr>
        <w:tc>
          <w:tcPr>
            <w:tcW w:w="4876" w:type="dxa"/>
            <w:tcBorders>
              <w:top w:val="nil"/>
              <w:left w:val="nil"/>
              <w:bottom w:val="nil"/>
              <w:right w:val="nil"/>
            </w:tcBorders>
          </w:tcPr>
          <w:p w14:paraId="13D497D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DD184A5" w14:textId="77777777" w:rsidR="000104F2" w:rsidRPr="005F046F" w:rsidRDefault="000104F2" w:rsidP="00565F8F">
            <w:pPr>
              <w:pStyle w:val="AmColumnHeading"/>
            </w:pPr>
            <w:r w:rsidRPr="005F046F">
              <w:t>Módosítás</w:t>
            </w:r>
          </w:p>
        </w:tc>
      </w:tr>
      <w:tr w:rsidR="006C656F" w:rsidRPr="005F046F" w14:paraId="6BB90CA0" w14:textId="77777777" w:rsidTr="00565F8F">
        <w:trPr>
          <w:jc w:val="center"/>
        </w:trPr>
        <w:tc>
          <w:tcPr>
            <w:tcW w:w="4876" w:type="dxa"/>
            <w:tcBorders>
              <w:top w:val="nil"/>
              <w:left w:val="nil"/>
              <w:bottom w:val="nil"/>
              <w:right w:val="nil"/>
            </w:tcBorders>
          </w:tcPr>
          <w:p w14:paraId="5F447914" w14:textId="77777777" w:rsidR="000104F2" w:rsidRPr="005F046F" w:rsidRDefault="000104F2" w:rsidP="00565F8F">
            <w:pPr>
              <w:pStyle w:val="Normal6a"/>
            </w:pPr>
          </w:p>
        </w:tc>
        <w:tc>
          <w:tcPr>
            <w:tcW w:w="4876" w:type="dxa"/>
            <w:tcBorders>
              <w:top w:val="nil"/>
              <w:left w:val="nil"/>
              <w:bottom w:val="nil"/>
              <w:right w:val="nil"/>
            </w:tcBorders>
          </w:tcPr>
          <w:p w14:paraId="60E5D213" w14:textId="77777777" w:rsidR="000104F2" w:rsidRPr="005F046F" w:rsidRDefault="000104F2" w:rsidP="00565F8F">
            <w:pPr>
              <w:pStyle w:val="Normal6a"/>
            </w:pPr>
            <w:r w:rsidRPr="005F046F">
              <w:rPr>
                <w:b/>
                <w:i/>
              </w:rPr>
              <w:t>25d.</w:t>
            </w:r>
            <w:r w:rsidRPr="005F046F">
              <w:tab/>
            </w:r>
            <w:r w:rsidRPr="005F046F">
              <w:rPr>
                <w:b/>
                <w:i/>
              </w:rPr>
              <w:t xml:space="preserve">ismételten figyelmeztet arra, hogy a befagyasztott előirányzatok más programok vagy célkitűzések számára történő átcsoportosítása vagy újraelosztása már megállapított kockázatoknak teszi ki az EU pénzügyi érdekeit; úgy véli, hogy a feltételrendszerről szóló rendelet szelleme kizár minden ilyen átcsoportosítást, és ezért sürgeti a Bizottságot, hogy utasítson el minden olyan, ugyanazon program más programjaihoz vagy prioritásaihoz történő átcsoportosításra irányuló kérelmet, amely a feltételrendszerről szóló rendelet szerinti intézkedések kijátszásához vezetne; ismételten kéri, hogy a Bizottság nyújtsa be a Parlamentnek az ilyen </w:t>
            </w:r>
            <w:r w:rsidRPr="005F046F">
              <w:rPr>
                <w:b/>
                <w:i/>
              </w:rPr>
              <w:lastRenderedPageBreak/>
              <w:t>átcsoportosítási kérelmek teljes szövegét, hogy a demokratikus ellenőrzés a Bizottság határozata előtt történhessen meg, ne pedig kövesse azt;</w:t>
            </w:r>
          </w:p>
        </w:tc>
      </w:tr>
    </w:tbl>
    <w:p w14:paraId="35263B4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6BCF50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5ECEA4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CE40F2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4269DA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87A7F2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E6E096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D26CB6B" w14:textId="77777777" w:rsidTr="00565F8F">
        <w:trPr>
          <w:trHeight w:hRule="exact" w:val="240"/>
          <w:jc w:val="center"/>
        </w:trPr>
        <w:tc>
          <w:tcPr>
            <w:tcW w:w="9752" w:type="dxa"/>
            <w:gridSpan w:val="2"/>
            <w:tcBorders>
              <w:top w:val="nil"/>
              <w:left w:val="nil"/>
              <w:bottom w:val="nil"/>
              <w:right w:val="nil"/>
            </w:tcBorders>
          </w:tcPr>
          <w:p w14:paraId="7E6BEB17" w14:textId="77777777" w:rsidR="000104F2" w:rsidRPr="005F046F" w:rsidRDefault="000104F2" w:rsidP="00565F8F"/>
        </w:tc>
      </w:tr>
      <w:tr w:rsidR="006C656F" w:rsidRPr="005F046F" w14:paraId="3858C4A8" w14:textId="77777777" w:rsidTr="00565F8F">
        <w:trPr>
          <w:trHeight w:val="240"/>
          <w:jc w:val="center"/>
        </w:trPr>
        <w:tc>
          <w:tcPr>
            <w:tcW w:w="4876" w:type="dxa"/>
            <w:tcBorders>
              <w:top w:val="nil"/>
              <w:left w:val="nil"/>
              <w:bottom w:val="nil"/>
              <w:right w:val="nil"/>
            </w:tcBorders>
          </w:tcPr>
          <w:p w14:paraId="2456774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42B9DFD" w14:textId="77777777" w:rsidR="000104F2" w:rsidRPr="005F046F" w:rsidRDefault="000104F2" w:rsidP="00565F8F">
            <w:pPr>
              <w:pStyle w:val="AmColumnHeading"/>
            </w:pPr>
            <w:r w:rsidRPr="005F046F">
              <w:t>Módosítás</w:t>
            </w:r>
          </w:p>
        </w:tc>
      </w:tr>
      <w:tr w:rsidR="006C656F" w:rsidRPr="005F046F" w14:paraId="2DED6574" w14:textId="77777777" w:rsidTr="00565F8F">
        <w:trPr>
          <w:jc w:val="center"/>
        </w:trPr>
        <w:tc>
          <w:tcPr>
            <w:tcW w:w="4876" w:type="dxa"/>
            <w:tcBorders>
              <w:top w:val="nil"/>
              <w:left w:val="nil"/>
              <w:bottom w:val="nil"/>
              <w:right w:val="nil"/>
            </w:tcBorders>
          </w:tcPr>
          <w:p w14:paraId="407D4164" w14:textId="77777777" w:rsidR="000104F2" w:rsidRPr="005F046F" w:rsidRDefault="000104F2" w:rsidP="00565F8F">
            <w:pPr>
              <w:pStyle w:val="Normal6a"/>
            </w:pPr>
            <w:r w:rsidRPr="005F046F">
              <w:t>26.</w:t>
            </w:r>
            <w:r w:rsidRPr="005F046F">
              <w:tab/>
              <w:t xml:space="preserve">tisztában van azzal, hogy a korrupció a kötelességszegés számos súlyos formájához szorosan kapcsolódó bűncselekmény; megjegyzi, hogy a korrupció szervesen kapcsolódik a pénzmosáshoz, és hogy a pénzmosás a szervezett bűnözés illegális tevékenységeinek egyik fő mozgatórugója, mivel lehetővé teszi a bűnözők számára, hogy a bűncselekményükből származó jövedelmet átvigyék a legális gazdaságba; megjegyzi, hogy a korrupció az Unió pénzügyi érdekeit sértő csalási ügyekben is rendszeresen megjelenik, és e tekintetben tudomásul veszi a 2024. évi PIF-jelentésben ismertetett, a korrupció és a csalás közötti kapcsolatot vizsgáló elemzést, amely a 2007 óta – a 2007–2013-as és a 2014–2020-as programozási időszak vonatkozásában – a kohéziós politikával kapcsolatosan bejelentett korrupciós esetekre összpontosít; hangsúlyozza, hogy a javasolt korrupcióellenes irányelv (COM(2023)0234), amelyet a társjogalkotók jelenleg vizsgálnak, elismeri a korrupció és a pénzmosás közötti kapcsolatot, és konkrét súlyosbító körülményt ír elő a korrupciós bűncselekményekben részt vevő szervezetek számára; elismeri, hogy a </w:t>
            </w:r>
            <w:r w:rsidRPr="005F046F">
              <w:lastRenderedPageBreak/>
              <w:t>nemzeti jogrendszerek heterogén jellege és a pénzmosás elleni uniós keret széttagolt alkalmazása megnehezítette a pénzmosás megelőzését, felderítését és leküzdését;</w:t>
            </w:r>
          </w:p>
        </w:tc>
        <w:tc>
          <w:tcPr>
            <w:tcW w:w="4876" w:type="dxa"/>
            <w:tcBorders>
              <w:top w:val="nil"/>
              <w:left w:val="nil"/>
              <w:bottom w:val="nil"/>
              <w:right w:val="nil"/>
            </w:tcBorders>
          </w:tcPr>
          <w:p w14:paraId="2042636F" w14:textId="77777777" w:rsidR="000104F2" w:rsidRPr="005F046F" w:rsidRDefault="000104F2" w:rsidP="00565F8F">
            <w:pPr>
              <w:pStyle w:val="Normal6a"/>
            </w:pPr>
            <w:r w:rsidRPr="005F046F">
              <w:lastRenderedPageBreak/>
              <w:t>26.</w:t>
            </w:r>
            <w:r w:rsidRPr="005F046F">
              <w:tab/>
              <w:t xml:space="preserve">tisztában van azzal, hogy a korrupció a kötelességszegés számos súlyos formájához szorosan kapcsolódó bűncselekmény; megjegyzi, hogy a korrupció szervesen kapcsolódik a pénzmosáshoz, és hogy a pénzmosás a szervezett bűnözés illegális tevékenységeinek egyik fő mozgatórugója, mivel lehetővé teszi a bűnözők számára, hogy a bűncselekményükből származó jövedelmet átvigyék a legális gazdaságba; megjegyzi, hogy a korrupció az Unió pénzügyi érdekeit sértő csalási ügyekben is rendszeresen megjelenik, és e tekintetben tudomásul veszi a 2024. évi PIF-jelentésben ismertetett, a korrupció és a csalás közötti kapcsolatot vizsgáló elemzést, amely a 2007 óta – a 2007–2013-as és a 2014–2020-as programozási időszak vonatkozásában – a kohéziós politikával kapcsolatosan bejelentett korrupciós esetekre összpontosít; hangsúlyozza, hogy a javasolt korrupcióellenes irányelv (COM(2023)0234), amelyet a társjogalkotók jelenleg vizsgálnak, elismeri a korrupció és a pénzmosás közötti kapcsolatot, és konkrét súlyosbító körülményt ír elő a korrupciós bűncselekményekben részt vevő szervezetek számára; elismeri, hogy a </w:t>
            </w:r>
            <w:r w:rsidRPr="005F046F">
              <w:lastRenderedPageBreak/>
              <w:t xml:space="preserve">nemzeti jogrendszerek heterogén jellege és a pénzmosás elleni uniós keret széttagolt alkalmazása megnehezítette a pénzmosás megelőzését, felderítését és leküzdését; </w:t>
            </w:r>
            <w:r w:rsidRPr="005F046F">
              <w:rPr>
                <w:b/>
                <w:i/>
              </w:rPr>
              <w:t>kéri a Bizottságot, hogy az Európai Ügyészségről szóló rendelet felülvizsgálati folyamatának keretében erősítse meg az Európai Ügyészség hatásköreit ezen a területen, a közös elemzőcsoportok és biztonságos kommunikációs csatornák használata révén előmozdítva a Pénzmosás és Terrorizmusfinanszírozás Elleni Hatósággal való jövőbeli együttműködését;</w:t>
            </w:r>
          </w:p>
        </w:tc>
      </w:tr>
    </w:tbl>
    <w:p w14:paraId="0759DB9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D4A48D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F37B94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7CBAA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B5D305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11525C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356C31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26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57D617F" w14:textId="77777777" w:rsidTr="00565F8F">
        <w:trPr>
          <w:trHeight w:hRule="exact" w:val="240"/>
          <w:jc w:val="center"/>
        </w:trPr>
        <w:tc>
          <w:tcPr>
            <w:tcW w:w="9752" w:type="dxa"/>
            <w:gridSpan w:val="2"/>
            <w:tcBorders>
              <w:top w:val="nil"/>
              <w:left w:val="nil"/>
              <w:bottom w:val="nil"/>
              <w:right w:val="nil"/>
            </w:tcBorders>
          </w:tcPr>
          <w:p w14:paraId="52864E79" w14:textId="77777777" w:rsidR="000104F2" w:rsidRPr="005F046F" w:rsidRDefault="000104F2" w:rsidP="00565F8F"/>
        </w:tc>
      </w:tr>
      <w:tr w:rsidR="006C656F" w:rsidRPr="005F046F" w14:paraId="7EC20C02" w14:textId="77777777" w:rsidTr="00565F8F">
        <w:trPr>
          <w:trHeight w:val="240"/>
          <w:jc w:val="center"/>
        </w:trPr>
        <w:tc>
          <w:tcPr>
            <w:tcW w:w="4876" w:type="dxa"/>
            <w:tcBorders>
              <w:top w:val="nil"/>
              <w:left w:val="nil"/>
              <w:bottom w:val="nil"/>
              <w:right w:val="nil"/>
            </w:tcBorders>
          </w:tcPr>
          <w:p w14:paraId="361205B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C727A13" w14:textId="77777777" w:rsidR="000104F2" w:rsidRPr="005F046F" w:rsidRDefault="000104F2" w:rsidP="00565F8F">
            <w:pPr>
              <w:pStyle w:val="AmColumnHeading"/>
            </w:pPr>
            <w:r w:rsidRPr="005F046F">
              <w:t>Módosítás</w:t>
            </w:r>
          </w:p>
        </w:tc>
      </w:tr>
      <w:tr w:rsidR="006C656F" w:rsidRPr="005F046F" w14:paraId="743306EC" w14:textId="77777777" w:rsidTr="00565F8F">
        <w:trPr>
          <w:jc w:val="center"/>
        </w:trPr>
        <w:tc>
          <w:tcPr>
            <w:tcW w:w="4876" w:type="dxa"/>
            <w:tcBorders>
              <w:top w:val="nil"/>
              <w:left w:val="nil"/>
              <w:bottom w:val="nil"/>
              <w:right w:val="nil"/>
            </w:tcBorders>
          </w:tcPr>
          <w:p w14:paraId="75539226" w14:textId="77777777" w:rsidR="000104F2" w:rsidRPr="005F046F" w:rsidRDefault="000104F2" w:rsidP="00565F8F">
            <w:pPr>
              <w:pStyle w:val="Normal6a"/>
            </w:pPr>
          </w:p>
        </w:tc>
        <w:tc>
          <w:tcPr>
            <w:tcW w:w="4876" w:type="dxa"/>
            <w:tcBorders>
              <w:top w:val="nil"/>
              <w:left w:val="nil"/>
              <w:bottom w:val="nil"/>
              <w:right w:val="nil"/>
            </w:tcBorders>
          </w:tcPr>
          <w:p w14:paraId="221AAB86" w14:textId="77777777" w:rsidR="000104F2" w:rsidRPr="005F046F" w:rsidRDefault="000104F2" w:rsidP="00565F8F">
            <w:pPr>
              <w:pStyle w:val="Normal6a"/>
            </w:pPr>
            <w:r w:rsidRPr="005F046F">
              <w:rPr>
                <w:b/>
                <w:i/>
              </w:rPr>
              <w:t>26a.</w:t>
            </w:r>
            <w:r w:rsidRPr="005F046F">
              <w:tab/>
            </w:r>
            <w:r w:rsidRPr="005F046F">
              <w:rPr>
                <w:b/>
                <w:i/>
              </w:rPr>
              <w:t>támogatja a pénzmosás és az adócsalás elleni küzdelemre vonatkozó célkitűzést; hangsúlyozza azonban, hogy az eszközöknek hatékonyaknak kell lenniük, és előnyeiket releváns adatok alapján kell értékelni; úgy véli, hogy a pénzmosás és az adókijátszás elleni küzdelem leghatékonyabb megoldása abban rejlik, ha pontosabban meghatározzák az adókból származó közpénzek felhasználásának kritériumait; hangsúlyozza, hogy a pénzmosás és az adócsalás elleni küzdelem terén folytatott szorosabb együttműködést nem szabad összekeverni a közvetlen adók harmonizációjával, ami megszüntetné a tagállamok közötti, jótékony hatású adóversenyt;</w:t>
            </w:r>
          </w:p>
        </w:tc>
      </w:tr>
    </w:tbl>
    <w:p w14:paraId="649D845E"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9EBF513"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p>
    <w:p w14:paraId="6013B80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F874F3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4F5C73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3E78C3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4FB565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C3FF50D" w14:textId="77777777" w:rsidTr="00565F8F">
        <w:trPr>
          <w:trHeight w:hRule="exact" w:val="240"/>
          <w:jc w:val="center"/>
        </w:trPr>
        <w:tc>
          <w:tcPr>
            <w:tcW w:w="9752" w:type="dxa"/>
            <w:gridSpan w:val="2"/>
            <w:tcBorders>
              <w:top w:val="nil"/>
              <w:left w:val="nil"/>
              <w:bottom w:val="nil"/>
              <w:right w:val="nil"/>
            </w:tcBorders>
          </w:tcPr>
          <w:p w14:paraId="692C86E5" w14:textId="77777777" w:rsidR="000104F2" w:rsidRPr="005F046F" w:rsidRDefault="000104F2" w:rsidP="00565F8F"/>
        </w:tc>
      </w:tr>
      <w:tr w:rsidR="006C656F" w:rsidRPr="005F046F" w14:paraId="680FE4AA" w14:textId="77777777" w:rsidTr="00565F8F">
        <w:trPr>
          <w:trHeight w:val="240"/>
          <w:jc w:val="center"/>
        </w:trPr>
        <w:tc>
          <w:tcPr>
            <w:tcW w:w="4876" w:type="dxa"/>
            <w:tcBorders>
              <w:top w:val="nil"/>
              <w:left w:val="nil"/>
              <w:bottom w:val="nil"/>
              <w:right w:val="nil"/>
            </w:tcBorders>
          </w:tcPr>
          <w:p w14:paraId="6CA8E93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7078F44" w14:textId="77777777" w:rsidR="000104F2" w:rsidRPr="005F046F" w:rsidRDefault="000104F2" w:rsidP="00565F8F">
            <w:pPr>
              <w:pStyle w:val="AmColumnHeading"/>
            </w:pPr>
            <w:r w:rsidRPr="005F046F">
              <w:t>Módosítás</w:t>
            </w:r>
          </w:p>
        </w:tc>
      </w:tr>
      <w:tr w:rsidR="006C656F" w:rsidRPr="005F046F" w14:paraId="132AC400" w14:textId="77777777" w:rsidTr="00565F8F">
        <w:trPr>
          <w:jc w:val="center"/>
        </w:trPr>
        <w:tc>
          <w:tcPr>
            <w:tcW w:w="4876" w:type="dxa"/>
            <w:tcBorders>
              <w:top w:val="nil"/>
              <w:left w:val="nil"/>
              <w:bottom w:val="nil"/>
              <w:right w:val="nil"/>
            </w:tcBorders>
          </w:tcPr>
          <w:p w14:paraId="44C43A1B" w14:textId="273F0F57" w:rsidR="000104F2" w:rsidRPr="005F046F" w:rsidRDefault="000104F2" w:rsidP="00565F8F">
            <w:pPr>
              <w:pStyle w:val="Normal6a"/>
            </w:pPr>
            <w:r w:rsidRPr="005F046F">
              <w:t>27.</w:t>
            </w:r>
            <w:r w:rsidRPr="005F046F">
              <w:tab/>
              <w:t>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emellett nagyobb átláthatóságra szólít fel a nagyközönség számára azáltal, hogy az interneten több információt tesznek közzé az európai alapok felhasználásáról, a végső </w:t>
            </w:r>
            <w:r w:rsidRPr="005F046F">
              <w:lastRenderedPageBreak/>
              <w:t>kedvezményezettekről és a közbeszerzési eljárások eredményeiről;</w:t>
            </w:r>
          </w:p>
        </w:tc>
        <w:tc>
          <w:tcPr>
            <w:tcW w:w="4876" w:type="dxa"/>
            <w:tcBorders>
              <w:top w:val="nil"/>
              <w:left w:val="nil"/>
              <w:bottom w:val="nil"/>
              <w:right w:val="nil"/>
            </w:tcBorders>
          </w:tcPr>
          <w:p w14:paraId="36F5EA50" w14:textId="5899BE6F" w:rsidR="000104F2" w:rsidRPr="005F046F" w:rsidRDefault="000104F2" w:rsidP="00565F8F">
            <w:pPr>
              <w:pStyle w:val="Normal6a"/>
            </w:pPr>
            <w:r w:rsidRPr="005F046F">
              <w:lastRenderedPageBreak/>
              <w:t>27.</w:t>
            </w:r>
            <w:r w:rsidRPr="005F046F">
              <w:tab/>
              <w:t>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emellett nagyobb átláthatóságra szólít fel a nagyközönség számára azáltal, hogy az interneten több információt tesznek közzé az európai alapok felhasználásáról, a végső </w:t>
            </w:r>
            <w:r w:rsidRPr="005F046F">
              <w:lastRenderedPageBreak/>
              <w:t xml:space="preserve">kedvezményezettekről és a közbeszerzési eljárások eredményeiről; </w:t>
            </w:r>
            <w:r w:rsidRPr="005F046F">
              <w:rPr>
                <w:b/>
                <w:i/>
              </w:rPr>
              <w:t>úgy véli, hogy a korrupcióval kapcsolatos csalárd szabálytalanságok bejelentésének szabálytalanságkezelő rendszeren belüli alacsony szintje a felderítési és jelentéstételi rendszerek strukturális hiányosságaira utal; kéri a Bizottságot, hogy vizsgálja mega tagállamok által továbbított adatok minőségét és teljességét, és fogalmazzon meg konkrét ajánlásokat e hiányosságok kezelése érdekében;</w:t>
            </w:r>
          </w:p>
        </w:tc>
      </w:tr>
    </w:tbl>
    <w:p w14:paraId="6AADEBA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D36FDC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3D581A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0DBE45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D2F2F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DC0752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B5C321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DDE1743" w14:textId="77777777" w:rsidTr="00565F8F">
        <w:trPr>
          <w:trHeight w:hRule="exact" w:val="240"/>
          <w:jc w:val="center"/>
        </w:trPr>
        <w:tc>
          <w:tcPr>
            <w:tcW w:w="9752" w:type="dxa"/>
            <w:gridSpan w:val="2"/>
            <w:tcBorders>
              <w:top w:val="nil"/>
              <w:left w:val="nil"/>
              <w:bottom w:val="nil"/>
              <w:right w:val="nil"/>
            </w:tcBorders>
          </w:tcPr>
          <w:p w14:paraId="2AF96D2D" w14:textId="77777777" w:rsidR="000104F2" w:rsidRPr="005F046F" w:rsidRDefault="000104F2" w:rsidP="00565F8F"/>
        </w:tc>
      </w:tr>
      <w:tr w:rsidR="006C656F" w:rsidRPr="005F046F" w14:paraId="775D4B61" w14:textId="77777777" w:rsidTr="00565F8F">
        <w:trPr>
          <w:trHeight w:val="240"/>
          <w:jc w:val="center"/>
        </w:trPr>
        <w:tc>
          <w:tcPr>
            <w:tcW w:w="4876" w:type="dxa"/>
            <w:tcBorders>
              <w:top w:val="nil"/>
              <w:left w:val="nil"/>
              <w:bottom w:val="nil"/>
              <w:right w:val="nil"/>
            </w:tcBorders>
          </w:tcPr>
          <w:p w14:paraId="0C2F3CD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B3E7D65" w14:textId="77777777" w:rsidR="000104F2" w:rsidRPr="005F046F" w:rsidRDefault="000104F2" w:rsidP="00565F8F">
            <w:pPr>
              <w:pStyle w:val="AmColumnHeading"/>
            </w:pPr>
            <w:r w:rsidRPr="005F046F">
              <w:t>Módosítás</w:t>
            </w:r>
          </w:p>
        </w:tc>
      </w:tr>
      <w:tr w:rsidR="006C656F" w:rsidRPr="005F046F" w14:paraId="3264005D" w14:textId="77777777" w:rsidTr="00565F8F">
        <w:trPr>
          <w:jc w:val="center"/>
        </w:trPr>
        <w:tc>
          <w:tcPr>
            <w:tcW w:w="4876" w:type="dxa"/>
            <w:tcBorders>
              <w:top w:val="nil"/>
              <w:left w:val="nil"/>
              <w:bottom w:val="nil"/>
              <w:right w:val="nil"/>
            </w:tcBorders>
          </w:tcPr>
          <w:p w14:paraId="5121B136" w14:textId="296C9416" w:rsidR="000104F2" w:rsidRPr="005F046F" w:rsidRDefault="000104F2" w:rsidP="00565F8F">
            <w:pPr>
              <w:pStyle w:val="Normal6a"/>
            </w:pPr>
            <w:r w:rsidRPr="005F046F">
              <w:t>27.</w:t>
            </w:r>
            <w:r w:rsidRPr="005F046F">
              <w:tab/>
              <w:t>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w:t>
            </w:r>
            <w:r w:rsidRPr="005F046F">
              <w:lastRenderedPageBreak/>
              <w:t>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emellett nagyobb átláthatóságra szólít fel a nagyközönség számára azáltal, hogy az interneten több információt tesznek közzé az európai alapok felhasználásáról, a végső kedvezményezettekről és a közbeszerzési eljárások eredményeiről;</w:t>
            </w:r>
          </w:p>
        </w:tc>
        <w:tc>
          <w:tcPr>
            <w:tcW w:w="4876" w:type="dxa"/>
            <w:tcBorders>
              <w:top w:val="nil"/>
              <w:left w:val="nil"/>
              <w:bottom w:val="nil"/>
              <w:right w:val="nil"/>
            </w:tcBorders>
          </w:tcPr>
          <w:p w14:paraId="149850E4" w14:textId="52B84EDE" w:rsidR="000104F2" w:rsidRPr="005F046F" w:rsidRDefault="000104F2" w:rsidP="00565F8F">
            <w:pPr>
              <w:pStyle w:val="Normal6a"/>
            </w:pPr>
            <w:r w:rsidRPr="005F046F">
              <w:lastRenderedPageBreak/>
              <w:t>27.</w:t>
            </w:r>
            <w:r w:rsidRPr="005F046F">
              <w:tab/>
              <w:t>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w:t>
            </w:r>
            <w:r w:rsidR="00FE3101">
              <w:rPr>
                <w:b/>
                <w:i/>
              </w:rPr>
              <w:t xml:space="preserve"> </w:t>
            </w:r>
            <w:r w:rsidRPr="005F046F">
              <w:rPr>
                <w:b/>
                <w:bCs/>
                <w:i/>
                <w:iCs/>
              </w:rPr>
              <w:t>hangsúlyozza, hogy a szervezett bűnözői csoportok egyre gyakrabban használják a korrupciót arra, hogy a közbeszerzési eljárások torzítása és az illegális gazdasági előnyök biztosítása érdekében beszivárogjanak a közigazgatásba;</w:t>
            </w:r>
            <w:r w:rsidRPr="005F046F">
              <w:t xml:space="preserve"> </w:t>
            </w:r>
            <w:r w:rsidRPr="005F046F">
              <w:lastRenderedPageBreak/>
              <w:t>megjegyzi, hogy amennyiben korrupcióról számolnak be, az főként a közbeszerzést érinti, és e korrupciós ügyek mintegy 20%-át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emellett nagyobb átláthatóságra szólít fel a nagyközönség számára azáltal, hogy az interneten több információt tesznek közzé az európai alapok felhasználásáról, a végső kedvezményezettekről és a közbeszerzési eljárások eredményeiről;</w:t>
            </w:r>
          </w:p>
        </w:tc>
      </w:tr>
    </w:tbl>
    <w:p w14:paraId="416EB8D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FB5EDC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BF344C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119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EA271D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8F52B8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092BFE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8D95BD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6423ACF" w14:textId="77777777" w:rsidTr="00565F8F">
        <w:trPr>
          <w:trHeight w:hRule="exact" w:val="240"/>
          <w:jc w:val="center"/>
        </w:trPr>
        <w:tc>
          <w:tcPr>
            <w:tcW w:w="9752" w:type="dxa"/>
            <w:gridSpan w:val="2"/>
            <w:tcBorders>
              <w:top w:val="nil"/>
              <w:left w:val="nil"/>
              <w:bottom w:val="nil"/>
              <w:right w:val="nil"/>
            </w:tcBorders>
          </w:tcPr>
          <w:p w14:paraId="15A5D753" w14:textId="77777777" w:rsidR="000104F2" w:rsidRPr="005F046F" w:rsidRDefault="000104F2" w:rsidP="00565F8F"/>
        </w:tc>
      </w:tr>
      <w:tr w:rsidR="006C656F" w:rsidRPr="005F046F" w14:paraId="08E54268" w14:textId="77777777" w:rsidTr="00565F8F">
        <w:trPr>
          <w:trHeight w:val="240"/>
          <w:jc w:val="center"/>
        </w:trPr>
        <w:tc>
          <w:tcPr>
            <w:tcW w:w="4876" w:type="dxa"/>
            <w:tcBorders>
              <w:top w:val="nil"/>
              <w:left w:val="nil"/>
              <w:bottom w:val="nil"/>
              <w:right w:val="nil"/>
            </w:tcBorders>
          </w:tcPr>
          <w:p w14:paraId="05D6DEC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F2C7DDD" w14:textId="77777777" w:rsidR="000104F2" w:rsidRPr="005F046F" w:rsidRDefault="000104F2" w:rsidP="00565F8F">
            <w:pPr>
              <w:pStyle w:val="AmColumnHeading"/>
            </w:pPr>
            <w:r w:rsidRPr="005F046F">
              <w:t>Módosítás</w:t>
            </w:r>
          </w:p>
        </w:tc>
      </w:tr>
      <w:tr w:rsidR="006C656F" w:rsidRPr="005F046F" w14:paraId="7BB0AE16" w14:textId="77777777" w:rsidTr="00565F8F">
        <w:trPr>
          <w:jc w:val="center"/>
        </w:trPr>
        <w:tc>
          <w:tcPr>
            <w:tcW w:w="4876" w:type="dxa"/>
            <w:tcBorders>
              <w:top w:val="nil"/>
              <w:left w:val="nil"/>
              <w:bottom w:val="nil"/>
              <w:right w:val="nil"/>
            </w:tcBorders>
          </w:tcPr>
          <w:p w14:paraId="5E314F52" w14:textId="6EE47AE1" w:rsidR="000104F2" w:rsidRPr="005F046F" w:rsidRDefault="000104F2" w:rsidP="00565F8F">
            <w:pPr>
              <w:pStyle w:val="Normal6a"/>
            </w:pPr>
            <w:r w:rsidRPr="005F046F">
              <w:t>27.</w:t>
            </w:r>
            <w:r w:rsidRPr="005F046F">
              <w:tab/>
              <w:t xml:space="preserve">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w:t>
            </w:r>
            <w:r w:rsidRPr="005F046F">
              <w:lastRenderedPageBreak/>
              <w:t>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w:t>
            </w:r>
            <w:r w:rsidRPr="005F046F">
              <w:rPr>
                <w:b/>
                <w:bCs/>
                <w:i/>
                <w:iCs/>
              </w:rPr>
              <w:t>emellett nagyobb átláthatóságra szólít fel a nagyközönség számára</w:t>
            </w:r>
            <w:r w:rsidRPr="005F046F">
              <w:t xml:space="preserve"> </w:t>
            </w:r>
            <w:r w:rsidRPr="005F046F">
              <w:rPr>
                <w:b/>
                <w:bCs/>
                <w:i/>
                <w:iCs/>
              </w:rPr>
              <w:t>azáltal</w:t>
            </w:r>
            <w:r w:rsidRPr="005F046F">
              <w:t xml:space="preserve">, hogy </w:t>
            </w:r>
            <w:r w:rsidRPr="005F046F">
              <w:rPr>
                <w:b/>
                <w:bCs/>
                <w:i/>
                <w:iCs/>
              </w:rPr>
              <w:t>az interneten több információt tesznek közzé</w:t>
            </w:r>
            <w:r w:rsidRPr="005F046F">
              <w:t xml:space="preserve"> az európai alapok </w:t>
            </w:r>
            <w:r w:rsidRPr="005F046F">
              <w:rPr>
                <w:b/>
                <w:bCs/>
                <w:i/>
                <w:iCs/>
              </w:rPr>
              <w:t>felhasználásáról</w:t>
            </w:r>
            <w:r w:rsidRPr="005F046F">
              <w:t xml:space="preserve">, a végső </w:t>
            </w:r>
            <w:r w:rsidRPr="005F046F">
              <w:rPr>
                <w:b/>
                <w:bCs/>
                <w:i/>
                <w:iCs/>
              </w:rPr>
              <w:t>kedvezményezettekről és</w:t>
            </w:r>
            <w:r w:rsidRPr="005F046F">
              <w:t xml:space="preserve"> a közbeszerzési eljárások </w:t>
            </w:r>
            <w:r w:rsidRPr="005F046F">
              <w:rPr>
                <w:b/>
                <w:bCs/>
                <w:i/>
                <w:iCs/>
              </w:rPr>
              <w:t>eredményeiről</w:t>
            </w:r>
            <w:r w:rsidRPr="005F046F">
              <w:t>;</w:t>
            </w:r>
          </w:p>
        </w:tc>
        <w:tc>
          <w:tcPr>
            <w:tcW w:w="4876" w:type="dxa"/>
            <w:tcBorders>
              <w:top w:val="nil"/>
              <w:left w:val="nil"/>
              <w:bottom w:val="nil"/>
              <w:right w:val="nil"/>
            </w:tcBorders>
          </w:tcPr>
          <w:p w14:paraId="24BCD7D4" w14:textId="2D900DE8" w:rsidR="000104F2" w:rsidRPr="005F046F" w:rsidRDefault="000104F2" w:rsidP="00565F8F">
            <w:pPr>
              <w:pStyle w:val="Normal6a"/>
            </w:pPr>
            <w:r w:rsidRPr="005F046F">
              <w:lastRenderedPageBreak/>
              <w:t>27.</w:t>
            </w:r>
            <w:r w:rsidRPr="005F046F">
              <w:tab/>
              <w:t xml:space="preserve">hangsúlyozza, hogy a korrupciós 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w:t>
            </w:r>
            <w:r w:rsidRPr="005F046F">
              <w:lastRenderedPageBreak/>
              <w:t>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az elemzésen alapuló felderítési eszközök használatának megerősítésére irányuló erőfeszítéseit; </w:t>
            </w:r>
            <w:r w:rsidRPr="005F046F">
              <w:rPr>
                <w:b/>
                <w:bCs/>
                <w:i/>
                <w:iCs/>
              </w:rPr>
              <w:t>kéri továbbá</w:t>
            </w:r>
            <w:r w:rsidRPr="005F046F">
              <w:t xml:space="preserve">, hogy </w:t>
            </w:r>
            <w:r w:rsidRPr="005F046F">
              <w:rPr>
                <w:b/>
                <w:bCs/>
                <w:i/>
                <w:iCs/>
              </w:rPr>
              <w:t>fokozzák az átláthatóságot</w:t>
            </w:r>
            <w:r w:rsidRPr="005F046F">
              <w:t xml:space="preserve"> az európai alapok </w:t>
            </w:r>
            <w:r w:rsidRPr="005F046F">
              <w:rPr>
                <w:b/>
                <w:bCs/>
                <w:i/>
                <w:iCs/>
              </w:rPr>
              <w:t>felhasználására</w:t>
            </w:r>
            <w:r w:rsidRPr="005F046F">
              <w:t xml:space="preserve">, a végső </w:t>
            </w:r>
            <w:r w:rsidRPr="005F046F">
              <w:rPr>
                <w:b/>
                <w:bCs/>
                <w:i/>
                <w:iCs/>
              </w:rPr>
              <w:t>kedvezményezettek kilétére</w:t>
            </w:r>
            <w:r w:rsidRPr="005F046F">
              <w:t xml:space="preserve">, </w:t>
            </w:r>
            <w:r w:rsidRPr="005F046F">
              <w:rPr>
                <w:b/>
                <w:bCs/>
                <w:i/>
                <w:iCs/>
              </w:rPr>
              <w:t>a támogatott programok és projektek eredményeire, valamint</w:t>
            </w:r>
            <w:r w:rsidRPr="005F046F">
              <w:t xml:space="preserve"> a közbeszerzési eljárások </w:t>
            </w:r>
            <w:r w:rsidRPr="005F046F">
              <w:rPr>
                <w:b/>
                <w:bCs/>
                <w:i/>
                <w:iCs/>
              </w:rPr>
              <w:t>eredményeire vonatkozó részletes információk szélesebb körű – online és a nyilvánosság számára hozzáférhető egyéb csatornákon keresztül történő – közzététele révén</w:t>
            </w:r>
            <w:r w:rsidRPr="005F046F">
              <w:t>;</w:t>
            </w:r>
          </w:p>
        </w:tc>
      </w:tr>
    </w:tbl>
    <w:p w14:paraId="44138C89"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D03381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69B2B5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9DABE3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7C0F9E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13F372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132D9A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EB2FFE2" w14:textId="77777777" w:rsidTr="00565F8F">
        <w:trPr>
          <w:trHeight w:hRule="exact" w:val="240"/>
          <w:jc w:val="center"/>
        </w:trPr>
        <w:tc>
          <w:tcPr>
            <w:tcW w:w="9752" w:type="dxa"/>
            <w:gridSpan w:val="2"/>
            <w:tcBorders>
              <w:top w:val="nil"/>
              <w:left w:val="nil"/>
              <w:bottom w:val="nil"/>
              <w:right w:val="nil"/>
            </w:tcBorders>
          </w:tcPr>
          <w:p w14:paraId="16D4043B" w14:textId="77777777" w:rsidR="000104F2" w:rsidRPr="005F046F" w:rsidRDefault="000104F2" w:rsidP="00565F8F"/>
        </w:tc>
      </w:tr>
      <w:tr w:rsidR="006C656F" w:rsidRPr="005F046F" w14:paraId="56F73EF0" w14:textId="77777777" w:rsidTr="00565F8F">
        <w:trPr>
          <w:trHeight w:val="240"/>
          <w:jc w:val="center"/>
        </w:trPr>
        <w:tc>
          <w:tcPr>
            <w:tcW w:w="4876" w:type="dxa"/>
            <w:tcBorders>
              <w:top w:val="nil"/>
              <w:left w:val="nil"/>
              <w:bottom w:val="nil"/>
              <w:right w:val="nil"/>
            </w:tcBorders>
          </w:tcPr>
          <w:p w14:paraId="140F6C2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EB45395" w14:textId="77777777" w:rsidR="000104F2" w:rsidRPr="005F046F" w:rsidRDefault="000104F2" w:rsidP="00565F8F">
            <w:pPr>
              <w:pStyle w:val="AmColumnHeading"/>
            </w:pPr>
            <w:r w:rsidRPr="005F046F">
              <w:t>Módosítás</w:t>
            </w:r>
          </w:p>
        </w:tc>
      </w:tr>
      <w:tr w:rsidR="006C656F" w:rsidRPr="005F046F" w14:paraId="222788D5" w14:textId="77777777" w:rsidTr="00565F8F">
        <w:trPr>
          <w:jc w:val="center"/>
        </w:trPr>
        <w:tc>
          <w:tcPr>
            <w:tcW w:w="4876" w:type="dxa"/>
            <w:tcBorders>
              <w:top w:val="nil"/>
              <w:left w:val="nil"/>
              <w:bottom w:val="nil"/>
              <w:right w:val="nil"/>
            </w:tcBorders>
          </w:tcPr>
          <w:p w14:paraId="663665C9" w14:textId="5C4C170C" w:rsidR="000104F2" w:rsidRPr="005F046F" w:rsidRDefault="000104F2" w:rsidP="00565F8F">
            <w:pPr>
              <w:pStyle w:val="Normal6a"/>
            </w:pPr>
            <w:r w:rsidRPr="005F046F">
              <w:t>27.</w:t>
            </w:r>
            <w:r w:rsidRPr="005F046F">
              <w:tab/>
              <w:t xml:space="preserve">hangsúlyozza, hogy a korrupciós </w:t>
            </w:r>
            <w:r w:rsidRPr="005F046F">
              <w:lastRenderedPageBreak/>
              <w:t>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w:t>
            </w:r>
            <w:r w:rsidRPr="005F046F">
              <w:rPr>
                <w:b/>
                <w:bCs/>
                <w:i/>
                <w:iCs/>
              </w:rPr>
              <w:t>az elemzésen</w:t>
            </w:r>
            <w:r w:rsidRPr="005F046F">
              <w:t xml:space="preserve"> alapuló felderítési eszközök </w:t>
            </w:r>
            <w:r w:rsidRPr="005F046F">
              <w:rPr>
                <w:b/>
                <w:bCs/>
                <w:i/>
                <w:iCs/>
              </w:rPr>
              <w:t>használatának</w:t>
            </w:r>
            <w:r w:rsidRPr="005F046F">
              <w:t xml:space="preserve"> megerősítésére irányuló erőfeszítéseit; emellett nagyobb átláthatóságra szólít fel a nagyközönség számára azáltal, hogy az interneten több információt tesznek közzé az európai alapok felhasználásáról, a végső kedvezményezettekről és a közbeszerzési eljárások eredményeiről;</w:t>
            </w:r>
          </w:p>
        </w:tc>
        <w:tc>
          <w:tcPr>
            <w:tcW w:w="4876" w:type="dxa"/>
            <w:tcBorders>
              <w:top w:val="nil"/>
              <w:left w:val="nil"/>
              <w:bottom w:val="nil"/>
              <w:right w:val="nil"/>
            </w:tcBorders>
          </w:tcPr>
          <w:p w14:paraId="4FEBBFBD" w14:textId="6E783D02" w:rsidR="000104F2" w:rsidRPr="005F046F" w:rsidRDefault="000104F2" w:rsidP="00565F8F">
            <w:pPr>
              <w:pStyle w:val="Normal6a"/>
            </w:pPr>
            <w:r w:rsidRPr="005F046F">
              <w:lastRenderedPageBreak/>
              <w:t>27.</w:t>
            </w:r>
            <w:r w:rsidRPr="005F046F">
              <w:tab/>
              <w:t xml:space="preserve">hangsúlyozza, hogy a korrupciós </w:t>
            </w:r>
            <w:r w:rsidRPr="005F046F">
              <w:lastRenderedPageBreak/>
              <w:t>ügyek tekintetében az EPPO 2024 végén 191 kivizsgált bűncselekményről számolt be (szemben a 2023 végi 131 bűncselekménnyel és a 2022. évi 87 bűncselekménnyel); megjegyzi, hogy a 2024. évi PIF-jelentés feltárta, hogy 2020 és 2024 között hét ország 56 esetet jelentett a Bizottságnak a szabálytalanságkezelő rendszeren (IMS) keresztül; hangsúlyozza, hogy a különböző forrásokból származó adatok összehasonlítása és a 2007–2023-as adatokon alapuló elemzés egyértelműen azt jelzi, hogy a tagállamok nem jelentenek elegendő csalárd szabálytalanságot a korrupcióval kapcsolatban az IMS-ben; megjegyzi, hogy amennyiben korrupcióról számolnak be, az főként a közbeszerzést érinti, és e korrupciós ügyek mintegy 20%</w:t>
            </w:r>
            <w:r w:rsidR="00B321FB">
              <w:noBreakHyphen/>
            </w:r>
            <w:r w:rsidRPr="005F046F">
              <w:t xml:space="preserve">át egy olyan ellenőrzés derítette fel, amely a visszaélést bejelentő személyek figyelmeztetéseit vagy a médiában közzétett információkat követően kezdődött meg; megjegyzi, hogy a szabálytalanságok 25%-át olyan ellenőrzés során fedezték fel, amelyet konkrét vádak vagy gyanúk nélkül, tehát véletlenül, és nem a megfelelő kockázatelemzés alapján végeztek; arra a következtetésre jut, hogy a jelentéstétel és a felderítés nem optimális, és felhívja a Bizottságot, hogy fokozza </w:t>
            </w:r>
            <w:r w:rsidRPr="005F046F">
              <w:rPr>
                <w:b/>
                <w:bCs/>
                <w:i/>
                <w:iCs/>
              </w:rPr>
              <w:t xml:space="preserve">a célzott, kockázatokon </w:t>
            </w:r>
            <w:r w:rsidRPr="005F046F">
              <w:t xml:space="preserve">alapuló felderítési eszközök </w:t>
            </w:r>
            <w:r w:rsidRPr="005F046F">
              <w:rPr>
                <w:b/>
                <w:bCs/>
                <w:i/>
                <w:iCs/>
              </w:rPr>
              <w:t xml:space="preserve">és proaktív vizsgálati stratégiák </w:t>
            </w:r>
            <w:r w:rsidRPr="005F046F">
              <w:t>megerősítésére irányuló erőfeszítéseit</w:t>
            </w:r>
            <w:r w:rsidRPr="005F046F">
              <w:rPr>
                <w:b/>
                <w:bCs/>
                <w:i/>
                <w:iCs/>
              </w:rPr>
              <w:t xml:space="preserve"> ahelyett, hogy nem szisztematikus ellenőrzésekre támaszkodik</w:t>
            </w:r>
            <w:r w:rsidRPr="005F046F">
              <w:t>; emellett nagyobb átláthatóságra szólít fel a nagyközönség számára azáltal, hogy az interneten több információt tesznek közzé az európai alapok felhasználásáról, a végső kedvezményezettekről és a közbeszerzési eljárások eredményeiről;</w:t>
            </w:r>
          </w:p>
        </w:tc>
      </w:tr>
    </w:tbl>
    <w:p w14:paraId="61B91EAE"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5DAE81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E9FA508"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D8B287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E9BD06A" w14:textId="77777777" w:rsidR="000104F2" w:rsidRPr="005F046F" w:rsidRDefault="000104F2" w:rsidP="000104F2">
      <w:pPr>
        <w:pStyle w:val="NormalBold"/>
      </w:pPr>
      <w:r w:rsidRPr="005F046F">
        <w:rPr>
          <w:rStyle w:val="HideTWBExt"/>
          <w:b w:val="0"/>
          <w:color w:val="auto"/>
        </w:rPr>
        <w:lastRenderedPageBreak/>
        <w:t>&lt;/</w:t>
      </w:r>
      <w:proofErr w:type="spellStart"/>
      <w:r w:rsidRPr="005F046F">
        <w:rPr>
          <w:rStyle w:val="HideTWBExt"/>
          <w:b w:val="0"/>
          <w:color w:val="auto"/>
        </w:rPr>
        <w:t>RepeatBlock-By</w:t>
      </w:r>
      <w:proofErr w:type="spellEnd"/>
      <w:r w:rsidRPr="005F046F">
        <w:rPr>
          <w:rStyle w:val="HideTWBExt"/>
          <w:b w:val="0"/>
          <w:color w:val="auto"/>
        </w:rPr>
        <w:t>&gt;</w:t>
      </w:r>
    </w:p>
    <w:p w14:paraId="6A97706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EBF65C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A84F2DE" w14:textId="77777777" w:rsidTr="00565F8F">
        <w:trPr>
          <w:trHeight w:hRule="exact" w:val="240"/>
          <w:jc w:val="center"/>
        </w:trPr>
        <w:tc>
          <w:tcPr>
            <w:tcW w:w="9752" w:type="dxa"/>
            <w:gridSpan w:val="2"/>
            <w:tcBorders>
              <w:top w:val="nil"/>
              <w:left w:val="nil"/>
              <w:bottom w:val="nil"/>
              <w:right w:val="nil"/>
            </w:tcBorders>
          </w:tcPr>
          <w:p w14:paraId="1FB1292A" w14:textId="77777777" w:rsidR="000104F2" w:rsidRPr="005F046F" w:rsidRDefault="000104F2" w:rsidP="00565F8F"/>
        </w:tc>
      </w:tr>
      <w:tr w:rsidR="006C656F" w:rsidRPr="005F046F" w14:paraId="5ADBD73B" w14:textId="77777777" w:rsidTr="00565F8F">
        <w:trPr>
          <w:trHeight w:val="240"/>
          <w:jc w:val="center"/>
        </w:trPr>
        <w:tc>
          <w:tcPr>
            <w:tcW w:w="4876" w:type="dxa"/>
            <w:tcBorders>
              <w:top w:val="nil"/>
              <w:left w:val="nil"/>
              <w:bottom w:val="nil"/>
              <w:right w:val="nil"/>
            </w:tcBorders>
          </w:tcPr>
          <w:p w14:paraId="09661AD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D20B566" w14:textId="77777777" w:rsidR="000104F2" w:rsidRPr="005F046F" w:rsidRDefault="000104F2" w:rsidP="00565F8F">
            <w:pPr>
              <w:pStyle w:val="AmColumnHeading"/>
            </w:pPr>
            <w:r w:rsidRPr="005F046F">
              <w:t>Módosítás</w:t>
            </w:r>
          </w:p>
        </w:tc>
      </w:tr>
      <w:tr w:rsidR="006C656F" w:rsidRPr="005F046F" w14:paraId="4AE1A4CE" w14:textId="77777777" w:rsidTr="00565F8F">
        <w:trPr>
          <w:jc w:val="center"/>
        </w:trPr>
        <w:tc>
          <w:tcPr>
            <w:tcW w:w="4876" w:type="dxa"/>
            <w:tcBorders>
              <w:top w:val="nil"/>
              <w:left w:val="nil"/>
              <w:bottom w:val="nil"/>
              <w:right w:val="nil"/>
            </w:tcBorders>
          </w:tcPr>
          <w:p w14:paraId="3EDCCFB8" w14:textId="77777777" w:rsidR="000104F2" w:rsidRPr="005F046F" w:rsidRDefault="000104F2" w:rsidP="00565F8F">
            <w:pPr>
              <w:pStyle w:val="Normal6a"/>
            </w:pPr>
          </w:p>
        </w:tc>
        <w:tc>
          <w:tcPr>
            <w:tcW w:w="4876" w:type="dxa"/>
            <w:tcBorders>
              <w:top w:val="nil"/>
              <w:left w:val="nil"/>
              <w:bottom w:val="nil"/>
              <w:right w:val="nil"/>
            </w:tcBorders>
          </w:tcPr>
          <w:p w14:paraId="3819A527" w14:textId="77777777" w:rsidR="000104F2" w:rsidRPr="005F046F" w:rsidRDefault="000104F2" w:rsidP="00565F8F">
            <w:pPr>
              <w:pStyle w:val="Normal6a"/>
            </w:pPr>
            <w:r w:rsidRPr="005F046F">
              <w:rPr>
                <w:b/>
                <w:i/>
              </w:rPr>
              <w:t>27a.</w:t>
            </w:r>
            <w:r w:rsidRPr="005F046F">
              <w:tab/>
            </w:r>
            <w:r w:rsidRPr="005F046F">
              <w:rPr>
                <w:b/>
                <w:i/>
              </w:rPr>
              <w:t>megjegyzi, hogy a korrupció elleni küzdelem az éves jogállamisági jelentések egyik fő eleme, és a Bizottság által az uniós tagállamoknak továbbított célzott ajánlások a korrupció elleni küzdelemre is kiterjednek; megjegyzi, hogy a tagállamok a 2022–2024-es jogállamisági jelentésben tett ajánlások több mint kétharmadával kapcsolatban kulcsfontosságú nemzeti szintű reformokat indítottak el; elismeri, hogy a tagállamokban léteznek korrupcióellenes stratégiák, de kiemeli, hogy ezeket értékelni kell, illetve rendszeresen felül kell vizsgálni; ösztönzi a Bizottságot, hogy kövesse nyomon a tagállamokban bevezetett intézkedések előrehaladását, és a jelentéstétellel kapcsolatban rendszeresen bocsásson rendelkezésre friss adatokat és elemzéseket;</w:t>
            </w:r>
          </w:p>
        </w:tc>
      </w:tr>
    </w:tbl>
    <w:p w14:paraId="4D7C524B"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56DF0D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624820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19CA2A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118BA4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CAF3F4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A1BB94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27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5F21A77" w14:textId="77777777" w:rsidTr="00565F8F">
        <w:trPr>
          <w:trHeight w:hRule="exact" w:val="240"/>
          <w:jc w:val="center"/>
        </w:trPr>
        <w:tc>
          <w:tcPr>
            <w:tcW w:w="9752" w:type="dxa"/>
            <w:gridSpan w:val="2"/>
            <w:tcBorders>
              <w:top w:val="nil"/>
              <w:left w:val="nil"/>
              <w:bottom w:val="nil"/>
              <w:right w:val="nil"/>
            </w:tcBorders>
          </w:tcPr>
          <w:p w14:paraId="349F7FAF" w14:textId="77777777" w:rsidR="000104F2" w:rsidRPr="005F046F" w:rsidRDefault="000104F2" w:rsidP="00565F8F"/>
        </w:tc>
      </w:tr>
      <w:tr w:rsidR="006C656F" w:rsidRPr="005F046F" w14:paraId="1198400B" w14:textId="77777777" w:rsidTr="00565F8F">
        <w:trPr>
          <w:trHeight w:val="240"/>
          <w:jc w:val="center"/>
        </w:trPr>
        <w:tc>
          <w:tcPr>
            <w:tcW w:w="4876" w:type="dxa"/>
            <w:tcBorders>
              <w:top w:val="nil"/>
              <w:left w:val="nil"/>
              <w:bottom w:val="nil"/>
              <w:right w:val="nil"/>
            </w:tcBorders>
          </w:tcPr>
          <w:p w14:paraId="13EE226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1AB3EE2" w14:textId="77777777" w:rsidR="000104F2" w:rsidRPr="005F046F" w:rsidRDefault="000104F2" w:rsidP="00565F8F">
            <w:pPr>
              <w:pStyle w:val="AmColumnHeading"/>
            </w:pPr>
            <w:r w:rsidRPr="005F046F">
              <w:t>Módosítás</w:t>
            </w:r>
          </w:p>
        </w:tc>
      </w:tr>
      <w:tr w:rsidR="006C656F" w:rsidRPr="005F046F" w14:paraId="54867EFC" w14:textId="77777777" w:rsidTr="00565F8F">
        <w:trPr>
          <w:jc w:val="center"/>
        </w:trPr>
        <w:tc>
          <w:tcPr>
            <w:tcW w:w="4876" w:type="dxa"/>
            <w:tcBorders>
              <w:top w:val="nil"/>
              <w:left w:val="nil"/>
              <w:bottom w:val="nil"/>
              <w:right w:val="nil"/>
            </w:tcBorders>
          </w:tcPr>
          <w:p w14:paraId="18DD949B" w14:textId="77777777" w:rsidR="000104F2" w:rsidRPr="005F046F" w:rsidRDefault="000104F2" w:rsidP="00565F8F">
            <w:pPr>
              <w:pStyle w:val="Normal6a"/>
            </w:pPr>
          </w:p>
        </w:tc>
        <w:tc>
          <w:tcPr>
            <w:tcW w:w="4876" w:type="dxa"/>
            <w:tcBorders>
              <w:top w:val="nil"/>
              <w:left w:val="nil"/>
              <w:bottom w:val="nil"/>
              <w:right w:val="nil"/>
            </w:tcBorders>
          </w:tcPr>
          <w:p w14:paraId="079AB10A" w14:textId="77777777" w:rsidR="000104F2" w:rsidRPr="005F046F" w:rsidRDefault="000104F2" w:rsidP="00565F8F">
            <w:pPr>
              <w:pStyle w:val="Normal6a"/>
            </w:pPr>
            <w:r w:rsidRPr="005F046F">
              <w:rPr>
                <w:b/>
                <w:i/>
              </w:rPr>
              <w:t>27b.</w:t>
            </w:r>
            <w:r w:rsidRPr="005F046F">
              <w:tab/>
            </w:r>
            <w:r w:rsidRPr="005F046F">
              <w:rPr>
                <w:b/>
                <w:i/>
              </w:rPr>
              <w:t xml:space="preserve">üdvözli a magas kockázatú korrupciós területekről szóló tanulmány 2024. november 4-i közzétételét, amely a 2023. májusi korrupcióellenes csomagot követően külön szakaszt szentel a csalás és a korrupció közötti átfedéseknek; megállapítja, hogy a közbeszerzés, az építőipar, az infrastruktúra és az egészségügy a legveszélyeztetettebb területek közé tartozott; ösztönzi </w:t>
            </w:r>
            <w:proofErr w:type="spellStart"/>
            <w:r w:rsidRPr="005F046F">
              <w:rPr>
                <w:b/>
                <w:i/>
              </w:rPr>
              <w:lastRenderedPageBreak/>
              <w:t>nyomonkövetési</w:t>
            </w:r>
            <w:proofErr w:type="spellEnd"/>
            <w:r w:rsidRPr="005F046F">
              <w:rPr>
                <w:b/>
                <w:i/>
              </w:rPr>
              <w:t xml:space="preserve"> tanulmányok készítését, hogy megvizsgálják azokat az intézkedéseket, amelyek mérséklik a korrupciót e magas kockázatú területeken;</w:t>
            </w:r>
          </w:p>
        </w:tc>
      </w:tr>
    </w:tbl>
    <w:p w14:paraId="46C265C9"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AC79A8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AC532D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A3CC8F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8F6513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C95BE1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7AB14E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36909F7" w14:textId="77777777" w:rsidTr="00565F8F">
        <w:trPr>
          <w:trHeight w:hRule="exact" w:val="240"/>
          <w:jc w:val="center"/>
        </w:trPr>
        <w:tc>
          <w:tcPr>
            <w:tcW w:w="9752" w:type="dxa"/>
            <w:gridSpan w:val="2"/>
            <w:tcBorders>
              <w:top w:val="nil"/>
              <w:left w:val="nil"/>
              <w:bottom w:val="nil"/>
              <w:right w:val="nil"/>
            </w:tcBorders>
          </w:tcPr>
          <w:p w14:paraId="294EE9B8" w14:textId="77777777" w:rsidR="000104F2" w:rsidRPr="005F046F" w:rsidRDefault="000104F2" w:rsidP="00565F8F"/>
        </w:tc>
      </w:tr>
      <w:tr w:rsidR="006C656F" w:rsidRPr="005F046F" w14:paraId="0094074A" w14:textId="77777777" w:rsidTr="00565F8F">
        <w:trPr>
          <w:trHeight w:val="240"/>
          <w:jc w:val="center"/>
        </w:trPr>
        <w:tc>
          <w:tcPr>
            <w:tcW w:w="4876" w:type="dxa"/>
            <w:tcBorders>
              <w:top w:val="nil"/>
              <w:left w:val="nil"/>
              <w:bottom w:val="nil"/>
              <w:right w:val="nil"/>
            </w:tcBorders>
          </w:tcPr>
          <w:p w14:paraId="7FB0259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39E078A" w14:textId="77777777" w:rsidR="000104F2" w:rsidRPr="005F046F" w:rsidRDefault="000104F2" w:rsidP="00565F8F">
            <w:pPr>
              <w:pStyle w:val="AmColumnHeading"/>
            </w:pPr>
            <w:r w:rsidRPr="005F046F">
              <w:t>Módosítás</w:t>
            </w:r>
          </w:p>
        </w:tc>
      </w:tr>
      <w:tr w:rsidR="006C656F" w:rsidRPr="005F046F" w14:paraId="549E4E4C" w14:textId="77777777" w:rsidTr="00565F8F">
        <w:trPr>
          <w:jc w:val="center"/>
        </w:trPr>
        <w:tc>
          <w:tcPr>
            <w:tcW w:w="4876" w:type="dxa"/>
            <w:tcBorders>
              <w:top w:val="nil"/>
              <w:left w:val="nil"/>
              <w:bottom w:val="nil"/>
              <w:right w:val="nil"/>
            </w:tcBorders>
          </w:tcPr>
          <w:p w14:paraId="49E8404E" w14:textId="77777777" w:rsidR="000104F2" w:rsidRPr="005F046F" w:rsidRDefault="000104F2" w:rsidP="00565F8F">
            <w:pPr>
              <w:pStyle w:val="Normal6a"/>
            </w:pPr>
            <w:r w:rsidRPr="005F046F">
              <w:t>28.</w:t>
            </w:r>
            <w:r w:rsidRPr="005F046F">
              <w:tab/>
            </w:r>
            <w:r w:rsidRPr="005F046F">
              <w:rPr>
                <w:b/>
                <w:bCs/>
                <w:i/>
                <w:iCs/>
              </w:rPr>
              <w:t>az EU további bővítése előtt felszólít a tagjelölt országok korrupciós helyzetének alapos vizsgálatára, különösen akkor, ha azok csatlakozásuk után nettó kedvezményezettjei lesznek a költségvetésnek, annak érdekében, hogy elkerülhető legyen minden visszaélés</w:t>
            </w:r>
            <w:r w:rsidRPr="005F046F">
              <w:t xml:space="preserve"> és az Unió pénzügyi érdekeinek </w:t>
            </w:r>
            <w:r w:rsidRPr="005F046F">
              <w:rPr>
                <w:b/>
                <w:bCs/>
                <w:i/>
                <w:iCs/>
              </w:rPr>
              <w:t>megsértése egy jövőbeli tagállam részéről</w:t>
            </w:r>
            <w:r w:rsidRPr="005F046F">
              <w:t>;</w:t>
            </w:r>
          </w:p>
        </w:tc>
        <w:tc>
          <w:tcPr>
            <w:tcW w:w="4876" w:type="dxa"/>
            <w:tcBorders>
              <w:top w:val="nil"/>
              <w:left w:val="nil"/>
              <w:bottom w:val="nil"/>
              <w:right w:val="nil"/>
            </w:tcBorders>
          </w:tcPr>
          <w:p w14:paraId="6DF7C06F" w14:textId="77777777" w:rsidR="000104F2" w:rsidRPr="005F046F" w:rsidRDefault="000104F2" w:rsidP="00565F8F">
            <w:pPr>
              <w:pStyle w:val="Normal6a"/>
            </w:pPr>
            <w:r w:rsidRPr="005F046F">
              <w:t>28.</w:t>
            </w:r>
            <w:r w:rsidRPr="005F046F">
              <w:tab/>
            </w:r>
            <w:r w:rsidRPr="005F046F">
              <w:rPr>
                <w:b/>
                <w:bCs/>
                <w:i/>
                <w:iCs/>
              </w:rPr>
              <w:t>hangsúlyozza, hogy az egész csatlakozási folyamat során nagy jelentőséggel bírnak a szigorú korrupcióellenes normák, a hatékony kontrollrendszerek</w:t>
            </w:r>
            <w:r w:rsidRPr="005F046F">
              <w:t xml:space="preserve"> és az Unió pénzügyi érdekeinek </w:t>
            </w:r>
            <w:r w:rsidRPr="005F046F">
              <w:rPr>
                <w:b/>
                <w:bCs/>
                <w:i/>
                <w:iCs/>
              </w:rPr>
              <w:t>védelmét szolgáló szilárd biztosítékok;</w:t>
            </w:r>
            <w:r w:rsidRPr="005F046F">
              <w:rPr>
                <w:b/>
                <w:i/>
              </w:rPr>
              <w:t xml:space="preserve"> </w:t>
            </w:r>
            <w:r w:rsidRPr="005F046F">
              <w:rPr>
                <w:b/>
                <w:bCs/>
                <w:i/>
                <w:iCs/>
              </w:rPr>
              <w:t>hangsúlyozza, hogy a tagjelölt országoknak bizonyítaniuk kell, hogy az uniós szabályokkal és normákkal összhangban képesek megelőzni, felderíteni és kezelni a közpénzeket érintő csalást és korrupciót</w:t>
            </w:r>
            <w:r w:rsidRPr="005F046F">
              <w:t>;</w:t>
            </w:r>
          </w:p>
        </w:tc>
      </w:tr>
    </w:tbl>
    <w:p w14:paraId="582E89B5"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C65C54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341A69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A0220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24745F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3539DC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9D9742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02F39DF" w14:textId="77777777" w:rsidTr="00565F8F">
        <w:trPr>
          <w:trHeight w:hRule="exact" w:val="240"/>
          <w:jc w:val="center"/>
        </w:trPr>
        <w:tc>
          <w:tcPr>
            <w:tcW w:w="9752" w:type="dxa"/>
            <w:gridSpan w:val="2"/>
            <w:tcBorders>
              <w:top w:val="nil"/>
              <w:left w:val="nil"/>
              <w:bottom w:val="nil"/>
              <w:right w:val="nil"/>
            </w:tcBorders>
          </w:tcPr>
          <w:p w14:paraId="3648C15F" w14:textId="77777777" w:rsidR="000104F2" w:rsidRPr="005F046F" w:rsidRDefault="000104F2" w:rsidP="00565F8F"/>
        </w:tc>
      </w:tr>
      <w:tr w:rsidR="006C656F" w:rsidRPr="005F046F" w14:paraId="0154CE01" w14:textId="77777777" w:rsidTr="00565F8F">
        <w:trPr>
          <w:trHeight w:val="240"/>
          <w:jc w:val="center"/>
        </w:trPr>
        <w:tc>
          <w:tcPr>
            <w:tcW w:w="4876" w:type="dxa"/>
            <w:tcBorders>
              <w:top w:val="nil"/>
              <w:left w:val="nil"/>
              <w:bottom w:val="nil"/>
              <w:right w:val="nil"/>
            </w:tcBorders>
          </w:tcPr>
          <w:p w14:paraId="4ECBEA1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FE14D06" w14:textId="77777777" w:rsidR="000104F2" w:rsidRPr="005F046F" w:rsidRDefault="000104F2" w:rsidP="00565F8F">
            <w:pPr>
              <w:pStyle w:val="AmColumnHeading"/>
            </w:pPr>
            <w:r w:rsidRPr="005F046F">
              <w:t>Módosítás</w:t>
            </w:r>
          </w:p>
        </w:tc>
      </w:tr>
      <w:tr w:rsidR="006C656F" w:rsidRPr="005F046F" w14:paraId="523DEEDD" w14:textId="77777777" w:rsidTr="00565F8F">
        <w:trPr>
          <w:jc w:val="center"/>
        </w:trPr>
        <w:tc>
          <w:tcPr>
            <w:tcW w:w="4876" w:type="dxa"/>
            <w:tcBorders>
              <w:top w:val="nil"/>
              <w:left w:val="nil"/>
              <w:bottom w:val="nil"/>
              <w:right w:val="nil"/>
            </w:tcBorders>
          </w:tcPr>
          <w:p w14:paraId="2D6FA25A" w14:textId="77777777" w:rsidR="000104F2" w:rsidRPr="005F046F" w:rsidRDefault="000104F2" w:rsidP="00565F8F">
            <w:pPr>
              <w:pStyle w:val="Normal6a"/>
            </w:pPr>
            <w:r w:rsidRPr="005F046F">
              <w:t>28.</w:t>
            </w:r>
            <w:r w:rsidRPr="005F046F">
              <w:tab/>
              <w:t xml:space="preserve">az EU további bővítése előtt felszólít a tagjelölt országok korrupciós helyzetének alapos vizsgálatára, különösen akkor, ha azok csatlakozásuk után nettó kedvezményezettjei lesznek a </w:t>
            </w:r>
            <w:r w:rsidRPr="005F046F">
              <w:lastRenderedPageBreak/>
              <w:t xml:space="preserve">költségvetésnek, </w:t>
            </w:r>
            <w:r w:rsidRPr="005F046F">
              <w:rPr>
                <w:b/>
                <w:bCs/>
                <w:i/>
                <w:iCs/>
              </w:rPr>
              <w:t>annak érdekében</w:t>
            </w:r>
            <w:r w:rsidRPr="005F046F">
              <w:t>, hogy elkerülhető legyen minden visszaélés és az Unió pénzügyi érdekeinek megsértése egy jövőbeli tagállam részéről;</w:t>
            </w:r>
          </w:p>
        </w:tc>
        <w:tc>
          <w:tcPr>
            <w:tcW w:w="4876" w:type="dxa"/>
            <w:tcBorders>
              <w:top w:val="nil"/>
              <w:left w:val="nil"/>
              <w:bottom w:val="nil"/>
              <w:right w:val="nil"/>
            </w:tcBorders>
          </w:tcPr>
          <w:p w14:paraId="2EB4340F" w14:textId="77777777" w:rsidR="000104F2" w:rsidRPr="005F046F" w:rsidRDefault="000104F2" w:rsidP="00565F8F">
            <w:pPr>
              <w:pStyle w:val="Normal6a"/>
            </w:pPr>
            <w:r w:rsidRPr="005F046F">
              <w:lastRenderedPageBreak/>
              <w:t>28.</w:t>
            </w:r>
            <w:r w:rsidRPr="005F046F">
              <w:tab/>
              <w:t xml:space="preserve">az EU további bővítése előtt felszólít a tagjelölt országok korrupciós helyzetének </w:t>
            </w:r>
            <w:r w:rsidRPr="005F046F">
              <w:rPr>
                <w:b/>
                <w:i/>
              </w:rPr>
              <w:t xml:space="preserve">– többek között korrupcióellenes keretük hatékonyságának, az igazságszolgáltatás </w:t>
            </w:r>
            <w:r w:rsidRPr="005F046F">
              <w:rPr>
                <w:b/>
                <w:i/>
              </w:rPr>
              <w:lastRenderedPageBreak/>
              <w:t>függetlenségének és igazgatási kapacitásuknak –</w:t>
            </w:r>
            <w:r w:rsidRPr="005F046F">
              <w:t xml:space="preserve"> alapos vizsgálatára, különösen akkor, ha azok csatlakozásuk után nettó kedvezményezettjei lesznek a költségvetésnek, </w:t>
            </w:r>
            <w:r w:rsidRPr="005F046F">
              <w:rPr>
                <w:b/>
                <w:i/>
              </w:rPr>
              <w:t>és hangsúlyozza, hogy a hatékony ellenőrzések és a csatlakozást követő nyomon követés alapvető fontosságúak ahhoz</w:t>
            </w:r>
            <w:r w:rsidRPr="005F046F">
              <w:t>, hogy elkerülhető legyen minden visszaélés és az Unió pénzügyi érdekeinek megsértése egy jövőbeli tagállam részéről;</w:t>
            </w:r>
          </w:p>
        </w:tc>
      </w:tr>
    </w:tbl>
    <w:p w14:paraId="2D017A74"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CC36DF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82A599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BBB9EE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7CC6587"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75FC2D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FC1661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7B1D0B3" w14:textId="77777777" w:rsidTr="00565F8F">
        <w:trPr>
          <w:trHeight w:hRule="exact" w:val="240"/>
          <w:jc w:val="center"/>
        </w:trPr>
        <w:tc>
          <w:tcPr>
            <w:tcW w:w="9752" w:type="dxa"/>
            <w:gridSpan w:val="2"/>
            <w:tcBorders>
              <w:top w:val="nil"/>
              <w:left w:val="nil"/>
              <w:bottom w:val="nil"/>
              <w:right w:val="nil"/>
            </w:tcBorders>
          </w:tcPr>
          <w:p w14:paraId="6975CFCD" w14:textId="77777777" w:rsidR="000104F2" w:rsidRPr="005F046F" w:rsidRDefault="000104F2" w:rsidP="00565F8F"/>
        </w:tc>
      </w:tr>
      <w:tr w:rsidR="006C656F" w:rsidRPr="005F046F" w14:paraId="150C34FC" w14:textId="77777777" w:rsidTr="00565F8F">
        <w:trPr>
          <w:trHeight w:val="240"/>
          <w:jc w:val="center"/>
        </w:trPr>
        <w:tc>
          <w:tcPr>
            <w:tcW w:w="4876" w:type="dxa"/>
            <w:tcBorders>
              <w:top w:val="nil"/>
              <w:left w:val="nil"/>
              <w:bottom w:val="nil"/>
              <w:right w:val="nil"/>
            </w:tcBorders>
          </w:tcPr>
          <w:p w14:paraId="2BA04C1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F936811" w14:textId="77777777" w:rsidR="000104F2" w:rsidRPr="005F046F" w:rsidRDefault="000104F2" w:rsidP="00565F8F">
            <w:pPr>
              <w:pStyle w:val="AmColumnHeading"/>
            </w:pPr>
            <w:r w:rsidRPr="005F046F">
              <w:t>Módosítás</w:t>
            </w:r>
          </w:p>
        </w:tc>
      </w:tr>
      <w:tr w:rsidR="006C656F" w:rsidRPr="005F046F" w14:paraId="1362648A" w14:textId="77777777" w:rsidTr="00565F8F">
        <w:trPr>
          <w:jc w:val="center"/>
        </w:trPr>
        <w:tc>
          <w:tcPr>
            <w:tcW w:w="4876" w:type="dxa"/>
            <w:tcBorders>
              <w:top w:val="nil"/>
              <w:left w:val="nil"/>
              <w:bottom w:val="nil"/>
              <w:right w:val="nil"/>
            </w:tcBorders>
          </w:tcPr>
          <w:p w14:paraId="1059751A" w14:textId="77777777" w:rsidR="000104F2" w:rsidRPr="005F046F" w:rsidRDefault="000104F2" w:rsidP="00565F8F">
            <w:pPr>
              <w:pStyle w:val="Normal6a"/>
            </w:pPr>
            <w:r w:rsidRPr="005F046F">
              <w:t>28.</w:t>
            </w:r>
            <w:r w:rsidRPr="005F046F">
              <w:tab/>
              <w:t>az EU további bővítése előtt felszólít a tagjelölt országok korrupciós helyzetének alapos vizsgálatára</w:t>
            </w:r>
            <w:r w:rsidRPr="005F046F">
              <w:rPr>
                <w:b/>
                <w:bCs/>
                <w:i/>
                <w:iCs/>
              </w:rPr>
              <w:t>, különösen akkor, ha azok csatlakozásuk után nettó kedvezményezettjei lesznek a költségvetésnek,</w:t>
            </w:r>
            <w:r w:rsidRPr="005F046F">
              <w:t xml:space="preserve"> annak érdekében, hogy elkerülhető legyen minden visszaélés és az Unió pénzügyi érdekeinek megsértése egy jövőbeli tagállam részéről;</w:t>
            </w:r>
          </w:p>
        </w:tc>
        <w:tc>
          <w:tcPr>
            <w:tcW w:w="4876" w:type="dxa"/>
            <w:tcBorders>
              <w:top w:val="nil"/>
              <w:left w:val="nil"/>
              <w:bottom w:val="nil"/>
              <w:right w:val="nil"/>
            </w:tcBorders>
          </w:tcPr>
          <w:p w14:paraId="52EE19D8" w14:textId="77777777" w:rsidR="000104F2" w:rsidRPr="005F046F" w:rsidRDefault="000104F2" w:rsidP="00565F8F">
            <w:pPr>
              <w:pStyle w:val="Normal6a"/>
            </w:pPr>
            <w:r w:rsidRPr="005F046F">
              <w:t>28.</w:t>
            </w:r>
            <w:r w:rsidRPr="005F046F">
              <w:tab/>
              <w:t>az EU további bővítése előtt felszólít a tagjelölt országok korrupciós helyzetének alapos vizsgálatára annak érdekében, hogy elkerülhető legyen minden visszaélés és az Unió pénzügyi érdekeinek megsértése egy jövőbeli tagállam részéről;</w:t>
            </w:r>
          </w:p>
        </w:tc>
      </w:tr>
    </w:tbl>
    <w:p w14:paraId="40B7B94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34BCD01"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A0A497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7B050A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21350B8"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0A0C56D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66C788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A59C27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28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CC7A93B" w14:textId="77777777" w:rsidTr="00565F8F">
        <w:trPr>
          <w:trHeight w:hRule="exact" w:val="240"/>
          <w:jc w:val="center"/>
        </w:trPr>
        <w:tc>
          <w:tcPr>
            <w:tcW w:w="9752" w:type="dxa"/>
            <w:gridSpan w:val="2"/>
            <w:tcBorders>
              <w:top w:val="nil"/>
              <w:left w:val="nil"/>
              <w:bottom w:val="nil"/>
              <w:right w:val="nil"/>
            </w:tcBorders>
          </w:tcPr>
          <w:p w14:paraId="40872C9F" w14:textId="77777777" w:rsidR="000104F2" w:rsidRPr="005F046F" w:rsidRDefault="000104F2" w:rsidP="00565F8F"/>
        </w:tc>
      </w:tr>
      <w:tr w:rsidR="006C656F" w:rsidRPr="005F046F" w14:paraId="54044A98" w14:textId="77777777" w:rsidTr="00565F8F">
        <w:trPr>
          <w:trHeight w:val="240"/>
          <w:jc w:val="center"/>
        </w:trPr>
        <w:tc>
          <w:tcPr>
            <w:tcW w:w="4876" w:type="dxa"/>
            <w:tcBorders>
              <w:top w:val="nil"/>
              <w:left w:val="nil"/>
              <w:bottom w:val="nil"/>
              <w:right w:val="nil"/>
            </w:tcBorders>
          </w:tcPr>
          <w:p w14:paraId="32B3EB44"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B555756" w14:textId="77777777" w:rsidR="000104F2" w:rsidRPr="005F046F" w:rsidRDefault="000104F2" w:rsidP="00565F8F">
            <w:pPr>
              <w:pStyle w:val="AmColumnHeading"/>
            </w:pPr>
            <w:r w:rsidRPr="005F046F">
              <w:t>Módosítás</w:t>
            </w:r>
          </w:p>
        </w:tc>
      </w:tr>
      <w:tr w:rsidR="006C656F" w:rsidRPr="005F046F" w14:paraId="22B9F784" w14:textId="77777777" w:rsidTr="00565F8F">
        <w:trPr>
          <w:jc w:val="center"/>
        </w:trPr>
        <w:tc>
          <w:tcPr>
            <w:tcW w:w="4876" w:type="dxa"/>
            <w:tcBorders>
              <w:top w:val="nil"/>
              <w:left w:val="nil"/>
              <w:bottom w:val="nil"/>
              <w:right w:val="nil"/>
            </w:tcBorders>
          </w:tcPr>
          <w:p w14:paraId="43AE8694" w14:textId="77777777" w:rsidR="000104F2" w:rsidRPr="005F046F" w:rsidRDefault="000104F2" w:rsidP="00565F8F">
            <w:pPr>
              <w:pStyle w:val="Normal6a"/>
            </w:pPr>
          </w:p>
        </w:tc>
        <w:tc>
          <w:tcPr>
            <w:tcW w:w="4876" w:type="dxa"/>
            <w:tcBorders>
              <w:top w:val="nil"/>
              <w:left w:val="nil"/>
              <w:bottom w:val="nil"/>
              <w:right w:val="nil"/>
            </w:tcBorders>
          </w:tcPr>
          <w:p w14:paraId="196DC20C" w14:textId="77777777" w:rsidR="000104F2" w:rsidRPr="005F046F" w:rsidRDefault="000104F2" w:rsidP="00565F8F">
            <w:pPr>
              <w:pStyle w:val="Normal6a"/>
            </w:pPr>
            <w:r w:rsidRPr="005F046F">
              <w:rPr>
                <w:b/>
                <w:i/>
              </w:rPr>
              <w:t>28a.</w:t>
            </w:r>
            <w:r w:rsidRPr="005F046F">
              <w:tab/>
            </w:r>
            <w:r w:rsidRPr="005F046F">
              <w:rPr>
                <w:b/>
                <w:i/>
              </w:rPr>
              <w:t xml:space="preserve">hangsúlyozza, hogy az Unió pénzügyi érdekeinek védelmét szigorú, </w:t>
            </w:r>
            <w:r w:rsidRPr="005F046F">
              <w:rPr>
                <w:b/>
                <w:i/>
              </w:rPr>
              <w:lastRenderedPageBreak/>
              <w:t>mérhető korrupcióellenes és jogállamisági referenciaértékek, szilárd ellenőrzési intézkedések és az Unió csalás elleni architektúrájával való hatékony együttműködés előírása révén teljes mértékben be kell építeni a bővítési politikába; hangsúlyozza, hogy a megerősített előcsatlakozási biztosítékok csökkenthetik a kockázatokat és támogathatják a reformokat, ahelyett, hogy ürügyként szolgálnának a bővítéssel szembeni általános szkepticizmusra;</w:t>
            </w:r>
          </w:p>
        </w:tc>
      </w:tr>
    </w:tbl>
    <w:p w14:paraId="53593C6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16FE14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27C1B8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E38093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6C7602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9C0565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2BE0F5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175E443D" w14:textId="77777777" w:rsidTr="00565F8F">
        <w:trPr>
          <w:trHeight w:hRule="exact" w:val="240"/>
          <w:jc w:val="center"/>
        </w:trPr>
        <w:tc>
          <w:tcPr>
            <w:tcW w:w="9752" w:type="dxa"/>
            <w:gridSpan w:val="2"/>
            <w:tcBorders>
              <w:top w:val="nil"/>
              <w:left w:val="nil"/>
              <w:bottom w:val="nil"/>
              <w:right w:val="nil"/>
            </w:tcBorders>
          </w:tcPr>
          <w:p w14:paraId="705F6979" w14:textId="77777777" w:rsidR="000104F2" w:rsidRPr="005F046F" w:rsidRDefault="000104F2" w:rsidP="00565F8F"/>
        </w:tc>
      </w:tr>
      <w:tr w:rsidR="006C656F" w:rsidRPr="005F046F" w14:paraId="04C76F7F" w14:textId="77777777" w:rsidTr="00565F8F">
        <w:trPr>
          <w:trHeight w:val="240"/>
          <w:jc w:val="center"/>
        </w:trPr>
        <w:tc>
          <w:tcPr>
            <w:tcW w:w="4876" w:type="dxa"/>
            <w:tcBorders>
              <w:top w:val="nil"/>
              <w:left w:val="nil"/>
              <w:bottom w:val="nil"/>
              <w:right w:val="nil"/>
            </w:tcBorders>
          </w:tcPr>
          <w:p w14:paraId="166CA69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1408F54" w14:textId="77777777" w:rsidR="000104F2" w:rsidRPr="005F046F" w:rsidRDefault="000104F2" w:rsidP="00565F8F">
            <w:pPr>
              <w:pStyle w:val="AmColumnHeading"/>
            </w:pPr>
            <w:r w:rsidRPr="005F046F">
              <w:t>Módosítás</w:t>
            </w:r>
          </w:p>
        </w:tc>
      </w:tr>
      <w:tr w:rsidR="006C656F" w:rsidRPr="005F046F" w14:paraId="71FD054C" w14:textId="77777777" w:rsidTr="00565F8F">
        <w:trPr>
          <w:jc w:val="center"/>
        </w:trPr>
        <w:tc>
          <w:tcPr>
            <w:tcW w:w="4876" w:type="dxa"/>
            <w:tcBorders>
              <w:top w:val="nil"/>
              <w:left w:val="nil"/>
              <w:bottom w:val="nil"/>
              <w:right w:val="nil"/>
            </w:tcBorders>
          </w:tcPr>
          <w:p w14:paraId="720D16C7" w14:textId="77777777" w:rsidR="000104F2" w:rsidRPr="005F046F" w:rsidRDefault="000104F2" w:rsidP="00565F8F">
            <w:pPr>
              <w:pStyle w:val="Normal6a"/>
            </w:pPr>
          </w:p>
        </w:tc>
        <w:tc>
          <w:tcPr>
            <w:tcW w:w="4876" w:type="dxa"/>
            <w:tcBorders>
              <w:top w:val="nil"/>
              <w:left w:val="nil"/>
              <w:bottom w:val="nil"/>
              <w:right w:val="nil"/>
            </w:tcBorders>
          </w:tcPr>
          <w:p w14:paraId="7B2FC09B" w14:textId="77777777" w:rsidR="000104F2" w:rsidRPr="005F046F" w:rsidRDefault="000104F2" w:rsidP="00565F8F">
            <w:pPr>
              <w:pStyle w:val="Normal6a"/>
            </w:pPr>
            <w:r w:rsidRPr="005F046F">
              <w:rPr>
                <w:b/>
                <w:i/>
              </w:rPr>
              <w:t>31a.</w:t>
            </w:r>
            <w:r w:rsidRPr="005F046F">
              <w:tab/>
            </w:r>
            <w:r w:rsidRPr="005F046F">
              <w:rPr>
                <w:b/>
                <w:i/>
              </w:rPr>
              <w:t>megerősíti, hogy a jogállamiság tiszteletben tartása – az igazságszolgáltatás függetlenségét, a hatalmi ágak szétválasztását, a hatékony és pártatlan bűnüldözést és büntetőeljárás alá vonást, valamint a korrupció elleni küzdelmet is beleértve – az EUSZ 2. cikkében rögzített alapvető uniós érték; mély aggodalmát fejezi ki amiatt, hogy az Unión belül és kívül egyre több támadás éri ezeket az értékeket; hangsúlyozza, hogy a jogállamiság vagy a demokratikus biztosítékok rendszerszintű gyengítése közvetlenül aláássa az uniós költségvetéssel kapcsolatos hatékony és eredményes pénzgazdálkodást, valamint az uniós fellépés hitelességét;</w:t>
            </w:r>
          </w:p>
        </w:tc>
      </w:tr>
    </w:tbl>
    <w:p w14:paraId="12C132B7"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8C364EF"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4ECC5C4" w14:textId="77777777" w:rsidR="000104F2" w:rsidRPr="005F046F" w:rsidRDefault="000104F2" w:rsidP="000104F2">
      <w:pPr>
        <w:pStyle w:val="AmNumberTabs"/>
      </w:pPr>
      <w:r w:rsidRPr="005F046F">
        <w:rPr>
          <w:rStyle w:val="HideTWBExt"/>
          <w:color w:val="auto"/>
        </w:rPr>
        <w:lastRenderedPageBreak/>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A6BB31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0C3413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DAABBF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9F9E7D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31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E0A85B5" w14:textId="77777777" w:rsidTr="00565F8F">
        <w:trPr>
          <w:trHeight w:hRule="exact" w:val="240"/>
          <w:jc w:val="center"/>
        </w:trPr>
        <w:tc>
          <w:tcPr>
            <w:tcW w:w="9752" w:type="dxa"/>
            <w:gridSpan w:val="2"/>
            <w:tcBorders>
              <w:top w:val="nil"/>
              <w:left w:val="nil"/>
              <w:bottom w:val="nil"/>
              <w:right w:val="nil"/>
            </w:tcBorders>
          </w:tcPr>
          <w:p w14:paraId="33401FA3" w14:textId="77777777" w:rsidR="000104F2" w:rsidRPr="005F046F" w:rsidRDefault="000104F2" w:rsidP="00565F8F"/>
        </w:tc>
      </w:tr>
      <w:tr w:rsidR="006C656F" w:rsidRPr="005F046F" w14:paraId="7A7CB21C" w14:textId="77777777" w:rsidTr="00565F8F">
        <w:trPr>
          <w:trHeight w:val="240"/>
          <w:jc w:val="center"/>
        </w:trPr>
        <w:tc>
          <w:tcPr>
            <w:tcW w:w="4876" w:type="dxa"/>
            <w:tcBorders>
              <w:top w:val="nil"/>
              <w:left w:val="nil"/>
              <w:bottom w:val="nil"/>
              <w:right w:val="nil"/>
            </w:tcBorders>
          </w:tcPr>
          <w:p w14:paraId="34B8544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E854A36" w14:textId="77777777" w:rsidR="000104F2" w:rsidRPr="005F046F" w:rsidRDefault="000104F2" w:rsidP="00565F8F">
            <w:pPr>
              <w:pStyle w:val="AmColumnHeading"/>
            </w:pPr>
            <w:r w:rsidRPr="005F046F">
              <w:t>Módosítás</w:t>
            </w:r>
          </w:p>
        </w:tc>
      </w:tr>
      <w:tr w:rsidR="006C656F" w:rsidRPr="005F046F" w14:paraId="499B3A86" w14:textId="77777777" w:rsidTr="00565F8F">
        <w:trPr>
          <w:jc w:val="center"/>
        </w:trPr>
        <w:tc>
          <w:tcPr>
            <w:tcW w:w="4876" w:type="dxa"/>
            <w:tcBorders>
              <w:top w:val="nil"/>
              <w:left w:val="nil"/>
              <w:bottom w:val="nil"/>
              <w:right w:val="nil"/>
            </w:tcBorders>
          </w:tcPr>
          <w:p w14:paraId="1CC9DABA" w14:textId="77777777" w:rsidR="000104F2" w:rsidRPr="005F046F" w:rsidRDefault="000104F2" w:rsidP="00565F8F">
            <w:pPr>
              <w:pStyle w:val="Normal6a"/>
            </w:pPr>
          </w:p>
        </w:tc>
        <w:tc>
          <w:tcPr>
            <w:tcW w:w="4876" w:type="dxa"/>
            <w:tcBorders>
              <w:top w:val="nil"/>
              <w:left w:val="nil"/>
              <w:bottom w:val="nil"/>
              <w:right w:val="nil"/>
            </w:tcBorders>
          </w:tcPr>
          <w:p w14:paraId="06D8E379" w14:textId="77777777" w:rsidR="000104F2" w:rsidRPr="005F046F" w:rsidRDefault="000104F2" w:rsidP="00565F8F">
            <w:pPr>
              <w:pStyle w:val="Normal6a"/>
            </w:pPr>
            <w:r w:rsidRPr="005F046F">
              <w:rPr>
                <w:b/>
                <w:i/>
              </w:rPr>
              <w:t>31a.</w:t>
            </w:r>
            <w:r w:rsidRPr="005F046F">
              <w:tab/>
            </w:r>
            <w:r w:rsidRPr="005F046F">
              <w:rPr>
                <w:b/>
                <w:i/>
              </w:rPr>
              <w:t xml:space="preserve">üdvözli, hogy a Bizottság a tagállami szakértőkkel együttműködésben éppen felülvizsgálja a megosztott irányítással kapcsolatos szabálytalanságok bejelentéséről szóló kézikönyvet, és elvárja, hogy az összeférhetetlenségi ügyek szabálytalanságkezelő rendszeren belüli bejelentése átfogó, részletes és jogilag megalapozott legyen, lehetővé téve az egyértelmű és arányos értékelést; elismerését fejezi ki továbbá azzal kapcsolatban, hogy a Helyreállítási és </w:t>
            </w:r>
            <w:proofErr w:type="spellStart"/>
            <w:r w:rsidRPr="005F046F">
              <w:rPr>
                <w:b/>
                <w:i/>
              </w:rPr>
              <w:t>Rezilienciaépítési</w:t>
            </w:r>
            <w:proofErr w:type="spellEnd"/>
            <w:r w:rsidRPr="005F046F">
              <w:rPr>
                <w:b/>
                <w:i/>
              </w:rPr>
              <w:t xml:space="preserve"> Eszköz nemzeti ellenőrző szerveivel 2024-ben tartott éves szakmai munkaértekezlet keretében külön fókuszcsoport foglalkozott az összeférhetetlenség megelőzésével és felderítésével; kéri, hogy az összeférhetetlenségre vonatkozó rendelkezéseket olyan módon alkalmazzák, ami az biztosítja a jogbiztonságot, azok a kockázatok egyértelmű és arányos értékelésén alapuljanak, és tegyék lehetővé az illetékes hatóságok általi gyakorlati alkalmazást;</w:t>
            </w:r>
          </w:p>
        </w:tc>
      </w:tr>
    </w:tbl>
    <w:p w14:paraId="63210EE7"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645A72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F02BCB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129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70E141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2249F61"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7202FF7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810418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2AF30F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E7077C1" w14:textId="77777777" w:rsidTr="00565F8F">
        <w:trPr>
          <w:trHeight w:hRule="exact" w:val="240"/>
          <w:jc w:val="center"/>
        </w:trPr>
        <w:tc>
          <w:tcPr>
            <w:tcW w:w="9752" w:type="dxa"/>
            <w:gridSpan w:val="2"/>
            <w:tcBorders>
              <w:top w:val="nil"/>
              <w:left w:val="nil"/>
              <w:bottom w:val="nil"/>
              <w:right w:val="nil"/>
            </w:tcBorders>
          </w:tcPr>
          <w:p w14:paraId="35F62183" w14:textId="77777777" w:rsidR="000104F2" w:rsidRPr="005F046F" w:rsidRDefault="000104F2" w:rsidP="00565F8F"/>
        </w:tc>
      </w:tr>
      <w:tr w:rsidR="006C656F" w:rsidRPr="005F046F" w14:paraId="3970B3ED" w14:textId="77777777" w:rsidTr="00565F8F">
        <w:trPr>
          <w:trHeight w:val="240"/>
          <w:jc w:val="center"/>
        </w:trPr>
        <w:tc>
          <w:tcPr>
            <w:tcW w:w="4876" w:type="dxa"/>
            <w:tcBorders>
              <w:top w:val="nil"/>
              <w:left w:val="nil"/>
              <w:bottom w:val="nil"/>
              <w:right w:val="nil"/>
            </w:tcBorders>
          </w:tcPr>
          <w:p w14:paraId="7BAF06C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4A4983B" w14:textId="77777777" w:rsidR="000104F2" w:rsidRPr="005F046F" w:rsidRDefault="000104F2" w:rsidP="00565F8F">
            <w:pPr>
              <w:pStyle w:val="AmColumnHeading"/>
            </w:pPr>
            <w:r w:rsidRPr="005F046F">
              <w:t>Módosítás</w:t>
            </w:r>
          </w:p>
        </w:tc>
      </w:tr>
      <w:tr w:rsidR="006C656F" w:rsidRPr="005F046F" w14:paraId="0C13699A" w14:textId="77777777" w:rsidTr="00565F8F">
        <w:trPr>
          <w:jc w:val="center"/>
        </w:trPr>
        <w:tc>
          <w:tcPr>
            <w:tcW w:w="4876" w:type="dxa"/>
            <w:tcBorders>
              <w:top w:val="nil"/>
              <w:left w:val="nil"/>
              <w:bottom w:val="nil"/>
              <w:right w:val="nil"/>
            </w:tcBorders>
          </w:tcPr>
          <w:p w14:paraId="33B3502F" w14:textId="77777777" w:rsidR="000104F2" w:rsidRPr="005F046F" w:rsidRDefault="000104F2" w:rsidP="00565F8F">
            <w:pPr>
              <w:pStyle w:val="Normal6a"/>
            </w:pPr>
            <w:r w:rsidRPr="005F046F">
              <w:lastRenderedPageBreak/>
              <w:t>32.</w:t>
            </w:r>
            <w:r w:rsidRPr="005F046F">
              <w:tab/>
              <w:t xml:space="preserve">emlékeztet arra, hogy a feltételrendszerről szóló rendelettel létrehozott költségvetési feltételrendszer jogilag szabályozott eszköz az uniós költségvetést érintő kockázatok megelőzésére; </w:t>
            </w:r>
            <w:r w:rsidRPr="005F046F">
              <w:rPr>
                <w:b/>
                <w:bCs/>
                <w:i/>
                <w:iCs/>
              </w:rPr>
              <w:t>megjegyzi azonban</w:t>
            </w:r>
            <w:r w:rsidRPr="005F046F">
              <w:t xml:space="preserve">, hogy </w:t>
            </w:r>
            <w:r w:rsidRPr="005F046F">
              <w:rPr>
                <w:b/>
                <w:bCs/>
                <w:i/>
                <w:iCs/>
              </w:rPr>
              <w:t xml:space="preserve">alkalmazása csak akkor lehet indokolt, ha közvetlen, valós és bizonyított kapcsolat áll fenn a megállapított mulasztások és </w:t>
            </w:r>
            <w:r w:rsidRPr="005F046F">
              <w:t xml:space="preserve">az Unió pénzügyi </w:t>
            </w:r>
            <w:r w:rsidRPr="005F046F">
              <w:rPr>
                <w:b/>
                <w:bCs/>
                <w:i/>
                <w:iCs/>
              </w:rPr>
              <w:t>érdekeinek</w:t>
            </w:r>
            <w:r w:rsidRPr="005F046F">
              <w:t xml:space="preserve"> </w:t>
            </w:r>
            <w:r w:rsidRPr="005F046F">
              <w:rPr>
                <w:b/>
                <w:bCs/>
                <w:i/>
                <w:iCs/>
              </w:rPr>
              <w:t>sérelme között</w:t>
            </w:r>
            <w:r w:rsidRPr="005F046F">
              <w:t>;</w:t>
            </w:r>
            <w:r w:rsidRPr="005F046F">
              <w:rPr>
                <w:b/>
                <w:i/>
              </w:rPr>
              <w:t xml:space="preserve"> aggodalmát fejezi ki amiatt</w:t>
            </w:r>
            <w:r w:rsidRPr="005F046F">
              <w:t>, hogy</w:t>
            </w:r>
            <w:r w:rsidRPr="005F046F">
              <w:rPr>
                <w:b/>
                <w:i/>
              </w:rPr>
              <w:t xml:space="preserve"> hatályának e költségvetési célon túli kiterjesztése ellentétes lenne a Szerződések szellemével és az arányosság elvével</w:t>
            </w:r>
            <w:r w:rsidRPr="005F046F">
              <w:t>;</w:t>
            </w:r>
            <w:r w:rsidRPr="005F046F">
              <w:rPr>
                <w:b/>
                <w:i/>
              </w:rPr>
              <w:t xml:space="preserve"> </w:t>
            </w:r>
            <w:r w:rsidRPr="005F046F">
              <w:rPr>
                <w:b/>
                <w:bCs/>
                <w:i/>
                <w:iCs/>
              </w:rPr>
              <w:t>emlékeztet arra</w:t>
            </w:r>
            <w:r w:rsidRPr="005F046F">
              <w:t xml:space="preserve">, hogy </w:t>
            </w:r>
            <w:r w:rsidRPr="005F046F">
              <w:rPr>
                <w:b/>
                <w:bCs/>
                <w:i/>
                <w:iCs/>
              </w:rPr>
              <w:t xml:space="preserve">e mechanizmus legitimitása szigorúan </w:t>
            </w:r>
            <w:r w:rsidRPr="005F046F">
              <w:t>objektív</w:t>
            </w:r>
            <w:r w:rsidRPr="005F046F">
              <w:rPr>
                <w:b/>
                <w:bCs/>
                <w:i/>
                <w:iCs/>
              </w:rPr>
              <w:t>, politikai megfontolásoktól mentes és a tagállamok közötti egyenlő bánásmódot tiszteletben tartó alkalmazáson alapul</w:t>
            </w:r>
            <w:r w:rsidRPr="005F046F">
              <w:t>;</w:t>
            </w:r>
          </w:p>
        </w:tc>
        <w:tc>
          <w:tcPr>
            <w:tcW w:w="4876" w:type="dxa"/>
            <w:tcBorders>
              <w:top w:val="nil"/>
              <w:left w:val="nil"/>
              <w:bottom w:val="nil"/>
              <w:right w:val="nil"/>
            </w:tcBorders>
          </w:tcPr>
          <w:p w14:paraId="0117E0B0" w14:textId="77777777" w:rsidR="000104F2" w:rsidRPr="005F046F" w:rsidRDefault="000104F2" w:rsidP="00565F8F">
            <w:pPr>
              <w:pStyle w:val="Normal6a"/>
            </w:pPr>
            <w:r w:rsidRPr="005F046F">
              <w:t>32.</w:t>
            </w:r>
            <w:r w:rsidRPr="005F046F">
              <w:tab/>
              <w:t>emlékeztet arra, hogy a feltételrendszerről szóló rendelettel létrehozott költségvetési feltételrendszer jogilag szabályozott eszköz az uniós költségvetést érintő kockázatok megelőzésére; </w:t>
            </w:r>
            <w:r w:rsidRPr="005F046F">
              <w:rPr>
                <w:b/>
                <w:bCs/>
                <w:i/>
                <w:iCs/>
              </w:rPr>
              <w:t>emlékeztet arra</w:t>
            </w:r>
            <w:r w:rsidRPr="005F046F">
              <w:t xml:space="preserve">, hogy </w:t>
            </w:r>
            <w:r w:rsidRPr="005F046F">
              <w:rPr>
                <w:b/>
                <w:bCs/>
                <w:i/>
                <w:iCs/>
              </w:rPr>
              <w:t>a feltételrendszerről szóló rendelet olyan költségvetési biztosíték, amelynek célja az uniós költségvetés védelme, amennyiben a jogállamiság elveinek megsértése a hatékony és eredményes pénzgazdálkodást vagy</w:t>
            </w:r>
            <w:r w:rsidRPr="005F046F">
              <w:t xml:space="preserve"> az Unió pénzügyi </w:t>
            </w:r>
            <w:r w:rsidRPr="005F046F">
              <w:rPr>
                <w:b/>
                <w:bCs/>
                <w:i/>
                <w:iCs/>
              </w:rPr>
              <w:t>érdekeit érinti, vagy ennek komoly kockázata áll fenn</w:t>
            </w:r>
            <w:r w:rsidRPr="005F046F">
              <w:t>;</w:t>
            </w:r>
            <w:r w:rsidRPr="005F046F">
              <w:rPr>
                <w:b/>
                <w:i/>
              </w:rPr>
              <w:t xml:space="preserve"> hangsúlyozza</w:t>
            </w:r>
            <w:r w:rsidRPr="005F046F">
              <w:t>, hogy</w:t>
            </w:r>
            <w:r w:rsidRPr="005F046F">
              <w:rPr>
                <w:b/>
                <w:i/>
              </w:rPr>
              <w:t xml:space="preserve"> az igazságszolgáltatás függetlenségével, az ügyészségi, ellenőrzési és szankcionálási rendszerekkel kapcsolatos rendszerszintű hiányosságok csalással, korrupcióval és összeférhetetlenséggel kapcsolatos strukturális sebezhetőségeket teremthetnek</w:t>
            </w:r>
            <w:r w:rsidRPr="005F046F">
              <w:t>;</w:t>
            </w:r>
            <w:r w:rsidRPr="005F046F">
              <w:rPr>
                <w:b/>
                <w:i/>
              </w:rPr>
              <w:t xml:space="preserve"> </w:t>
            </w:r>
            <w:r w:rsidRPr="005F046F">
              <w:rPr>
                <w:b/>
                <w:bCs/>
                <w:i/>
                <w:iCs/>
              </w:rPr>
              <w:t>kéri a Bizottságot</w:t>
            </w:r>
            <w:r w:rsidRPr="005F046F">
              <w:t xml:space="preserve">, hogy objektív </w:t>
            </w:r>
            <w:r w:rsidRPr="005F046F">
              <w:rPr>
                <w:b/>
                <w:bCs/>
                <w:i/>
                <w:iCs/>
              </w:rPr>
              <w:t>bizonyítékok alapján következetesen és átláthatóan alkalmazza a mechanizmust, és gondoskodjon arról, hogy a pénzeszközök felszabadítása előtt ellenőrizni lehessen a korrekciós intézkedéseket, és azok tartósak legyenek</w:t>
            </w:r>
            <w:r w:rsidRPr="005F046F">
              <w:t>;</w:t>
            </w:r>
          </w:p>
        </w:tc>
      </w:tr>
    </w:tbl>
    <w:p w14:paraId="5FC6EC1F"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D5D48E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BCA0CD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15BD43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AE95E0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5CA26A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739161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97D3556" w14:textId="77777777" w:rsidTr="00565F8F">
        <w:trPr>
          <w:trHeight w:hRule="exact" w:val="240"/>
          <w:jc w:val="center"/>
        </w:trPr>
        <w:tc>
          <w:tcPr>
            <w:tcW w:w="9752" w:type="dxa"/>
            <w:gridSpan w:val="2"/>
            <w:tcBorders>
              <w:top w:val="nil"/>
              <w:left w:val="nil"/>
              <w:bottom w:val="nil"/>
              <w:right w:val="nil"/>
            </w:tcBorders>
          </w:tcPr>
          <w:p w14:paraId="2411C9F3" w14:textId="77777777" w:rsidR="000104F2" w:rsidRPr="005F046F" w:rsidRDefault="000104F2" w:rsidP="00565F8F"/>
        </w:tc>
      </w:tr>
      <w:tr w:rsidR="006C656F" w:rsidRPr="005F046F" w14:paraId="3BC663A8" w14:textId="77777777" w:rsidTr="00565F8F">
        <w:trPr>
          <w:trHeight w:val="240"/>
          <w:jc w:val="center"/>
        </w:trPr>
        <w:tc>
          <w:tcPr>
            <w:tcW w:w="4876" w:type="dxa"/>
            <w:tcBorders>
              <w:top w:val="nil"/>
              <w:left w:val="nil"/>
              <w:bottom w:val="nil"/>
              <w:right w:val="nil"/>
            </w:tcBorders>
          </w:tcPr>
          <w:p w14:paraId="3373F7B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2F2E84C" w14:textId="77777777" w:rsidR="000104F2" w:rsidRPr="005F046F" w:rsidRDefault="000104F2" w:rsidP="00565F8F">
            <w:pPr>
              <w:pStyle w:val="AmColumnHeading"/>
            </w:pPr>
            <w:r w:rsidRPr="005F046F">
              <w:t>Módosítás</w:t>
            </w:r>
          </w:p>
        </w:tc>
      </w:tr>
      <w:tr w:rsidR="006C656F" w:rsidRPr="005F046F" w14:paraId="2F19DBB2" w14:textId="77777777" w:rsidTr="00565F8F">
        <w:trPr>
          <w:jc w:val="center"/>
        </w:trPr>
        <w:tc>
          <w:tcPr>
            <w:tcW w:w="4876" w:type="dxa"/>
            <w:tcBorders>
              <w:top w:val="nil"/>
              <w:left w:val="nil"/>
              <w:bottom w:val="nil"/>
              <w:right w:val="nil"/>
            </w:tcBorders>
          </w:tcPr>
          <w:p w14:paraId="44E9F8C7" w14:textId="77777777" w:rsidR="000104F2" w:rsidRPr="005F046F" w:rsidRDefault="000104F2" w:rsidP="00565F8F">
            <w:pPr>
              <w:pStyle w:val="Normal6a"/>
            </w:pPr>
            <w:r w:rsidRPr="005F046F">
              <w:t>32.</w:t>
            </w:r>
            <w:r w:rsidRPr="005F046F">
              <w:tab/>
              <w:t>emlékeztet arra, hogy</w:t>
            </w:r>
            <w:r w:rsidRPr="005F046F">
              <w:rPr>
                <w:b/>
                <w:bCs/>
                <w:i/>
                <w:iCs/>
              </w:rPr>
              <w:t xml:space="preserve"> a feltételrendszerről szóló </w:t>
            </w:r>
            <w:r w:rsidRPr="005F046F">
              <w:t xml:space="preserve">rendelettel létrehozott költségvetési feltételrendszer </w:t>
            </w:r>
            <w:r w:rsidRPr="005F046F">
              <w:rPr>
                <w:b/>
                <w:bCs/>
                <w:i/>
                <w:iCs/>
              </w:rPr>
              <w:t xml:space="preserve">jogilag szabályozott </w:t>
            </w:r>
            <w:r w:rsidRPr="005F046F">
              <w:t xml:space="preserve">eszköz az uniós </w:t>
            </w:r>
            <w:r w:rsidRPr="005F046F">
              <w:rPr>
                <w:b/>
                <w:bCs/>
                <w:i/>
                <w:iCs/>
              </w:rPr>
              <w:t>költségvetést érintő kockázatok megelőzésére</w:t>
            </w:r>
            <w:r w:rsidRPr="005F046F">
              <w:t xml:space="preserve">; megjegyzi </w:t>
            </w:r>
            <w:r w:rsidRPr="005F046F">
              <w:rPr>
                <w:b/>
                <w:bCs/>
                <w:i/>
                <w:iCs/>
              </w:rPr>
              <w:t>azonban</w:t>
            </w:r>
            <w:r w:rsidRPr="005F046F">
              <w:t xml:space="preserve">, hogy </w:t>
            </w:r>
            <w:r w:rsidRPr="005F046F">
              <w:rPr>
                <w:b/>
                <w:bCs/>
                <w:i/>
                <w:iCs/>
              </w:rPr>
              <w:t>alkalmazása</w:t>
            </w:r>
            <w:r w:rsidRPr="005F046F">
              <w:t xml:space="preserve"> </w:t>
            </w:r>
            <w:r w:rsidRPr="005F046F">
              <w:rPr>
                <w:b/>
                <w:bCs/>
                <w:i/>
                <w:iCs/>
              </w:rPr>
              <w:t xml:space="preserve">csak akkor lehet indokolt, ha </w:t>
            </w:r>
            <w:r w:rsidRPr="005F046F">
              <w:rPr>
                <w:b/>
                <w:bCs/>
                <w:i/>
                <w:iCs/>
              </w:rPr>
              <w:lastRenderedPageBreak/>
              <w:t>közvetlen, valós és bizonyított kapcsolat áll fenn a megállapított mulasztások és az Unió pénzügyi érdekeinek sérelme között</w:t>
            </w:r>
            <w:r w:rsidRPr="005F046F">
              <w:t>;</w:t>
            </w:r>
            <w:r w:rsidRPr="005F046F">
              <w:rPr>
                <w:b/>
                <w:i/>
              </w:rPr>
              <w:t xml:space="preserve"> </w:t>
            </w:r>
            <w:r w:rsidRPr="005F046F">
              <w:rPr>
                <w:b/>
                <w:bCs/>
                <w:i/>
                <w:iCs/>
              </w:rPr>
              <w:t>aggodalmát fejezi ki amiatt</w:t>
            </w:r>
            <w:r w:rsidRPr="005F046F">
              <w:t xml:space="preserve">, hogy </w:t>
            </w:r>
            <w:r w:rsidRPr="005F046F">
              <w:rPr>
                <w:b/>
                <w:bCs/>
                <w:i/>
                <w:iCs/>
              </w:rPr>
              <w:t>hatályának e költségvetési célon túli kiterjesztése ellentétes lenne a Szerződések szellemével és az arányosság elvével;</w:t>
            </w:r>
            <w:r w:rsidRPr="005F046F">
              <w:rPr>
                <w:b/>
                <w:i/>
              </w:rPr>
              <w:t xml:space="preserve"> emlékeztet arra, hogy e mechanizmus legitimitása szigorúan objektív, politikai megfontolásoktól mentes és a tagállamok közötti egyenlő bánásmódot tiszteletben tartó alkalmazáson alapul</w:t>
            </w:r>
            <w:r w:rsidRPr="005F046F">
              <w:t>;</w:t>
            </w:r>
          </w:p>
        </w:tc>
        <w:tc>
          <w:tcPr>
            <w:tcW w:w="4876" w:type="dxa"/>
            <w:tcBorders>
              <w:top w:val="nil"/>
              <w:left w:val="nil"/>
              <w:bottom w:val="nil"/>
              <w:right w:val="nil"/>
            </w:tcBorders>
          </w:tcPr>
          <w:p w14:paraId="5EF9C57B" w14:textId="77777777" w:rsidR="000104F2" w:rsidRPr="005F046F" w:rsidRDefault="000104F2" w:rsidP="00565F8F">
            <w:pPr>
              <w:pStyle w:val="Normal6a"/>
            </w:pPr>
            <w:r w:rsidRPr="005F046F">
              <w:lastRenderedPageBreak/>
              <w:t>32.</w:t>
            </w:r>
            <w:r w:rsidRPr="005F046F">
              <w:tab/>
              <w:t xml:space="preserve">emlékeztet arra, hogy az (EU, Euratom) 2020/2092 rendelettel létrehozott költségvetési feltételrendszer </w:t>
            </w:r>
            <w:r w:rsidRPr="005F046F">
              <w:rPr>
                <w:b/>
                <w:bCs/>
                <w:i/>
                <w:iCs/>
              </w:rPr>
              <w:t xml:space="preserve">olyan konkrét jogi </w:t>
            </w:r>
            <w:r w:rsidRPr="005F046F">
              <w:t>eszköz</w:t>
            </w:r>
            <w:r w:rsidRPr="005F046F">
              <w:rPr>
                <w:b/>
                <w:bCs/>
                <w:i/>
                <w:iCs/>
              </w:rPr>
              <w:t xml:space="preserve">, amelynek célja </w:t>
            </w:r>
            <w:r w:rsidRPr="005F046F">
              <w:t xml:space="preserve">az uniós </w:t>
            </w:r>
            <w:r w:rsidRPr="005F046F">
              <w:rPr>
                <w:b/>
                <w:bCs/>
                <w:i/>
                <w:iCs/>
              </w:rPr>
              <w:t>költségvetésnek a jogállamiság megsértéséből eredő kockázatokkal szembeni védelme</w:t>
            </w:r>
            <w:r w:rsidRPr="005F046F">
              <w:t xml:space="preserve">; megjegyzi, hogy </w:t>
            </w:r>
            <w:r w:rsidRPr="005F046F">
              <w:rPr>
                <w:b/>
                <w:bCs/>
                <w:i/>
                <w:iCs/>
              </w:rPr>
              <w:lastRenderedPageBreak/>
              <w:t xml:space="preserve">végrehajtása gyakorlati és operatív kihívásokat vetett fel, ahogy azt az Európai Számvevőszék a „Jogállamiság az Európai Unióban” című, 03/2024. sz. </w:t>
            </w:r>
            <w:proofErr w:type="spellStart"/>
            <w:r w:rsidRPr="005F046F">
              <w:rPr>
                <w:b/>
                <w:bCs/>
                <w:i/>
                <w:iCs/>
              </w:rPr>
              <w:t>különjelentésében</w:t>
            </w:r>
            <w:proofErr w:type="spellEnd"/>
            <w:r w:rsidRPr="005F046F">
              <w:rPr>
                <w:b/>
                <w:bCs/>
                <w:i/>
                <w:iCs/>
              </w:rPr>
              <w:t xml:space="preserve"> is kiemelte</w:t>
            </w:r>
            <w:r w:rsidRPr="005F046F">
              <w:t>;</w:t>
            </w:r>
            <w:r w:rsidRPr="005F046F">
              <w:rPr>
                <w:b/>
                <w:i/>
              </w:rPr>
              <w:t xml:space="preserve"> </w:t>
            </w:r>
            <w:r w:rsidRPr="005F046F">
              <w:rPr>
                <w:b/>
                <w:bCs/>
                <w:i/>
                <w:iCs/>
              </w:rPr>
              <w:t>hangsúlyozza ezért</w:t>
            </w:r>
            <w:r w:rsidRPr="005F046F">
              <w:t xml:space="preserve">, hogy </w:t>
            </w:r>
            <w:r w:rsidRPr="005F046F">
              <w:rPr>
                <w:b/>
                <w:bCs/>
                <w:i/>
                <w:iCs/>
              </w:rPr>
              <w:t>a hatékonyságának növelése érdekében még inkább javítani kell e rendelet alkalmazását, ugyanakkor azt egyértelműen meg kell különböztetni a jogállamiság tiszteletben tartásának tágabb elvétől</w:t>
            </w:r>
            <w:r w:rsidRPr="005F046F">
              <w:t>;</w:t>
            </w:r>
          </w:p>
        </w:tc>
      </w:tr>
    </w:tbl>
    <w:p w14:paraId="0E0E179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DAC43E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E0BF13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B3204F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8F4D80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410B17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F7577D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0991461" w14:textId="77777777" w:rsidTr="00565F8F">
        <w:trPr>
          <w:trHeight w:hRule="exact" w:val="240"/>
          <w:jc w:val="center"/>
        </w:trPr>
        <w:tc>
          <w:tcPr>
            <w:tcW w:w="9752" w:type="dxa"/>
            <w:gridSpan w:val="2"/>
            <w:tcBorders>
              <w:top w:val="nil"/>
              <w:left w:val="nil"/>
              <w:bottom w:val="nil"/>
              <w:right w:val="nil"/>
            </w:tcBorders>
          </w:tcPr>
          <w:p w14:paraId="2883BA91" w14:textId="77777777" w:rsidR="000104F2" w:rsidRPr="005F046F" w:rsidRDefault="000104F2" w:rsidP="00565F8F"/>
        </w:tc>
      </w:tr>
      <w:tr w:rsidR="006C656F" w:rsidRPr="005F046F" w14:paraId="2FEA4B2F" w14:textId="77777777" w:rsidTr="00565F8F">
        <w:trPr>
          <w:trHeight w:val="240"/>
          <w:jc w:val="center"/>
        </w:trPr>
        <w:tc>
          <w:tcPr>
            <w:tcW w:w="4876" w:type="dxa"/>
            <w:tcBorders>
              <w:top w:val="nil"/>
              <w:left w:val="nil"/>
              <w:bottom w:val="nil"/>
              <w:right w:val="nil"/>
            </w:tcBorders>
          </w:tcPr>
          <w:p w14:paraId="6BAFC6E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16F24F9" w14:textId="77777777" w:rsidR="000104F2" w:rsidRPr="005F046F" w:rsidRDefault="000104F2" w:rsidP="00565F8F">
            <w:pPr>
              <w:pStyle w:val="AmColumnHeading"/>
            </w:pPr>
            <w:r w:rsidRPr="005F046F">
              <w:t>Módosítás</w:t>
            </w:r>
          </w:p>
        </w:tc>
      </w:tr>
      <w:tr w:rsidR="006C656F" w:rsidRPr="005F046F" w14:paraId="6655B5F5" w14:textId="77777777" w:rsidTr="00565F8F">
        <w:trPr>
          <w:jc w:val="center"/>
        </w:trPr>
        <w:tc>
          <w:tcPr>
            <w:tcW w:w="4876" w:type="dxa"/>
            <w:tcBorders>
              <w:top w:val="nil"/>
              <w:left w:val="nil"/>
              <w:bottom w:val="nil"/>
              <w:right w:val="nil"/>
            </w:tcBorders>
          </w:tcPr>
          <w:p w14:paraId="4A532509" w14:textId="77777777" w:rsidR="000104F2" w:rsidRPr="005F046F" w:rsidRDefault="000104F2" w:rsidP="00565F8F">
            <w:pPr>
              <w:pStyle w:val="Normal6a"/>
            </w:pPr>
          </w:p>
        </w:tc>
        <w:tc>
          <w:tcPr>
            <w:tcW w:w="4876" w:type="dxa"/>
            <w:tcBorders>
              <w:top w:val="nil"/>
              <w:left w:val="nil"/>
              <w:bottom w:val="nil"/>
              <w:right w:val="nil"/>
            </w:tcBorders>
          </w:tcPr>
          <w:p w14:paraId="72C0B7BD" w14:textId="77777777" w:rsidR="000104F2" w:rsidRPr="005F046F" w:rsidRDefault="000104F2" w:rsidP="00565F8F">
            <w:pPr>
              <w:pStyle w:val="Normal6a"/>
            </w:pPr>
            <w:r w:rsidRPr="005F046F">
              <w:rPr>
                <w:b/>
                <w:i/>
              </w:rPr>
              <w:t>32a.</w:t>
            </w:r>
            <w:r w:rsidRPr="005F046F">
              <w:tab/>
            </w:r>
            <w:r w:rsidRPr="005F046F">
              <w:rPr>
                <w:b/>
                <w:i/>
              </w:rPr>
              <w:t xml:space="preserve">ismételten kiemeli az európai uniós intézmények, köztük az Európai Parlament, valamint valamennyi uniós szerv és szervezet integritása és hírneve megőrzésének fontosságát, mivel az a polgárok bizalma és a demokratikus legitimitás szempontjából alapvető szerepet játszik; hangsúlyozza, hogy sürgősen biztosítani kell, hogy az uniós pénzeszközökből részesülő egyetlen képviselőcsoport, szerv vagy szervezet se vonhassa ki magát a pénzügyi felelősség alól az uniós pénzeszközök felhasználásával kapcsolatos csalások kivizsgálása vagy súlyos szabálytalanságok esetén, többek között valamely képviselőcsoport vagy jogi struktúra feloszlatása, jogutódlása vagy átalakítása révén; hangsúlyozza, hogy hatékony mechanizmusokra van szükség a pénzügyi felelősség és adott esetben az </w:t>
            </w:r>
            <w:r w:rsidRPr="005F046F">
              <w:rPr>
                <w:b/>
                <w:i/>
              </w:rPr>
              <w:lastRenderedPageBreak/>
              <w:t>egyéni felelősség folytonosságának biztosítása érdekében; a hatékony és eredményes pénzgazdálkodás, a hatékony ellenőrzések és a közpénzekkel kapcsolatos teljes körű elszámoltathatóság garantálása érdekében megerősített felügyeleti mechanizmusokat szorgalmaz, ideértve a külső ellenőrök széles körű és független kiválasztását is; hangsúlyozza, hogy az átláthatósággal, az elszámoltathatósággal és az Unió pénzügyi érdekeinek védelmével kapcsolatos követelményeket minden uniós intézményen belül egyformán és kivétel nélkül alkalmazni kell;</w:t>
            </w:r>
          </w:p>
        </w:tc>
      </w:tr>
    </w:tbl>
    <w:p w14:paraId="0132723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754654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060718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EEF831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859ED1"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22A830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3F0975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8 a alfejezet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DB57C7C" w14:textId="77777777" w:rsidTr="00565F8F">
        <w:trPr>
          <w:trHeight w:hRule="exact" w:val="240"/>
          <w:jc w:val="center"/>
        </w:trPr>
        <w:tc>
          <w:tcPr>
            <w:tcW w:w="9752" w:type="dxa"/>
            <w:gridSpan w:val="2"/>
            <w:tcBorders>
              <w:top w:val="nil"/>
              <w:left w:val="nil"/>
              <w:bottom w:val="nil"/>
              <w:right w:val="nil"/>
            </w:tcBorders>
          </w:tcPr>
          <w:p w14:paraId="3FEB374E" w14:textId="77777777" w:rsidR="000104F2" w:rsidRPr="005F046F" w:rsidRDefault="000104F2" w:rsidP="00565F8F"/>
        </w:tc>
      </w:tr>
      <w:tr w:rsidR="006C656F" w:rsidRPr="005F046F" w14:paraId="3C46A609" w14:textId="77777777" w:rsidTr="00565F8F">
        <w:trPr>
          <w:trHeight w:val="240"/>
          <w:jc w:val="center"/>
        </w:trPr>
        <w:tc>
          <w:tcPr>
            <w:tcW w:w="4876" w:type="dxa"/>
            <w:tcBorders>
              <w:top w:val="nil"/>
              <w:left w:val="nil"/>
              <w:bottom w:val="nil"/>
              <w:right w:val="nil"/>
            </w:tcBorders>
          </w:tcPr>
          <w:p w14:paraId="7675700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2575AE4" w14:textId="77777777" w:rsidR="000104F2" w:rsidRPr="005F046F" w:rsidRDefault="000104F2" w:rsidP="00565F8F">
            <w:pPr>
              <w:pStyle w:val="AmColumnHeading"/>
            </w:pPr>
            <w:r w:rsidRPr="005F046F">
              <w:t>Módosítás</w:t>
            </w:r>
          </w:p>
        </w:tc>
      </w:tr>
      <w:tr w:rsidR="006C656F" w:rsidRPr="005F046F" w14:paraId="7907D7FF" w14:textId="77777777" w:rsidTr="00565F8F">
        <w:trPr>
          <w:jc w:val="center"/>
        </w:trPr>
        <w:tc>
          <w:tcPr>
            <w:tcW w:w="4876" w:type="dxa"/>
            <w:tcBorders>
              <w:top w:val="nil"/>
              <w:left w:val="nil"/>
              <w:bottom w:val="nil"/>
              <w:right w:val="nil"/>
            </w:tcBorders>
          </w:tcPr>
          <w:p w14:paraId="7D5C6C80" w14:textId="77777777" w:rsidR="000104F2" w:rsidRPr="005F046F" w:rsidRDefault="000104F2" w:rsidP="00565F8F">
            <w:pPr>
              <w:pStyle w:val="Normal6a"/>
            </w:pPr>
          </w:p>
        </w:tc>
        <w:tc>
          <w:tcPr>
            <w:tcW w:w="4876" w:type="dxa"/>
            <w:tcBorders>
              <w:top w:val="nil"/>
              <w:left w:val="nil"/>
              <w:bottom w:val="nil"/>
              <w:right w:val="nil"/>
            </w:tcBorders>
          </w:tcPr>
          <w:p w14:paraId="5DBB6468" w14:textId="77777777" w:rsidR="000104F2" w:rsidRPr="005F046F" w:rsidRDefault="000104F2" w:rsidP="00565F8F">
            <w:pPr>
              <w:pStyle w:val="Normal6a"/>
            </w:pPr>
            <w:r w:rsidRPr="005F046F">
              <w:rPr>
                <w:b/>
                <w:i/>
              </w:rPr>
              <w:t>További fenyegetések – az uniós pénzeszközökkel való visszaélés</w:t>
            </w:r>
          </w:p>
        </w:tc>
      </w:tr>
    </w:tbl>
    <w:p w14:paraId="3CF6594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1CB0A2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3577AF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E151FB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B6D612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E33FFB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BE4CE8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6BB38E4" w14:textId="77777777" w:rsidTr="00565F8F">
        <w:trPr>
          <w:trHeight w:hRule="exact" w:val="240"/>
          <w:jc w:val="center"/>
        </w:trPr>
        <w:tc>
          <w:tcPr>
            <w:tcW w:w="9752" w:type="dxa"/>
            <w:gridSpan w:val="2"/>
            <w:tcBorders>
              <w:top w:val="nil"/>
              <w:left w:val="nil"/>
              <w:bottom w:val="nil"/>
              <w:right w:val="nil"/>
            </w:tcBorders>
          </w:tcPr>
          <w:p w14:paraId="33D4688A" w14:textId="77777777" w:rsidR="000104F2" w:rsidRPr="005F046F" w:rsidRDefault="000104F2" w:rsidP="00565F8F"/>
        </w:tc>
      </w:tr>
      <w:tr w:rsidR="006C656F" w:rsidRPr="005F046F" w14:paraId="1CC094C1" w14:textId="77777777" w:rsidTr="00565F8F">
        <w:trPr>
          <w:trHeight w:val="240"/>
          <w:jc w:val="center"/>
        </w:trPr>
        <w:tc>
          <w:tcPr>
            <w:tcW w:w="4876" w:type="dxa"/>
            <w:tcBorders>
              <w:top w:val="nil"/>
              <w:left w:val="nil"/>
              <w:bottom w:val="nil"/>
              <w:right w:val="nil"/>
            </w:tcBorders>
          </w:tcPr>
          <w:p w14:paraId="07827CF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400C634" w14:textId="77777777" w:rsidR="000104F2" w:rsidRPr="005F046F" w:rsidRDefault="000104F2" w:rsidP="00565F8F">
            <w:pPr>
              <w:pStyle w:val="AmColumnHeading"/>
            </w:pPr>
            <w:r w:rsidRPr="005F046F">
              <w:t>Módosítás</w:t>
            </w:r>
          </w:p>
        </w:tc>
      </w:tr>
      <w:tr w:rsidR="006C656F" w:rsidRPr="005F046F" w14:paraId="65BFA6BA" w14:textId="77777777" w:rsidTr="00565F8F">
        <w:trPr>
          <w:jc w:val="center"/>
        </w:trPr>
        <w:tc>
          <w:tcPr>
            <w:tcW w:w="4876" w:type="dxa"/>
            <w:tcBorders>
              <w:top w:val="nil"/>
              <w:left w:val="nil"/>
              <w:bottom w:val="nil"/>
              <w:right w:val="nil"/>
            </w:tcBorders>
          </w:tcPr>
          <w:p w14:paraId="23177E1E" w14:textId="77777777" w:rsidR="000104F2" w:rsidRPr="005F046F" w:rsidRDefault="000104F2" w:rsidP="00565F8F">
            <w:pPr>
              <w:pStyle w:val="Normal6a"/>
            </w:pPr>
          </w:p>
        </w:tc>
        <w:tc>
          <w:tcPr>
            <w:tcW w:w="4876" w:type="dxa"/>
            <w:tcBorders>
              <w:top w:val="nil"/>
              <w:left w:val="nil"/>
              <w:bottom w:val="nil"/>
              <w:right w:val="nil"/>
            </w:tcBorders>
          </w:tcPr>
          <w:p w14:paraId="574DFBBF" w14:textId="77777777" w:rsidR="000104F2" w:rsidRPr="005F046F" w:rsidRDefault="000104F2" w:rsidP="00565F8F">
            <w:pPr>
              <w:pStyle w:val="Normal6a"/>
            </w:pPr>
            <w:r w:rsidRPr="005F046F">
              <w:rPr>
                <w:b/>
                <w:i/>
              </w:rPr>
              <w:t>32a.</w:t>
            </w:r>
            <w:r w:rsidRPr="005F046F">
              <w:tab/>
            </w:r>
            <w:r w:rsidRPr="005F046F">
              <w:rPr>
                <w:b/>
                <w:i/>
              </w:rPr>
              <w:t xml:space="preserve">emlékeztet arra, hogy a 400. költségvetési jogcím előirányzatainak felhasználásáról szóló szabályzat 1.3.2., 2.7.1. és 2.7.2. cikkével összhangban az egykori Identitás és Demokrácia (ID) képviselőcsoport 2024. október 8-án </w:t>
            </w:r>
            <w:r w:rsidRPr="005F046F">
              <w:rPr>
                <w:b/>
                <w:i/>
              </w:rPr>
              <w:lastRenderedPageBreak/>
              <w:t>benyújtotta a 2024. január 1. és július 15. közötti időszakra vonatkozó végleges pénzügyi jelentését; emlékeztet arra, hogy a Parlament igazgatása elektronikus és papíralapú formátumban egyaránt megkapta az ID képviselőcsoport teljes pénzügyi archívumát, és elvégezte a 2024. évi beszámoló kockázatalapú utólagos ellenőrzését, a következetesség ellenőrzésére és a nagy kockázatú szerződések és adományok mintavételes vizsgálatára összpontosítva; emlékeztet a Parlament igazgatásának azon megállapításaira, hogy a képviselőcsoport a 400. költségvetési jogcím előirányzataiból legalább 4 333 635,78 EUR-t jogosulatlanul költött el a 2019–2024-es ciklusban, ami jelentős pénzügyi és reputációs kockázatnak teszi ki a Parlamentet; megjegyzi, hogy hiányosságokat tártak fel a közbeszerzési eljárásokban, amelyek jelentős reputációs kockázatot jelentenek a Parlament, valamint az összes képviselőcsoport és képviselő számára;</w:t>
            </w:r>
          </w:p>
        </w:tc>
      </w:tr>
    </w:tbl>
    <w:p w14:paraId="046C0D5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0482E9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AD6AC1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8949AB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800265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8CB929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4C2E97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D341954" w14:textId="77777777" w:rsidTr="00565F8F">
        <w:trPr>
          <w:trHeight w:hRule="exact" w:val="240"/>
          <w:jc w:val="center"/>
        </w:trPr>
        <w:tc>
          <w:tcPr>
            <w:tcW w:w="9752" w:type="dxa"/>
            <w:gridSpan w:val="2"/>
            <w:tcBorders>
              <w:top w:val="nil"/>
              <w:left w:val="nil"/>
              <w:bottom w:val="nil"/>
              <w:right w:val="nil"/>
            </w:tcBorders>
          </w:tcPr>
          <w:p w14:paraId="74827E4C" w14:textId="77777777" w:rsidR="000104F2" w:rsidRPr="005F046F" w:rsidRDefault="000104F2" w:rsidP="00565F8F"/>
        </w:tc>
      </w:tr>
      <w:tr w:rsidR="006C656F" w:rsidRPr="005F046F" w14:paraId="67FE09F1" w14:textId="77777777" w:rsidTr="00565F8F">
        <w:trPr>
          <w:trHeight w:val="240"/>
          <w:jc w:val="center"/>
        </w:trPr>
        <w:tc>
          <w:tcPr>
            <w:tcW w:w="4876" w:type="dxa"/>
            <w:tcBorders>
              <w:top w:val="nil"/>
              <w:left w:val="nil"/>
              <w:bottom w:val="nil"/>
              <w:right w:val="nil"/>
            </w:tcBorders>
          </w:tcPr>
          <w:p w14:paraId="62BC7EC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457D11C" w14:textId="77777777" w:rsidR="000104F2" w:rsidRPr="005F046F" w:rsidRDefault="000104F2" w:rsidP="00565F8F">
            <w:pPr>
              <w:pStyle w:val="AmColumnHeading"/>
            </w:pPr>
            <w:r w:rsidRPr="005F046F">
              <w:t>Módosítás</w:t>
            </w:r>
          </w:p>
        </w:tc>
      </w:tr>
      <w:tr w:rsidR="006C656F" w:rsidRPr="005F046F" w14:paraId="01CBA861" w14:textId="77777777" w:rsidTr="00565F8F">
        <w:trPr>
          <w:jc w:val="center"/>
        </w:trPr>
        <w:tc>
          <w:tcPr>
            <w:tcW w:w="4876" w:type="dxa"/>
            <w:tcBorders>
              <w:top w:val="nil"/>
              <w:left w:val="nil"/>
              <w:bottom w:val="nil"/>
              <w:right w:val="nil"/>
            </w:tcBorders>
          </w:tcPr>
          <w:p w14:paraId="17D05C9D" w14:textId="77777777" w:rsidR="000104F2" w:rsidRPr="005F046F" w:rsidRDefault="000104F2" w:rsidP="00565F8F">
            <w:pPr>
              <w:pStyle w:val="Normal6a"/>
            </w:pPr>
          </w:p>
        </w:tc>
        <w:tc>
          <w:tcPr>
            <w:tcW w:w="4876" w:type="dxa"/>
            <w:tcBorders>
              <w:top w:val="nil"/>
              <w:left w:val="nil"/>
              <w:bottom w:val="nil"/>
              <w:right w:val="nil"/>
            </w:tcBorders>
          </w:tcPr>
          <w:p w14:paraId="2F7DA264" w14:textId="77777777" w:rsidR="000104F2" w:rsidRPr="005F046F" w:rsidRDefault="000104F2" w:rsidP="00565F8F">
            <w:pPr>
              <w:pStyle w:val="Normal6a"/>
            </w:pPr>
            <w:r w:rsidRPr="005F046F">
              <w:rPr>
                <w:b/>
                <w:i/>
              </w:rPr>
              <w:t>32b.</w:t>
            </w:r>
            <w:r w:rsidRPr="005F046F">
              <w:tab/>
            </w:r>
            <w:r w:rsidRPr="005F046F">
              <w:rPr>
                <w:b/>
                <w:i/>
              </w:rPr>
              <w:t xml:space="preserve">megjegyzi, hogy az Európai Ügyészség 2025 júliusában bejelentette, hogy vizsgálatot indított az ID képviselőcsoport által 2019 és 2024 között elkövetett, uniós pénzeszközökkel való állítólagos visszaélés ügyében; hangsúlyozza, hogy a Parlament igazgatása továbbította az ügyiratot, és teljes mértékben együttműködik az Európai Ügyészség vizsgálatában; </w:t>
            </w:r>
            <w:r w:rsidRPr="005F046F">
              <w:rPr>
                <w:b/>
                <w:i/>
              </w:rPr>
              <w:lastRenderedPageBreak/>
              <w:t xml:space="preserve">megjegyzi, hogy az Elnökség a visszafizettetési intézkedések meghozatala előtt meg kívánja ismerni az Európai Ügyészség vizsgálatának eredményét; javasolja, hogy a főügyészt hívják meg az EP Elnökségével tartandó zárt meghallgatásra, hogy konkrét információkkal szolgáljon az </w:t>
            </w:r>
            <w:proofErr w:type="spellStart"/>
            <w:r w:rsidRPr="005F046F">
              <w:rPr>
                <w:b/>
                <w:i/>
              </w:rPr>
              <w:t>idővonalról;úgy</w:t>
            </w:r>
            <w:proofErr w:type="spellEnd"/>
            <w:r w:rsidRPr="005F046F">
              <w:rPr>
                <w:b/>
                <w:i/>
              </w:rPr>
              <w:t xml:space="preserve"> véli, hogy a Parlament igazgatásának sürgősen releváns közigazgatási intézkedéseket kell hoznia az Unió pénzügyi érdekeinek és a Parlament hírnevének védelme érdekében; rendkívül fontosnak tartja, hogy a Pénzügyi Főigazgatóság által gyűjtött jelentős mennyiségű bizonyítékok fényében, az Európai Parlament és az Európai Ügyészség közötti munkamegállapodás 3. cikkének (3) bekezdésével teljes mértékben összhangban mihamarabb meghozzák a visszafizettetési intézkedéseket a nem támogatható kiadások teljes összegének visszafizettetése érdekében;</w:t>
            </w:r>
          </w:p>
        </w:tc>
      </w:tr>
    </w:tbl>
    <w:p w14:paraId="7D0740BD"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A4B990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FB6998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B2CEC5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573C20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4E8AE5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D7500D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c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6650565" w14:textId="77777777" w:rsidTr="00565F8F">
        <w:trPr>
          <w:trHeight w:hRule="exact" w:val="240"/>
          <w:jc w:val="center"/>
        </w:trPr>
        <w:tc>
          <w:tcPr>
            <w:tcW w:w="9752" w:type="dxa"/>
            <w:gridSpan w:val="2"/>
            <w:tcBorders>
              <w:top w:val="nil"/>
              <w:left w:val="nil"/>
              <w:bottom w:val="nil"/>
              <w:right w:val="nil"/>
            </w:tcBorders>
          </w:tcPr>
          <w:p w14:paraId="0CAF2682" w14:textId="77777777" w:rsidR="000104F2" w:rsidRPr="005F046F" w:rsidRDefault="000104F2" w:rsidP="00565F8F"/>
        </w:tc>
      </w:tr>
      <w:tr w:rsidR="006C656F" w:rsidRPr="005F046F" w14:paraId="028322A4" w14:textId="77777777" w:rsidTr="00565F8F">
        <w:trPr>
          <w:trHeight w:val="240"/>
          <w:jc w:val="center"/>
        </w:trPr>
        <w:tc>
          <w:tcPr>
            <w:tcW w:w="4876" w:type="dxa"/>
            <w:tcBorders>
              <w:top w:val="nil"/>
              <w:left w:val="nil"/>
              <w:bottom w:val="nil"/>
              <w:right w:val="nil"/>
            </w:tcBorders>
          </w:tcPr>
          <w:p w14:paraId="5C8CC80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FE3D585" w14:textId="77777777" w:rsidR="000104F2" w:rsidRPr="005F046F" w:rsidRDefault="000104F2" w:rsidP="00565F8F">
            <w:pPr>
              <w:pStyle w:val="AmColumnHeading"/>
            </w:pPr>
            <w:r w:rsidRPr="005F046F">
              <w:t>Módosítás</w:t>
            </w:r>
          </w:p>
        </w:tc>
      </w:tr>
      <w:tr w:rsidR="006C656F" w:rsidRPr="005F046F" w14:paraId="07ED1ED3" w14:textId="77777777" w:rsidTr="00565F8F">
        <w:trPr>
          <w:jc w:val="center"/>
        </w:trPr>
        <w:tc>
          <w:tcPr>
            <w:tcW w:w="4876" w:type="dxa"/>
            <w:tcBorders>
              <w:top w:val="nil"/>
              <w:left w:val="nil"/>
              <w:bottom w:val="nil"/>
              <w:right w:val="nil"/>
            </w:tcBorders>
          </w:tcPr>
          <w:p w14:paraId="7BD4A073" w14:textId="77777777" w:rsidR="000104F2" w:rsidRPr="005F046F" w:rsidRDefault="000104F2" w:rsidP="00565F8F">
            <w:pPr>
              <w:pStyle w:val="Normal6a"/>
            </w:pPr>
          </w:p>
        </w:tc>
        <w:tc>
          <w:tcPr>
            <w:tcW w:w="4876" w:type="dxa"/>
            <w:tcBorders>
              <w:top w:val="nil"/>
              <w:left w:val="nil"/>
              <w:bottom w:val="nil"/>
              <w:right w:val="nil"/>
            </w:tcBorders>
          </w:tcPr>
          <w:p w14:paraId="271C68CC" w14:textId="77777777" w:rsidR="000104F2" w:rsidRPr="005F046F" w:rsidRDefault="000104F2" w:rsidP="00565F8F">
            <w:pPr>
              <w:pStyle w:val="Normal6a"/>
            </w:pPr>
            <w:r w:rsidRPr="005F046F">
              <w:rPr>
                <w:b/>
                <w:i/>
              </w:rPr>
              <w:t>32c.</w:t>
            </w:r>
            <w:r w:rsidRPr="005F046F">
              <w:tab/>
            </w:r>
            <w:r w:rsidRPr="005F046F">
              <w:rPr>
                <w:b/>
                <w:i/>
              </w:rPr>
              <w:t xml:space="preserve">kéri az Elnökséget, hogy gondoskodjon arról, hogy a külső ellenőrök teljes mértékben eleget tegyenek a megbízólevélnek, erősítse meg a képviselőcsoportok külső ellenőrök általi felügyeletét azáltal, hogy több időt biztosít a külső ellenőrök számára felügyeleti szerepük ellátására, továbbá kérjen egyértelműbb iránymutatást a Pénzügyi Főigazgatóságtól a 400. költségvetési jogcímre vonatkozó szabályok helyes </w:t>
            </w:r>
            <w:r w:rsidRPr="005F046F">
              <w:rPr>
                <w:b/>
                <w:i/>
              </w:rPr>
              <w:lastRenderedPageBreak/>
              <w:t>értelmezésével kapcsolatban a külső ellenőrök és a Pénzügyi Főigazgatóság megfontolásai közötti eltérések elkerülése érdekében, különösen a közbeszerzés tekintetében, valamint kéri a Pénzügyi Főigazgatóságot, hogy a közbeszerzéssel kapcsolatban nyújtson több képzést és támogatást a képviselőcsoportoknak;</w:t>
            </w:r>
          </w:p>
        </w:tc>
      </w:tr>
    </w:tbl>
    <w:p w14:paraId="2EC4276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629188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AC5760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44E347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Céline </w:t>
      </w:r>
      <w:proofErr w:type="spellStart"/>
      <w:r w:rsidRPr="005F046F">
        <w:t>Imart</w:t>
      </w:r>
      <w:proofErr w:type="spellEnd"/>
      <w:r w:rsidRPr="005F046F">
        <w:t xml:space="preserve">, </w:t>
      </w:r>
      <w:proofErr w:type="spellStart"/>
      <w:r w:rsidRPr="005F046F">
        <w:t>Monika</w:t>
      </w:r>
      <w:proofErr w:type="spellEnd"/>
      <w:r w:rsidRPr="005F046F">
        <w:t xml:space="preserve"> </w:t>
      </w:r>
      <w:proofErr w:type="spellStart"/>
      <w:r w:rsidRPr="005F046F">
        <w:t>Hohlmeier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73FF3C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B78E44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7D950D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32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7C5B7D7" w14:textId="77777777" w:rsidTr="00565F8F">
        <w:trPr>
          <w:trHeight w:hRule="exact" w:val="240"/>
          <w:jc w:val="center"/>
        </w:trPr>
        <w:tc>
          <w:tcPr>
            <w:tcW w:w="9752" w:type="dxa"/>
            <w:gridSpan w:val="2"/>
            <w:tcBorders>
              <w:top w:val="nil"/>
              <w:left w:val="nil"/>
              <w:bottom w:val="nil"/>
              <w:right w:val="nil"/>
            </w:tcBorders>
          </w:tcPr>
          <w:p w14:paraId="66FFA0B9" w14:textId="77777777" w:rsidR="000104F2" w:rsidRPr="005F046F" w:rsidRDefault="000104F2" w:rsidP="00565F8F"/>
        </w:tc>
      </w:tr>
      <w:tr w:rsidR="006C656F" w:rsidRPr="005F046F" w14:paraId="16E8E7A1" w14:textId="77777777" w:rsidTr="00565F8F">
        <w:trPr>
          <w:trHeight w:val="240"/>
          <w:jc w:val="center"/>
        </w:trPr>
        <w:tc>
          <w:tcPr>
            <w:tcW w:w="4876" w:type="dxa"/>
            <w:tcBorders>
              <w:top w:val="nil"/>
              <w:left w:val="nil"/>
              <w:bottom w:val="nil"/>
              <w:right w:val="nil"/>
            </w:tcBorders>
          </w:tcPr>
          <w:p w14:paraId="772A9CC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8CC7673" w14:textId="77777777" w:rsidR="000104F2" w:rsidRPr="005F046F" w:rsidRDefault="000104F2" w:rsidP="00565F8F">
            <w:pPr>
              <w:pStyle w:val="AmColumnHeading"/>
            </w:pPr>
            <w:r w:rsidRPr="005F046F">
              <w:t>Módosítás</w:t>
            </w:r>
          </w:p>
        </w:tc>
      </w:tr>
      <w:tr w:rsidR="006C656F" w:rsidRPr="005F046F" w14:paraId="6A954D3E" w14:textId="77777777" w:rsidTr="00565F8F">
        <w:trPr>
          <w:jc w:val="center"/>
        </w:trPr>
        <w:tc>
          <w:tcPr>
            <w:tcW w:w="4876" w:type="dxa"/>
            <w:tcBorders>
              <w:top w:val="nil"/>
              <w:left w:val="nil"/>
              <w:bottom w:val="nil"/>
              <w:right w:val="nil"/>
            </w:tcBorders>
          </w:tcPr>
          <w:p w14:paraId="000ADAC4" w14:textId="77777777" w:rsidR="000104F2" w:rsidRPr="005F046F" w:rsidRDefault="000104F2" w:rsidP="00565F8F">
            <w:pPr>
              <w:pStyle w:val="Normal6a"/>
            </w:pPr>
          </w:p>
        </w:tc>
        <w:tc>
          <w:tcPr>
            <w:tcW w:w="4876" w:type="dxa"/>
            <w:tcBorders>
              <w:top w:val="nil"/>
              <w:left w:val="nil"/>
              <w:bottom w:val="nil"/>
              <w:right w:val="nil"/>
            </w:tcBorders>
          </w:tcPr>
          <w:p w14:paraId="3B774B6C" w14:textId="77777777" w:rsidR="000104F2" w:rsidRPr="005F046F" w:rsidRDefault="000104F2" w:rsidP="00565F8F">
            <w:pPr>
              <w:pStyle w:val="Normal6a"/>
            </w:pPr>
            <w:r w:rsidRPr="005F046F">
              <w:rPr>
                <w:b/>
                <w:i/>
              </w:rPr>
              <w:t>32b.</w:t>
            </w:r>
            <w:r w:rsidRPr="005F046F">
              <w:tab/>
            </w:r>
            <w:r w:rsidRPr="005F046F">
              <w:rPr>
                <w:b/>
                <w:i/>
              </w:rPr>
              <w:t>kéri a Bizottságot, hogy vezessen be szigorúbb átláthatósági szabályokat a harmadik országoknak nyújtott uniós pénzeszközök tekintetében, különösen a súlyos bűncselekmények, az erőszak, a terrorizmus és az uniós pénzeszközökkel való visszaélés hatékonyabb megelőzése érdekében, és erre vonatkozó bizonyítékok megléte esetén azonnal bontsa fel a szerződéseket;</w:t>
            </w:r>
          </w:p>
        </w:tc>
      </w:tr>
    </w:tbl>
    <w:p w14:paraId="7CC13749"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B72DDB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A03A06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2C600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96C247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4BFA6C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76CCC1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F79AE4D" w14:textId="77777777" w:rsidTr="00565F8F">
        <w:trPr>
          <w:trHeight w:hRule="exact" w:val="240"/>
          <w:jc w:val="center"/>
        </w:trPr>
        <w:tc>
          <w:tcPr>
            <w:tcW w:w="9752" w:type="dxa"/>
            <w:gridSpan w:val="2"/>
            <w:tcBorders>
              <w:top w:val="nil"/>
              <w:left w:val="nil"/>
              <w:bottom w:val="nil"/>
              <w:right w:val="nil"/>
            </w:tcBorders>
          </w:tcPr>
          <w:p w14:paraId="33DEA556" w14:textId="77777777" w:rsidR="000104F2" w:rsidRPr="005F046F" w:rsidRDefault="000104F2" w:rsidP="00565F8F"/>
        </w:tc>
      </w:tr>
      <w:tr w:rsidR="006C656F" w:rsidRPr="005F046F" w14:paraId="64C4DA90" w14:textId="77777777" w:rsidTr="00565F8F">
        <w:trPr>
          <w:trHeight w:val="240"/>
          <w:jc w:val="center"/>
        </w:trPr>
        <w:tc>
          <w:tcPr>
            <w:tcW w:w="4876" w:type="dxa"/>
            <w:tcBorders>
              <w:top w:val="nil"/>
              <w:left w:val="nil"/>
              <w:bottom w:val="nil"/>
              <w:right w:val="nil"/>
            </w:tcBorders>
          </w:tcPr>
          <w:p w14:paraId="7A20CCE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761FA1C" w14:textId="77777777" w:rsidR="000104F2" w:rsidRPr="005F046F" w:rsidRDefault="000104F2" w:rsidP="00565F8F">
            <w:pPr>
              <w:pStyle w:val="AmColumnHeading"/>
            </w:pPr>
            <w:r w:rsidRPr="005F046F">
              <w:t>Módosítás</w:t>
            </w:r>
          </w:p>
        </w:tc>
      </w:tr>
      <w:tr w:rsidR="006C656F" w:rsidRPr="005F046F" w14:paraId="243A8069" w14:textId="77777777" w:rsidTr="00565F8F">
        <w:trPr>
          <w:jc w:val="center"/>
        </w:trPr>
        <w:tc>
          <w:tcPr>
            <w:tcW w:w="4876" w:type="dxa"/>
            <w:tcBorders>
              <w:top w:val="nil"/>
              <w:left w:val="nil"/>
              <w:bottom w:val="nil"/>
              <w:right w:val="nil"/>
            </w:tcBorders>
          </w:tcPr>
          <w:p w14:paraId="6F01B0B5" w14:textId="77777777" w:rsidR="000104F2" w:rsidRPr="005F046F" w:rsidRDefault="000104F2" w:rsidP="00565F8F">
            <w:pPr>
              <w:pStyle w:val="Normal6a"/>
            </w:pPr>
            <w:r w:rsidRPr="005F046F">
              <w:t>33.</w:t>
            </w:r>
            <w:r w:rsidRPr="005F046F">
              <w:tab/>
              <w:t xml:space="preserve">hangsúlyozza, hogy </w:t>
            </w:r>
            <w:r w:rsidRPr="005F046F">
              <w:rPr>
                <w:b/>
                <w:bCs/>
                <w:i/>
                <w:iCs/>
              </w:rPr>
              <w:t xml:space="preserve">egy olyan időszakban, amikor </w:t>
            </w:r>
            <w:r w:rsidRPr="005F046F">
              <w:t xml:space="preserve">az </w:t>
            </w:r>
            <w:r w:rsidRPr="005F046F">
              <w:rPr>
                <w:b/>
                <w:bCs/>
                <w:i/>
                <w:iCs/>
              </w:rPr>
              <w:t>uniós intézmények rendszeresen</w:t>
            </w:r>
            <w:r w:rsidRPr="005F046F">
              <w:t xml:space="preserve"> új saját </w:t>
            </w:r>
            <w:r w:rsidRPr="005F046F">
              <w:rPr>
                <w:b/>
                <w:bCs/>
                <w:i/>
                <w:iCs/>
              </w:rPr>
              <w:t xml:space="preserve">források bevezetéséről tárgyalnak, előnyben kell </w:t>
            </w:r>
            <w:r w:rsidRPr="005F046F">
              <w:rPr>
                <w:b/>
                <w:bCs/>
                <w:i/>
                <w:iCs/>
              </w:rPr>
              <w:lastRenderedPageBreak/>
              <w:t>részesíteni</w:t>
            </w:r>
            <w:r w:rsidRPr="005F046F">
              <w:t xml:space="preserve"> a csalások </w:t>
            </w:r>
            <w:r w:rsidRPr="005F046F">
              <w:rPr>
                <w:b/>
                <w:bCs/>
                <w:i/>
                <w:iCs/>
              </w:rPr>
              <w:t>megerősített ellenőrzések révén történő</w:t>
            </w:r>
            <w:r w:rsidRPr="005F046F">
              <w:t xml:space="preserve"> felderítésének </w:t>
            </w:r>
            <w:r w:rsidRPr="005F046F">
              <w:rPr>
                <w:b/>
                <w:bCs/>
                <w:i/>
                <w:iCs/>
              </w:rPr>
              <w:t>fokozását</w:t>
            </w:r>
            <w:r w:rsidRPr="005F046F">
              <w:t>, ami lehetővé tenné az EU-nak jogosan járó és jelenleg elveszett pénzeszközök visszafizettetését;</w:t>
            </w:r>
          </w:p>
        </w:tc>
        <w:tc>
          <w:tcPr>
            <w:tcW w:w="4876" w:type="dxa"/>
            <w:tcBorders>
              <w:top w:val="nil"/>
              <w:left w:val="nil"/>
              <w:bottom w:val="nil"/>
              <w:right w:val="nil"/>
            </w:tcBorders>
          </w:tcPr>
          <w:p w14:paraId="2EE50D43" w14:textId="77777777" w:rsidR="000104F2" w:rsidRPr="005F046F" w:rsidRDefault="000104F2" w:rsidP="00565F8F">
            <w:pPr>
              <w:pStyle w:val="Normal6a"/>
            </w:pPr>
            <w:r w:rsidRPr="005F046F">
              <w:lastRenderedPageBreak/>
              <w:t>33.</w:t>
            </w:r>
            <w:r w:rsidRPr="005F046F">
              <w:tab/>
              <w:t xml:space="preserve">hangsúlyozza, hogy az új saját </w:t>
            </w:r>
            <w:r w:rsidRPr="005F046F">
              <w:rPr>
                <w:b/>
                <w:bCs/>
                <w:i/>
                <w:iCs/>
              </w:rPr>
              <w:t>forrásokról</w:t>
            </w:r>
            <w:r w:rsidRPr="005F046F">
              <w:t xml:space="preserve"> </w:t>
            </w:r>
            <w:r w:rsidRPr="005F046F">
              <w:rPr>
                <w:b/>
                <w:bCs/>
                <w:i/>
                <w:iCs/>
              </w:rPr>
              <w:t>jelenleg folyó vitákkal párhuzamosan az erőfeszítések során</w:t>
            </w:r>
            <w:r w:rsidRPr="005F046F">
              <w:t xml:space="preserve"> a csalások felderítésének</w:t>
            </w:r>
            <w:r w:rsidRPr="005F046F">
              <w:rPr>
                <w:b/>
                <w:bCs/>
                <w:i/>
                <w:iCs/>
              </w:rPr>
              <w:t xml:space="preserve">, megelőzésének és </w:t>
            </w:r>
            <w:r w:rsidRPr="005F046F">
              <w:rPr>
                <w:b/>
                <w:bCs/>
                <w:i/>
                <w:iCs/>
              </w:rPr>
              <w:lastRenderedPageBreak/>
              <w:t>ellenőrzésének javítására is nagy hangsúlyt kell helyezni</w:t>
            </w:r>
            <w:r w:rsidRPr="005F046F">
              <w:t>, ami lehetővé tenné az EU-nak jogosan járó és jelenleg elveszett pénzeszközök visszafizettetését;</w:t>
            </w:r>
          </w:p>
        </w:tc>
      </w:tr>
    </w:tbl>
    <w:p w14:paraId="735CF10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F9815F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CD7264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4E4D47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9B72B6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07D56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E93580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FC62D24" w14:textId="77777777" w:rsidTr="00565F8F">
        <w:trPr>
          <w:trHeight w:hRule="exact" w:val="240"/>
          <w:jc w:val="center"/>
        </w:trPr>
        <w:tc>
          <w:tcPr>
            <w:tcW w:w="9752" w:type="dxa"/>
            <w:gridSpan w:val="2"/>
            <w:tcBorders>
              <w:top w:val="nil"/>
              <w:left w:val="nil"/>
              <w:bottom w:val="nil"/>
              <w:right w:val="nil"/>
            </w:tcBorders>
          </w:tcPr>
          <w:p w14:paraId="65A46BBD" w14:textId="77777777" w:rsidR="000104F2" w:rsidRPr="005F046F" w:rsidRDefault="000104F2" w:rsidP="00565F8F"/>
        </w:tc>
      </w:tr>
      <w:tr w:rsidR="006C656F" w:rsidRPr="005F046F" w14:paraId="01630004" w14:textId="77777777" w:rsidTr="00565F8F">
        <w:trPr>
          <w:trHeight w:val="240"/>
          <w:jc w:val="center"/>
        </w:trPr>
        <w:tc>
          <w:tcPr>
            <w:tcW w:w="4876" w:type="dxa"/>
            <w:tcBorders>
              <w:top w:val="nil"/>
              <w:left w:val="nil"/>
              <w:bottom w:val="nil"/>
              <w:right w:val="nil"/>
            </w:tcBorders>
          </w:tcPr>
          <w:p w14:paraId="20BEA51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CD0CD5B" w14:textId="77777777" w:rsidR="000104F2" w:rsidRPr="005F046F" w:rsidRDefault="000104F2" w:rsidP="00565F8F">
            <w:pPr>
              <w:pStyle w:val="AmColumnHeading"/>
            </w:pPr>
            <w:r w:rsidRPr="005F046F">
              <w:t>Módosítás</w:t>
            </w:r>
          </w:p>
        </w:tc>
      </w:tr>
      <w:tr w:rsidR="006C656F" w:rsidRPr="005F046F" w14:paraId="5F080FEE" w14:textId="77777777" w:rsidTr="00565F8F">
        <w:trPr>
          <w:jc w:val="center"/>
        </w:trPr>
        <w:tc>
          <w:tcPr>
            <w:tcW w:w="4876" w:type="dxa"/>
            <w:tcBorders>
              <w:top w:val="nil"/>
              <w:left w:val="nil"/>
              <w:bottom w:val="nil"/>
              <w:right w:val="nil"/>
            </w:tcBorders>
          </w:tcPr>
          <w:p w14:paraId="4E0458C4" w14:textId="77777777" w:rsidR="000104F2" w:rsidRPr="005F046F" w:rsidRDefault="000104F2" w:rsidP="00565F8F">
            <w:pPr>
              <w:pStyle w:val="Normal6a"/>
            </w:pPr>
            <w:r w:rsidRPr="005F046F">
              <w:t>33.</w:t>
            </w:r>
            <w:r w:rsidRPr="005F046F">
              <w:tab/>
              <w:t>hangsúlyozza, hogy egy olyan időszakban, amikor az uniós intézmények rendszeresen új saját források bevezetéséről tárgyalnak, előnyben kell részesíteni a csalások megerősített ellenőrzések révén történő felderítésének fokozását, ami lehetővé tenné az EU-nak jogosan járó és jelenleg elveszett pénzeszközök visszafizettetését;</w:t>
            </w:r>
          </w:p>
        </w:tc>
        <w:tc>
          <w:tcPr>
            <w:tcW w:w="4876" w:type="dxa"/>
            <w:tcBorders>
              <w:top w:val="nil"/>
              <w:left w:val="nil"/>
              <w:bottom w:val="nil"/>
              <w:right w:val="nil"/>
            </w:tcBorders>
          </w:tcPr>
          <w:p w14:paraId="17CE43B4" w14:textId="77777777" w:rsidR="000104F2" w:rsidRPr="005F046F" w:rsidRDefault="000104F2" w:rsidP="00565F8F">
            <w:pPr>
              <w:pStyle w:val="Normal6a"/>
            </w:pPr>
            <w:r w:rsidRPr="005F046F">
              <w:t>33.</w:t>
            </w:r>
            <w:r w:rsidRPr="005F046F">
              <w:tab/>
              <w:t xml:space="preserve">hangsúlyozza, hogy egy olyan időszakban, amikor az uniós intézmények rendszeresen új saját források bevezetéséről tárgyalnak, előnyben kell részesíteni a csalások megerősített ellenőrzések révén történő felderítésének fokozását, ami lehetővé tenné az EU-nak jogosan járó és jelenleg elveszett pénzeszközök visszafizettetését; </w:t>
            </w:r>
            <w:r w:rsidRPr="005F046F">
              <w:rPr>
                <w:b/>
                <w:i/>
              </w:rPr>
              <w:t>úgy véli, hogy az új saját forrásokról szóló vitát a csalás és adókijátszás miatti jelenlegi bevételkiesés visszaszerzésével kapcsolatos lehetőségek szigorú vizsgálatának kell kísérnie, valamint a meglévő bevételek védelmének megerősítése az uniós költségvetés megerősítésének közvetlen és fenntartható eszköze;</w:t>
            </w:r>
          </w:p>
        </w:tc>
      </w:tr>
    </w:tbl>
    <w:p w14:paraId="5357F87F"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0E51493"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E2FCD2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139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ADDC5C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8F94C1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EE9F92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10860B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E502741" w14:textId="77777777" w:rsidTr="00565F8F">
        <w:trPr>
          <w:trHeight w:hRule="exact" w:val="240"/>
          <w:jc w:val="center"/>
        </w:trPr>
        <w:tc>
          <w:tcPr>
            <w:tcW w:w="9752" w:type="dxa"/>
            <w:gridSpan w:val="2"/>
            <w:tcBorders>
              <w:top w:val="nil"/>
              <w:left w:val="nil"/>
              <w:bottom w:val="nil"/>
              <w:right w:val="nil"/>
            </w:tcBorders>
          </w:tcPr>
          <w:p w14:paraId="1972A5D2" w14:textId="77777777" w:rsidR="000104F2" w:rsidRPr="005F046F" w:rsidRDefault="000104F2" w:rsidP="00565F8F"/>
        </w:tc>
      </w:tr>
      <w:tr w:rsidR="006C656F" w:rsidRPr="005F046F" w14:paraId="777EC7D0" w14:textId="77777777" w:rsidTr="00565F8F">
        <w:trPr>
          <w:trHeight w:val="240"/>
          <w:jc w:val="center"/>
        </w:trPr>
        <w:tc>
          <w:tcPr>
            <w:tcW w:w="4876" w:type="dxa"/>
            <w:tcBorders>
              <w:top w:val="nil"/>
              <w:left w:val="nil"/>
              <w:bottom w:val="nil"/>
              <w:right w:val="nil"/>
            </w:tcBorders>
          </w:tcPr>
          <w:p w14:paraId="43FECAC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0B5BF76" w14:textId="77777777" w:rsidR="000104F2" w:rsidRPr="005F046F" w:rsidRDefault="000104F2" w:rsidP="00565F8F">
            <w:pPr>
              <w:pStyle w:val="AmColumnHeading"/>
            </w:pPr>
            <w:r w:rsidRPr="005F046F">
              <w:t>Módosítás</w:t>
            </w:r>
          </w:p>
        </w:tc>
      </w:tr>
      <w:tr w:rsidR="006C656F" w:rsidRPr="005F046F" w14:paraId="6A350CE1" w14:textId="77777777" w:rsidTr="00565F8F">
        <w:trPr>
          <w:jc w:val="center"/>
        </w:trPr>
        <w:tc>
          <w:tcPr>
            <w:tcW w:w="4876" w:type="dxa"/>
            <w:tcBorders>
              <w:top w:val="nil"/>
              <w:left w:val="nil"/>
              <w:bottom w:val="nil"/>
              <w:right w:val="nil"/>
            </w:tcBorders>
          </w:tcPr>
          <w:p w14:paraId="55C46E5F" w14:textId="77777777" w:rsidR="000104F2" w:rsidRPr="005F046F" w:rsidRDefault="000104F2" w:rsidP="00565F8F">
            <w:pPr>
              <w:pStyle w:val="Normal6a"/>
            </w:pPr>
            <w:r w:rsidRPr="005F046F">
              <w:lastRenderedPageBreak/>
              <w:t>33.</w:t>
            </w:r>
            <w:r w:rsidRPr="005F046F">
              <w:tab/>
              <w:t>hangsúlyozza, hogy egy olyan időszakban, amikor az uniós intézmények rendszeresen új saját források bevezetéséről tárgyalnak, előnyben kell részesíteni a csalások megerősített ellenőrzések révén történő felderítésének fokozását, ami lehetővé tenné az EU-nak jogosan járó és jelenleg elveszett pénzeszközök visszafizettetését;</w:t>
            </w:r>
          </w:p>
        </w:tc>
        <w:tc>
          <w:tcPr>
            <w:tcW w:w="4876" w:type="dxa"/>
            <w:tcBorders>
              <w:top w:val="nil"/>
              <w:left w:val="nil"/>
              <w:bottom w:val="nil"/>
              <w:right w:val="nil"/>
            </w:tcBorders>
          </w:tcPr>
          <w:p w14:paraId="6BCB1D6F" w14:textId="77777777" w:rsidR="000104F2" w:rsidRPr="005F046F" w:rsidRDefault="000104F2" w:rsidP="00565F8F">
            <w:pPr>
              <w:pStyle w:val="Normal6a"/>
            </w:pPr>
            <w:r w:rsidRPr="005F046F">
              <w:t>33.</w:t>
            </w:r>
            <w:r w:rsidRPr="005F046F">
              <w:tab/>
              <w:t xml:space="preserve">hangsúlyozza, hogy egy olyan időszakban, amikor az uniós intézmények rendszeresen új saját források bevezetéséről tárgyalnak, előnyben kell részesíteni a csalások megerősített ellenőrzések révén történő felderítésének fokozását, ami lehetővé tenné az EU-nak jogosan járó és jelenleg elveszett pénzeszközök visszafizettetését; </w:t>
            </w:r>
            <w:r w:rsidRPr="005F046F">
              <w:rPr>
                <w:b/>
                <w:i/>
              </w:rPr>
              <w:t>emlékeztet arra, hogy a hatékony, csalás elleni intézkedések révén visszaszerzett minden egyes euró olyan pénz, amelyet nem az uniós polgárok további megadóztatásával kell előteremteni;</w:t>
            </w:r>
          </w:p>
        </w:tc>
      </w:tr>
    </w:tbl>
    <w:p w14:paraId="103C00C3"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8F5F75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9B93EE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2B0291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B25687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5267D6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0A55A7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33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B6974D6" w14:textId="77777777" w:rsidTr="00565F8F">
        <w:trPr>
          <w:trHeight w:hRule="exact" w:val="240"/>
          <w:jc w:val="center"/>
        </w:trPr>
        <w:tc>
          <w:tcPr>
            <w:tcW w:w="9752" w:type="dxa"/>
            <w:gridSpan w:val="2"/>
            <w:tcBorders>
              <w:top w:val="nil"/>
              <w:left w:val="nil"/>
              <w:bottom w:val="nil"/>
              <w:right w:val="nil"/>
            </w:tcBorders>
          </w:tcPr>
          <w:p w14:paraId="228B7738" w14:textId="77777777" w:rsidR="000104F2" w:rsidRPr="005F046F" w:rsidRDefault="000104F2" w:rsidP="00565F8F"/>
        </w:tc>
      </w:tr>
      <w:tr w:rsidR="006C656F" w:rsidRPr="005F046F" w14:paraId="5C5C25D5" w14:textId="77777777" w:rsidTr="00565F8F">
        <w:trPr>
          <w:trHeight w:val="240"/>
          <w:jc w:val="center"/>
        </w:trPr>
        <w:tc>
          <w:tcPr>
            <w:tcW w:w="4876" w:type="dxa"/>
            <w:tcBorders>
              <w:top w:val="nil"/>
              <w:left w:val="nil"/>
              <w:bottom w:val="nil"/>
              <w:right w:val="nil"/>
            </w:tcBorders>
          </w:tcPr>
          <w:p w14:paraId="77B4193E"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339681E" w14:textId="77777777" w:rsidR="000104F2" w:rsidRPr="005F046F" w:rsidRDefault="000104F2" w:rsidP="00565F8F">
            <w:pPr>
              <w:pStyle w:val="AmColumnHeading"/>
            </w:pPr>
            <w:r w:rsidRPr="005F046F">
              <w:t>Módosítás</w:t>
            </w:r>
          </w:p>
        </w:tc>
      </w:tr>
      <w:tr w:rsidR="006C656F" w:rsidRPr="005F046F" w14:paraId="5599D514" w14:textId="77777777" w:rsidTr="00565F8F">
        <w:trPr>
          <w:jc w:val="center"/>
        </w:trPr>
        <w:tc>
          <w:tcPr>
            <w:tcW w:w="4876" w:type="dxa"/>
            <w:tcBorders>
              <w:top w:val="nil"/>
              <w:left w:val="nil"/>
              <w:bottom w:val="nil"/>
              <w:right w:val="nil"/>
            </w:tcBorders>
          </w:tcPr>
          <w:p w14:paraId="56243B89" w14:textId="77777777" w:rsidR="000104F2" w:rsidRPr="005F046F" w:rsidRDefault="000104F2" w:rsidP="00565F8F">
            <w:pPr>
              <w:pStyle w:val="Normal6a"/>
            </w:pPr>
            <w:r w:rsidRPr="005F046F">
              <w:t>33.</w:t>
            </w:r>
            <w:r w:rsidRPr="005F046F">
              <w:tab/>
              <w:t xml:space="preserve">hangsúlyozza, hogy egy olyan időszakban, amikor az uniós intézmények rendszeresen új saját források bevezetéséről tárgyalnak, előnyben kell részesíteni a csalások megerősített ellenőrzések révén történő felderítésének fokozását, </w:t>
            </w:r>
            <w:r w:rsidRPr="005F046F">
              <w:rPr>
                <w:b/>
                <w:bCs/>
                <w:i/>
                <w:iCs/>
              </w:rPr>
              <w:t>ami lehetővé tenné az EU-nak jogosan járó és jelenleg elveszett pénzeszközök visszafizettetését</w:t>
            </w:r>
            <w:r w:rsidRPr="005F046F">
              <w:t>;</w:t>
            </w:r>
          </w:p>
        </w:tc>
        <w:tc>
          <w:tcPr>
            <w:tcW w:w="4876" w:type="dxa"/>
            <w:tcBorders>
              <w:top w:val="nil"/>
              <w:left w:val="nil"/>
              <w:bottom w:val="nil"/>
              <w:right w:val="nil"/>
            </w:tcBorders>
          </w:tcPr>
          <w:p w14:paraId="470CEAD5" w14:textId="77777777" w:rsidR="000104F2" w:rsidRPr="005F046F" w:rsidRDefault="000104F2" w:rsidP="00565F8F">
            <w:pPr>
              <w:pStyle w:val="Normal6a"/>
            </w:pPr>
            <w:r w:rsidRPr="005F046F">
              <w:t>33.</w:t>
            </w:r>
            <w:r w:rsidRPr="005F046F">
              <w:tab/>
              <w:t xml:space="preserve">hangsúlyozza, hogy egy olyan időszakban, amikor az uniós intézmények rendszeresen új saját források bevezetéséről tárgyalnak, előnyben kell részesíteni a csalások megerősített ellenőrzések révén történő </w:t>
            </w:r>
            <w:r w:rsidRPr="005F046F">
              <w:rPr>
                <w:b/>
                <w:bCs/>
                <w:i/>
                <w:iCs/>
              </w:rPr>
              <w:t>megelőzésének és</w:t>
            </w:r>
            <w:r w:rsidRPr="005F046F">
              <w:t xml:space="preserve"> felderítésének fokozását</w:t>
            </w:r>
            <w:r w:rsidRPr="005F046F">
              <w:rPr>
                <w:b/>
                <w:i/>
              </w:rPr>
              <w:t xml:space="preserve"> azzal a céllal</w:t>
            </w:r>
            <w:r w:rsidRPr="005F046F">
              <w:t xml:space="preserve">, </w:t>
            </w:r>
            <w:r w:rsidRPr="005F046F">
              <w:rPr>
                <w:b/>
                <w:i/>
              </w:rPr>
              <w:t xml:space="preserve">hogy javítsák a visszafizettetési intézkedések hatékonyságát az uniós bevételek csökkenésének elkerülése érdekében, növeljék az uniós költségvetés rendelkezésére bocsátott hagyományos saját források összegét, </w:t>
            </w:r>
            <w:r w:rsidRPr="005F046F">
              <w:rPr>
                <w:b/>
                <w:bCs/>
                <w:i/>
                <w:iCs/>
              </w:rPr>
              <w:t xml:space="preserve">valamint csökkentsék a </w:t>
            </w:r>
            <w:proofErr w:type="spellStart"/>
            <w:r w:rsidRPr="005F046F">
              <w:rPr>
                <w:b/>
                <w:bCs/>
                <w:i/>
                <w:iCs/>
              </w:rPr>
              <w:t>héabevétel</w:t>
            </w:r>
            <w:proofErr w:type="spellEnd"/>
            <w:r w:rsidRPr="005F046F">
              <w:rPr>
                <w:b/>
                <w:bCs/>
                <w:i/>
                <w:iCs/>
              </w:rPr>
              <w:t>-kiesést</w:t>
            </w:r>
            <w:r w:rsidRPr="005F046F">
              <w:t>;</w:t>
            </w:r>
          </w:p>
        </w:tc>
      </w:tr>
    </w:tbl>
    <w:p w14:paraId="09904918"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F50D59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3469DC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71F939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16CE4F7" w14:textId="77777777" w:rsidR="000104F2" w:rsidRPr="005F046F" w:rsidRDefault="000104F2" w:rsidP="000104F2">
      <w:r w:rsidRPr="005F046F">
        <w:rPr>
          <w:rStyle w:val="HideTWBExt"/>
          <w:color w:val="auto"/>
        </w:rPr>
        <w:lastRenderedPageBreak/>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6998A68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03A72B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D4FF49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33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25359BA" w14:textId="77777777" w:rsidTr="00565F8F">
        <w:trPr>
          <w:trHeight w:hRule="exact" w:val="240"/>
          <w:jc w:val="center"/>
        </w:trPr>
        <w:tc>
          <w:tcPr>
            <w:tcW w:w="9752" w:type="dxa"/>
            <w:gridSpan w:val="2"/>
            <w:tcBorders>
              <w:top w:val="nil"/>
              <w:left w:val="nil"/>
              <w:bottom w:val="nil"/>
              <w:right w:val="nil"/>
            </w:tcBorders>
          </w:tcPr>
          <w:p w14:paraId="7F66B5A4" w14:textId="77777777" w:rsidR="000104F2" w:rsidRPr="005F046F" w:rsidRDefault="000104F2" w:rsidP="00565F8F"/>
        </w:tc>
      </w:tr>
      <w:tr w:rsidR="006C656F" w:rsidRPr="005F046F" w14:paraId="24D53AC8" w14:textId="77777777" w:rsidTr="00565F8F">
        <w:trPr>
          <w:trHeight w:val="240"/>
          <w:jc w:val="center"/>
        </w:trPr>
        <w:tc>
          <w:tcPr>
            <w:tcW w:w="4876" w:type="dxa"/>
            <w:tcBorders>
              <w:top w:val="nil"/>
              <w:left w:val="nil"/>
              <w:bottom w:val="nil"/>
              <w:right w:val="nil"/>
            </w:tcBorders>
          </w:tcPr>
          <w:p w14:paraId="72A605D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63BF28F" w14:textId="77777777" w:rsidR="000104F2" w:rsidRPr="005F046F" w:rsidRDefault="000104F2" w:rsidP="00565F8F">
            <w:pPr>
              <w:pStyle w:val="AmColumnHeading"/>
            </w:pPr>
            <w:r w:rsidRPr="005F046F">
              <w:t>Módosítás</w:t>
            </w:r>
          </w:p>
        </w:tc>
      </w:tr>
      <w:tr w:rsidR="006C656F" w:rsidRPr="005F046F" w14:paraId="2A809CE1" w14:textId="77777777" w:rsidTr="00565F8F">
        <w:trPr>
          <w:jc w:val="center"/>
        </w:trPr>
        <w:tc>
          <w:tcPr>
            <w:tcW w:w="4876" w:type="dxa"/>
            <w:tcBorders>
              <w:top w:val="nil"/>
              <w:left w:val="nil"/>
              <w:bottom w:val="nil"/>
              <w:right w:val="nil"/>
            </w:tcBorders>
          </w:tcPr>
          <w:p w14:paraId="233CD48A" w14:textId="77777777" w:rsidR="000104F2" w:rsidRPr="005F046F" w:rsidRDefault="000104F2" w:rsidP="00565F8F">
            <w:pPr>
              <w:pStyle w:val="Normal6a"/>
            </w:pPr>
          </w:p>
        </w:tc>
        <w:tc>
          <w:tcPr>
            <w:tcW w:w="4876" w:type="dxa"/>
            <w:tcBorders>
              <w:top w:val="nil"/>
              <w:left w:val="nil"/>
              <w:bottom w:val="nil"/>
              <w:right w:val="nil"/>
            </w:tcBorders>
          </w:tcPr>
          <w:p w14:paraId="6FB2695A" w14:textId="77777777" w:rsidR="000104F2" w:rsidRPr="005F046F" w:rsidRDefault="000104F2" w:rsidP="00565F8F">
            <w:pPr>
              <w:pStyle w:val="Normal6a"/>
            </w:pPr>
            <w:r w:rsidRPr="005F046F">
              <w:rPr>
                <w:b/>
                <w:i/>
              </w:rPr>
              <w:t>33a.</w:t>
            </w:r>
            <w:r w:rsidRPr="005F046F">
              <w:tab/>
            </w:r>
            <w:r w:rsidRPr="005F046F">
              <w:rPr>
                <w:b/>
                <w:i/>
              </w:rPr>
              <w:t xml:space="preserve">hangsúlyozza, hogy a saját források megerősítése és a csalások felderítésének javítása egymást kiegészítő célkitűzések; kéri a Bizottságot, hogy a bevételkiesés csökkentése, valamint a </w:t>
            </w:r>
            <w:proofErr w:type="spellStart"/>
            <w:r w:rsidRPr="005F046F">
              <w:rPr>
                <w:b/>
                <w:i/>
              </w:rPr>
              <w:t>héa</w:t>
            </w:r>
            <w:proofErr w:type="spellEnd"/>
            <w:r w:rsidRPr="005F046F">
              <w:rPr>
                <w:b/>
                <w:i/>
              </w:rPr>
              <w:t xml:space="preserve">- és vámbevétel-kiesések hatékony kezelése érdekében fokozza az ellenőrzéseket és a végrehajtást, ugyanakkor folytassa a méltányos és </w:t>
            </w:r>
            <w:proofErr w:type="spellStart"/>
            <w:r w:rsidRPr="005F046F">
              <w:rPr>
                <w:b/>
                <w:i/>
              </w:rPr>
              <w:t>reziliens</w:t>
            </w:r>
            <w:proofErr w:type="spellEnd"/>
            <w:r w:rsidRPr="005F046F">
              <w:rPr>
                <w:b/>
                <w:i/>
              </w:rPr>
              <w:t xml:space="preserve"> sajátforrás-rendszerrel kapcsolatos munkát;</w:t>
            </w:r>
          </w:p>
        </w:tc>
      </w:tr>
    </w:tbl>
    <w:p w14:paraId="230F2EE5"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886C1C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9C571A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6A69AF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093DA8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33292D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637B48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34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47F56C4" w14:textId="77777777" w:rsidTr="00565F8F">
        <w:trPr>
          <w:trHeight w:hRule="exact" w:val="240"/>
          <w:jc w:val="center"/>
        </w:trPr>
        <w:tc>
          <w:tcPr>
            <w:tcW w:w="9752" w:type="dxa"/>
            <w:gridSpan w:val="2"/>
            <w:tcBorders>
              <w:top w:val="nil"/>
              <w:left w:val="nil"/>
              <w:bottom w:val="nil"/>
              <w:right w:val="nil"/>
            </w:tcBorders>
          </w:tcPr>
          <w:p w14:paraId="7216170E" w14:textId="77777777" w:rsidR="000104F2" w:rsidRPr="005F046F" w:rsidRDefault="000104F2" w:rsidP="00565F8F"/>
        </w:tc>
      </w:tr>
      <w:tr w:rsidR="006C656F" w:rsidRPr="005F046F" w14:paraId="3B554B0C" w14:textId="77777777" w:rsidTr="00565F8F">
        <w:trPr>
          <w:trHeight w:val="240"/>
          <w:jc w:val="center"/>
        </w:trPr>
        <w:tc>
          <w:tcPr>
            <w:tcW w:w="4876" w:type="dxa"/>
            <w:tcBorders>
              <w:top w:val="nil"/>
              <w:left w:val="nil"/>
              <w:bottom w:val="nil"/>
              <w:right w:val="nil"/>
            </w:tcBorders>
          </w:tcPr>
          <w:p w14:paraId="34307F9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39B63ED" w14:textId="77777777" w:rsidR="000104F2" w:rsidRPr="005F046F" w:rsidRDefault="000104F2" w:rsidP="00565F8F">
            <w:pPr>
              <w:pStyle w:val="AmColumnHeading"/>
            </w:pPr>
            <w:r w:rsidRPr="005F046F">
              <w:t>Módosítás</w:t>
            </w:r>
          </w:p>
        </w:tc>
      </w:tr>
      <w:tr w:rsidR="006C656F" w:rsidRPr="005F046F" w14:paraId="37AA0986" w14:textId="77777777" w:rsidTr="00565F8F">
        <w:trPr>
          <w:jc w:val="center"/>
        </w:trPr>
        <w:tc>
          <w:tcPr>
            <w:tcW w:w="4876" w:type="dxa"/>
            <w:tcBorders>
              <w:top w:val="nil"/>
              <w:left w:val="nil"/>
              <w:bottom w:val="nil"/>
              <w:right w:val="nil"/>
            </w:tcBorders>
          </w:tcPr>
          <w:p w14:paraId="522CDDEE" w14:textId="77777777" w:rsidR="000104F2" w:rsidRPr="005F046F" w:rsidRDefault="000104F2" w:rsidP="00565F8F">
            <w:pPr>
              <w:pStyle w:val="Normal6a"/>
            </w:pPr>
            <w:r w:rsidRPr="005F046F">
              <w:t>34.</w:t>
            </w:r>
            <w:r w:rsidRPr="005F046F">
              <w:tab/>
              <w:t xml:space="preserve">hangsúlyozza, hogy a </w:t>
            </w:r>
            <w:proofErr w:type="spellStart"/>
            <w:r w:rsidRPr="005F046F">
              <w:t>héa</w:t>
            </w:r>
            <w:proofErr w:type="spellEnd"/>
            <w:r w:rsidRPr="005F046F">
              <w:t xml:space="preserve"> továbbra is az uniós költségvetés</w:t>
            </w:r>
            <w:r w:rsidRPr="005F046F">
              <w:rPr>
                <w:vertAlign w:val="superscript"/>
              </w:rPr>
              <w:t>24</w:t>
            </w:r>
            <w:r w:rsidRPr="005F046F">
              <w:t xml:space="preserve"> alapvető forrása, és ismételten aggodalmát fejezi ki a határokon átnyúló csalás – többek között a </w:t>
            </w:r>
            <w:proofErr w:type="spellStart"/>
            <w:r w:rsidRPr="005F046F">
              <w:t>héacsalás</w:t>
            </w:r>
            <w:proofErr w:type="spellEnd"/>
            <w:r w:rsidRPr="005F046F">
              <w:t xml:space="preserve"> – </w:t>
            </w:r>
            <w:r w:rsidRPr="005F046F">
              <w:rPr>
                <w:b/>
                <w:bCs/>
                <w:i/>
                <w:iCs/>
              </w:rPr>
              <w:t>révén a szervezett bűnözői csoportok növekvő tevékenysége</w:t>
            </w:r>
            <w:r w:rsidRPr="005F046F">
              <w:t xml:space="preserve"> okozta jelentős pénzügyi kár miatt; hangsúlyozza, hogy 2024 végén az Európai Ügyészség 767 folyamatban lévő, határokon átnyúló jellegű nyomozásról számolt be, amelyek közül 573 (74%) a bevételekhez kapcsolódott (ebből 416 </w:t>
            </w:r>
            <w:proofErr w:type="spellStart"/>
            <w:r w:rsidRPr="005F046F">
              <w:t>héacsaláshoz</w:t>
            </w:r>
            <w:proofErr w:type="spellEnd"/>
            <w:r w:rsidRPr="005F046F">
              <w:t xml:space="preserve">, 86 nem </w:t>
            </w:r>
            <w:proofErr w:type="spellStart"/>
            <w:r w:rsidRPr="005F046F">
              <w:t>héacsaláshoz</w:t>
            </w:r>
            <w:proofErr w:type="spellEnd"/>
            <w:r w:rsidRPr="005F046F">
              <w:t xml:space="preserve"> és 71 kombinált csaláshoz); megjegyzi, hogy a becsült teljes pénzügyi kár összege 13,6 milliárd EUR volt, ami a határokon átnyúló csaláshoz kapcsolódó pénzügyi kár 87%-át tette ki, és jelentős negatív hatást gyakorolt a nemzeti költségvetésekre, az adózás </w:t>
            </w:r>
            <w:proofErr w:type="spellStart"/>
            <w:r w:rsidRPr="005F046F">
              <w:lastRenderedPageBreak/>
              <w:t>méltányosságára</w:t>
            </w:r>
            <w:proofErr w:type="spellEnd"/>
            <w:r w:rsidRPr="005F046F">
              <w:t xml:space="preserve"> és a tisztességes versenyre; úgy véli azonban, hogy e jelenségek elemzésének és számszerűsítésének homogén adatokon és egységes jelentéstételi standardokon kell alapulnia, figyelembe véve az Unió saját forrásainak rendszerét;</w:t>
            </w:r>
          </w:p>
        </w:tc>
        <w:tc>
          <w:tcPr>
            <w:tcW w:w="4876" w:type="dxa"/>
            <w:tcBorders>
              <w:top w:val="nil"/>
              <w:left w:val="nil"/>
              <w:bottom w:val="nil"/>
              <w:right w:val="nil"/>
            </w:tcBorders>
          </w:tcPr>
          <w:p w14:paraId="1E4AD3BF" w14:textId="77777777" w:rsidR="000104F2" w:rsidRPr="005F046F" w:rsidRDefault="000104F2" w:rsidP="00565F8F">
            <w:pPr>
              <w:pStyle w:val="Normal6a"/>
            </w:pPr>
            <w:r w:rsidRPr="005F046F">
              <w:lastRenderedPageBreak/>
              <w:t>34.</w:t>
            </w:r>
            <w:r w:rsidRPr="005F046F">
              <w:tab/>
              <w:t xml:space="preserve">hangsúlyozza, hogy a </w:t>
            </w:r>
            <w:proofErr w:type="spellStart"/>
            <w:r w:rsidRPr="005F046F">
              <w:t>héa</w:t>
            </w:r>
            <w:proofErr w:type="spellEnd"/>
            <w:r w:rsidRPr="005F046F">
              <w:t xml:space="preserve"> továbbra is az uniós költségvetés</w:t>
            </w:r>
            <w:r w:rsidRPr="005F046F">
              <w:rPr>
                <w:vertAlign w:val="superscript"/>
              </w:rPr>
              <w:t>24</w:t>
            </w:r>
            <w:r w:rsidRPr="005F046F">
              <w:t xml:space="preserve"> alapvető forrása, és ismételten aggodalmát fejezi ki a határokon átnyúló csalás – többek között a </w:t>
            </w:r>
            <w:proofErr w:type="spellStart"/>
            <w:r w:rsidRPr="005F046F">
              <w:t>héacsalás</w:t>
            </w:r>
            <w:proofErr w:type="spellEnd"/>
            <w:r w:rsidRPr="005F046F">
              <w:t xml:space="preserve"> – okozta jelentős pénzügyi kár miatt;</w:t>
            </w:r>
            <w:r w:rsidRPr="005F046F">
              <w:rPr>
                <w:b/>
                <w:i/>
              </w:rPr>
              <w:t xml:space="preserve"> </w:t>
            </w:r>
            <w:r w:rsidRPr="005F046F">
              <w:rPr>
                <w:b/>
                <w:bCs/>
                <w:i/>
                <w:iCs/>
              </w:rPr>
              <w:t>úgy véli, hogy az Unió pénzügyi érdekeit érintő csalások mértéke és kifinomultsága – különösen a költségvetés bevételi oldalán – súlyos bűncselekményeket elkövető csoportok és bűnszervezetek jelentős részvételére utal;</w:t>
            </w:r>
            <w:r w:rsidRPr="005F046F">
              <w:t xml:space="preserve"> hangsúlyozza, hogy 2024 végén az Európai Ügyészség 767 folyamatban lévő, határokon átnyúló jellegű nyomozásról számolt be, amelyek közül 573 (74%) a bevételekhez kapcsolódott (ebből 416 </w:t>
            </w:r>
            <w:proofErr w:type="spellStart"/>
            <w:r w:rsidRPr="005F046F">
              <w:t>héacsaláshoz</w:t>
            </w:r>
            <w:proofErr w:type="spellEnd"/>
            <w:r w:rsidRPr="005F046F">
              <w:t xml:space="preserve">, 86 nem </w:t>
            </w:r>
            <w:proofErr w:type="spellStart"/>
            <w:r w:rsidRPr="005F046F">
              <w:t>héacsaláshoz</w:t>
            </w:r>
            <w:proofErr w:type="spellEnd"/>
            <w:r w:rsidRPr="005F046F">
              <w:t xml:space="preserve"> és 71 kombinált csaláshoz); megjegyzi, hogy a becsült teljes pénzügyi kár összege </w:t>
            </w:r>
            <w:r w:rsidRPr="005F046F">
              <w:lastRenderedPageBreak/>
              <w:t xml:space="preserve">13,6 milliárd EUR volt, ami a határokon átnyúló csaláshoz kapcsolódó pénzügyi kár 87%-át tette ki, és jelentős negatív hatást gyakorolt a nemzeti költségvetésekre, az adózás </w:t>
            </w:r>
            <w:proofErr w:type="spellStart"/>
            <w:r w:rsidRPr="005F046F">
              <w:t>méltányosságára</w:t>
            </w:r>
            <w:proofErr w:type="spellEnd"/>
            <w:r w:rsidRPr="005F046F">
              <w:t xml:space="preserve"> és a tisztességes versenyre; úgy véli azonban, hogy e jelenségek elemzésének és számszerűsítésének homogén adatokon és egységes jelentéstételi standardokon kell alapulnia, figyelembe véve az Unió saját forrásainak rendszerét;</w:t>
            </w:r>
          </w:p>
        </w:tc>
      </w:tr>
      <w:tr w:rsidR="006C656F" w:rsidRPr="005F046F" w14:paraId="36283F4C" w14:textId="77777777" w:rsidTr="00565F8F">
        <w:trPr>
          <w:jc w:val="center"/>
        </w:trPr>
        <w:tc>
          <w:tcPr>
            <w:tcW w:w="4876" w:type="dxa"/>
            <w:tcBorders>
              <w:top w:val="nil"/>
              <w:left w:val="nil"/>
              <w:bottom w:val="nil"/>
              <w:right w:val="nil"/>
            </w:tcBorders>
          </w:tcPr>
          <w:p w14:paraId="113C29EE" w14:textId="77777777" w:rsidR="000104F2" w:rsidRPr="005F046F" w:rsidRDefault="000104F2" w:rsidP="00565F8F">
            <w:pPr>
              <w:pStyle w:val="Normal6a"/>
            </w:pPr>
            <w:r w:rsidRPr="005F046F">
              <w:rPr>
                <w:b/>
                <w:i/>
              </w:rPr>
              <w:lastRenderedPageBreak/>
              <w:t>_________________</w:t>
            </w:r>
          </w:p>
        </w:tc>
        <w:tc>
          <w:tcPr>
            <w:tcW w:w="4876" w:type="dxa"/>
            <w:tcBorders>
              <w:top w:val="nil"/>
              <w:left w:val="nil"/>
              <w:bottom w:val="nil"/>
              <w:right w:val="nil"/>
            </w:tcBorders>
          </w:tcPr>
          <w:p w14:paraId="4C21578B" w14:textId="77777777" w:rsidR="000104F2" w:rsidRPr="005F046F" w:rsidRDefault="000104F2" w:rsidP="00565F8F">
            <w:pPr>
              <w:pStyle w:val="Normal6a"/>
            </w:pPr>
            <w:r w:rsidRPr="005F046F">
              <w:rPr>
                <w:b/>
                <w:i/>
              </w:rPr>
              <w:t>_________________</w:t>
            </w:r>
          </w:p>
        </w:tc>
      </w:tr>
      <w:tr w:rsidR="006C656F" w:rsidRPr="005F046F" w14:paraId="1E31DF1D" w14:textId="77777777" w:rsidTr="00565F8F">
        <w:trPr>
          <w:jc w:val="center"/>
        </w:trPr>
        <w:tc>
          <w:tcPr>
            <w:tcW w:w="4876" w:type="dxa"/>
            <w:tcBorders>
              <w:top w:val="nil"/>
              <w:left w:val="nil"/>
              <w:bottom w:val="nil"/>
              <w:right w:val="nil"/>
            </w:tcBorders>
          </w:tcPr>
          <w:p w14:paraId="41110B3E" w14:textId="77777777" w:rsidR="000104F2" w:rsidRPr="005F046F" w:rsidRDefault="000104F2" w:rsidP="00565F8F">
            <w:pPr>
              <w:pStyle w:val="Normal6a"/>
            </w:pPr>
            <w:r w:rsidRPr="005F046F">
              <w:rPr>
                <w:vertAlign w:val="superscript"/>
              </w:rPr>
              <w:t>24</w:t>
            </w:r>
            <w:r w:rsidRPr="005F046F">
              <w:t xml:space="preserve"> a saját források uniós rendszerében a </w:t>
            </w:r>
            <w:proofErr w:type="spellStart"/>
            <w:r w:rsidRPr="005F046F">
              <w:t>héa</w:t>
            </w:r>
            <w:proofErr w:type="spellEnd"/>
            <w:r w:rsidRPr="005F046F">
              <w:t xml:space="preserve"> az egyes uniós országok harmonizált </w:t>
            </w:r>
            <w:proofErr w:type="spellStart"/>
            <w:r w:rsidRPr="005F046F">
              <w:t>héaalapjára</w:t>
            </w:r>
            <w:proofErr w:type="spellEnd"/>
            <w:r w:rsidRPr="005F046F">
              <w:t xml:space="preserve"> alkalmazott 0,3%-os kulcson alapul (amelyet néhány tagállam esetében 0,15%-</w:t>
            </w:r>
            <w:proofErr w:type="spellStart"/>
            <w:r w:rsidRPr="005F046F">
              <w:t>ra</w:t>
            </w:r>
            <w:proofErr w:type="spellEnd"/>
            <w:r w:rsidRPr="005F046F">
              <w:t xml:space="preserve"> csökkentettek), és amelynek felső határa a bruttó nemzeti jövedelem (GNI) 50%-a: a tagállamok által beszedett </w:t>
            </w:r>
            <w:proofErr w:type="spellStart"/>
            <w:r w:rsidRPr="005F046F">
              <w:t>héának</w:t>
            </w:r>
            <w:proofErr w:type="spellEnd"/>
            <w:r w:rsidRPr="005F046F">
              <w:t xml:space="preserve"> csak ezt a százalékát (–0,30%) utalják át az uniós költségvetésbe; a tagállamok által beszedett </w:t>
            </w:r>
            <w:proofErr w:type="spellStart"/>
            <w:r w:rsidRPr="005F046F">
              <w:t>héának</w:t>
            </w:r>
            <w:proofErr w:type="spellEnd"/>
            <w:r w:rsidRPr="005F046F">
              <w:t xml:space="preserve"> csak ezt a százalékát (–0,30%) utalják át az uniós költségvetésbe; összességében a </w:t>
            </w:r>
            <w:proofErr w:type="spellStart"/>
            <w:r w:rsidRPr="005F046F">
              <w:t>héaalapú</w:t>
            </w:r>
            <w:proofErr w:type="spellEnd"/>
            <w:r w:rsidRPr="005F046F">
              <w:t xml:space="preserve"> saját forrás a legutóbbi uniós költségvetésben az EU összes saját forrásának mintegy 10–17%-át tette ki;</w:t>
            </w:r>
          </w:p>
        </w:tc>
        <w:tc>
          <w:tcPr>
            <w:tcW w:w="4876" w:type="dxa"/>
            <w:tcBorders>
              <w:top w:val="nil"/>
              <w:left w:val="nil"/>
              <w:bottom w:val="nil"/>
              <w:right w:val="nil"/>
            </w:tcBorders>
          </w:tcPr>
          <w:p w14:paraId="45E9320C" w14:textId="77777777" w:rsidR="000104F2" w:rsidRPr="005F046F" w:rsidRDefault="000104F2" w:rsidP="00565F8F">
            <w:pPr>
              <w:pStyle w:val="Normal6a"/>
            </w:pPr>
            <w:r w:rsidRPr="005F046F">
              <w:rPr>
                <w:vertAlign w:val="superscript"/>
              </w:rPr>
              <w:t>24</w:t>
            </w:r>
            <w:r w:rsidRPr="005F046F">
              <w:t xml:space="preserve"> a saját források uniós rendszerében a </w:t>
            </w:r>
            <w:proofErr w:type="spellStart"/>
            <w:r w:rsidRPr="005F046F">
              <w:t>héa</w:t>
            </w:r>
            <w:proofErr w:type="spellEnd"/>
            <w:r w:rsidRPr="005F046F">
              <w:t xml:space="preserve"> az egyes uniós országok harmonizált </w:t>
            </w:r>
            <w:proofErr w:type="spellStart"/>
            <w:r w:rsidRPr="005F046F">
              <w:t>héaalapjára</w:t>
            </w:r>
            <w:proofErr w:type="spellEnd"/>
            <w:r w:rsidRPr="005F046F">
              <w:t xml:space="preserve"> alkalmazott 0,3%-os kulcson alapul (amelyet néhány tagállam esetében 0,15%-</w:t>
            </w:r>
            <w:proofErr w:type="spellStart"/>
            <w:r w:rsidRPr="005F046F">
              <w:t>ra</w:t>
            </w:r>
            <w:proofErr w:type="spellEnd"/>
            <w:r w:rsidRPr="005F046F">
              <w:t xml:space="preserve"> csökkentettek), és amelynek felső határa a bruttó nemzeti jövedelem (GNI) 50%-a: a tagállamok által beszedett </w:t>
            </w:r>
            <w:proofErr w:type="spellStart"/>
            <w:r w:rsidRPr="005F046F">
              <w:t>héának</w:t>
            </w:r>
            <w:proofErr w:type="spellEnd"/>
            <w:r w:rsidRPr="005F046F">
              <w:t xml:space="preserve"> csak ezt a százalékát (–0,30%) utalják át az uniós költségvetésbe; a tagállamok által beszedett </w:t>
            </w:r>
            <w:proofErr w:type="spellStart"/>
            <w:r w:rsidRPr="005F046F">
              <w:t>héának</w:t>
            </w:r>
            <w:proofErr w:type="spellEnd"/>
            <w:r w:rsidRPr="005F046F">
              <w:t xml:space="preserve"> csak ezt a százalékát (–0,30%) utalják át az uniós költségvetésbe; összességében a </w:t>
            </w:r>
            <w:proofErr w:type="spellStart"/>
            <w:r w:rsidRPr="005F046F">
              <w:t>héaalapú</w:t>
            </w:r>
            <w:proofErr w:type="spellEnd"/>
            <w:r w:rsidRPr="005F046F">
              <w:t xml:space="preserve"> saját forrás a legutóbbi uniós költségvetésben az EU összes saját forrásának mintegy 10–17%-át tette ki;</w:t>
            </w:r>
          </w:p>
        </w:tc>
      </w:tr>
    </w:tbl>
    <w:p w14:paraId="7A490C7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F6FFC2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5B3960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58FDE5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B5282B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76E1DD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67ACB9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34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7C1576A" w14:textId="77777777" w:rsidTr="00565F8F">
        <w:trPr>
          <w:trHeight w:hRule="exact" w:val="240"/>
          <w:jc w:val="center"/>
        </w:trPr>
        <w:tc>
          <w:tcPr>
            <w:tcW w:w="9752" w:type="dxa"/>
            <w:gridSpan w:val="2"/>
            <w:tcBorders>
              <w:top w:val="nil"/>
              <w:left w:val="nil"/>
              <w:bottom w:val="nil"/>
              <w:right w:val="nil"/>
            </w:tcBorders>
          </w:tcPr>
          <w:p w14:paraId="3FE24D6E" w14:textId="77777777" w:rsidR="000104F2" w:rsidRPr="005F046F" w:rsidRDefault="000104F2" w:rsidP="00565F8F"/>
        </w:tc>
      </w:tr>
      <w:tr w:rsidR="006C656F" w:rsidRPr="005F046F" w14:paraId="6CC2F4EB" w14:textId="77777777" w:rsidTr="00565F8F">
        <w:trPr>
          <w:trHeight w:val="240"/>
          <w:jc w:val="center"/>
        </w:trPr>
        <w:tc>
          <w:tcPr>
            <w:tcW w:w="4876" w:type="dxa"/>
            <w:tcBorders>
              <w:top w:val="nil"/>
              <w:left w:val="nil"/>
              <w:bottom w:val="nil"/>
              <w:right w:val="nil"/>
            </w:tcBorders>
          </w:tcPr>
          <w:p w14:paraId="7F43714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95D5642" w14:textId="77777777" w:rsidR="000104F2" w:rsidRPr="005F046F" w:rsidRDefault="000104F2" w:rsidP="00565F8F">
            <w:pPr>
              <w:pStyle w:val="AmColumnHeading"/>
            </w:pPr>
            <w:r w:rsidRPr="005F046F">
              <w:t>Módosítás</w:t>
            </w:r>
          </w:p>
        </w:tc>
      </w:tr>
      <w:tr w:rsidR="006C656F" w:rsidRPr="005F046F" w14:paraId="74935BC4" w14:textId="77777777" w:rsidTr="00565F8F">
        <w:trPr>
          <w:jc w:val="center"/>
        </w:trPr>
        <w:tc>
          <w:tcPr>
            <w:tcW w:w="4876" w:type="dxa"/>
            <w:tcBorders>
              <w:top w:val="nil"/>
              <w:left w:val="nil"/>
              <w:bottom w:val="nil"/>
              <w:right w:val="nil"/>
            </w:tcBorders>
          </w:tcPr>
          <w:p w14:paraId="0E3ADE80" w14:textId="77777777" w:rsidR="000104F2" w:rsidRPr="005F046F" w:rsidRDefault="000104F2" w:rsidP="00565F8F">
            <w:pPr>
              <w:pStyle w:val="Normal6a"/>
            </w:pPr>
            <w:r w:rsidRPr="005F046F">
              <w:t>34.</w:t>
            </w:r>
            <w:r w:rsidRPr="005F046F">
              <w:tab/>
              <w:t xml:space="preserve">hangsúlyozza, hogy a </w:t>
            </w:r>
            <w:proofErr w:type="spellStart"/>
            <w:r w:rsidRPr="005F046F">
              <w:t>héa</w:t>
            </w:r>
            <w:proofErr w:type="spellEnd"/>
            <w:r w:rsidRPr="005F046F">
              <w:t xml:space="preserve"> továbbra is az uniós költségvetés</w:t>
            </w:r>
            <w:r w:rsidRPr="005F046F">
              <w:rPr>
                <w:vertAlign w:val="superscript"/>
              </w:rPr>
              <w:t>24</w:t>
            </w:r>
            <w:r w:rsidRPr="005F046F">
              <w:t xml:space="preserve"> alapvető forrása, és ismételten aggodalmát fejezi ki a határokon átnyúló csalás – többek között a </w:t>
            </w:r>
            <w:proofErr w:type="spellStart"/>
            <w:r w:rsidRPr="005F046F">
              <w:t>héacsalás</w:t>
            </w:r>
            <w:proofErr w:type="spellEnd"/>
            <w:r w:rsidRPr="005F046F">
              <w:t xml:space="preserve"> – révén a szervezett bűnözői csoportok növekvő tevékenysége okozta jelentős pénzügyi kár miatt; hangsúlyozza, </w:t>
            </w:r>
            <w:r w:rsidRPr="005F046F">
              <w:lastRenderedPageBreak/>
              <w:t xml:space="preserve">hogy 2024 végén az Európai Ügyészség 767 folyamatban lévő, határokon átnyúló jellegű nyomozásról számolt be, amelyek közül 573 (74%) a bevételekhez kapcsolódott (ebből 416 </w:t>
            </w:r>
            <w:proofErr w:type="spellStart"/>
            <w:r w:rsidRPr="005F046F">
              <w:t>héacsaláshoz</w:t>
            </w:r>
            <w:proofErr w:type="spellEnd"/>
            <w:r w:rsidRPr="005F046F">
              <w:t xml:space="preserve">, 86 nem </w:t>
            </w:r>
            <w:proofErr w:type="spellStart"/>
            <w:r w:rsidRPr="005F046F">
              <w:t>héacsaláshoz</w:t>
            </w:r>
            <w:proofErr w:type="spellEnd"/>
            <w:r w:rsidRPr="005F046F">
              <w:t xml:space="preserve"> és 71 kombinált csaláshoz); megjegyzi, hogy a becsült teljes pénzügyi kár összege 13,6 milliárd EUR volt, ami a határokon átnyúló csaláshoz kapcsolódó pénzügyi kár 87%-át tette ki, és jelentős negatív hatást gyakorolt a nemzeti költségvetésekre, az adózás </w:t>
            </w:r>
            <w:proofErr w:type="spellStart"/>
            <w:r w:rsidRPr="005F046F">
              <w:t>méltányosságára</w:t>
            </w:r>
            <w:proofErr w:type="spellEnd"/>
            <w:r w:rsidRPr="005F046F">
              <w:t xml:space="preserve"> és a tisztességes versenyre; úgy véli azonban, hogy e jelenségek elemzésének és számszerűsítésének homogén adatokon és egységes jelentéstételi standardokon kell alapulnia, figyelembe véve az Unió saját forrásainak rendszerét;</w:t>
            </w:r>
          </w:p>
        </w:tc>
        <w:tc>
          <w:tcPr>
            <w:tcW w:w="4876" w:type="dxa"/>
            <w:tcBorders>
              <w:top w:val="nil"/>
              <w:left w:val="nil"/>
              <w:bottom w:val="nil"/>
              <w:right w:val="nil"/>
            </w:tcBorders>
          </w:tcPr>
          <w:p w14:paraId="0376832F" w14:textId="77777777" w:rsidR="000104F2" w:rsidRPr="005F046F" w:rsidRDefault="000104F2" w:rsidP="00565F8F">
            <w:pPr>
              <w:pStyle w:val="Normal6a"/>
            </w:pPr>
            <w:r w:rsidRPr="005F046F">
              <w:lastRenderedPageBreak/>
              <w:t>34.</w:t>
            </w:r>
            <w:r w:rsidRPr="005F046F">
              <w:tab/>
              <w:t xml:space="preserve">hangsúlyozza, hogy a </w:t>
            </w:r>
            <w:proofErr w:type="spellStart"/>
            <w:r w:rsidRPr="005F046F">
              <w:t>héa</w:t>
            </w:r>
            <w:proofErr w:type="spellEnd"/>
            <w:r w:rsidRPr="005F046F">
              <w:t xml:space="preserve"> továbbra is az uniós költségvetés</w:t>
            </w:r>
            <w:r w:rsidRPr="005F046F">
              <w:rPr>
                <w:vertAlign w:val="superscript"/>
              </w:rPr>
              <w:t>24</w:t>
            </w:r>
            <w:r w:rsidRPr="005F046F">
              <w:t xml:space="preserve"> alapvető forrása, és ismételten aggodalmát fejezi ki a határokon átnyúló csalás – többek között a </w:t>
            </w:r>
            <w:proofErr w:type="spellStart"/>
            <w:r w:rsidRPr="005F046F">
              <w:t>héacsalás</w:t>
            </w:r>
            <w:proofErr w:type="spellEnd"/>
            <w:r w:rsidRPr="005F046F">
              <w:t xml:space="preserve"> – révén a szervezett bűnözői csoportok növekvő tevékenysége okozta jelentős pénzügyi kár miatt; hangsúlyozza, </w:t>
            </w:r>
            <w:r w:rsidRPr="005F046F">
              <w:lastRenderedPageBreak/>
              <w:t xml:space="preserve">hogy 2024 végén az Európai Ügyészség 767 folyamatban lévő, határokon átnyúló jellegű nyomozásról számolt be, amelyek közül 573 (74%) a bevételekhez kapcsolódott (ebből 416 </w:t>
            </w:r>
            <w:proofErr w:type="spellStart"/>
            <w:r w:rsidRPr="005F046F">
              <w:t>héacsaláshoz</w:t>
            </w:r>
            <w:proofErr w:type="spellEnd"/>
            <w:r w:rsidRPr="005F046F">
              <w:t xml:space="preserve">, 86 nem </w:t>
            </w:r>
            <w:proofErr w:type="spellStart"/>
            <w:r w:rsidRPr="005F046F">
              <w:t>héacsaláshoz</w:t>
            </w:r>
            <w:proofErr w:type="spellEnd"/>
            <w:r w:rsidRPr="005F046F">
              <w:t xml:space="preserve"> és 71 kombinált csaláshoz); megjegyzi, hogy a becsült teljes pénzügyi kár összege 13,6 milliárd EUR volt, ami a határokon átnyúló csaláshoz kapcsolódó pénzügyi kár 87%-át tette ki, és jelentős negatív hatást gyakorolt a nemzeti költségvetésekre, az adózás </w:t>
            </w:r>
            <w:proofErr w:type="spellStart"/>
            <w:r w:rsidRPr="005F046F">
              <w:t>méltányosságára</w:t>
            </w:r>
            <w:proofErr w:type="spellEnd"/>
            <w:r w:rsidRPr="005F046F">
              <w:t xml:space="preserve"> és a tisztességes versenyre; úgy véli azonban, hogy e jelenségek elemzésének és számszerűsítésének homogén adatokon és egységes jelentéstételi standardokon kell alapulnia, figyelembe véve az Unió saját forrásainak rendszerét</w:t>
            </w:r>
            <w:r w:rsidRPr="005F046F">
              <w:rPr>
                <w:b/>
                <w:bCs/>
                <w:i/>
                <w:iCs/>
              </w:rPr>
              <w:t>, különösen amikor az Európai Ügyészség tevékenységeinek és a visszafizettetéssel kapcsolatos elvárásoknak a pénzügyi hatását számszerűsítik</w:t>
            </w:r>
            <w:r w:rsidRPr="005F046F">
              <w:t>;</w:t>
            </w:r>
          </w:p>
        </w:tc>
      </w:tr>
      <w:tr w:rsidR="006C656F" w:rsidRPr="005F046F" w14:paraId="68DBF00D" w14:textId="77777777" w:rsidTr="00565F8F">
        <w:trPr>
          <w:jc w:val="center"/>
        </w:trPr>
        <w:tc>
          <w:tcPr>
            <w:tcW w:w="4876" w:type="dxa"/>
            <w:tcBorders>
              <w:top w:val="nil"/>
              <w:left w:val="nil"/>
              <w:bottom w:val="nil"/>
              <w:right w:val="nil"/>
            </w:tcBorders>
          </w:tcPr>
          <w:p w14:paraId="54346929" w14:textId="77777777" w:rsidR="000104F2" w:rsidRPr="005F046F" w:rsidRDefault="000104F2" w:rsidP="00565F8F">
            <w:pPr>
              <w:pStyle w:val="Normal6a"/>
            </w:pPr>
            <w:r w:rsidRPr="005F046F">
              <w:rPr>
                <w:b/>
                <w:i/>
              </w:rPr>
              <w:lastRenderedPageBreak/>
              <w:t>_________________</w:t>
            </w:r>
          </w:p>
        </w:tc>
        <w:tc>
          <w:tcPr>
            <w:tcW w:w="4876" w:type="dxa"/>
            <w:tcBorders>
              <w:top w:val="nil"/>
              <w:left w:val="nil"/>
              <w:bottom w:val="nil"/>
              <w:right w:val="nil"/>
            </w:tcBorders>
          </w:tcPr>
          <w:p w14:paraId="79B32694" w14:textId="77777777" w:rsidR="000104F2" w:rsidRPr="005F046F" w:rsidRDefault="000104F2" w:rsidP="00565F8F">
            <w:pPr>
              <w:pStyle w:val="Normal6a"/>
            </w:pPr>
            <w:r w:rsidRPr="005F046F">
              <w:rPr>
                <w:b/>
                <w:i/>
              </w:rPr>
              <w:t>_________________</w:t>
            </w:r>
          </w:p>
        </w:tc>
      </w:tr>
      <w:tr w:rsidR="006C656F" w:rsidRPr="005F046F" w14:paraId="00551735" w14:textId="77777777" w:rsidTr="00565F8F">
        <w:trPr>
          <w:jc w:val="center"/>
        </w:trPr>
        <w:tc>
          <w:tcPr>
            <w:tcW w:w="4876" w:type="dxa"/>
            <w:tcBorders>
              <w:top w:val="nil"/>
              <w:left w:val="nil"/>
              <w:bottom w:val="nil"/>
              <w:right w:val="nil"/>
            </w:tcBorders>
          </w:tcPr>
          <w:p w14:paraId="58951F54" w14:textId="77777777" w:rsidR="000104F2" w:rsidRPr="005F046F" w:rsidRDefault="000104F2" w:rsidP="00565F8F">
            <w:pPr>
              <w:pStyle w:val="Normal6a"/>
            </w:pPr>
            <w:r w:rsidRPr="005F046F">
              <w:rPr>
                <w:vertAlign w:val="superscript"/>
              </w:rPr>
              <w:t>24</w:t>
            </w:r>
            <w:r w:rsidRPr="005F046F">
              <w:t xml:space="preserve"> a saját források uniós rendszerében a </w:t>
            </w:r>
            <w:proofErr w:type="spellStart"/>
            <w:r w:rsidRPr="005F046F">
              <w:t>héa</w:t>
            </w:r>
            <w:proofErr w:type="spellEnd"/>
            <w:r w:rsidRPr="005F046F">
              <w:t xml:space="preserve"> az egyes uniós országok harmonizált </w:t>
            </w:r>
            <w:proofErr w:type="spellStart"/>
            <w:r w:rsidRPr="005F046F">
              <w:t>héaalapjára</w:t>
            </w:r>
            <w:proofErr w:type="spellEnd"/>
            <w:r w:rsidRPr="005F046F">
              <w:t xml:space="preserve"> alkalmazott 0,3%-os kulcson alapul (amelyet néhány tagállam esetében 0,15%-</w:t>
            </w:r>
            <w:proofErr w:type="spellStart"/>
            <w:r w:rsidRPr="005F046F">
              <w:t>ra</w:t>
            </w:r>
            <w:proofErr w:type="spellEnd"/>
            <w:r w:rsidRPr="005F046F">
              <w:t xml:space="preserve"> csökkentettek), és amelynek felső határa a bruttó nemzeti jövedelem (GNI) 50%-a: a tagállamok által beszedett </w:t>
            </w:r>
            <w:proofErr w:type="spellStart"/>
            <w:r w:rsidRPr="005F046F">
              <w:t>héának</w:t>
            </w:r>
            <w:proofErr w:type="spellEnd"/>
            <w:r w:rsidRPr="005F046F">
              <w:t xml:space="preserve"> csak ezt a százalékát (–0,30%) utalják át az uniós költségvetésbe; a tagállamok által beszedett </w:t>
            </w:r>
            <w:proofErr w:type="spellStart"/>
            <w:r w:rsidRPr="005F046F">
              <w:t>héának</w:t>
            </w:r>
            <w:proofErr w:type="spellEnd"/>
            <w:r w:rsidRPr="005F046F">
              <w:t xml:space="preserve"> csak ezt a százalékát (–0,30%) utalják át az uniós költségvetésbe; összességében a </w:t>
            </w:r>
            <w:proofErr w:type="spellStart"/>
            <w:r w:rsidRPr="005F046F">
              <w:t>héaalapú</w:t>
            </w:r>
            <w:proofErr w:type="spellEnd"/>
            <w:r w:rsidRPr="005F046F">
              <w:t xml:space="preserve"> saját forrás a legutóbbi uniós költségvetésben az EU összes saját forrásának mintegy 10–17%-át tette ki;</w:t>
            </w:r>
          </w:p>
        </w:tc>
        <w:tc>
          <w:tcPr>
            <w:tcW w:w="4876" w:type="dxa"/>
            <w:tcBorders>
              <w:top w:val="nil"/>
              <w:left w:val="nil"/>
              <w:bottom w:val="nil"/>
              <w:right w:val="nil"/>
            </w:tcBorders>
          </w:tcPr>
          <w:p w14:paraId="6BDFB5FA" w14:textId="77777777" w:rsidR="000104F2" w:rsidRPr="005F046F" w:rsidRDefault="000104F2" w:rsidP="00565F8F">
            <w:pPr>
              <w:pStyle w:val="Normal6a"/>
            </w:pPr>
            <w:r w:rsidRPr="005F046F">
              <w:rPr>
                <w:vertAlign w:val="superscript"/>
              </w:rPr>
              <w:t>24</w:t>
            </w:r>
            <w:r w:rsidRPr="005F046F">
              <w:t xml:space="preserve"> a saját források uniós rendszerében a </w:t>
            </w:r>
            <w:proofErr w:type="spellStart"/>
            <w:r w:rsidRPr="005F046F">
              <w:t>héa</w:t>
            </w:r>
            <w:proofErr w:type="spellEnd"/>
            <w:r w:rsidRPr="005F046F">
              <w:t xml:space="preserve"> az egyes uniós országok harmonizált </w:t>
            </w:r>
            <w:proofErr w:type="spellStart"/>
            <w:r w:rsidRPr="005F046F">
              <w:t>héaalapjára</w:t>
            </w:r>
            <w:proofErr w:type="spellEnd"/>
            <w:r w:rsidRPr="005F046F">
              <w:t xml:space="preserve"> alkalmazott 0,3%-os kulcson alapul (amelyet néhány tagállam esetében 0,15%-</w:t>
            </w:r>
            <w:proofErr w:type="spellStart"/>
            <w:r w:rsidRPr="005F046F">
              <w:t>ra</w:t>
            </w:r>
            <w:proofErr w:type="spellEnd"/>
            <w:r w:rsidRPr="005F046F">
              <w:t xml:space="preserve"> csökkentettek), és amelynek felső határa a bruttó nemzeti jövedelem (GNI) 50%-a: a tagállamok által beszedett </w:t>
            </w:r>
            <w:proofErr w:type="spellStart"/>
            <w:r w:rsidRPr="005F046F">
              <w:t>héának</w:t>
            </w:r>
            <w:proofErr w:type="spellEnd"/>
            <w:r w:rsidRPr="005F046F">
              <w:t xml:space="preserve"> csak ezt a százalékát (–0,30%) utalják át az uniós költségvetésbe; a tagállamok által beszedett </w:t>
            </w:r>
            <w:proofErr w:type="spellStart"/>
            <w:r w:rsidRPr="005F046F">
              <w:t>héának</w:t>
            </w:r>
            <w:proofErr w:type="spellEnd"/>
            <w:r w:rsidRPr="005F046F">
              <w:t xml:space="preserve"> csak ezt a százalékát (–0,30%) utalják át az uniós költségvetésbe; összességében a </w:t>
            </w:r>
            <w:proofErr w:type="spellStart"/>
            <w:r w:rsidRPr="005F046F">
              <w:t>héaalapú</w:t>
            </w:r>
            <w:proofErr w:type="spellEnd"/>
            <w:r w:rsidRPr="005F046F">
              <w:t xml:space="preserve"> saját forrás a legutóbbi uniós költségvetésben az EU összes saját forrásának mintegy 10–17%-át tette ki;</w:t>
            </w:r>
          </w:p>
        </w:tc>
      </w:tr>
    </w:tbl>
    <w:p w14:paraId="5B68089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11DAB5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666045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2C20ED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9C1459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696D398"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405B1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34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09123C0" w14:textId="77777777" w:rsidTr="00565F8F">
        <w:trPr>
          <w:trHeight w:hRule="exact" w:val="240"/>
          <w:jc w:val="center"/>
        </w:trPr>
        <w:tc>
          <w:tcPr>
            <w:tcW w:w="9752" w:type="dxa"/>
            <w:gridSpan w:val="2"/>
            <w:tcBorders>
              <w:top w:val="nil"/>
              <w:left w:val="nil"/>
              <w:bottom w:val="nil"/>
              <w:right w:val="nil"/>
            </w:tcBorders>
          </w:tcPr>
          <w:p w14:paraId="26F35859" w14:textId="77777777" w:rsidR="000104F2" w:rsidRPr="005F046F" w:rsidRDefault="000104F2" w:rsidP="00565F8F"/>
        </w:tc>
      </w:tr>
      <w:tr w:rsidR="006C656F" w:rsidRPr="005F046F" w14:paraId="0A12E880" w14:textId="77777777" w:rsidTr="00565F8F">
        <w:trPr>
          <w:trHeight w:val="240"/>
          <w:jc w:val="center"/>
        </w:trPr>
        <w:tc>
          <w:tcPr>
            <w:tcW w:w="4876" w:type="dxa"/>
            <w:tcBorders>
              <w:top w:val="nil"/>
              <w:left w:val="nil"/>
              <w:bottom w:val="nil"/>
              <w:right w:val="nil"/>
            </w:tcBorders>
          </w:tcPr>
          <w:p w14:paraId="3B15594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D0F2BDF" w14:textId="77777777" w:rsidR="000104F2" w:rsidRPr="005F046F" w:rsidRDefault="000104F2" w:rsidP="00565F8F">
            <w:pPr>
              <w:pStyle w:val="AmColumnHeading"/>
            </w:pPr>
            <w:r w:rsidRPr="005F046F">
              <w:t>Módosítás</w:t>
            </w:r>
          </w:p>
        </w:tc>
      </w:tr>
      <w:tr w:rsidR="006C656F" w:rsidRPr="005F046F" w14:paraId="1BB76B6F" w14:textId="77777777" w:rsidTr="00565F8F">
        <w:trPr>
          <w:jc w:val="center"/>
        </w:trPr>
        <w:tc>
          <w:tcPr>
            <w:tcW w:w="4876" w:type="dxa"/>
            <w:tcBorders>
              <w:top w:val="nil"/>
              <w:left w:val="nil"/>
              <w:bottom w:val="nil"/>
              <w:right w:val="nil"/>
            </w:tcBorders>
          </w:tcPr>
          <w:p w14:paraId="126E2BDA" w14:textId="77777777" w:rsidR="000104F2" w:rsidRPr="005F046F" w:rsidRDefault="000104F2" w:rsidP="00565F8F">
            <w:pPr>
              <w:pStyle w:val="Normal6a"/>
            </w:pPr>
          </w:p>
        </w:tc>
        <w:tc>
          <w:tcPr>
            <w:tcW w:w="4876" w:type="dxa"/>
            <w:tcBorders>
              <w:top w:val="nil"/>
              <w:left w:val="nil"/>
              <w:bottom w:val="nil"/>
              <w:right w:val="nil"/>
            </w:tcBorders>
          </w:tcPr>
          <w:p w14:paraId="27950A43" w14:textId="77777777" w:rsidR="000104F2" w:rsidRPr="005F046F" w:rsidRDefault="000104F2" w:rsidP="00565F8F">
            <w:pPr>
              <w:pStyle w:val="Normal6a"/>
            </w:pPr>
            <w:r w:rsidRPr="005F046F">
              <w:rPr>
                <w:b/>
                <w:i/>
              </w:rPr>
              <w:t>34a.</w:t>
            </w:r>
            <w:r w:rsidRPr="005F046F">
              <w:tab/>
            </w:r>
            <w:r w:rsidRPr="005F046F">
              <w:rPr>
                <w:b/>
                <w:i/>
              </w:rPr>
              <w:t xml:space="preserve">úgy véli, hogy a csalás bevételekre – különösen </w:t>
            </w:r>
            <w:proofErr w:type="spellStart"/>
            <w:r w:rsidRPr="005F046F">
              <w:rPr>
                <w:b/>
                <w:i/>
              </w:rPr>
              <w:t>héára</w:t>
            </w:r>
            <w:proofErr w:type="spellEnd"/>
            <w:r w:rsidRPr="005F046F">
              <w:rPr>
                <w:b/>
                <w:i/>
              </w:rPr>
              <w:t xml:space="preserve"> és vámokra – gyakorolt aránytalan pénzügyi hatására tekintettel az uniós bevételek védelmének a csalás elleni architektúra stratégiai prioritásává kell válnia, ami a források elosztásában és az uniós és nemzeti szintű illetékes szereplők operatív tervezésében egyaránt tükröződik;</w:t>
            </w:r>
          </w:p>
        </w:tc>
      </w:tr>
    </w:tbl>
    <w:p w14:paraId="66A1328D"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11D320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A559DD9"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19553D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8BD456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01D51E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FDBA7B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34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5F1464E" w14:textId="77777777" w:rsidTr="00565F8F">
        <w:trPr>
          <w:trHeight w:hRule="exact" w:val="240"/>
          <w:jc w:val="center"/>
        </w:trPr>
        <w:tc>
          <w:tcPr>
            <w:tcW w:w="9752" w:type="dxa"/>
            <w:gridSpan w:val="2"/>
            <w:tcBorders>
              <w:top w:val="nil"/>
              <w:left w:val="nil"/>
              <w:bottom w:val="nil"/>
              <w:right w:val="nil"/>
            </w:tcBorders>
          </w:tcPr>
          <w:p w14:paraId="18BD018D" w14:textId="77777777" w:rsidR="000104F2" w:rsidRPr="005F046F" w:rsidRDefault="000104F2" w:rsidP="00565F8F"/>
        </w:tc>
      </w:tr>
      <w:tr w:rsidR="006C656F" w:rsidRPr="005F046F" w14:paraId="683A33DB" w14:textId="77777777" w:rsidTr="00565F8F">
        <w:trPr>
          <w:trHeight w:val="240"/>
          <w:jc w:val="center"/>
        </w:trPr>
        <w:tc>
          <w:tcPr>
            <w:tcW w:w="4876" w:type="dxa"/>
            <w:tcBorders>
              <w:top w:val="nil"/>
              <w:left w:val="nil"/>
              <w:bottom w:val="nil"/>
              <w:right w:val="nil"/>
            </w:tcBorders>
          </w:tcPr>
          <w:p w14:paraId="3422EE2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B16795A" w14:textId="77777777" w:rsidR="000104F2" w:rsidRPr="005F046F" w:rsidRDefault="000104F2" w:rsidP="00565F8F">
            <w:pPr>
              <w:pStyle w:val="AmColumnHeading"/>
            </w:pPr>
            <w:r w:rsidRPr="005F046F">
              <w:t>Módosítás</w:t>
            </w:r>
          </w:p>
        </w:tc>
      </w:tr>
      <w:tr w:rsidR="006C656F" w:rsidRPr="005F046F" w14:paraId="060BBD35" w14:textId="77777777" w:rsidTr="00565F8F">
        <w:trPr>
          <w:jc w:val="center"/>
        </w:trPr>
        <w:tc>
          <w:tcPr>
            <w:tcW w:w="4876" w:type="dxa"/>
            <w:tcBorders>
              <w:top w:val="nil"/>
              <w:left w:val="nil"/>
              <w:bottom w:val="nil"/>
              <w:right w:val="nil"/>
            </w:tcBorders>
          </w:tcPr>
          <w:p w14:paraId="1BE44150" w14:textId="77777777" w:rsidR="000104F2" w:rsidRPr="005F046F" w:rsidRDefault="000104F2" w:rsidP="00565F8F">
            <w:pPr>
              <w:pStyle w:val="Normal6a"/>
            </w:pPr>
          </w:p>
        </w:tc>
        <w:tc>
          <w:tcPr>
            <w:tcW w:w="4876" w:type="dxa"/>
            <w:tcBorders>
              <w:top w:val="nil"/>
              <w:left w:val="nil"/>
              <w:bottom w:val="nil"/>
              <w:right w:val="nil"/>
            </w:tcBorders>
          </w:tcPr>
          <w:p w14:paraId="1EAA4AFE" w14:textId="77777777" w:rsidR="000104F2" w:rsidRPr="005F046F" w:rsidRDefault="000104F2" w:rsidP="00565F8F">
            <w:pPr>
              <w:pStyle w:val="Normal6a"/>
            </w:pPr>
            <w:r w:rsidRPr="005F046F">
              <w:rPr>
                <w:b/>
                <w:i/>
              </w:rPr>
              <w:t>34a.</w:t>
            </w:r>
            <w:r w:rsidRPr="005F046F">
              <w:tab/>
            </w:r>
            <w:r w:rsidRPr="005F046F">
              <w:rPr>
                <w:b/>
                <w:i/>
              </w:rPr>
              <w:t>kéri az Uniót, hogy mozdítsa elő a progresszív adózás méltányosabb rendszerének tagállamokon belüli elfogadását, a vagyonadó bevezetését, a vállalati nyereség arányos megadóztatását, és fokozza az adókikerülés és az adókijátszás felszámolására irányuló erőfeszítéseket;</w:t>
            </w:r>
          </w:p>
        </w:tc>
      </w:tr>
    </w:tbl>
    <w:p w14:paraId="0B663FF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CAFE86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0F798D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5AEE27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132ED3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9C2165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5DFE18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8622345" w14:textId="77777777" w:rsidTr="00565F8F">
        <w:trPr>
          <w:trHeight w:hRule="exact" w:val="240"/>
          <w:jc w:val="center"/>
        </w:trPr>
        <w:tc>
          <w:tcPr>
            <w:tcW w:w="9752" w:type="dxa"/>
            <w:gridSpan w:val="2"/>
            <w:tcBorders>
              <w:top w:val="nil"/>
              <w:left w:val="nil"/>
              <w:bottom w:val="nil"/>
              <w:right w:val="nil"/>
            </w:tcBorders>
          </w:tcPr>
          <w:p w14:paraId="08DB83F6" w14:textId="77777777" w:rsidR="000104F2" w:rsidRPr="005F046F" w:rsidRDefault="000104F2" w:rsidP="00565F8F"/>
        </w:tc>
      </w:tr>
      <w:tr w:rsidR="006C656F" w:rsidRPr="005F046F" w14:paraId="3D11A673" w14:textId="77777777" w:rsidTr="00565F8F">
        <w:trPr>
          <w:trHeight w:val="240"/>
          <w:jc w:val="center"/>
        </w:trPr>
        <w:tc>
          <w:tcPr>
            <w:tcW w:w="4876" w:type="dxa"/>
            <w:tcBorders>
              <w:top w:val="nil"/>
              <w:left w:val="nil"/>
              <w:bottom w:val="nil"/>
              <w:right w:val="nil"/>
            </w:tcBorders>
          </w:tcPr>
          <w:p w14:paraId="17F0030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DB11222" w14:textId="77777777" w:rsidR="000104F2" w:rsidRPr="005F046F" w:rsidRDefault="000104F2" w:rsidP="00565F8F">
            <w:pPr>
              <w:pStyle w:val="AmColumnHeading"/>
            </w:pPr>
            <w:r w:rsidRPr="005F046F">
              <w:t>Módosítás</w:t>
            </w:r>
          </w:p>
        </w:tc>
      </w:tr>
      <w:tr w:rsidR="006C656F" w:rsidRPr="005F046F" w14:paraId="0B550CD0" w14:textId="77777777" w:rsidTr="00565F8F">
        <w:trPr>
          <w:jc w:val="center"/>
        </w:trPr>
        <w:tc>
          <w:tcPr>
            <w:tcW w:w="4876" w:type="dxa"/>
            <w:tcBorders>
              <w:top w:val="nil"/>
              <w:left w:val="nil"/>
              <w:bottom w:val="nil"/>
              <w:right w:val="nil"/>
            </w:tcBorders>
          </w:tcPr>
          <w:p w14:paraId="692B6C9B" w14:textId="77777777" w:rsidR="000104F2" w:rsidRPr="005F046F" w:rsidRDefault="000104F2" w:rsidP="00565F8F">
            <w:pPr>
              <w:pStyle w:val="Normal6a"/>
            </w:pPr>
            <w:r w:rsidRPr="005F046F">
              <w:lastRenderedPageBreak/>
              <w:t>36.</w:t>
            </w:r>
            <w:r w:rsidRPr="005F046F">
              <w:tab/>
              <w:t xml:space="preserve">megjegyzi, hogy meg kell erősíteni az Európai Ügyészség, az OLAF, a tagállamok vám- és adóhatóságai és az európai bűnüldöző hatóságok közötti operatív együttműködést; hangsúlyozza, hogy a feltárt súlyos vám- és </w:t>
            </w:r>
            <w:proofErr w:type="spellStart"/>
            <w:r w:rsidRPr="005F046F">
              <w:t>héacsalások</w:t>
            </w:r>
            <w:proofErr w:type="spellEnd"/>
            <w:r w:rsidRPr="005F046F">
              <w:t xml:space="preserve"> tartós joghézagokat jeleznek az ellenőrzési láncban, a vámkezeléstől az áruk belső piacon belüli forgalmazásáig; úgy véli, hogy a magas kockázatú import szigorúbb felügyelete és a jobb valós idejű adatcsere alapvető feltétele annak, hogy meg lehessen előzni az ilyen nagyságrendű rendszerszintű csalások megismétlődését; megjegyzi különösen, hogy számos európai kikötő sérülékeny hely, amely veszélyezteti az Unió pénzügyi érdekeinek védelmét, és hogy nagyszabású tervet kell indítani ezen átjárók biztonságosabbá és ellenőrzöttebbé tétele érdekében, szem előtt tartva, hogy bár a nyomon követésükre bevezetett eszközök pénzbe kerülnek, további, néha jelentős bevételek elérését is lehetővé teszik;</w:t>
            </w:r>
          </w:p>
        </w:tc>
        <w:tc>
          <w:tcPr>
            <w:tcW w:w="4876" w:type="dxa"/>
            <w:tcBorders>
              <w:top w:val="nil"/>
              <w:left w:val="nil"/>
              <w:bottom w:val="nil"/>
              <w:right w:val="nil"/>
            </w:tcBorders>
          </w:tcPr>
          <w:p w14:paraId="41F2668D" w14:textId="77777777" w:rsidR="000104F2" w:rsidRPr="005F046F" w:rsidRDefault="000104F2" w:rsidP="00565F8F">
            <w:pPr>
              <w:pStyle w:val="Normal6a"/>
            </w:pPr>
            <w:r w:rsidRPr="005F046F">
              <w:t>36.</w:t>
            </w:r>
            <w:r w:rsidRPr="005F046F">
              <w:tab/>
              <w:t xml:space="preserve">megjegyzi, hogy meg kell erősíteni az Európai Ügyészség, az OLAF, a tagállamok vám- és adóhatóságai és az európai bűnüldöző hatóságok közötti operatív együttműködést; hangsúlyozza, hogy a feltárt súlyos vám- és </w:t>
            </w:r>
            <w:proofErr w:type="spellStart"/>
            <w:r w:rsidRPr="005F046F">
              <w:t>héacsalások</w:t>
            </w:r>
            <w:proofErr w:type="spellEnd"/>
            <w:r w:rsidRPr="005F046F">
              <w:t xml:space="preserve"> tartós joghézagokat jeleznek az ellenőrzési láncban, a vámkezeléstől az áruk belső piacon belüli forgalmazásáig; úgy véli, hogy a magas kockázatú import szigorúbb felügyelete és a jobb valós idejű adatcsere alapvető feltétele annak, hogy meg lehessen előzni az ilyen nagyságrendű rendszerszintű csalások megismétlődését; megjegyzi különösen, hogy számos európai kikötő sérülékeny hely, amely veszélyezteti az Unió pénzügyi érdekeinek védelmét, és hogy nagyszabású tervet kell indítani ezen átjárók biztonságosabbá és ellenőrzöttebbé tétele érdekében, szem előtt tartva, hogy bár a nyomon követésükre bevezetett eszközök pénzbe kerülnek, további, néha jelentős bevételek elérését is lehetővé teszik; </w:t>
            </w:r>
            <w:r w:rsidRPr="005F046F">
              <w:rPr>
                <w:b/>
                <w:i/>
              </w:rPr>
              <w:t>hangsúlyozza, hogy a jobb ellenőrzéseknek és a meglévő bevételek jobb beszedésének együtt kell járnia az új saját forrásokról folytatott megbeszélésekkel;</w:t>
            </w:r>
          </w:p>
        </w:tc>
      </w:tr>
    </w:tbl>
    <w:p w14:paraId="58D93604"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FFA28F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B787D4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86ABBC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1B2709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595827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3BB82A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FF1C9DD" w14:textId="77777777" w:rsidTr="00565F8F">
        <w:trPr>
          <w:trHeight w:hRule="exact" w:val="240"/>
          <w:jc w:val="center"/>
        </w:trPr>
        <w:tc>
          <w:tcPr>
            <w:tcW w:w="9752" w:type="dxa"/>
            <w:gridSpan w:val="2"/>
            <w:tcBorders>
              <w:top w:val="nil"/>
              <w:left w:val="nil"/>
              <w:bottom w:val="nil"/>
              <w:right w:val="nil"/>
            </w:tcBorders>
          </w:tcPr>
          <w:p w14:paraId="5B90E017" w14:textId="77777777" w:rsidR="000104F2" w:rsidRPr="005F046F" w:rsidRDefault="000104F2" w:rsidP="00565F8F"/>
        </w:tc>
      </w:tr>
      <w:tr w:rsidR="006C656F" w:rsidRPr="005F046F" w14:paraId="63AEB8DF" w14:textId="77777777" w:rsidTr="00565F8F">
        <w:trPr>
          <w:trHeight w:val="240"/>
          <w:jc w:val="center"/>
        </w:trPr>
        <w:tc>
          <w:tcPr>
            <w:tcW w:w="4876" w:type="dxa"/>
            <w:tcBorders>
              <w:top w:val="nil"/>
              <w:left w:val="nil"/>
              <w:bottom w:val="nil"/>
              <w:right w:val="nil"/>
            </w:tcBorders>
          </w:tcPr>
          <w:p w14:paraId="59DA189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EEF76D6" w14:textId="77777777" w:rsidR="000104F2" w:rsidRPr="005F046F" w:rsidRDefault="000104F2" w:rsidP="00565F8F">
            <w:pPr>
              <w:pStyle w:val="AmColumnHeading"/>
            </w:pPr>
            <w:r w:rsidRPr="005F046F">
              <w:t>Módosítás</w:t>
            </w:r>
          </w:p>
        </w:tc>
      </w:tr>
      <w:tr w:rsidR="006C656F" w:rsidRPr="005F046F" w14:paraId="1868B64C" w14:textId="77777777" w:rsidTr="00565F8F">
        <w:trPr>
          <w:jc w:val="center"/>
        </w:trPr>
        <w:tc>
          <w:tcPr>
            <w:tcW w:w="4876" w:type="dxa"/>
            <w:tcBorders>
              <w:top w:val="nil"/>
              <w:left w:val="nil"/>
              <w:bottom w:val="nil"/>
              <w:right w:val="nil"/>
            </w:tcBorders>
          </w:tcPr>
          <w:p w14:paraId="40F727A4" w14:textId="77777777" w:rsidR="000104F2" w:rsidRPr="005F046F" w:rsidRDefault="000104F2" w:rsidP="00565F8F">
            <w:pPr>
              <w:pStyle w:val="Normal6a"/>
            </w:pPr>
            <w:r w:rsidRPr="005F046F">
              <w:t>37.</w:t>
            </w:r>
            <w:r w:rsidRPr="005F046F">
              <w:tab/>
              <w:t xml:space="preserve">fenntartja, hogy az uniós kiadások végrehajtására vonatkozó modellek értékelésekor figyelembe kell venni a csalás és más visszaélések kockázatának való kitettséget; sajnálatát fejezi ki amiatt, hogy a Parlament és a Számvevőszék általi, </w:t>
            </w:r>
            <w:r w:rsidRPr="005F046F">
              <w:lastRenderedPageBreak/>
              <w:t xml:space="preserve">a Helyreállítási és </w:t>
            </w:r>
            <w:proofErr w:type="spellStart"/>
            <w:r w:rsidRPr="005F046F">
              <w:t>Rezilienciaépítési</w:t>
            </w:r>
            <w:proofErr w:type="spellEnd"/>
            <w:r w:rsidRPr="005F046F">
              <w:t xml:space="preserve"> Eszköz kialakításából és végrehajtásából szerzett tapasztalatokon alapuló megjegyzéseket </w:t>
            </w:r>
            <w:r w:rsidRPr="005F046F">
              <w:rPr>
                <w:b/>
                <w:bCs/>
                <w:i/>
                <w:iCs/>
              </w:rPr>
              <w:t>figyelmen kívül hagyták</w:t>
            </w:r>
            <w:r w:rsidRPr="005F046F">
              <w:t xml:space="preserve"> a jövőbeli uniós finanszírozási eszközök javasolt kialakítása során, különösen a 2027 utáni többéves pénzügyi keretben; hangsúlyozza, hogy hiányosságokat tártak fel a Helyreállítási és </w:t>
            </w:r>
            <w:proofErr w:type="spellStart"/>
            <w:r w:rsidRPr="005F046F">
              <w:t>Rezilienciaépítési</w:t>
            </w:r>
            <w:proofErr w:type="spellEnd"/>
            <w:r w:rsidRPr="005F046F">
              <w:t xml:space="preserve"> Eszköz végrehajtása terén, beleértve a csalás és a kettős finanszírozás kockázatát, az átláthatóság hiányát, az adatok korlátozott hozzáférhetőségét </w:t>
            </w:r>
            <w:r w:rsidRPr="005F046F">
              <w:rPr>
                <w:b/>
                <w:bCs/>
                <w:i/>
                <w:iCs/>
              </w:rPr>
              <w:t>és az</w:t>
            </w:r>
            <w:r w:rsidRPr="005F046F">
              <w:t xml:space="preserve"> </w:t>
            </w:r>
            <w:r w:rsidRPr="005F046F">
              <w:rPr>
                <w:b/>
                <w:bCs/>
                <w:i/>
                <w:iCs/>
              </w:rPr>
              <w:t>általános irányítás átláthatatlanságát</w:t>
            </w:r>
            <w:r w:rsidRPr="005F046F">
              <w:t xml:space="preserve">, és hogy ezeknek tanulságként </w:t>
            </w:r>
            <w:r w:rsidRPr="005F046F">
              <w:rPr>
                <w:b/>
                <w:bCs/>
                <w:i/>
                <w:iCs/>
              </w:rPr>
              <w:t xml:space="preserve">kellett volna </w:t>
            </w:r>
            <w:r w:rsidRPr="005F046F">
              <w:t xml:space="preserve">szolgálniuk a jövőbeli uniós pénzügyi keretek </w:t>
            </w:r>
            <w:r w:rsidRPr="005F046F">
              <w:rPr>
                <w:b/>
                <w:bCs/>
                <w:i/>
                <w:iCs/>
              </w:rPr>
              <w:t>számára</w:t>
            </w:r>
            <w:r w:rsidRPr="005F046F">
              <w:t xml:space="preserve">; </w:t>
            </w:r>
            <w:r w:rsidRPr="005F046F">
              <w:rPr>
                <w:b/>
                <w:bCs/>
                <w:i/>
                <w:iCs/>
              </w:rPr>
              <w:t>megismétli</w:t>
            </w:r>
            <w:r w:rsidRPr="005F046F">
              <w:t>, hogy</w:t>
            </w:r>
            <w:r w:rsidRPr="005F046F">
              <w:rPr>
                <w:b/>
                <w:bCs/>
                <w:i/>
                <w:iCs/>
              </w:rPr>
              <w:t xml:space="preserve"> ellenzi </w:t>
            </w:r>
            <w:r w:rsidRPr="005F046F">
              <w:t xml:space="preserve">a Helyreállítási és </w:t>
            </w:r>
            <w:proofErr w:type="spellStart"/>
            <w:r w:rsidRPr="005F046F">
              <w:t>Rezilienciaépítési</w:t>
            </w:r>
            <w:proofErr w:type="spellEnd"/>
            <w:r w:rsidRPr="005F046F">
              <w:t xml:space="preserve"> Eszköz </w:t>
            </w:r>
            <w:r w:rsidRPr="005F046F">
              <w:rPr>
                <w:b/>
                <w:bCs/>
                <w:i/>
                <w:iCs/>
              </w:rPr>
              <w:t>modelljének jelenlegi formájában történő megismétlését, és felszólít arra</w:t>
            </w:r>
            <w:r w:rsidRPr="005F046F">
              <w:t xml:space="preserve">, hogy az uniós források megfelelő kezelésének biztosítása érdekében minden jövőbeli teljesítményalapú </w:t>
            </w:r>
            <w:r w:rsidRPr="005F046F">
              <w:rPr>
                <w:b/>
                <w:bCs/>
                <w:i/>
                <w:iCs/>
              </w:rPr>
              <w:t>finanszírozást jelentősen szigorúbb</w:t>
            </w:r>
            <w:r w:rsidRPr="005F046F">
              <w:t xml:space="preserve"> </w:t>
            </w:r>
            <w:r w:rsidRPr="005F046F">
              <w:rPr>
                <w:b/>
                <w:bCs/>
                <w:i/>
                <w:iCs/>
              </w:rPr>
              <w:t>biztosítékokkal</w:t>
            </w:r>
            <w:r w:rsidRPr="005F046F">
              <w:t xml:space="preserve">, átláthatósági </w:t>
            </w:r>
            <w:r w:rsidRPr="005F046F">
              <w:rPr>
                <w:b/>
                <w:bCs/>
                <w:i/>
                <w:iCs/>
              </w:rPr>
              <w:t>követelményekkel</w:t>
            </w:r>
            <w:r w:rsidRPr="005F046F">
              <w:t xml:space="preserve"> és csalásmegelőzési </w:t>
            </w:r>
            <w:r w:rsidRPr="005F046F">
              <w:rPr>
                <w:b/>
                <w:bCs/>
                <w:i/>
                <w:iCs/>
              </w:rPr>
              <w:t>mechanizmusokkal</w:t>
            </w:r>
            <w:r w:rsidRPr="005F046F">
              <w:t xml:space="preserve"> </w:t>
            </w:r>
            <w:r w:rsidRPr="005F046F">
              <w:rPr>
                <w:b/>
                <w:bCs/>
                <w:i/>
                <w:iCs/>
              </w:rPr>
              <w:t>lássanak el</w:t>
            </w:r>
            <w:r w:rsidRPr="005F046F">
              <w:t>;</w:t>
            </w:r>
          </w:p>
        </w:tc>
        <w:tc>
          <w:tcPr>
            <w:tcW w:w="4876" w:type="dxa"/>
            <w:tcBorders>
              <w:top w:val="nil"/>
              <w:left w:val="nil"/>
              <w:bottom w:val="nil"/>
              <w:right w:val="nil"/>
            </w:tcBorders>
          </w:tcPr>
          <w:p w14:paraId="64B8963E" w14:textId="77777777" w:rsidR="000104F2" w:rsidRPr="005F046F" w:rsidRDefault="000104F2" w:rsidP="00565F8F">
            <w:pPr>
              <w:pStyle w:val="Normal6a"/>
            </w:pPr>
            <w:r w:rsidRPr="005F046F">
              <w:lastRenderedPageBreak/>
              <w:t>37.</w:t>
            </w:r>
            <w:r w:rsidRPr="005F046F">
              <w:tab/>
              <w:t xml:space="preserve">fenntartja, hogy az uniós kiadások végrehajtására vonatkozó modellek értékelésekor figyelembe kell venni a csalás és más visszaélések kockázatának való kitettséget; sajnálatát fejezi ki amiatt, hogy a Parlament és a Számvevőszék általi, </w:t>
            </w:r>
            <w:r w:rsidRPr="005F046F">
              <w:lastRenderedPageBreak/>
              <w:t xml:space="preserve">a Helyreállítási és </w:t>
            </w:r>
            <w:proofErr w:type="spellStart"/>
            <w:r w:rsidRPr="005F046F">
              <w:t>Rezilienciaépítési</w:t>
            </w:r>
            <w:proofErr w:type="spellEnd"/>
            <w:r w:rsidRPr="005F046F">
              <w:t xml:space="preserve"> Eszköz kialakításából és végrehajtásából szerzett tapasztalatokon alapuló megjegyzéseket </w:t>
            </w:r>
            <w:r w:rsidRPr="005F046F">
              <w:rPr>
                <w:b/>
                <w:bCs/>
                <w:i/>
                <w:iCs/>
              </w:rPr>
              <w:t>nem vették kellően figyelembe</w:t>
            </w:r>
            <w:r w:rsidRPr="005F046F">
              <w:t xml:space="preserve"> a jövőbeli uniós finanszírozási eszközök javasolt kialakítása során, különösen a 2027 utáni többéves pénzügyi keretben; hangsúlyozza, hogy hiányosságokat tártak fel a Helyreállítási és </w:t>
            </w:r>
            <w:proofErr w:type="spellStart"/>
            <w:r w:rsidRPr="005F046F">
              <w:t>Rezilienciaépítési</w:t>
            </w:r>
            <w:proofErr w:type="spellEnd"/>
            <w:r w:rsidRPr="005F046F">
              <w:t xml:space="preserve"> Eszköz végrehajtása terén, beleértve a csalás és a kettős finanszírozás kockázatát, az átláthatóság hiányát, az adatok korlátozott hozzáférhetőségét</w:t>
            </w:r>
            <w:r w:rsidRPr="005F046F">
              <w:rPr>
                <w:b/>
                <w:bCs/>
                <w:i/>
                <w:iCs/>
              </w:rPr>
              <w:t>,</w:t>
            </w:r>
            <w:r w:rsidRPr="005F046F">
              <w:t xml:space="preserve"> és hogy ezeknek</w:t>
            </w:r>
            <w:r w:rsidRPr="005F046F">
              <w:rPr>
                <w:b/>
                <w:bCs/>
                <w:i/>
                <w:iCs/>
              </w:rPr>
              <w:t xml:space="preserve"> a hiányosságoknak</w:t>
            </w:r>
            <w:r w:rsidRPr="005F046F">
              <w:t xml:space="preserve"> tanulságként </w:t>
            </w:r>
            <w:r w:rsidRPr="005F046F">
              <w:rPr>
                <w:b/>
                <w:bCs/>
                <w:i/>
                <w:iCs/>
              </w:rPr>
              <w:t xml:space="preserve">kell </w:t>
            </w:r>
            <w:r w:rsidRPr="005F046F">
              <w:t xml:space="preserve">szolgálniuk a jövőbeli uniós pénzügyi keretek </w:t>
            </w:r>
            <w:r w:rsidRPr="005F046F">
              <w:rPr>
                <w:b/>
                <w:bCs/>
                <w:i/>
                <w:iCs/>
              </w:rPr>
              <w:t>kialakításának és irányításának javításához</w:t>
            </w:r>
            <w:r w:rsidRPr="005F046F">
              <w:t xml:space="preserve">; </w:t>
            </w:r>
            <w:r w:rsidRPr="005F046F">
              <w:rPr>
                <w:b/>
                <w:bCs/>
                <w:i/>
                <w:iCs/>
              </w:rPr>
              <w:t>emlékeztet arra</w:t>
            </w:r>
            <w:r w:rsidRPr="005F046F">
              <w:t xml:space="preserve">, hogy a Helyreállítási és </w:t>
            </w:r>
            <w:proofErr w:type="spellStart"/>
            <w:r w:rsidRPr="005F046F">
              <w:t>Rezilienciaépítési</w:t>
            </w:r>
            <w:proofErr w:type="spellEnd"/>
            <w:r w:rsidRPr="005F046F">
              <w:t xml:space="preserve"> Eszköz</w:t>
            </w:r>
            <w:r w:rsidRPr="005F046F">
              <w:rPr>
                <w:b/>
                <w:bCs/>
                <w:i/>
                <w:iCs/>
              </w:rPr>
              <w:t xml:space="preserve"> kivételes és ideiglenes eszköz;</w:t>
            </w:r>
            <w:r w:rsidRPr="005F046F">
              <w:rPr>
                <w:b/>
                <w:i/>
              </w:rPr>
              <w:t xml:space="preserve"> </w:t>
            </w:r>
            <w:r w:rsidRPr="005F046F">
              <w:rPr>
                <w:b/>
                <w:bCs/>
                <w:i/>
                <w:iCs/>
              </w:rPr>
              <w:t>hangsúlyozza</w:t>
            </w:r>
            <w:r w:rsidRPr="005F046F">
              <w:t xml:space="preserve">, hogy az uniós források megfelelő kezelésének biztosítása érdekében minden jövőbeli teljesítményalapú </w:t>
            </w:r>
            <w:r w:rsidRPr="005F046F">
              <w:rPr>
                <w:b/>
                <w:bCs/>
                <w:i/>
                <w:iCs/>
              </w:rPr>
              <w:t>finanszírozásnak e tanulságokra kell épülnie, és azt megfelelő biztosítékoknak</w:t>
            </w:r>
            <w:r w:rsidRPr="005F046F">
              <w:t xml:space="preserve">, átláthatósági </w:t>
            </w:r>
            <w:r w:rsidRPr="005F046F">
              <w:rPr>
                <w:b/>
                <w:bCs/>
                <w:i/>
                <w:iCs/>
              </w:rPr>
              <w:t>követelményeknek</w:t>
            </w:r>
            <w:r w:rsidRPr="005F046F">
              <w:t xml:space="preserve"> és csalásmegelőzési </w:t>
            </w:r>
            <w:r w:rsidRPr="005F046F">
              <w:rPr>
                <w:b/>
                <w:bCs/>
                <w:i/>
                <w:iCs/>
              </w:rPr>
              <w:t>mechanizmusoknak kell kísérniük</w:t>
            </w:r>
            <w:r w:rsidRPr="005F046F">
              <w:t>;</w:t>
            </w:r>
          </w:p>
        </w:tc>
      </w:tr>
    </w:tbl>
    <w:p w14:paraId="0426390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967B7CF"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73F99F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E02863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1E33AD5"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0554AAD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C2B9D9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049179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CE60C1E" w14:textId="77777777" w:rsidTr="00565F8F">
        <w:trPr>
          <w:trHeight w:hRule="exact" w:val="240"/>
          <w:jc w:val="center"/>
        </w:trPr>
        <w:tc>
          <w:tcPr>
            <w:tcW w:w="9752" w:type="dxa"/>
            <w:gridSpan w:val="2"/>
            <w:tcBorders>
              <w:top w:val="nil"/>
              <w:left w:val="nil"/>
              <w:bottom w:val="nil"/>
              <w:right w:val="nil"/>
            </w:tcBorders>
          </w:tcPr>
          <w:p w14:paraId="1F19D3FB" w14:textId="77777777" w:rsidR="000104F2" w:rsidRPr="005F046F" w:rsidRDefault="000104F2" w:rsidP="00565F8F"/>
        </w:tc>
      </w:tr>
      <w:tr w:rsidR="006C656F" w:rsidRPr="005F046F" w14:paraId="40D3A142" w14:textId="77777777" w:rsidTr="00565F8F">
        <w:trPr>
          <w:trHeight w:val="240"/>
          <w:jc w:val="center"/>
        </w:trPr>
        <w:tc>
          <w:tcPr>
            <w:tcW w:w="4876" w:type="dxa"/>
            <w:tcBorders>
              <w:top w:val="nil"/>
              <w:left w:val="nil"/>
              <w:bottom w:val="nil"/>
              <w:right w:val="nil"/>
            </w:tcBorders>
          </w:tcPr>
          <w:p w14:paraId="606B9CC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B69B1B8" w14:textId="77777777" w:rsidR="000104F2" w:rsidRPr="005F046F" w:rsidRDefault="000104F2" w:rsidP="00565F8F">
            <w:pPr>
              <w:pStyle w:val="AmColumnHeading"/>
            </w:pPr>
            <w:r w:rsidRPr="005F046F">
              <w:t>Módosítás</w:t>
            </w:r>
          </w:p>
        </w:tc>
      </w:tr>
      <w:tr w:rsidR="006C656F" w:rsidRPr="005F046F" w14:paraId="0F6F71EB" w14:textId="77777777" w:rsidTr="00565F8F">
        <w:trPr>
          <w:jc w:val="center"/>
        </w:trPr>
        <w:tc>
          <w:tcPr>
            <w:tcW w:w="4876" w:type="dxa"/>
            <w:tcBorders>
              <w:top w:val="nil"/>
              <w:left w:val="nil"/>
              <w:bottom w:val="nil"/>
              <w:right w:val="nil"/>
            </w:tcBorders>
          </w:tcPr>
          <w:p w14:paraId="11DE2A69" w14:textId="77777777" w:rsidR="000104F2" w:rsidRPr="005F046F" w:rsidRDefault="000104F2" w:rsidP="00565F8F">
            <w:pPr>
              <w:pStyle w:val="Normal6a"/>
            </w:pPr>
            <w:r w:rsidRPr="005F046F">
              <w:t>37.</w:t>
            </w:r>
            <w:r w:rsidRPr="005F046F">
              <w:tab/>
              <w:t xml:space="preserve">fenntartja, hogy az uniós kiadások végrehajtására vonatkozó modellek értékelésekor figyelembe kell venni a csalás és más visszaélések kockázatának való kitettséget; </w:t>
            </w:r>
            <w:r w:rsidRPr="005F046F">
              <w:rPr>
                <w:b/>
                <w:bCs/>
                <w:i/>
                <w:iCs/>
              </w:rPr>
              <w:t>sajnálatát fejezi ki amiatt</w:t>
            </w:r>
            <w:r w:rsidRPr="005F046F">
              <w:t xml:space="preserve">, hogy a Parlament és a Számvevőszék </w:t>
            </w:r>
            <w:r w:rsidRPr="005F046F">
              <w:rPr>
                <w:b/>
                <w:bCs/>
                <w:i/>
                <w:iCs/>
              </w:rPr>
              <w:lastRenderedPageBreak/>
              <w:t>általi,</w:t>
            </w:r>
            <w:r w:rsidRPr="005F046F">
              <w:t xml:space="preserve"> a Helyreállítási és </w:t>
            </w:r>
            <w:proofErr w:type="spellStart"/>
            <w:r w:rsidRPr="005F046F">
              <w:t>Rezilienciaépítési</w:t>
            </w:r>
            <w:proofErr w:type="spellEnd"/>
            <w:r w:rsidRPr="005F046F">
              <w:t xml:space="preserve"> Eszköz </w:t>
            </w:r>
            <w:r w:rsidRPr="005F046F">
              <w:rPr>
                <w:b/>
                <w:bCs/>
                <w:i/>
                <w:iCs/>
              </w:rPr>
              <w:t xml:space="preserve">kialakításából </w:t>
            </w:r>
            <w:r w:rsidRPr="005F046F">
              <w:t xml:space="preserve">és </w:t>
            </w:r>
            <w:r w:rsidRPr="005F046F">
              <w:rPr>
                <w:b/>
                <w:bCs/>
                <w:i/>
                <w:iCs/>
              </w:rPr>
              <w:t>végrehajtásából szerzett tapasztalatokon alapuló megjegyzéseket figyelmen kívül hagyták a jövőbeli uniós finanszírozási eszközök javasolt kialakítása során, különösen a 2027 utáni többéves pénzügyi keretben;</w:t>
            </w:r>
            <w:r w:rsidRPr="005F046F">
              <w:rPr>
                <w:b/>
                <w:i/>
              </w:rPr>
              <w:t xml:space="preserve"> </w:t>
            </w:r>
            <w:r w:rsidRPr="005F046F">
              <w:rPr>
                <w:b/>
                <w:bCs/>
                <w:i/>
                <w:iCs/>
              </w:rPr>
              <w:t xml:space="preserve">hangsúlyozza, hogy hiányosságokat tártak fel a Helyreállítási és </w:t>
            </w:r>
            <w:proofErr w:type="spellStart"/>
            <w:r w:rsidRPr="005F046F">
              <w:rPr>
                <w:b/>
                <w:bCs/>
                <w:i/>
                <w:iCs/>
              </w:rPr>
              <w:t>Rezilienciaépítési</w:t>
            </w:r>
            <w:proofErr w:type="spellEnd"/>
            <w:r w:rsidRPr="005F046F">
              <w:rPr>
                <w:b/>
                <w:bCs/>
                <w:i/>
                <w:iCs/>
              </w:rPr>
              <w:t xml:space="preserve"> Eszköz végrehajtása terén</w:t>
            </w:r>
            <w:r w:rsidRPr="005F046F">
              <w:t xml:space="preserve">, beleértve a csalás és a kettős finanszírozás kockázatát, az átláthatóság hiányát, az adatok korlátozott hozzáférhetőségét </w:t>
            </w:r>
            <w:r w:rsidRPr="005F046F">
              <w:rPr>
                <w:b/>
                <w:bCs/>
                <w:i/>
                <w:iCs/>
              </w:rPr>
              <w:t>és az általános irányítás átláthatatlanságát, és hogy ezeknek tanulságként kellett volna szolgálniuk a jövőbeli uniós pénzügyi keretek számára</w:t>
            </w:r>
            <w:r w:rsidRPr="005F046F">
              <w:t xml:space="preserve">; </w:t>
            </w:r>
            <w:r w:rsidRPr="005F046F">
              <w:rPr>
                <w:b/>
                <w:bCs/>
                <w:i/>
                <w:iCs/>
              </w:rPr>
              <w:t xml:space="preserve">megismétli, hogy ellenzi a Helyreállítási és </w:t>
            </w:r>
            <w:proofErr w:type="spellStart"/>
            <w:r w:rsidRPr="005F046F">
              <w:rPr>
                <w:b/>
                <w:bCs/>
                <w:i/>
                <w:iCs/>
              </w:rPr>
              <w:t>Rezilienciaépítési</w:t>
            </w:r>
            <w:proofErr w:type="spellEnd"/>
            <w:r w:rsidRPr="005F046F">
              <w:rPr>
                <w:b/>
                <w:bCs/>
                <w:i/>
                <w:iCs/>
              </w:rPr>
              <w:t xml:space="preserve"> Eszköz modelljének jelenlegi formájában történő megismétlését, és felszólít arra, hogy az uniós források megfelelő kezelésének biztosítása érdekében minden jövőbeli teljesítményalapú finanszírozást</w:t>
            </w:r>
            <w:r w:rsidRPr="005F046F">
              <w:t xml:space="preserve"> </w:t>
            </w:r>
            <w:r w:rsidRPr="005F046F">
              <w:rPr>
                <w:b/>
                <w:bCs/>
                <w:i/>
                <w:iCs/>
              </w:rPr>
              <w:t>jelentősen</w:t>
            </w:r>
            <w:r w:rsidRPr="005F046F">
              <w:t xml:space="preserve"> szigorúbb </w:t>
            </w:r>
            <w:r w:rsidRPr="005F046F">
              <w:rPr>
                <w:b/>
                <w:bCs/>
                <w:i/>
                <w:iCs/>
              </w:rPr>
              <w:t>biztosítékokkal</w:t>
            </w:r>
            <w:r w:rsidRPr="005F046F">
              <w:t xml:space="preserve">, átláthatósági </w:t>
            </w:r>
            <w:r w:rsidRPr="005F046F">
              <w:rPr>
                <w:b/>
                <w:bCs/>
                <w:i/>
                <w:iCs/>
              </w:rPr>
              <w:t>követelményekkel és csalásmegelőzési mechanizmusokkal lássanak el</w:t>
            </w:r>
            <w:r w:rsidRPr="005F046F">
              <w:t>;</w:t>
            </w:r>
          </w:p>
        </w:tc>
        <w:tc>
          <w:tcPr>
            <w:tcW w:w="4876" w:type="dxa"/>
            <w:tcBorders>
              <w:top w:val="nil"/>
              <w:left w:val="nil"/>
              <w:bottom w:val="nil"/>
              <w:right w:val="nil"/>
            </w:tcBorders>
          </w:tcPr>
          <w:p w14:paraId="130DB1EC" w14:textId="77777777" w:rsidR="000104F2" w:rsidRPr="005F046F" w:rsidRDefault="000104F2" w:rsidP="00565F8F">
            <w:pPr>
              <w:pStyle w:val="Normal6a"/>
            </w:pPr>
            <w:r w:rsidRPr="005F046F">
              <w:lastRenderedPageBreak/>
              <w:t>37.</w:t>
            </w:r>
            <w:r w:rsidRPr="005F046F">
              <w:tab/>
              <w:t xml:space="preserve">fenntartja, hogy az uniós kiadások végrehajtására vonatkozó modellek értékelésekor figyelembe kell venni a csalás és más visszaélések kockázatának való kitettséget; </w:t>
            </w:r>
            <w:r w:rsidRPr="005F046F">
              <w:rPr>
                <w:b/>
                <w:bCs/>
                <w:i/>
                <w:iCs/>
              </w:rPr>
              <w:t>hangsúlyozza</w:t>
            </w:r>
            <w:r w:rsidRPr="005F046F">
              <w:t>, hogy</w:t>
            </w:r>
            <w:r w:rsidRPr="005F046F">
              <w:rPr>
                <w:b/>
                <w:bCs/>
                <w:i/>
                <w:iCs/>
              </w:rPr>
              <w:t xml:space="preserve"> a jövőbeli többéves pénzügyi keretben </w:t>
            </w:r>
            <w:r w:rsidRPr="005F046F">
              <w:rPr>
                <w:b/>
                <w:bCs/>
                <w:i/>
                <w:iCs/>
              </w:rPr>
              <w:lastRenderedPageBreak/>
              <w:t>foglalkozni kell</w:t>
            </w:r>
            <w:r w:rsidRPr="005F046F">
              <w:t xml:space="preserve"> a Parlament és a Számvevőszék </w:t>
            </w:r>
            <w:r w:rsidRPr="005F046F">
              <w:rPr>
                <w:b/>
                <w:bCs/>
                <w:i/>
                <w:iCs/>
              </w:rPr>
              <w:t>által</w:t>
            </w:r>
            <w:r w:rsidRPr="005F046F">
              <w:t xml:space="preserve"> a Helyreállítási és </w:t>
            </w:r>
            <w:proofErr w:type="spellStart"/>
            <w:r w:rsidRPr="005F046F">
              <w:t>Rezilienciaépítési</w:t>
            </w:r>
            <w:proofErr w:type="spellEnd"/>
            <w:r w:rsidRPr="005F046F">
              <w:t xml:space="preserve"> Eszköz </w:t>
            </w:r>
            <w:r w:rsidRPr="005F046F">
              <w:rPr>
                <w:b/>
                <w:bCs/>
                <w:i/>
                <w:iCs/>
              </w:rPr>
              <w:t>kialakítása</w:t>
            </w:r>
            <w:r w:rsidRPr="005F046F">
              <w:t xml:space="preserve"> és </w:t>
            </w:r>
            <w:r w:rsidRPr="005F046F">
              <w:rPr>
                <w:b/>
                <w:bCs/>
                <w:i/>
                <w:iCs/>
              </w:rPr>
              <w:t>végrehajtása terén feltárt hiányosságokkal</w:t>
            </w:r>
            <w:r w:rsidRPr="005F046F">
              <w:t xml:space="preserve">, beleértve a csalás és a kettős finanszírozás kockázatát, az átláthatóság hiányát </w:t>
            </w:r>
            <w:r w:rsidRPr="005F046F">
              <w:rPr>
                <w:b/>
                <w:bCs/>
                <w:i/>
                <w:iCs/>
              </w:rPr>
              <w:t xml:space="preserve">és a végső kedvezményezettek nem megfelelő </w:t>
            </w:r>
            <w:proofErr w:type="spellStart"/>
            <w:r w:rsidRPr="005F046F">
              <w:rPr>
                <w:b/>
                <w:bCs/>
                <w:i/>
                <w:iCs/>
              </w:rPr>
              <w:t>nyomonkövethetőségét</w:t>
            </w:r>
            <w:proofErr w:type="spellEnd"/>
            <w:r w:rsidRPr="005F046F">
              <w:rPr>
                <w:b/>
                <w:bCs/>
                <w:i/>
                <w:iCs/>
              </w:rPr>
              <w:t>, valamint</w:t>
            </w:r>
            <w:r w:rsidRPr="005F046F">
              <w:t xml:space="preserve"> az adatok korlátozott hozzáférhetőségét; </w:t>
            </w:r>
            <w:r w:rsidRPr="005F046F">
              <w:rPr>
                <w:b/>
                <w:bCs/>
                <w:i/>
                <w:iCs/>
              </w:rPr>
              <w:t>a hasonló eszközök előfeltételeként lényegesen</w:t>
            </w:r>
            <w:r w:rsidRPr="005F046F">
              <w:t xml:space="preserve"> szigorúbb biztosítékokat, </w:t>
            </w:r>
            <w:r w:rsidRPr="005F046F">
              <w:rPr>
                <w:b/>
                <w:bCs/>
                <w:i/>
                <w:iCs/>
              </w:rPr>
              <w:t>szilárd ellenőrizhetőséget és végrehajtható</w:t>
            </w:r>
            <w:r w:rsidRPr="005F046F">
              <w:t xml:space="preserve"> átláthatósági </w:t>
            </w:r>
            <w:r w:rsidRPr="005F046F">
              <w:rPr>
                <w:b/>
                <w:bCs/>
                <w:i/>
                <w:iCs/>
              </w:rPr>
              <w:t>követelményeket szorgalmaz</w:t>
            </w:r>
            <w:r w:rsidRPr="005F046F">
              <w:t>;</w:t>
            </w:r>
            <w:r w:rsidRPr="005F046F">
              <w:rPr>
                <w:b/>
                <w:i/>
              </w:rPr>
              <w:t xml:space="preserve"> </w:t>
            </w:r>
            <w:r w:rsidRPr="005F046F">
              <w:rPr>
                <w:b/>
                <w:bCs/>
                <w:i/>
                <w:iCs/>
              </w:rPr>
              <w:t xml:space="preserve">hangsúlyozza, hogy bizonyos nehézségek ellenére a Helyreállítási és </w:t>
            </w:r>
            <w:proofErr w:type="spellStart"/>
            <w:r w:rsidRPr="005F046F">
              <w:rPr>
                <w:b/>
                <w:bCs/>
                <w:i/>
                <w:iCs/>
              </w:rPr>
              <w:t>Rezilienciaépítési</w:t>
            </w:r>
            <w:proofErr w:type="spellEnd"/>
            <w:r w:rsidRPr="005F046F">
              <w:rPr>
                <w:b/>
                <w:bCs/>
                <w:i/>
                <w:iCs/>
              </w:rPr>
              <w:t xml:space="preserve"> Eszköz, amely a teljesítményre és a mérföldkövek és célok, valamint a beruházások és a költségvetési támogatás közötti kapcsolatokra összpontosít, hozzájárult a nemzeti beruházások és reformok ösztönzéséhez, amelyekre egyébként nem került volna sor;</w:t>
            </w:r>
          </w:p>
        </w:tc>
      </w:tr>
    </w:tbl>
    <w:p w14:paraId="41720D47"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F742C8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240B7D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149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7D9751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C6EDAB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3C957A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E346BE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5303568E" w14:textId="77777777" w:rsidTr="00565F8F">
        <w:trPr>
          <w:trHeight w:hRule="exact" w:val="240"/>
          <w:jc w:val="center"/>
        </w:trPr>
        <w:tc>
          <w:tcPr>
            <w:tcW w:w="9752" w:type="dxa"/>
            <w:gridSpan w:val="2"/>
            <w:tcBorders>
              <w:top w:val="nil"/>
              <w:left w:val="nil"/>
              <w:bottom w:val="nil"/>
              <w:right w:val="nil"/>
            </w:tcBorders>
          </w:tcPr>
          <w:p w14:paraId="0C1D16E0" w14:textId="77777777" w:rsidR="000104F2" w:rsidRPr="005F046F" w:rsidRDefault="000104F2" w:rsidP="00565F8F"/>
        </w:tc>
      </w:tr>
      <w:tr w:rsidR="006C656F" w:rsidRPr="005F046F" w14:paraId="368C3F30" w14:textId="77777777" w:rsidTr="00565F8F">
        <w:trPr>
          <w:trHeight w:val="240"/>
          <w:jc w:val="center"/>
        </w:trPr>
        <w:tc>
          <w:tcPr>
            <w:tcW w:w="4876" w:type="dxa"/>
            <w:tcBorders>
              <w:top w:val="nil"/>
              <w:left w:val="nil"/>
              <w:bottom w:val="nil"/>
              <w:right w:val="nil"/>
            </w:tcBorders>
          </w:tcPr>
          <w:p w14:paraId="421C74D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8BBC548" w14:textId="77777777" w:rsidR="000104F2" w:rsidRPr="005F046F" w:rsidRDefault="000104F2" w:rsidP="00565F8F">
            <w:pPr>
              <w:pStyle w:val="AmColumnHeading"/>
            </w:pPr>
            <w:r w:rsidRPr="005F046F">
              <w:t>Módosítás</w:t>
            </w:r>
          </w:p>
        </w:tc>
      </w:tr>
      <w:tr w:rsidR="006C656F" w:rsidRPr="005F046F" w14:paraId="53091828" w14:textId="77777777" w:rsidTr="00565F8F">
        <w:trPr>
          <w:jc w:val="center"/>
        </w:trPr>
        <w:tc>
          <w:tcPr>
            <w:tcW w:w="4876" w:type="dxa"/>
            <w:tcBorders>
              <w:top w:val="nil"/>
              <w:left w:val="nil"/>
              <w:bottom w:val="nil"/>
              <w:right w:val="nil"/>
            </w:tcBorders>
          </w:tcPr>
          <w:p w14:paraId="3D60DAB9" w14:textId="77777777" w:rsidR="000104F2" w:rsidRPr="005F046F" w:rsidRDefault="000104F2" w:rsidP="00565F8F">
            <w:pPr>
              <w:pStyle w:val="Normal6a"/>
            </w:pPr>
            <w:r w:rsidRPr="005F046F">
              <w:t>37.</w:t>
            </w:r>
            <w:r w:rsidRPr="005F046F">
              <w:tab/>
              <w:t xml:space="preserve">fenntartja, hogy az uniós kiadások végrehajtására vonatkozó modellek értékelésekor figyelembe kell venni a csalás és más visszaélések kockázatának való kitettséget; sajnálatát fejezi ki amiatt, hogy a Parlament és a Számvevőszék általi, a Helyreállítási és </w:t>
            </w:r>
            <w:proofErr w:type="spellStart"/>
            <w:r w:rsidRPr="005F046F">
              <w:t>Rezilienciaépítési</w:t>
            </w:r>
            <w:proofErr w:type="spellEnd"/>
            <w:r w:rsidRPr="005F046F">
              <w:t xml:space="preserve"> </w:t>
            </w:r>
            <w:r w:rsidRPr="005F046F">
              <w:lastRenderedPageBreak/>
              <w:t xml:space="preserve">Eszköz kialakításából és végrehajtásából szerzett tapasztalatokon alapuló megjegyzéseket figyelmen kívül hagyták a jövőbeli uniós finanszírozási eszközök javasolt kialakítása során, különösen a 2027 utáni többéves pénzügyi keretben; hangsúlyozza, hogy hiányosságokat tártak fel a Helyreállítási és </w:t>
            </w:r>
            <w:proofErr w:type="spellStart"/>
            <w:r w:rsidRPr="005F046F">
              <w:t>Rezilienciaépítési</w:t>
            </w:r>
            <w:proofErr w:type="spellEnd"/>
            <w:r w:rsidRPr="005F046F">
              <w:t xml:space="preserve"> Eszköz végrehajtása terén, beleértve a csalás és a kettős finanszírozás kockázatát, az átláthatóság hiányát, az adatok korlátozott hozzáférhetőségét és az általános irányítás átláthatatlanságát, és hogy ezeknek tanulságként kellett volna szolgálniuk a jövőbeli uniós pénzügyi keretek számára; megismétli, hogy ellenzi a Helyreállítási és </w:t>
            </w:r>
            <w:proofErr w:type="spellStart"/>
            <w:r w:rsidRPr="005F046F">
              <w:t>Rezilienciaépítési</w:t>
            </w:r>
            <w:proofErr w:type="spellEnd"/>
            <w:r w:rsidRPr="005F046F">
              <w:t xml:space="preserve"> Eszköz modelljének jelenlegi formájában történő megismétlését, és felszólít arra, hogy az uniós források megfelelő kezelésének biztosítása érdekében minden jövőbeli teljesítményalapú finanszírozást jelentősen szigorúbb biztosítékokkal, átláthatósági követelményekkel és csalásmegelőzési mechanizmusokkal lássanak el;</w:t>
            </w:r>
          </w:p>
        </w:tc>
        <w:tc>
          <w:tcPr>
            <w:tcW w:w="4876" w:type="dxa"/>
            <w:tcBorders>
              <w:top w:val="nil"/>
              <w:left w:val="nil"/>
              <w:bottom w:val="nil"/>
              <w:right w:val="nil"/>
            </w:tcBorders>
          </w:tcPr>
          <w:p w14:paraId="47B3AD38" w14:textId="77777777" w:rsidR="000104F2" w:rsidRPr="005F046F" w:rsidRDefault="000104F2" w:rsidP="00565F8F">
            <w:pPr>
              <w:pStyle w:val="Normal6a"/>
            </w:pPr>
            <w:r w:rsidRPr="005F046F">
              <w:lastRenderedPageBreak/>
              <w:t>37.</w:t>
            </w:r>
            <w:r w:rsidRPr="005F046F">
              <w:tab/>
              <w:t xml:space="preserve">fenntartja, hogy az uniós kiadások végrehajtására vonatkozó modellek értékelésekor figyelembe kell venni a csalás és más visszaélések kockázatának való kitettséget; sajnálatát fejezi ki amiatt, hogy a Parlament és a Számvevőszék általi, a Helyreállítási és </w:t>
            </w:r>
            <w:proofErr w:type="spellStart"/>
            <w:r w:rsidRPr="005F046F">
              <w:t>Rezilienciaépítési</w:t>
            </w:r>
            <w:proofErr w:type="spellEnd"/>
            <w:r w:rsidRPr="005F046F">
              <w:t xml:space="preserve"> </w:t>
            </w:r>
            <w:r w:rsidRPr="005F046F">
              <w:lastRenderedPageBreak/>
              <w:t xml:space="preserve">Eszköz kialakításából és végrehajtásából szerzett tapasztalatokon alapuló megjegyzéseket figyelmen kívül hagyták a jövőbeli uniós finanszírozási eszközök javasolt kialakítása során, különösen a 2027 utáni többéves pénzügyi keretben; hangsúlyozza, hogy hiányosságokat tártak fel a Helyreállítási és </w:t>
            </w:r>
            <w:proofErr w:type="spellStart"/>
            <w:r w:rsidRPr="005F046F">
              <w:t>Rezilienciaépítési</w:t>
            </w:r>
            <w:proofErr w:type="spellEnd"/>
            <w:r w:rsidRPr="005F046F">
              <w:t xml:space="preserve"> Eszköz végrehajtása terén, beleértve a csalás és a kettős finanszírozás kockázatát, az átláthatóság hiányát, az adatok korlátozott hozzáférhetőségét és az általános irányítás átláthatatlanságát, és hogy ezeknek tanulságként kellett volna szolgálniuk a jövőbeli uniós pénzügyi keretek számára; megismétli, hogy ellenzi a Helyreállítási és </w:t>
            </w:r>
            <w:proofErr w:type="spellStart"/>
            <w:r w:rsidRPr="005F046F">
              <w:t>Rezilienciaépítési</w:t>
            </w:r>
            <w:proofErr w:type="spellEnd"/>
            <w:r w:rsidRPr="005F046F">
              <w:t xml:space="preserve"> Eszköz modelljének jelenlegi formájában történő megismétlését, és felszólít arra, hogy az uniós források megfelelő kezelésének biztosítása érdekében minden jövőbeli teljesítményalapú finanszírozást jelentősen szigorúbb biztosítékokkal, átláthatósági követelményekkel és csalásmegelőzési mechanizmusokkal lássanak el; </w:t>
            </w:r>
            <w:r w:rsidRPr="005F046F">
              <w:rPr>
                <w:b/>
                <w:i/>
              </w:rPr>
              <w:t>hangsúlyozza, hogy a teljesítményalapú eszközöknek egyértelmű hozzáadott értéket kell képviselniük az uniós polgárok számára, és meg kell felelniük a gazdaságosság, a hatékonyság és az eredményesség elvének;</w:t>
            </w:r>
          </w:p>
        </w:tc>
      </w:tr>
    </w:tbl>
    <w:p w14:paraId="1EF0961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EB9D45C"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F53113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0C81DA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825A19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6B54AF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408C9A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38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91F335A" w14:textId="77777777" w:rsidTr="00565F8F">
        <w:trPr>
          <w:trHeight w:hRule="exact" w:val="240"/>
          <w:jc w:val="center"/>
        </w:trPr>
        <w:tc>
          <w:tcPr>
            <w:tcW w:w="9752" w:type="dxa"/>
            <w:gridSpan w:val="2"/>
            <w:tcBorders>
              <w:top w:val="nil"/>
              <w:left w:val="nil"/>
              <w:bottom w:val="nil"/>
              <w:right w:val="nil"/>
            </w:tcBorders>
          </w:tcPr>
          <w:p w14:paraId="102CFE29" w14:textId="77777777" w:rsidR="000104F2" w:rsidRPr="005F046F" w:rsidRDefault="000104F2" w:rsidP="00565F8F"/>
        </w:tc>
      </w:tr>
      <w:tr w:rsidR="006C656F" w:rsidRPr="005F046F" w14:paraId="0B47C43C" w14:textId="77777777" w:rsidTr="00565F8F">
        <w:trPr>
          <w:trHeight w:val="240"/>
          <w:jc w:val="center"/>
        </w:trPr>
        <w:tc>
          <w:tcPr>
            <w:tcW w:w="4876" w:type="dxa"/>
            <w:tcBorders>
              <w:top w:val="nil"/>
              <w:left w:val="nil"/>
              <w:bottom w:val="nil"/>
              <w:right w:val="nil"/>
            </w:tcBorders>
          </w:tcPr>
          <w:p w14:paraId="2D01CFF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99459DA" w14:textId="77777777" w:rsidR="000104F2" w:rsidRPr="005F046F" w:rsidRDefault="000104F2" w:rsidP="00565F8F">
            <w:pPr>
              <w:pStyle w:val="AmColumnHeading"/>
            </w:pPr>
            <w:r w:rsidRPr="005F046F">
              <w:t>Módosítás</w:t>
            </w:r>
          </w:p>
        </w:tc>
      </w:tr>
      <w:tr w:rsidR="006C656F" w:rsidRPr="005F046F" w14:paraId="12975AC6" w14:textId="77777777" w:rsidTr="00565F8F">
        <w:trPr>
          <w:jc w:val="center"/>
        </w:trPr>
        <w:tc>
          <w:tcPr>
            <w:tcW w:w="4876" w:type="dxa"/>
            <w:tcBorders>
              <w:top w:val="nil"/>
              <w:left w:val="nil"/>
              <w:bottom w:val="nil"/>
              <w:right w:val="nil"/>
            </w:tcBorders>
          </w:tcPr>
          <w:p w14:paraId="5B3FE293" w14:textId="77777777" w:rsidR="000104F2" w:rsidRPr="005F046F" w:rsidRDefault="000104F2" w:rsidP="00565F8F">
            <w:pPr>
              <w:pStyle w:val="Normal6a"/>
            </w:pPr>
            <w:r w:rsidRPr="005F046F">
              <w:t>38.</w:t>
            </w:r>
            <w:r w:rsidRPr="005F046F">
              <w:tab/>
              <w:t xml:space="preserve">ismételten aggodalmát fejezi ki a mezőgazdaság területén feltárt és bejelentett szabálytalanságok pénzügyi </w:t>
            </w:r>
            <w:r w:rsidRPr="005F046F">
              <w:lastRenderedPageBreak/>
              <w:t>hatása miatt, emlékeztetve arra, hogy a Számvevőszék szerint a vidékfejlesztési terület nagyobb hibakockázatnak van kitéve, mint a mezőgazdasági termelőknek nyújtott közvetlen kifizetések; megjegyzi továbbá, hogy a tagállamok 2024-ben jelentették a KAP-</w:t>
            </w:r>
            <w:proofErr w:type="spellStart"/>
            <w:r w:rsidRPr="005F046F">
              <w:t>ra</w:t>
            </w:r>
            <w:proofErr w:type="spellEnd"/>
            <w:r w:rsidRPr="005F046F">
              <w:t xml:space="preserve"> vonatkozó új stratégiai terveikben szereplő kiadásokkal kapcsolatos első csalárd szabálytalanságokat, és abban az évben a csalárd szabálytalanságok mintegy 25%-a az említett tervekben szereplő kiadásokat érintette, amelyek szinte mindegyike éghajlat-politikai és környezetvédelmi programokhoz kapcsolódott;</w:t>
            </w:r>
          </w:p>
        </w:tc>
        <w:tc>
          <w:tcPr>
            <w:tcW w:w="4876" w:type="dxa"/>
            <w:tcBorders>
              <w:top w:val="nil"/>
              <w:left w:val="nil"/>
              <w:bottom w:val="nil"/>
              <w:right w:val="nil"/>
            </w:tcBorders>
          </w:tcPr>
          <w:p w14:paraId="3CE404C2" w14:textId="77777777" w:rsidR="000104F2" w:rsidRPr="005F046F" w:rsidRDefault="000104F2" w:rsidP="00565F8F">
            <w:pPr>
              <w:pStyle w:val="Normal6a"/>
            </w:pPr>
            <w:r w:rsidRPr="005F046F">
              <w:lastRenderedPageBreak/>
              <w:t>38.</w:t>
            </w:r>
            <w:r w:rsidRPr="005F046F">
              <w:tab/>
              <w:t xml:space="preserve">ismételten aggodalmát fejezi ki a mezőgazdaság területén feltárt és bejelentett szabálytalanságok pénzügyi </w:t>
            </w:r>
            <w:r w:rsidRPr="005F046F">
              <w:lastRenderedPageBreak/>
              <w:t>hatása miatt, emlékeztetve arra, hogy a Számvevőszék szerint a vidékfejlesztési terület nagyobb hibakockázatnak van kitéve, mint a mezőgazdasági termelőknek nyújtott közvetlen kifizetések; megjegyzi továbbá, hogy a tagállamok 2024-ben jelentették a KAP-</w:t>
            </w:r>
            <w:proofErr w:type="spellStart"/>
            <w:r w:rsidRPr="005F046F">
              <w:t>ra</w:t>
            </w:r>
            <w:proofErr w:type="spellEnd"/>
            <w:r w:rsidRPr="005F046F">
              <w:t xml:space="preserve"> vonatkozó új stratégiai terveikben szereplő kiadásokkal kapcsolatos első csalárd szabálytalanságokat, és abban az évben a csalárd szabálytalanságok mintegy 25%-a az említett tervekben szereplő kiadásokat érintette, amelyek szinte mindegyike éghajlat-politikai és környezetvédelmi programokhoz kapcsolódott; </w:t>
            </w:r>
            <w:r w:rsidRPr="005F046F">
              <w:rPr>
                <w:b/>
                <w:i/>
              </w:rPr>
              <w:t>kéri, hogy az Unió éghajlat-politikai célkitűzéseinek aláásása nélkül erősítsék meg az ellenőrzéseket;</w:t>
            </w:r>
          </w:p>
        </w:tc>
      </w:tr>
    </w:tbl>
    <w:p w14:paraId="53821EAB"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1DF5D9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A118C9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E4C15A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José </w:t>
      </w:r>
      <w:proofErr w:type="spellStart"/>
      <w:r w:rsidRPr="005F046F">
        <w:t>Cepeda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7E8D2A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9E76402"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CF471D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3F8CDA8E" w14:textId="77777777" w:rsidTr="00565F8F">
        <w:trPr>
          <w:trHeight w:hRule="exact" w:val="240"/>
          <w:jc w:val="center"/>
        </w:trPr>
        <w:tc>
          <w:tcPr>
            <w:tcW w:w="9752" w:type="dxa"/>
            <w:gridSpan w:val="2"/>
            <w:tcBorders>
              <w:top w:val="nil"/>
              <w:left w:val="nil"/>
              <w:bottom w:val="nil"/>
              <w:right w:val="nil"/>
            </w:tcBorders>
          </w:tcPr>
          <w:p w14:paraId="48C16D59" w14:textId="77777777" w:rsidR="000104F2" w:rsidRPr="005F046F" w:rsidRDefault="000104F2" w:rsidP="00565F8F"/>
        </w:tc>
      </w:tr>
      <w:tr w:rsidR="006C656F" w:rsidRPr="005F046F" w14:paraId="6D843880" w14:textId="77777777" w:rsidTr="00565F8F">
        <w:trPr>
          <w:trHeight w:val="240"/>
          <w:jc w:val="center"/>
        </w:trPr>
        <w:tc>
          <w:tcPr>
            <w:tcW w:w="4876" w:type="dxa"/>
            <w:tcBorders>
              <w:top w:val="nil"/>
              <w:left w:val="nil"/>
              <w:bottom w:val="nil"/>
              <w:right w:val="nil"/>
            </w:tcBorders>
          </w:tcPr>
          <w:p w14:paraId="19A950A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F87F30F" w14:textId="77777777" w:rsidR="000104F2" w:rsidRPr="005F046F" w:rsidRDefault="000104F2" w:rsidP="00565F8F">
            <w:pPr>
              <w:pStyle w:val="AmColumnHeading"/>
            </w:pPr>
            <w:r w:rsidRPr="005F046F">
              <w:t>Módosítás</w:t>
            </w:r>
          </w:p>
        </w:tc>
      </w:tr>
      <w:tr w:rsidR="006C656F" w:rsidRPr="005F046F" w14:paraId="62B3713F" w14:textId="77777777" w:rsidTr="00565F8F">
        <w:trPr>
          <w:jc w:val="center"/>
        </w:trPr>
        <w:tc>
          <w:tcPr>
            <w:tcW w:w="4876" w:type="dxa"/>
            <w:tcBorders>
              <w:top w:val="nil"/>
              <w:left w:val="nil"/>
              <w:bottom w:val="nil"/>
              <w:right w:val="nil"/>
            </w:tcBorders>
          </w:tcPr>
          <w:p w14:paraId="04786D3B" w14:textId="77777777" w:rsidR="000104F2" w:rsidRPr="005F046F" w:rsidRDefault="000104F2" w:rsidP="00565F8F">
            <w:pPr>
              <w:pStyle w:val="Normal6a"/>
            </w:pPr>
            <w:r w:rsidRPr="005F046F">
              <w:rPr>
                <w:b/>
                <w:i/>
              </w:rPr>
              <w:t>40.</w:t>
            </w:r>
            <w:r w:rsidRPr="005F046F">
              <w:tab/>
            </w:r>
            <w:r w:rsidRPr="005F046F">
              <w:rPr>
                <w:b/>
                <w:i/>
              </w:rPr>
              <w:t xml:space="preserve">aggodalmát fejezi ki a Számvevőszék azon megállapításai miatt, hogy az uniós hitelállomány 2024-ben több mint 30%-kal nőtt annak közvetlen eredményeként, hogy a tőkepiacokat olyan nagyszabású programok finanszírozására használták fel, mint a SURE és az NGEU; megjegyzi, hogy az Unió teljes fennálló adóssága 2027-re meghaladhatja a 900 milliárd EUR-t, ami közel tízszerese az NGEU létrehozása előtt, 2020-ban megfigyelt szintnek; megjegyzi, hogy nincs egyértelmű, kiszámítható és hiteles adósságcsökkentési stratégia, annak ellenére, hogy az adósság gyors és folyamatos növekedése fokozott fenntarthatósági kockázatoknak teszi ki az </w:t>
            </w:r>
            <w:r w:rsidRPr="005F046F">
              <w:rPr>
                <w:b/>
                <w:i/>
              </w:rPr>
              <w:lastRenderedPageBreak/>
              <w:t>uniós költségvetést, különösen magas kamatlábak idején; hangsúlyozza, hogy az Unió eladósodottságának drámai növekedése automatikusan korlátozza a többéves pénzügyi keretben rendelkezésre álló költségvetési mozgásteret; felhívja a Bizottságot, hogy haladéktalanul terjesszen elő átfogó értékelést az EU adósságának fenntarthatóságáról, beleértve a közép- és hosszú távú gazdálkodási forgatókönyveket is, és azonosítsa az annak biztosításához szükséges intézkedéseket, hogy az adósság alakulása ne veszélyeztesse a költségvetési stabilitást vagy az EU pénzügyi érdekeinek védelmét; sürgeti a Bizottságot, hogy a Számvevőszék ajánlásaival összhangban növelje a kibocsátások, a hitelfelvételi költségek és a kapcsolódó kockázatok átláthatóságát;</w:t>
            </w:r>
          </w:p>
        </w:tc>
        <w:tc>
          <w:tcPr>
            <w:tcW w:w="4876" w:type="dxa"/>
            <w:tcBorders>
              <w:top w:val="nil"/>
              <w:left w:val="nil"/>
              <w:bottom w:val="nil"/>
              <w:right w:val="nil"/>
            </w:tcBorders>
          </w:tcPr>
          <w:p w14:paraId="1B03251C" w14:textId="77777777" w:rsidR="000104F2" w:rsidRPr="005F046F" w:rsidRDefault="000104F2" w:rsidP="00565F8F">
            <w:pPr>
              <w:pStyle w:val="Normal6a"/>
            </w:pPr>
            <w:r w:rsidRPr="005F046F">
              <w:rPr>
                <w:b/>
                <w:i/>
              </w:rPr>
              <w:lastRenderedPageBreak/>
              <w:t>törölve</w:t>
            </w:r>
          </w:p>
        </w:tc>
      </w:tr>
    </w:tbl>
    <w:p w14:paraId="190C6212"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0B1AFA6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A9B703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82CA0D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323D837"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112A639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23C494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DD38E4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EF1D7F2" w14:textId="77777777" w:rsidTr="00565F8F">
        <w:trPr>
          <w:trHeight w:hRule="exact" w:val="240"/>
          <w:jc w:val="center"/>
        </w:trPr>
        <w:tc>
          <w:tcPr>
            <w:tcW w:w="9752" w:type="dxa"/>
            <w:gridSpan w:val="2"/>
            <w:tcBorders>
              <w:top w:val="nil"/>
              <w:left w:val="nil"/>
              <w:bottom w:val="nil"/>
              <w:right w:val="nil"/>
            </w:tcBorders>
          </w:tcPr>
          <w:p w14:paraId="3805BB5E" w14:textId="77777777" w:rsidR="000104F2" w:rsidRPr="005F046F" w:rsidRDefault="000104F2" w:rsidP="00565F8F"/>
        </w:tc>
      </w:tr>
      <w:tr w:rsidR="006C656F" w:rsidRPr="005F046F" w14:paraId="479DCB7B" w14:textId="77777777" w:rsidTr="00565F8F">
        <w:trPr>
          <w:trHeight w:val="240"/>
          <w:jc w:val="center"/>
        </w:trPr>
        <w:tc>
          <w:tcPr>
            <w:tcW w:w="4876" w:type="dxa"/>
            <w:tcBorders>
              <w:top w:val="nil"/>
              <w:left w:val="nil"/>
              <w:bottom w:val="nil"/>
              <w:right w:val="nil"/>
            </w:tcBorders>
          </w:tcPr>
          <w:p w14:paraId="2EF62DBD"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54588CC" w14:textId="77777777" w:rsidR="000104F2" w:rsidRPr="005F046F" w:rsidRDefault="000104F2" w:rsidP="00565F8F">
            <w:pPr>
              <w:pStyle w:val="AmColumnHeading"/>
            </w:pPr>
            <w:r w:rsidRPr="005F046F">
              <w:t>Módosítás</w:t>
            </w:r>
          </w:p>
        </w:tc>
      </w:tr>
      <w:tr w:rsidR="006C656F" w:rsidRPr="005F046F" w14:paraId="2A71D06F" w14:textId="77777777" w:rsidTr="00565F8F">
        <w:trPr>
          <w:jc w:val="center"/>
        </w:trPr>
        <w:tc>
          <w:tcPr>
            <w:tcW w:w="4876" w:type="dxa"/>
            <w:tcBorders>
              <w:top w:val="nil"/>
              <w:left w:val="nil"/>
              <w:bottom w:val="nil"/>
              <w:right w:val="nil"/>
            </w:tcBorders>
          </w:tcPr>
          <w:p w14:paraId="0B941191" w14:textId="77777777" w:rsidR="000104F2" w:rsidRPr="005F046F" w:rsidRDefault="000104F2" w:rsidP="00565F8F">
            <w:pPr>
              <w:pStyle w:val="Normal6a"/>
            </w:pPr>
            <w:r w:rsidRPr="005F046F">
              <w:t>40.</w:t>
            </w:r>
            <w:r w:rsidRPr="005F046F">
              <w:tab/>
            </w:r>
            <w:r w:rsidRPr="005F046F">
              <w:rPr>
                <w:b/>
                <w:i/>
              </w:rPr>
              <w:t>aggodalmát fejezi ki a Számvevőszék azon megállapításai miatt, hogy az uniós hitelállomány 2024-ben több mint 30%-kal nőtt annak közvetlen eredményeként, hogy a tőkepiacokat olyan nagyszabású programok finanszírozására használták fel, mint a SURE és az NGEU;</w:t>
            </w:r>
            <w:r w:rsidRPr="005F046F">
              <w:t xml:space="preserve"> megjegyzi, hogy az Unió teljes fennálló adóssága 2027-re meghaladhatja a 900 milliárd EUR-t, ami közel tízszerese az NGEU létrehozása előtt, 2020-ban megfigyelt szintnek; megjegyzi, hogy nincs egyértelmű, kiszámítható és hiteles adósságcsökkentési stratégia, annak </w:t>
            </w:r>
            <w:r w:rsidRPr="005F046F">
              <w:lastRenderedPageBreak/>
              <w:t xml:space="preserve">ellenére, hogy az adósság gyors és folyamatos növekedése fokozott fenntarthatósági kockázatoknak teszi ki az uniós költségvetést, különösen magas kamatlábak idején; hangsúlyozza, hogy az Unió eladósodottságának </w:t>
            </w:r>
            <w:r w:rsidRPr="005F046F">
              <w:rPr>
                <w:b/>
                <w:bCs/>
                <w:i/>
                <w:iCs/>
              </w:rPr>
              <w:t>drámai</w:t>
            </w:r>
            <w:r w:rsidRPr="005F046F">
              <w:t xml:space="preserve"> növekedése automatikusan korlátozza a többéves pénzügyi keretben rendelkezésre álló költségvetési mozgásteret; felhívja a Bizottságot, hogy haladéktalanul terjesszen elő átfogó értékelést az EU adósságának fenntarthatóságáról, beleértve a közép- és hosszú távú gazdálkodási forgatókönyveket is, és azonosítsa az annak biztosításához szükséges intézkedéseket, hogy az adósság alakulása ne veszélyeztesse a költségvetési stabilitást vagy az EU pénzügyi érdekeinek védelmét; sürgeti a Bizottságot, hogy a Számvevőszék ajánlásaival összhangban növelje a kibocsátások, a hitelfelvételi költségek és a kapcsolódó kockázatok átláthatóságát;</w:t>
            </w:r>
          </w:p>
        </w:tc>
        <w:tc>
          <w:tcPr>
            <w:tcW w:w="4876" w:type="dxa"/>
            <w:tcBorders>
              <w:top w:val="nil"/>
              <w:left w:val="nil"/>
              <w:bottom w:val="nil"/>
              <w:right w:val="nil"/>
            </w:tcBorders>
          </w:tcPr>
          <w:p w14:paraId="4A72A006" w14:textId="77777777" w:rsidR="000104F2" w:rsidRPr="005F046F" w:rsidRDefault="000104F2" w:rsidP="00565F8F">
            <w:pPr>
              <w:pStyle w:val="Normal6a"/>
            </w:pPr>
            <w:r w:rsidRPr="005F046F">
              <w:lastRenderedPageBreak/>
              <w:t>40.</w:t>
            </w:r>
            <w:r w:rsidRPr="005F046F">
              <w:tab/>
              <w:t xml:space="preserve">megjegyzi, hogy az Unió teljes fennálló adóssága 2027-re meghaladhatja a 900 milliárd EUR-t, ami közel tízszerese az NGEU létrehozása előtt, 2020-ban megfigyelt szintnek; megjegyzi, hogy nincs egyértelmű, kiszámítható és hiteles adósságcsökkentési stratégia, annak ellenére, hogy az adósság gyors és folyamatos növekedése fokozott fenntarthatósági kockázatoknak teszi ki az uniós költségvetést, különösen magas kamatlábak idején; hangsúlyozza, hogy az Unió eladósodottságának drámai növekedése automatikusan korlátozza a </w:t>
            </w:r>
            <w:r w:rsidRPr="005F046F">
              <w:rPr>
                <w:b/>
                <w:bCs/>
                <w:i/>
                <w:iCs/>
              </w:rPr>
              <w:lastRenderedPageBreak/>
              <w:t>jelenlegi</w:t>
            </w:r>
            <w:r w:rsidRPr="005F046F">
              <w:t xml:space="preserve"> többéves pénzügyi keretben rendelkezésre álló költségvetési mozgásteret; felhívja a Bizottságot, hogy haladéktalanul terjesszen elő átfogó értékelést az EU adósságának fenntarthatóságáról, beleértve a közép- és hosszú távú gazdálkodási forgatókönyveket is, és azonosítsa az annak biztosításához szükséges intézkedéseket, hogy az adósság alakulása ne veszélyeztesse a költségvetési stabilitást vagy az EU pénzügyi érdekeinek védelmét; sürgeti a Bizottságot, hogy a Számvevőszék ajánlásaival összhangban növelje a kibocsátások, a hitelfelvételi költségek és a kapcsolódó kockázatok átláthatóságát;</w:t>
            </w:r>
          </w:p>
        </w:tc>
      </w:tr>
    </w:tbl>
    <w:p w14:paraId="6B560C63"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F26188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9BEEFB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CFFBB2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9BC191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01C6C3D"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D713F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40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78E2E20" w14:textId="77777777" w:rsidTr="00565F8F">
        <w:trPr>
          <w:trHeight w:hRule="exact" w:val="240"/>
          <w:jc w:val="center"/>
        </w:trPr>
        <w:tc>
          <w:tcPr>
            <w:tcW w:w="9752" w:type="dxa"/>
            <w:gridSpan w:val="2"/>
            <w:tcBorders>
              <w:top w:val="nil"/>
              <w:left w:val="nil"/>
              <w:bottom w:val="nil"/>
              <w:right w:val="nil"/>
            </w:tcBorders>
          </w:tcPr>
          <w:p w14:paraId="1CB0D954" w14:textId="77777777" w:rsidR="000104F2" w:rsidRPr="005F046F" w:rsidRDefault="000104F2" w:rsidP="00565F8F"/>
        </w:tc>
      </w:tr>
      <w:tr w:rsidR="006C656F" w:rsidRPr="005F046F" w14:paraId="51BB8F85" w14:textId="77777777" w:rsidTr="00565F8F">
        <w:trPr>
          <w:trHeight w:val="240"/>
          <w:jc w:val="center"/>
        </w:trPr>
        <w:tc>
          <w:tcPr>
            <w:tcW w:w="4876" w:type="dxa"/>
            <w:tcBorders>
              <w:top w:val="nil"/>
              <w:left w:val="nil"/>
              <w:bottom w:val="nil"/>
              <w:right w:val="nil"/>
            </w:tcBorders>
          </w:tcPr>
          <w:p w14:paraId="348C6DD3"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A5DF639" w14:textId="77777777" w:rsidR="000104F2" w:rsidRPr="005F046F" w:rsidRDefault="000104F2" w:rsidP="00565F8F">
            <w:pPr>
              <w:pStyle w:val="AmColumnHeading"/>
            </w:pPr>
            <w:r w:rsidRPr="005F046F">
              <w:t>Módosítás</w:t>
            </w:r>
          </w:p>
        </w:tc>
      </w:tr>
      <w:tr w:rsidR="006C656F" w:rsidRPr="005F046F" w14:paraId="42380E40" w14:textId="77777777" w:rsidTr="00565F8F">
        <w:trPr>
          <w:jc w:val="center"/>
        </w:trPr>
        <w:tc>
          <w:tcPr>
            <w:tcW w:w="4876" w:type="dxa"/>
            <w:tcBorders>
              <w:top w:val="nil"/>
              <w:left w:val="nil"/>
              <w:bottom w:val="nil"/>
              <w:right w:val="nil"/>
            </w:tcBorders>
          </w:tcPr>
          <w:p w14:paraId="237DBE9B" w14:textId="77777777" w:rsidR="000104F2" w:rsidRPr="005F046F" w:rsidRDefault="000104F2" w:rsidP="00565F8F">
            <w:pPr>
              <w:pStyle w:val="Normal6a"/>
            </w:pPr>
            <w:r w:rsidRPr="005F046F">
              <w:t>40.</w:t>
            </w:r>
            <w:r w:rsidRPr="005F046F">
              <w:tab/>
              <w:t xml:space="preserve">aggodalmát fejezi ki a Számvevőszék azon megállapításai miatt, hogy az uniós hitelállomány 2024-ben több mint 30%-kal nőtt annak közvetlen eredményeként, hogy a tőkepiacokat olyan nagyszabású programok finanszírozására használták fel, mint a SURE és az NGEU; megjegyzi, hogy az Unió teljes fennálló adóssága 2027-re meghaladhatja a 900 milliárd EUR-t, ami közel tízszerese az NGEU létrehozása előtt, 2020-ban megfigyelt szintnek; megjegyzi, hogy nincs </w:t>
            </w:r>
            <w:r w:rsidRPr="005F046F">
              <w:lastRenderedPageBreak/>
              <w:t>egyértelmű, kiszámítható és hiteles adósságcsökkentési stratégia, annak ellenére, hogy az adósság gyors és folyamatos növekedése fokozott fenntarthatósági kockázatoknak teszi ki az uniós költségvetést, különösen magas kamatlábak idején; hangsúlyozza, hogy az Unió eladósodottságának drámai növekedése automatikusan korlátozza a többéves pénzügyi keretben rendelkezésre álló költségvetési mozgásteret; felhívja a Bizottságot, hogy haladéktalanul terjesszen elő átfogó értékelést az EU adósságának fenntarthatóságáról, beleértve a közép- és hosszú távú gazdálkodási forgatókönyveket is, és azonosítsa az annak biztosításához szükséges intézkedéseket, hogy az adósság alakulása ne veszélyeztesse a költségvetési stabilitást vagy az EU pénzügyi érdekeinek védelmét; sürgeti a Bizottságot, hogy a Számvevőszék ajánlásaival összhangban növelje a kibocsátások, a hitelfelvételi költségek és a kapcsolódó kockázatok átláthatóságát;</w:t>
            </w:r>
          </w:p>
        </w:tc>
        <w:tc>
          <w:tcPr>
            <w:tcW w:w="4876" w:type="dxa"/>
            <w:tcBorders>
              <w:top w:val="nil"/>
              <w:left w:val="nil"/>
              <w:bottom w:val="nil"/>
              <w:right w:val="nil"/>
            </w:tcBorders>
          </w:tcPr>
          <w:p w14:paraId="2A05F941" w14:textId="77777777" w:rsidR="000104F2" w:rsidRPr="005F046F" w:rsidRDefault="000104F2" w:rsidP="00565F8F">
            <w:pPr>
              <w:pStyle w:val="Normal6a"/>
            </w:pPr>
            <w:r w:rsidRPr="005F046F">
              <w:lastRenderedPageBreak/>
              <w:t>40.</w:t>
            </w:r>
            <w:r w:rsidRPr="005F046F">
              <w:tab/>
            </w:r>
            <w:r w:rsidRPr="005F046F">
              <w:rPr>
                <w:b/>
                <w:bCs/>
                <w:i/>
                <w:iCs/>
              </w:rPr>
              <w:t>mélységes</w:t>
            </w:r>
            <w:r w:rsidRPr="005F046F">
              <w:t xml:space="preserve"> aggodalmát fejezi ki a Számvevőszék azon megállapításai miatt, hogy az uniós hitelállomány 2024-ben több mint 30%-kal nőtt annak közvetlen eredményeként, hogy a tőkepiacokat olyan nagyszabású programok finanszírozására használták fel, mint a SURE és az NGEU; megjegyzi, hogy az Unió teljes fennálló adóssága 2027-re meghaladhatja a 900 milliárd EUR-t, ami közel tízszerese az NGEU létrehozása előtt, 2020-ban megfigyelt szintnek; megjegyzi, hogy nincs </w:t>
            </w:r>
            <w:r w:rsidRPr="005F046F">
              <w:lastRenderedPageBreak/>
              <w:t xml:space="preserve">egyértelmű, kiszámítható és hiteles adósságcsökkentési stratégia, annak ellenére, hogy az adósság gyors és folyamatos növekedése fokozott fenntarthatósági kockázatoknak teszi ki az uniós költségvetést, különösen magas kamatlábak idején; hangsúlyozza, hogy az Unió eladósodottságának drámai növekedése automatikusan korlátozza a többéves pénzügyi keretben rendelkezésre álló költségvetési mozgásteret; felhívja a Bizottságot, hogy haladéktalanul terjesszen elő átfogó értékelést az EU adósságának fenntarthatóságáról, beleértve a közép- és hosszú távú gazdálkodási forgatókönyveket is, és azonosítsa az annak biztosításához szükséges intézkedéseket, hogy az adósság alakulása ne veszélyeztesse a költségvetési stabilitást vagy az EU pénzügyi érdekeinek védelmét; sürgeti a Bizottságot, hogy a Számvevőszék ajánlásaival összhangban növelje a kibocsátások, a hitelfelvételi költségek és a kapcsolódó kockázatok átláthatóságát; </w:t>
            </w:r>
            <w:r w:rsidRPr="005F046F">
              <w:rPr>
                <w:b/>
                <w:i/>
              </w:rPr>
              <w:t>kitart amellett, hogy ez a példátlan költségvetési nyomás szigorú költség-haszon elemzést tesz szükségessé az összes új uniós kiadási program esetében;</w:t>
            </w:r>
          </w:p>
        </w:tc>
      </w:tr>
    </w:tbl>
    <w:p w14:paraId="7B878CB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A2DE555"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6545DB3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3F89EA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3EC6C27"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0FFDE01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989EC75"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5B40F6C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41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9C9F1B2" w14:textId="77777777" w:rsidTr="00565F8F">
        <w:trPr>
          <w:trHeight w:hRule="exact" w:val="240"/>
          <w:jc w:val="center"/>
        </w:trPr>
        <w:tc>
          <w:tcPr>
            <w:tcW w:w="9752" w:type="dxa"/>
            <w:gridSpan w:val="2"/>
            <w:tcBorders>
              <w:top w:val="nil"/>
              <w:left w:val="nil"/>
              <w:bottom w:val="nil"/>
              <w:right w:val="nil"/>
            </w:tcBorders>
          </w:tcPr>
          <w:p w14:paraId="66482BEC" w14:textId="77777777" w:rsidR="000104F2" w:rsidRPr="005F046F" w:rsidRDefault="000104F2" w:rsidP="00565F8F"/>
        </w:tc>
      </w:tr>
      <w:tr w:rsidR="006C656F" w:rsidRPr="005F046F" w14:paraId="4FD3ADDF" w14:textId="77777777" w:rsidTr="00565F8F">
        <w:trPr>
          <w:trHeight w:val="240"/>
          <w:jc w:val="center"/>
        </w:trPr>
        <w:tc>
          <w:tcPr>
            <w:tcW w:w="4876" w:type="dxa"/>
            <w:tcBorders>
              <w:top w:val="nil"/>
              <w:left w:val="nil"/>
              <w:bottom w:val="nil"/>
              <w:right w:val="nil"/>
            </w:tcBorders>
          </w:tcPr>
          <w:p w14:paraId="534A284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EF749B6" w14:textId="77777777" w:rsidR="000104F2" w:rsidRPr="005F046F" w:rsidRDefault="000104F2" w:rsidP="00565F8F">
            <w:pPr>
              <w:pStyle w:val="AmColumnHeading"/>
            </w:pPr>
            <w:r w:rsidRPr="005F046F">
              <w:t>Módosítás</w:t>
            </w:r>
          </w:p>
        </w:tc>
      </w:tr>
      <w:tr w:rsidR="006C656F" w:rsidRPr="005F046F" w14:paraId="38972484" w14:textId="77777777" w:rsidTr="00565F8F">
        <w:trPr>
          <w:jc w:val="center"/>
        </w:trPr>
        <w:tc>
          <w:tcPr>
            <w:tcW w:w="4876" w:type="dxa"/>
            <w:tcBorders>
              <w:top w:val="nil"/>
              <w:left w:val="nil"/>
              <w:bottom w:val="nil"/>
              <w:right w:val="nil"/>
            </w:tcBorders>
          </w:tcPr>
          <w:p w14:paraId="06C22D4A" w14:textId="6CA13E80" w:rsidR="000104F2" w:rsidRPr="005F046F" w:rsidRDefault="000104F2" w:rsidP="00565F8F">
            <w:pPr>
              <w:pStyle w:val="Normal6a"/>
            </w:pPr>
            <w:r w:rsidRPr="005F046F">
              <w:t>41.</w:t>
            </w:r>
            <w:r w:rsidRPr="005F046F">
              <w:tab/>
            </w:r>
            <w:r w:rsidRPr="005F046F">
              <w:rPr>
                <w:b/>
                <w:bCs/>
                <w:i/>
                <w:iCs/>
              </w:rPr>
              <w:t>megjegyzi</w:t>
            </w:r>
            <w:r w:rsidRPr="005F046F">
              <w:t xml:space="preserve">, hogy </w:t>
            </w:r>
            <w:r w:rsidRPr="005F046F">
              <w:rPr>
                <w:b/>
                <w:i/>
              </w:rPr>
              <w:t>még mindig vannak következetlenségek a jelentésekben, például az NGEU-</w:t>
            </w:r>
            <w:proofErr w:type="spellStart"/>
            <w:r w:rsidRPr="005F046F">
              <w:rPr>
                <w:b/>
                <w:i/>
              </w:rPr>
              <w:t>ról</w:t>
            </w:r>
            <w:proofErr w:type="spellEnd"/>
            <w:r w:rsidRPr="005F046F">
              <w:rPr>
                <w:b/>
                <w:i/>
              </w:rPr>
              <w:t xml:space="preserve"> és a Helyreállítási és </w:t>
            </w:r>
            <w:proofErr w:type="spellStart"/>
            <w:r w:rsidRPr="005F046F">
              <w:rPr>
                <w:b/>
                <w:i/>
              </w:rPr>
              <w:t>Rezilienciaépítési</w:t>
            </w:r>
            <w:proofErr w:type="spellEnd"/>
            <w:r w:rsidRPr="005F046F">
              <w:rPr>
                <w:b/>
                <w:i/>
              </w:rPr>
              <w:t xml:space="preserve"> Eszközről (RRF) szóló jelentésekben, ami bizonyítja a Bizottság által reprodukálni </w:t>
            </w:r>
            <w:r w:rsidRPr="005F046F">
              <w:rPr>
                <w:b/>
                <w:i/>
              </w:rPr>
              <w:lastRenderedPageBreak/>
              <w:t>kívánt rugalmas eszközök korlátait,</w:t>
            </w:r>
            <w:r w:rsidRPr="005F046F">
              <w:t xml:space="preserve"> </w:t>
            </w:r>
            <w:r w:rsidRPr="005F046F">
              <w:rPr>
                <w:b/>
                <w:bCs/>
                <w:i/>
                <w:iCs/>
              </w:rPr>
              <w:t>amelyek esetében</w:t>
            </w:r>
            <w:r w:rsidRPr="005F046F">
              <w:t xml:space="preserve"> 2023-ban az Európai Ügyészség arról számolt be, hogy számos (233) vizsgálat van folyamatban a helyreállítási és </w:t>
            </w:r>
            <w:proofErr w:type="spellStart"/>
            <w:r w:rsidRPr="005F046F">
              <w:t>rezilienciaépítési</w:t>
            </w:r>
            <w:proofErr w:type="spellEnd"/>
            <w:r w:rsidRPr="005F046F">
              <w:t xml:space="preserve"> programokkal kapcsolatban, amelyek becsült kapcsolódó pénzügyi veszteségei aggasztóak voltak (1,86 milliárd EUR); megjegyzi, hogy 2024 végén az Európai Ügyészség 311 NGEU-</w:t>
            </w:r>
            <w:proofErr w:type="spellStart"/>
            <w:r w:rsidRPr="005F046F">
              <w:t>val</w:t>
            </w:r>
            <w:proofErr w:type="spellEnd"/>
            <w:r w:rsidRPr="005F046F">
              <w:t xml:space="preserve"> kapcsolatos aktív ügyet kezelt, köztük 307-et a Helyreállítási és </w:t>
            </w:r>
            <w:proofErr w:type="spellStart"/>
            <w:r w:rsidRPr="005F046F">
              <w:t>Rezilienciaépítési</w:t>
            </w:r>
            <w:proofErr w:type="spellEnd"/>
            <w:r w:rsidRPr="005F046F">
              <w:t xml:space="preserve"> Eszközből, ami a kiadással kapcsolatos csalásokkal összefüggő összes aktív vizsgálat mintegy 17%-</w:t>
            </w:r>
            <w:proofErr w:type="spellStart"/>
            <w:r w:rsidRPr="005F046F">
              <w:t>ának</w:t>
            </w:r>
            <w:proofErr w:type="spellEnd"/>
            <w:r w:rsidRPr="005F046F">
              <w:t xml:space="preserve"> felel meg; megjegyzi, hogy az Európai Ügyészség szerint az Unió pénzügyi érdekeit ért kár becsült összege 2,8 milliárd EUR, ami a kiadással kapcsolatos csalások vonatkozásában a teljes becsült kár 30%</w:t>
            </w:r>
            <w:r w:rsidR="00B321FB">
              <w:noBreakHyphen/>
            </w:r>
            <w:proofErr w:type="spellStart"/>
            <w:r w:rsidRPr="005F046F">
              <w:t>ának</w:t>
            </w:r>
            <w:proofErr w:type="spellEnd"/>
            <w:r w:rsidRPr="005F046F">
              <w:t xml:space="preserve"> felel meg (szemben a tavalyi 25%-kal); hangsúlyozza azonban, hogy a 2023. évi PIF-jelentésben az Európai Ügyészség ügyei – más kiadási tételektől eltérően – nem szerepeltek a kiadásokat érintő csalások és szabálytalanságok elemzésében, és hogy a 2024. évi PIF-jelentésben eltérő adatok szerepelnek az Európai Ügyészség Helyreállítási és </w:t>
            </w:r>
            <w:proofErr w:type="spellStart"/>
            <w:r w:rsidRPr="005F046F">
              <w:t>Rezilienciaépítési</w:t>
            </w:r>
            <w:proofErr w:type="spellEnd"/>
            <w:r w:rsidRPr="005F046F">
              <w:t xml:space="preserve"> Eszközzel kapcsolatos vizsgálatairól (279 vizsgálat 307 helyett, 2,7 milliárd EUR becsült teljes kár 2,8 milliárd EUR helyett);</w:t>
            </w:r>
          </w:p>
        </w:tc>
        <w:tc>
          <w:tcPr>
            <w:tcW w:w="4876" w:type="dxa"/>
            <w:tcBorders>
              <w:top w:val="nil"/>
              <w:left w:val="nil"/>
              <w:bottom w:val="nil"/>
              <w:right w:val="nil"/>
            </w:tcBorders>
          </w:tcPr>
          <w:p w14:paraId="62502B39" w14:textId="77777777" w:rsidR="000104F2" w:rsidRPr="005F046F" w:rsidRDefault="000104F2" w:rsidP="00565F8F">
            <w:pPr>
              <w:pStyle w:val="Normal6a"/>
            </w:pPr>
            <w:r w:rsidRPr="005F046F">
              <w:lastRenderedPageBreak/>
              <w:t>41.</w:t>
            </w:r>
            <w:r w:rsidRPr="005F046F">
              <w:tab/>
            </w:r>
            <w:r w:rsidRPr="005F046F">
              <w:rPr>
                <w:b/>
                <w:bCs/>
                <w:i/>
                <w:iCs/>
              </w:rPr>
              <w:t>aggodalommal jegyzi meg</w:t>
            </w:r>
            <w:r w:rsidRPr="005F046F">
              <w:t xml:space="preserve">, hogy 2023-ban az Európai Ügyészség arról számolt be, hogy számos (233) vizsgálat van folyamatban a helyreállítási és </w:t>
            </w:r>
            <w:proofErr w:type="spellStart"/>
            <w:r w:rsidRPr="005F046F">
              <w:t>rezilienciaépítési</w:t>
            </w:r>
            <w:proofErr w:type="spellEnd"/>
            <w:r w:rsidRPr="005F046F">
              <w:t xml:space="preserve"> programokkal kapcsolatban, amelyek becsült kapcsolódó </w:t>
            </w:r>
            <w:r w:rsidRPr="005F046F">
              <w:lastRenderedPageBreak/>
              <w:t>pénzügyi veszteségei aggasztóak voltak (1,86 milliárd EUR); megjegyzi, hogy 2024 végén az Európai Ügyészség 311 NGEU-</w:t>
            </w:r>
            <w:proofErr w:type="spellStart"/>
            <w:r w:rsidRPr="005F046F">
              <w:t>val</w:t>
            </w:r>
            <w:proofErr w:type="spellEnd"/>
            <w:r w:rsidRPr="005F046F">
              <w:t xml:space="preserve"> kapcsolatos aktív ügyet kezelt, köztük 307-et a Helyreállítási és </w:t>
            </w:r>
            <w:proofErr w:type="spellStart"/>
            <w:r w:rsidRPr="005F046F">
              <w:t>Rezilienciaépítési</w:t>
            </w:r>
            <w:proofErr w:type="spellEnd"/>
            <w:r w:rsidRPr="005F046F">
              <w:t xml:space="preserve"> Eszközből, ami a kiadással kapcsolatos csalásokkal összefüggő összes aktív vizsgálat mintegy 17%-</w:t>
            </w:r>
            <w:proofErr w:type="spellStart"/>
            <w:r w:rsidRPr="005F046F">
              <w:t>ának</w:t>
            </w:r>
            <w:proofErr w:type="spellEnd"/>
            <w:r w:rsidRPr="005F046F">
              <w:t xml:space="preserve"> felel meg; megjegyzi, hogy az Európai Ügyészség szerint az Unió pénzügyi érdekeit ért kár becsült összege 2,8 milliárd EUR, ami a kiadással kapcsolatos csalások vonatkozásában a teljes becsült kár 30%-</w:t>
            </w:r>
            <w:proofErr w:type="spellStart"/>
            <w:r w:rsidRPr="005F046F">
              <w:t>ának</w:t>
            </w:r>
            <w:proofErr w:type="spellEnd"/>
            <w:r w:rsidRPr="005F046F">
              <w:t xml:space="preserve"> felel meg (szemben a tavalyi 25%-kal); hangsúlyozza azonban, hogy a 2023. évi PIF-jelentésben az Európai Ügyészség ügyei – más kiadási tételektől eltérően – nem szerepeltek a kiadásokat érintő csalások és szabálytalanságok elemzésében, és hogy a 2024. évi PIF-jelentésben eltérő adatok szerepelnek az Európai Ügyészség Helyreállítási és </w:t>
            </w:r>
            <w:proofErr w:type="spellStart"/>
            <w:r w:rsidRPr="005F046F">
              <w:t>Rezilienciaépítési</w:t>
            </w:r>
            <w:proofErr w:type="spellEnd"/>
            <w:r w:rsidRPr="005F046F">
              <w:t xml:space="preserve"> Eszközzel kapcsolatos vizsgálatairól (279 vizsgálat 307 helyett, 2,7 milliárd EUR becsült teljes kár 2,8 milliárd EUR helyett); </w:t>
            </w:r>
            <w:r w:rsidRPr="005F046F">
              <w:rPr>
                <w:b/>
                <w:i/>
              </w:rPr>
              <w:t xml:space="preserve">kéri a Bizottságot, hogy a felügyelet és a közbizalom gyengítésének elkerülése érdekében az Európai Ügyészséggel együttműködésben gondoskodjon arról, hogy a Bizottság és az Európai Ügyészség kiadványaiban következetesen és egyértelmű magyarázat kíséretében beszámoljanak a Helyreállítási és </w:t>
            </w:r>
            <w:proofErr w:type="spellStart"/>
            <w:r w:rsidRPr="005F046F">
              <w:rPr>
                <w:b/>
                <w:i/>
              </w:rPr>
              <w:t>Rezilienciaépítési</w:t>
            </w:r>
            <w:proofErr w:type="spellEnd"/>
            <w:r w:rsidRPr="005F046F">
              <w:rPr>
                <w:b/>
                <w:i/>
              </w:rPr>
              <w:t xml:space="preserve"> Eszközt és a </w:t>
            </w:r>
            <w:proofErr w:type="spellStart"/>
            <w:r w:rsidRPr="005F046F">
              <w:rPr>
                <w:b/>
                <w:i/>
              </w:rPr>
              <w:t>NextGenerationEU</w:t>
            </w:r>
            <w:proofErr w:type="spellEnd"/>
            <w:r w:rsidRPr="005F046F">
              <w:rPr>
                <w:b/>
                <w:i/>
              </w:rPr>
              <w:t>-t érintő ügyekkel kapcsolatos számadatokról, beleértve a módszertani különbségek átlátható összevetését is;</w:t>
            </w:r>
          </w:p>
        </w:tc>
      </w:tr>
    </w:tbl>
    <w:p w14:paraId="1960AAA1"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C7EB1B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FECA68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4BD23C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712F6B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D90A24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0AD592E" w14:textId="77777777" w:rsidR="000104F2" w:rsidRPr="005F046F" w:rsidRDefault="000104F2" w:rsidP="000104F2">
      <w:pPr>
        <w:pStyle w:val="NormalBold"/>
      </w:pPr>
      <w:r w:rsidRPr="005F046F">
        <w:rPr>
          <w:rStyle w:val="HideTWBExt"/>
          <w:color w:val="auto"/>
        </w:rPr>
        <w:lastRenderedPageBreak/>
        <w:t>&lt;</w:t>
      </w:r>
      <w:proofErr w:type="spellStart"/>
      <w:r w:rsidRPr="005F046F">
        <w:rPr>
          <w:rStyle w:val="HideTWBExt"/>
          <w:color w:val="auto"/>
        </w:rPr>
        <w:t>Article</w:t>
      </w:r>
      <w:proofErr w:type="spellEnd"/>
      <w:r w:rsidRPr="005F046F">
        <w:rPr>
          <w:rStyle w:val="HideTWBExt"/>
          <w:color w:val="auto"/>
        </w:rPr>
        <w:t>&gt;</w:t>
      </w:r>
      <w:r w:rsidRPr="005F046F">
        <w:t>44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3334061" w14:textId="77777777" w:rsidTr="00565F8F">
        <w:trPr>
          <w:trHeight w:hRule="exact" w:val="240"/>
          <w:jc w:val="center"/>
        </w:trPr>
        <w:tc>
          <w:tcPr>
            <w:tcW w:w="9752" w:type="dxa"/>
            <w:gridSpan w:val="2"/>
            <w:tcBorders>
              <w:top w:val="nil"/>
              <w:left w:val="nil"/>
              <w:bottom w:val="nil"/>
              <w:right w:val="nil"/>
            </w:tcBorders>
          </w:tcPr>
          <w:p w14:paraId="1542EAB8" w14:textId="77777777" w:rsidR="000104F2" w:rsidRPr="005F046F" w:rsidRDefault="000104F2" w:rsidP="00565F8F"/>
        </w:tc>
      </w:tr>
      <w:tr w:rsidR="006C656F" w:rsidRPr="005F046F" w14:paraId="6BE18DFD" w14:textId="77777777" w:rsidTr="00565F8F">
        <w:trPr>
          <w:trHeight w:val="240"/>
          <w:jc w:val="center"/>
        </w:trPr>
        <w:tc>
          <w:tcPr>
            <w:tcW w:w="4876" w:type="dxa"/>
            <w:tcBorders>
              <w:top w:val="nil"/>
              <w:left w:val="nil"/>
              <w:bottom w:val="nil"/>
              <w:right w:val="nil"/>
            </w:tcBorders>
          </w:tcPr>
          <w:p w14:paraId="20399CA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D3C42F5" w14:textId="77777777" w:rsidR="000104F2" w:rsidRPr="005F046F" w:rsidRDefault="000104F2" w:rsidP="00565F8F">
            <w:pPr>
              <w:pStyle w:val="AmColumnHeading"/>
            </w:pPr>
            <w:r w:rsidRPr="005F046F">
              <w:t>Módosítás</w:t>
            </w:r>
          </w:p>
        </w:tc>
      </w:tr>
      <w:tr w:rsidR="006C656F" w:rsidRPr="005F046F" w14:paraId="409ADA56" w14:textId="77777777" w:rsidTr="00565F8F">
        <w:trPr>
          <w:jc w:val="center"/>
        </w:trPr>
        <w:tc>
          <w:tcPr>
            <w:tcW w:w="4876" w:type="dxa"/>
            <w:tcBorders>
              <w:top w:val="nil"/>
              <w:left w:val="nil"/>
              <w:bottom w:val="nil"/>
              <w:right w:val="nil"/>
            </w:tcBorders>
          </w:tcPr>
          <w:p w14:paraId="47110CB5" w14:textId="77777777" w:rsidR="000104F2" w:rsidRPr="005F046F" w:rsidRDefault="000104F2" w:rsidP="00565F8F">
            <w:pPr>
              <w:pStyle w:val="Normal6a"/>
            </w:pPr>
          </w:p>
        </w:tc>
        <w:tc>
          <w:tcPr>
            <w:tcW w:w="4876" w:type="dxa"/>
            <w:tcBorders>
              <w:top w:val="nil"/>
              <w:left w:val="nil"/>
              <w:bottom w:val="nil"/>
              <w:right w:val="nil"/>
            </w:tcBorders>
          </w:tcPr>
          <w:p w14:paraId="742167DF" w14:textId="77777777" w:rsidR="000104F2" w:rsidRPr="005F046F" w:rsidRDefault="000104F2" w:rsidP="00565F8F">
            <w:pPr>
              <w:pStyle w:val="Normal6a"/>
            </w:pPr>
            <w:r w:rsidRPr="005F046F">
              <w:rPr>
                <w:b/>
                <w:i/>
              </w:rPr>
              <w:t>44a.</w:t>
            </w:r>
            <w:r w:rsidRPr="005F046F">
              <w:tab/>
            </w:r>
            <w:r w:rsidRPr="005F046F">
              <w:rPr>
                <w:b/>
                <w:i/>
              </w:rPr>
              <w:t xml:space="preserve">hangsúlyozza, hogy a Helyreállítási és </w:t>
            </w:r>
            <w:proofErr w:type="spellStart"/>
            <w:r w:rsidRPr="005F046F">
              <w:rPr>
                <w:b/>
                <w:i/>
              </w:rPr>
              <w:t>Rezilienciaépítési</w:t>
            </w:r>
            <w:proofErr w:type="spellEnd"/>
            <w:r w:rsidRPr="005F046F">
              <w:rPr>
                <w:b/>
                <w:i/>
              </w:rPr>
              <w:t xml:space="preserve"> Eszköz döntő szerepet játszott az EU világjárvány utáni helyreállításában, de még a jelenlegi, várhatóan előrehaladott végrehajtási szakaszban is aggodalomra ad okot az eredményekre vonatkozó információk szűkössége és a tényleges költségekre vonatkozó információk hiánya; </w:t>
            </w:r>
          </w:p>
        </w:tc>
      </w:tr>
    </w:tbl>
    <w:p w14:paraId="0FB6E6B1"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6BCD8C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13CF44B"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3A74A1E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774381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099B3E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96CEE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45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D8D7FCE" w14:textId="77777777" w:rsidTr="00565F8F">
        <w:trPr>
          <w:trHeight w:hRule="exact" w:val="240"/>
          <w:jc w:val="center"/>
        </w:trPr>
        <w:tc>
          <w:tcPr>
            <w:tcW w:w="9752" w:type="dxa"/>
            <w:gridSpan w:val="2"/>
            <w:tcBorders>
              <w:top w:val="nil"/>
              <w:left w:val="nil"/>
              <w:bottom w:val="nil"/>
              <w:right w:val="nil"/>
            </w:tcBorders>
          </w:tcPr>
          <w:p w14:paraId="1B8C39AE" w14:textId="77777777" w:rsidR="000104F2" w:rsidRPr="005F046F" w:rsidRDefault="000104F2" w:rsidP="00565F8F"/>
        </w:tc>
      </w:tr>
      <w:tr w:rsidR="006C656F" w:rsidRPr="005F046F" w14:paraId="6A0A410F" w14:textId="77777777" w:rsidTr="00565F8F">
        <w:trPr>
          <w:trHeight w:val="240"/>
          <w:jc w:val="center"/>
        </w:trPr>
        <w:tc>
          <w:tcPr>
            <w:tcW w:w="4876" w:type="dxa"/>
            <w:tcBorders>
              <w:top w:val="nil"/>
              <w:left w:val="nil"/>
              <w:bottom w:val="nil"/>
              <w:right w:val="nil"/>
            </w:tcBorders>
          </w:tcPr>
          <w:p w14:paraId="686CF97F"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7AC5A20" w14:textId="77777777" w:rsidR="000104F2" w:rsidRPr="005F046F" w:rsidRDefault="000104F2" w:rsidP="00565F8F">
            <w:pPr>
              <w:pStyle w:val="AmColumnHeading"/>
            </w:pPr>
            <w:r w:rsidRPr="005F046F">
              <w:t>Módosítás</w:t>
            </w:r>
          </w:p>
        </w:tc>
      </w:tr>
      <w:tr w:rsidR="006C656F" w:rsidRPr="005F046F" w14:paraId="4DA93C4C" w14:textId="77777777" w:rsidTr="00565F8F">
        <w:trPr>
          <w:jc w:val="center"/>
        </w:trPr>
        <w:tc>
          <w:tcPr>
            <w:tcW w:w="4876" w:type="dxa"/>
            <w:tcBorders>
              <w:top w:val="nil"/>
              <w:left w:val="nil"/>
              <w:bottom w:val="nil"/>
              <w:right w:val="nil"/>
            </w:tcBorders>
          </w:tcPr>
          <w:p w14:paraId="266EC893" w14:textId="77777777" w:rsidR="000104F2" w:rsidRPr="005F046F" w:rsidRDefault="000104F2" w:rsidP="00565F8F">
            <w:pPr>
              <w:pStyle w:val="Normal6a"/>
            </w:pPr>
            <w:r w:rsidRPr="005F046F">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 és emlékeztet arra, hogy a „végső kedvezményezett” az az „utolsó szervezet”, amely forrásokat kap a Helyreállítási és </w:t>
            </w:r>
            <w:proofErr w:type="spellStart"/>
            <w:r w:rsidRPr="005F046F">
              <w:t>Rezilienciaépítési</w:t>
            </w:r>
            <w:proofErr w:type="spellEnd"/>
            <w:r w:rsidRPr="005F046F">
              <w:t xml:space="preserve"> Eszköz valamely intézkedéséhez, ezért a „végső kedvezményezettre” vonatkozó információkat rendelkezésre kell bocsátani; </w:t>
            </w:r>
            <w:r w:rsidRPr="005F046F">
              <w:rPr>
                <w:b/>
                <w:bCs/>
                <w:i/>
                <w:iCs/>
              </w:rPr>
              <w:t>sajnálatát fejezi ki amiatt</w:t>
            </w:r>
            <w:r w:rsidRPr="005F046F">
              <w:t xml:space="preserve">, hogy a tagállamoknak </w:t>
            </w:r>
            <w:r w:rsidRPr="005F046F">
              <w:rPr>
                <w:b/>
                <w:bCs/>
                <w:i/>
                <w:iCs/>
              </w:rPr>
              <w:t>csak</w:t>
            </w:r>
            <w:r w:rsidRPr="005F046F">
              <w:t xml:space="preserve"> a legmagasabb összegeket kapó 100 végső kedvezményezettre vonatkozó információkat kell </w:t>
            </w:r>
            <w:proofErr w:type="spellStart"/>
            <w:r w:rsidRPr="005F046F">
              <w:t>közzétenniük</w:t>
            </w:r>
            <w:proofErr w:type="spellEnd"/>
            <w:r w:rsidRPr="005F046F">
              <w:rPr>
                <w:b/>
                <w:i/>
              </w:rPr>
              <w:t>, ami önkényes korlátot jelent, amely megakadályozza</w:t>
            </w:r>
            <w:r w:rsidRPr="005F046F">
              <w:t xml:space="preserve"> a kedvezményezettek </w:t>
            </w:r>
            <w:r w:rsidRPr="005F046F">
              <w:rPr>
                <w:b/>
                <w:i/>
              </w:rPr>
              <w:t>tényleges többségének</w:t>
            </w:r>
            <w:r w:rsidRPr="005F046F">
              <w:t xml:space="preserve">, valamint a csalás, a rossz gazdálkodás vagy az összeférhetetlenség </w:t>
            </w:r>
            <w:r w:rsidRPr="005F046F">
              <w:rPr>
                <w:b/>
                <w:bCs/>
                <w:i/>
                <w:iCs/>
              </w:rPr>
              <w:t>lehetséges</w:t>
            </w:r>
            <w:r w:rsidRPr="005F046F">
              <w:t xml:space="preserve"> kockázatainak </w:t>
            </w:r>
            <w:r w:rsidRPr="005F046F">
              <w:rPr>
                <w:b/>
                <w:bCs/>
                <w:i/>
                <w:iCs/>
              </w:rPr>
              <w:t>láthatóságát</w:t>
            </w:r>
            <w:r w:rsidRPr="005F046F">
              <w:t xml:space="preserve">; rámutat arra, </w:t>
            </w:r>
            <w:r w:rsidRPr="005F046F">
              <w:lastRenderedPageBreak/>
              <w:t xml:space="preserve">hogy a nemzeti gyakorlatok vizsgálata jelentős eltéréseket tár fel a közzétételi módszerekben, mivel egyes tagállamok a ténylegesen kifizetett összegeket, mások csak az elkülönített összegeket jelentik be, míg mások csak részleges </w:t>
            </w:r>
            <w:r w:rsidRPr="005F046F">
              <w:rPr>
                <w:b/>
                <w:bCs/>
                <w:i/>
                <w:iCs/>
              </w:rPr>
              <w:t>adatokra</w:t>
            </w:r>
            <w:r w:rsidRPr="005F046F">
              <w:t xml:space="preserve">, vagy a nemzeti </w:t>
            </w:r>
            <w:r w:rsidRPr="005F046F">
              <w:rPr>
                <w:b/>
                <w:bCs/>
                <w:i/>
                <w:iCs/>
              </w:rPr>
              <w:t>forrásokkal</w:t>
            </w:r>
            <w:r w:rsidRPr="005F046F">
              <w:t xml:space="preserve"> kombinált </w:t>
            </w:r>
            <w:r w:rsidRPr="005F046F">
              <w:rPr>
                <w:b/>
                <w:bCs/>
                <w:i/>
                <w:iCs/>
              </w:rPr>
              <w:t>összegekre</w:t>
            </w:r>
            <w:r w:rsidRPr="005F046F">
              <w:t xml:space="preserve"> </w:t>
            </w:r>
            <w:r w:rsidRPr="005F046F">
              <w:rPr>
                <w:b/>
                <w:bCs/>
                <w:i/>
                <w:iCs/>
              </w:rPr>
              <w:t>szorítkoznak</w:t>
            </w:r>
            <w:r w:rsidRPr="005F046F">
              <w:t>, ami aláássa a közzétett információk összehasonlíthatóságát, olvashatóságát és megbízhatóságát;</w:t>
            </w:r>
          </w:p>
        </w:tc>
        <w:tc>
          <w:tcPr>
            <w:tcW w:w="4876" w:type="dxa"/>
            <w:tcBorders>
              <w:top w:val="nil"/>
              <w:left w:val="nil"/>
              <w:bottom w:val="nil"/>
              <w:right w:val="nil"/>
            </w:tcBorders>
          </w:tcPr>
          <w:p w14:paraId="03116701" w14:textId="77777777" w:rsidR="000104F2" w:rsidRPr="005F046F" w:rsidRDefault="000104F2" w:rsidP="00565F8F">
            <w:pPr>
              <w:pStyle w:val="Normal6a"/>
            </w:pPr>
            <w:r w:rsidRPr="005F046F">
              <w:lastRenderedPageBreak/>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 és emlékeztet arra, hogy a „végső kedvezményezett” az az „utolsó szervezet”, amely forrásokat kap a Helyreállítási és </w:t>
            </w:r>
            <w:proofErr w:type="spellStart"/>
            <w:r w:rsidRPr="005F046F">
              <w:t>Rezilienciaépítési</w:t>
            </w:r>
            <w:proofErr w:type="spellEnd"/>
            <w:r w:rsidRPr="005F046F">
              <w:t xml:space="preserve"> Eszköz valamely intézkedéséhez, ezért a „végső kedvezményezettre” vonatkozó információkat rendelkezésre kell bocsátani; </w:t>
            </w:r>
            <w:r w:rsidRPr="005F046F">
              <w:rPr>
                <w:b/>
                <w:bCs/>
                <w:i/>
                <w:iCs/>
              </w:rPr>
              <w:t>üdvözli</w:t>
            </w:r>
            <w:r w:rsidRPr="005F046F">
              <w:t xml:space="preserve">, hogy a tagállamoknak a legmagasabb összegeket kapó 100 végső kedvezményezettre vonatkozó információkat kell </w:t>
            </w:r>
            <w:proofErr w:type="spellStart"/>
            <w:r w:rsidRPr="005F046F">
              <w:t>közzétenniük</w:t>
            </w:r>
            <w:proofErr w:type="spellEnd"/>
            <w:r w:rsidRPr="005F046F">
              <w:rPr>
                <w:b/>
                <w:bCs/>
                <w:i/>
                <w:iCs/>
              </w:rPr>
              <w:t>;</w:t>
            </w:r>
            <w:r w:rsidRPr="005F046F">
              <w:rPr>
                <w:b/>
                <w:i/>
              </w:rPr>
              <w:t xml:space="preserve"> </w:t>
            </w:r>
            <w:r w:rsidRPr="005F046F">
              <w:rPr>
                <w:b/>
                <w:bCs/>
                <w:i/>
                <w:iCs/>
              </w:rPr>
              <w:t>úgy véli azonban, hogy a 100 végső kedvezményezetten felüli információk közzététele növelné</w:t>
            </w:r>
            <w:r w:rsidRPr="005F046F">
              <w:t xml:space="preserve"> a kedvezményezettek</w:t>
            </w:r>
            <w:r w:rsidRPr="005F046F">
              <w:rPr>
                <w:b/>
                <w:bCs/>
                <w:i/>
                <w:iCs/>
              </w:rPr>
              <w:t xml:space="preserve"> teljes körének láthatóságát</w:t>
            </w:r>
            <w:r w:rsidRPr="005F046F">
              <w:t xml:space="preserve">, valamint </w:t>
            </w:r>
            <w:r w:rsidRPr="005F046F">
              <w:rPr>
                <w:b/>
                <w:bCs/>
                <w:i/>
                <w:iCs/>
              </w:rPr>
              <w:t>támogatná</w:t>
            </w:r>
            <w:r w:rsidRPr="005F046F">
              <w:t xml:space="preserve"> a csalás, a rossz gazdálkodás vagy az összeférhetetlenség kockázatainak </w:t>
            </w:r>
            <w:r w:rsidRPr="005F046F">
              <w:rPr>
                <w:b/>
                <w:bCs/>
                <w:i/>
                <w:iCs/>
              </w:rPr>
              <w:t>hatékony azonosítását</w:t>
            </w:r>
            <w:r w:rsidRPr="005F046F">
              <w:t xml:space="preserve">; rámutat arra, hogy </w:t>
            </w:r>
            <w:r w:rsidRPr="005F046F">
              <w:lastRenderedPageBreak/>
              <w:t xml:space="preserve">a nemzeti gyakorlatok vizsgálata jelentős eltéréseket tár fel a közzétételi módszerekben, mivel egyes tagállamok a ténylegesen kifizetett összegeket, mások csak az elkülönített összegeket jelentik be, míg mások csak részleges </w:t>
            </w:r>
            <w:r w:rsidRPr="005F046F">
              <w:rPr>
                <w:b/>
                <w:bCs/>
                <w:i/>
                <w:iCs/>
              </w:rPr>
              <w:t>adatokat</w:t>
            </w:r>
            <w:r w:rsidRPr="005F046F">
              <w:t xml:space="preserve"> vagy a nemzeti </w:t>
            </w:r>
            <w:r w:rsidRPr="005F046F">
              <w:rPr>
                <w:b/>
                <w:bCs/>
                <w:i/>
                <w:iCs/>
              </w:rPr>
              <w:t>finanszírozással</w:t>
            </w:r>
            <w:r w:rsidRPr="005F046F">
              <w:t xml:space="preserve"> kombinált </w:t>
            </w:r>
            <w:r w:rsidRPr="005F046F">
              <w:rPr>
                <w:b/>
                <w:bCs/>
                <w:i/>
                <w:iCs/>
              </w:rPr>
              <w:t>adatokat szolgáltatnak</w:t>
            </w:r>
            <w:r w:rsidRPr="005F046F">
              <w:t xml:space="preserve">, ami aláássa a közzétett információk összehasonlíthatóságát, olvashatóságát és megbízhatóságát; </w:t>
            </w:r>
            <w:r w:rsidRPr="005F046F">
              <w:rPr>
                <w:b/>
                <w:i/>
              </w:rPr>
              <w:t>ezért a tagállamok közötti következetes, összehasonlítható és felhasználható információk biztosítása érdekében az egész Unióra kiterjedő harmonizált közzétételi előírásokat szorgalmaz, a közös fogalommeghatározásokat és a géppel olvasható formátumokat is ideértve;</w:t>
            </w:r>
          </w:p>
        </w:tc>
      </w:tr>
    </w:tbl>
    <w:p w14:paraId="707B0C8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B9C442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FF1022E"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BED6E3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0EA9DCBF"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258637A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912826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6205BE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45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C07C8B3" w14:textId="77777777" w:rsidTr="00565F8F">
        <w:trPr>
          <w:trHeight w:hRule="exact" w:val="240"/>
          <w:jc w:val="center"/>
        </w:trPr>
        <w:tc>
          <w:tcPr>
            <w:tcW w:w="9752" w:type="dxa"/>
            <w:gridSpan w:val="2"/>
            <w:tcBorders>
              <w:top w:val="nil"/>
              <w:left w:val="nil"/>
              <w:bottom w:val="nil"/>
              <w:right w:val="nil"/>
            </w:tcBorders>
          </w:tcPr>
          <w:p w14:paraId="62720A73" w14:textId="77777777" w:rsidR="000104F2" w:rsidRPr="005F046F" w:rsidRDefault="000104F2" w:rsidP="00565F8F"/>
        </w:tc>
      </w:tr>
      <w:tr w:rsidR="006C656F" w:rsidRPr="005F046F" w14:paraId="08F8AFEC" w14:textId="77777777" w:rsidTr="00565F8F">
        <w:trPr>
          <w:trHeight w:val="240"/>
          <w:jc w:val="center"/>
        </w:trPr>
        <w:tc>
          <w:tcPr>
            <w:tcW w:w="4876" w:type="dxa"/>
            <w:tcBorders>
              <w:top w:val="nil"/>
              <w:left w:val="nil"/>
              <w:bottom w:val="nil"/>
              <w:right w:val="nil"/>
            </w:tcBorders>
          </w:tcPr>
          <w:p w14:paraId="61AB5C9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60BAD01" w14:textId="77777777" w:rsidR="000104F2" w:rsidRPr="005F046F" w:rsidRDefault="000104F2" w:rsidP="00565F8F">
            <w:pPr>
              <w:pStyle w:val="AmColumnHeading"/>
            </w:pPr>
            <w:r w:rsidRPr="005F046F">
              <w:t>Módosítás</w:t>
            </w:r>
          </w:p>
        </w:tc>
      </w:tr>
      <w:tr w:rsidR="006C656F" w:rsidRPr="005F046F" w14:paraId="495579E4" w14:textId="77777777" w:rsidTr="00565F8F">
        <w:trPr>
          <w:jc w:val="center"/>
        </w:trPr>
        <w:tc>
          <w:tcPr>
            <w:tcW w:w="4876" w:type="dxa"/>
            <w:tcBorders>
              <w:top w:val="nil"/>
              <w:left w:val="nil"/>
              <w:bottom w:val="nil"/>
              <w:right w:val="nil"/>
            </w:tcBorders>
          </w:tcPr>
          <w:p w14:paraId="478198D2" w14:textId="77777777" w:rsidR="000104F2" w:rsidRPr="005F046F" w:rsidRDefault="000104F2" w:rsidP="00565F8F">
            <w:pPr>
              <w:pStyle w:val="Normal6a"/>
            </w:pPr>
            <w:r w:rsidRPr="005F046F">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w:t>
            </w:r>
            <w:r w:rsidRPr="005F046F">
              <w:rPr>
                <w:b/>
                <w:bCs/>
                <w:i/>
                <w:iCs/>
              </w:rPr>
              <w:t xml:space="preserve">, és emlékeztet arra, hogy a „végső kedvezményezett” az az „utolsó szervezet”, amely forrásokat kap a Helyreállítási és </w:t>
            </w:r>
            <w:proofErr w:type="spellStart"/>
            <w:r w:rsidRPr="005F046F">
              <w:rPr>
                <w:b/>
                <w:bCs/>
                <w:i/>
                <w:iCs/>
              </w:rPr>
              <w:t>Rezilienciaépítési</w:t>
            </w:r>
            <w:proofErr w:type="spellEnd"/>
            <w:r w:rsidRPr="005F046F">
              <w:rPr>
                <w:b/>
                <w:bCs/>
                <w:i/>
                <w:iCs/>
              </w:rPr>
              <w:t xml:space="preserve"> Eszköz valamely intézkedéséhez, ezért a „végső kedvezményezettre” vonatkozó információkat rendelkezésre kell bocsátani</w:t>
            </w:r>
            <w:r w:rsidRPr="005F046F">
              <w:t xml:space="preserve">; sajnálatát fejezi ki amiatt, hogy a tagállamoknak csak a legmagasabb összegeket kapó 100 végső kedvezményezettre vonatkozó információkat kell </w:t>
            </w:r>
            <w:proofErr w:type="spellStart"/>
            <w:r w:rsidRPr="005F046F">
              <w:t>közzétenniük</w:t>
            </w:r>
            <w:proofErr w:type="spellEnd"/>
            <w:r w:rsidRPr="005F046F">
              <w:t xml:space="preserve">, ami önkényes korlátot jelent, amely </w:t>
            </w:r>
            <w:r w:rsidRPr="005F046F">
              <w:lastRenderedPageBreak/>
              <w:t>megakadályozza a kedvezményezettek tényleges többségének, valamint a csalás, a rossz gazdálkodás vagy az összeférhetetlenség lehetséges kockázatainak láthatóságát; rámutat arra, hogy a nemzeti gyakorlatok vizsgálata jelentős eltéréseket tár fel a közzétételi módszerekben, mivel egyes tagállamok a ténylegesen kifizetett összegeket, mások csak az elkülönített összegeket jelentik be, míg mások csak részleges adatokra, vagy a nemzeti forrásokkal kombinált összegekre szorítkoznak, ami aláássa a közzétett információk összehasonlíthatóságát, olvashatóságát és megbízhatóságát;</w:t>
            </w:r>
          </w:p>
        </w:tc>
        <w:tc>
          <w:tcPr>
            <w:tcW w:w="4876" w:type="dxa"/>
            <w:tcBorders>
              <w:top w:val="nil"/>
              <w:left w:val="nil"/>
              <w:bottom w:val="nil"/>
              <w:right w:val="nil"/>
            </w:tcBorders>
          </w:tcPr>
          <w:p w14:paraId="51D090F2" w14:textId="03B68055" w:rsidR="000104F2" w:rsidRPr="005F046F" w:rsidRDefault="000104F2" w:rsidP="00565F8F">
            <w:pPr>
              <w:pStyle w:val="Normal6a"/>
            </w:pPr>
            <w:r w:rsidRPr="005F046F">
              <w:lastRenderedPageBreak/>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 sajnálatát fejezi ki amiatt, hogy a tagállamoknak csak a legmagasabb összegeket kapó 100 végső kedvezményezettre vonatkozó információkat kell </w:t>
            </w:r>
            <w:proofErr w:type="spellStart"/>
            <w:r w:rsidRPr="005F046F">
              <w:t>közzétenniük</w:t>
            </w:r>
            <w:proofErr w:type="spellEnd"/>
            <w:r w:rsidRPr="005F046F">
              <w:t xml:space="preserve">, ami önkényes korlátot jelent, amely megakadályozza a kedvezményezettek tényleges többségének, valamint a csalás, a rossz gazdálkodás vagy az összeférhetetlenség lehetséges kockázatainak láthatóságát; rámutat arra, hogy a nemzeti gyakorlatok vizsgálata jelentős eltéréseket tár fel a közzétételi </w:t>
            </w:r>
            <w:r w:rsidRPr="005F046F">
              <w:lastRenderedPageBreak/>
              <w:t xml:space="preserve">módszerekben, mivel egyes tagállamok a ténylegesen kifizetett összegeket, mások csak az elkülönített összegeket jelentik be, míg mások csak részleges adatokra, vagy a nemzeti forrásokkal kombinált összegekre szorítkoznak, ami aláássa a közzétett információk összehasonlíthatóságát, olvashatóságát és megbízhatóságát; </w:t>
            </w:r>
            <w:r w:rsidRPr="005F046F">
              <w:rPr>
                <w:b/>
                <w:i/>
              </w:rPr>
              <w:t xml:space="preserve">a tagállamokban a Helyreállítási és </w:t>
            </w:r>
            <w:proofErr w:type="spellStart"/>
            <w:r w:rsidRPr="005F046F">
              <w:rPr>
                <w:b/>
                <w:i/>
              </w:rPr>
              <w:t>Rezilienciaépítési</w:t>
            </w:r>
            <w:proofErr w:type="spellEnd"/>
            <w:r w:rsidRPr="005F046F">
              <w:rPr>
                <w:b/>
                <w:i/>
              </w:rPr>
              <w:t xml:space="preserve"> Eszközből finanszírozott intézkedések végső kedvezményezettjei és a tényleges tulajdonosok teljes listájának harmonizált, géppel olvasható formátumban történő közzétételét szorgalmazza a hatékony nyilvános ellenőrzés és kockázatelemzés lehetővé tétele érdekében, biztosítva ugyanakkor az adatvédelmi szabályoknak való teljes körű megfelelést; hangsúlyozza, hogy a jövőbeli többéves pénzügyi keretben egységes ellenőrzési visszakövethetőségre van szükség, amely lehetővé teszi a finanszírozott projektek és a végső kedvezményezettek – azaz a gazdasági szereplők, nem pedig a fogadó közigazgatási egységek – számára nyújtott költségvetési hozzájárulások nyomon követését;</w:t>
            </w:r>
          </w:p>
        </w:tc>
      </w:tr>
    </w:tbl>
    <w:p w14:paraId="6F3201D5"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C7D38B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1A81D5A"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597AF81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t xml:space="preserve">, </w:t>
      </w:r>
      <w:proofErr w:type="spellStart"/>
      <w:r w:rsidRPr="005F046F">
        <w:t>Şerban</w:t>
      </w:r>
      <w:proofErr w:type="spellEnd"/>
      <w:r w:rsidRPr="005F046F">
        <w:t xml:space="preserve"> </w:t>
      </w:r>
      <w:proofErr w:type="spellStart"/>
      <w:r w:rsidRPr="005F046F">
        <w:t>Dimitrie</w:t>
      </w:r>
      <w:proofErr w:type="spellEnd"/>
      <w:r w:rsidRPr="005F046F">
        <w:t xml:space="preserve"> </w:t>
      </w:r>
      <w:proofErr w:type="spellStart"/>
      <w:r w:rsidRPr="005F046F">
        <w:t>Sturdza</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D8D3219"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CC7C07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62ECDA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45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20A1384" w14:textId="77777777" w:rsidTr="00565F8F">
        <w:trPr>
          <w:trHeight w:hRule="exact" w:val="240"/>
          <w:jc w:val="center"/>
        </w:trPr>
        <w:tc>
          <w:tcPr>
            <w:tcW w:w="9752" w:type="dxa"/>
            <w:gridSpan w:val="2"/>
            <w:tcBorders>
              <w:top w:val="nil"/>
              <w:left w:val="nil"/>
              <w:bottom w:val="nil"/>
              <w:right w:val="nil"/>
            </w:tcBorders>
          </w:tcPr>
          <w:p w14:paraId="2C952DC8" w14:textId="77777777" w:rsidR="000104F2" w:rsidRPr="005F046F" w:rsidRDefault="000104F2" w:rsidP="00565F8F"/>
        </w:tc>
      </w:tr>
      <w:tr w:rsidR="006C656F" w:rsidRPr="005F046F" w14:paraId="30A9CBF0" w14:textId="77777777" w:rsidTr="00565F8F">
        <w:trPr>
          <w:trHeight w:val="240"/>
          <w:jc w:val="center"/>
        </w:trPr>
        <w:tc>
          <w:tcPr>
            <w:tcW w:w="4876" w:type="dxa"/>
            <w:tcBorders>
              <w:top w:val="nil"/>
              <w:left w:val="nil"/>
              <w:bottom w:val="nil"/>
              <w:right w:val="nil"/>
            </w:tcBorders>
          </w:tcPr>
          <w:p w14:paraId="079BA232"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78AA19B9" w14:textId="77777777" w:rsidR="000104F2" w:rsidRPr="005F046F" w:rsidRDefault="000104F2" w:rsidP="00565F8F">
            <w:pPr>
              <w:pStyle w:val="AmColumnHeading"/>
            </w:pPr>
            <w:r w:rsidRPr="005F046F">
              <w:t>Módosítás</w:t>
            </w:r>
          </w:p>
        </w:tc>
      </w:tr>
      <w:tr w:rsidR="006C656F" w:rsidRPr="005F046F" w14:paraId="6F01C8E3" w14:textId="77777777" w:rsidTr="00565F8F">
        <w:trPr>
          <w:jc w:val="center"/>
        </w:trPr>
        <w:tc>
          <w:tcPr>
            <w:tcW w:w="4876" w:type="dxa"/>
            <w:tcBorders>
              <w:top w:val="nil"/>
              <w:left w:val="nil"/>
              <w:bottom w:val="nil"/>
              <w:right w:val="nil"/>
            </w:tcBorders>
          </w:tcPr>
          <w:p w14:paraId="7D01883B" w14:textId="77777777" w:rsidR="000104F2" w:rsidRPr="005F046F" w:rsidRDefault="000104F2" w:rsidP="00565F8F">
            <w:pPr>
              <w:pStyle w:val="Normal6a"/>
            </w:pPr>
            <w:r w:rsidRPr="005F046F">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 és emlékeztet arra, hogy a „végső kedvezményezett” az az „utolsó szervezet”, amely forrásokat kap a Helyreállítási és </w:t>
            </w:r>
            <w:proofErr w:type="spellStart"/>
            <w:r w:rsidRPr="005F046F">
              <w:lastRenderedPageBreak/>
              <w:t>Rezilienciaépítési</w:t>
            </w:r>
            <w:proofErr w:type="spellEnd"/>
            <w:r w:rsidRPr="005F046F">
              <w:t xml:space="preserve"> Eszköz valamely intézkedéséhez, ezért a „végső kedvezményezettre” vonatkozó információkat rendelkezésre kell bocsátani; sajnálatát fejezi ki amiatt, hogy a tagállamoknak csak a legmagasabb összegeket kapó 100 végső kedvezményezettre vonatkozó információkat kell </w:t>
            </w:r>
            <w:proofErr w:type="spellStart"/>
            <w:r w:rsidRPr="005F046F">
              <w:t>közzétenniük</w:t>
            </w:r>
            <w:proofErr w:type="spellEnd"/>
            <w:r w:rsidRPr="005F046F">
              <w:t>, ami önkényes korlátot jelent, amely megakadályozza a kedvezményezettek tényleges többségének, valamint a csalás, a rossz gazdálkodás vagy az összeférhetetlenség lehetséges kockázatainak láthatóságát; rámutat arra, hogy a nemzeti gyakorlatok vizsgálata jelentős eltéréseket tár fel a közzétételi módszerekben, mivel egyes tagállamok a ténylegesen kifizetett összegeket, mások csak az elkülönített összegeket jelentik be, míg mások csak részleges adatokra, vagy a nemzeti forrásokkal kombinált összegekre szorítkoznak, ami aláássa a közzétett információk összehasonlíthatóságát, olvashatóságát és megbízhatóságát;</w:t>
            </w:r>
          </w:p>
        </w:tc>
        <w:tc>
          <w:tcPr>
            <w:tcW w:w="4876" w:type="dxa"/>
            <w:tcBorders>
              <w:top w:val="nil"/>
              <w:left w:val="nil"/>
              <w:bottom w:val="nil"/>
              <w:right w:val="nil"/>
            </w:tcBorders>
          </w:tcPr>
          <w:p w14:paraId="3ED43BAA" w14:textId="77777777" w:rsidR="000104F2" w:rsidRPr="005F046F" w:rsidRDefault="000104F2" w:rsidP="00565F8F">
            <w:pPr>
              <w:pStyle w:val="Normal6a"/>
            </w:pPr>
            <w:r w:rsidRPr="005F046F">
              <w:lastRenderedPageBreak/>
              <w:t>45.</w:t>
            </w:r>
            <w:r w:rsidRPr="005F046F">
              <w:tab/>
              <w:t xml:space="preserve">hangsúlyozza, hogy nagyobb átláthatóságra van szükség a Helyreállítási és </w:t>
            </w:r>
            <w:proofErr w:type="spellStart"/>
            <w:r w:rsidRPr="005F046F">
              <w:t>Rezilienciaépítési</w:t>
            </w:r>
            <w:proofErr w:type="spellEnd"/>
            <w:r w:rsidRPr="005F046F">
              <w:t xml:space="preserve"> Eszköz végrehajtása során, és emlékeztet arra, hogy a „végső kedvezményezett” az az „utolsó szervezet”, amely forrásokat kap a Helyreállítási és </w:t>
            </w:r>
            <w:proofErr w:type="spellStart"/>
            <w:r w:rsidRPr="005F046F">
              <w:lastRenderedPageBreak/>
              <w:t>Rezilienciaépítési</w:t>
            </w:r>
            <w:proofErr w:type="spellEnd"/>
            <w:r w:rsidRPr="005F046F">
              <w:t xml:space="preserve"> Eszköz valamely intézkedéséhez, ezért a „végső kedvezményezettre” vonatkozó információkat rendelkezésre kell bocsátani; sajnálatát fejezi ki amiatt, hogy a tagállamoknak csak a legmagasabb összegeket kapó 100 végső kedvezményezettre vonatkozó információkat kell </w:t>
            </w:r>
            <w:proofErr w:type="spellStart"/>
            <w:r w:rsidRPr="005F046F">
              <w:t>közzétenniük</w:t>
            </w:r>
            <w:proofErr w:type="spellEnd"/>
            <w:r w:rsidRPr="005F046F">
              <w:t xml:space="preserve">, ami önkényes korlátot jelent, amely megakadályozza a kedvezményezettek tényleges többségének, valamint a csalás, a rossz gazdálkodás vagy az összeférhetetlenség lehetséges kockázatainak láthatóságát; rámutat arra, hogy a nemzeti gyakorlatok vizsgálata jelentős eltéréseket tár fel a közzétételi módszerekben, mivel egyes tagállamok a ténylegesen kifizetett összegeket, mások csak az elkülönített összegeket jelentik be, míg mások csak részleges adatokra, vagy a nemzeti forrásokkal kombinált összegekre szorítkoznak, ami aláássa a közzétett információk összehasonlíthatóságát, olvashatóságát és megbízhatóságát; </w:t>
            </w:r>
            <w:r w:rsidRPr="005F046F">
              <w:rPr>
                <w:b/>
                <w:i/>
              </w:rPr>
              <w:t>kéri, hogy tegyék közzé az összes végső kedvezményezettet tartalmazó teljes listát valamennyi tagállam szabványosított jelentéstételi formátumával együtt;</w:t>
            </w:r>
          </w:p>
        </w:tc>
      </w:tr>
    </w:tbl>
    <w:p w14:paraId="3284AE64"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27230AF8"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189AC1BC"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159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0407108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1E12E776"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5646657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5AF90F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B5A6FC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45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626C05C" w14:textId="77777777" w:rsidTr="00565F8F">
        <w:trPr>
          <w:trHeight w:hRule="exact" w:val="240"/>
          <w:jc w:val="center"/>
        </w:trPr>
        <w:tc>
          <w:tcPr>
            <w:tcW w:w="9752" w:type="dxa"/>
            <w:gridSpan w:val="2"/>
            <w:tcBorders>
              <w:top w:val="nil"/>
              <w:left w:val="nil"/>
              <w:bottom w:val="nil"/>
              <w:right w:val="nil"/>
            </w:tcBorders>
          </w:tcPr>
          <w:p w14:paraId="777E5F9B" w14:textId="77777777" w:rsidR="000104F2" w:rsidRPr="005F046F" w:rsidRDefault="000104F2" w:rsidP="00565F8F"/>
        </w:tc>
      </w:tr>
      <w:tr w:rsidR="006C656F" w:rsidRPr="005F046F" w14:paraId="3B9098C1" w14:textId="77777777" w:rsidTr="00565F8F">
        <w:trPr>
          <w:trHeight w:val="240"/>
          <w:jc w:val="center"/>
        </w:trPr>
        <w:tc>
          <w:tcPr>
            <w:tcW w:w="4876" w:type="dxa"/>
            <w:tcBorders>
              <w:top w:val="nil"/>
              <w:left w:val="nil"/>
              <w:bottom w:val="nil"/>
              <w:right w:val="nil"/>
            </w:tcBorders>
          </w:tcPr>
          <w:p w14:paraId="57AE576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565CA772" w14:textId="77777777" w:rsidR="000104F2" w:rsidRPr="005F046F" w:rsidRDefault="000104F2" w:rsidP="00565F8F">
            <w:pPr>
              <w:pStyle w:val="AmColumnHeading"/>
            </w:pPr>
            <w:r w:rsidRPr="005F046F">
              <w:t>Módosítás</w:t>
            </w:r>
          </w:p>
        </w:tc>
      </w:tr>
      <w:tr w:rsidR="006C656F" w:rsidRPr="005F046F" w14:paraId="661FC2D0" w14:textId="77777777" w:rsidTr="00565F8F">
        <w:trPr>
          <w:jc w:val="center"/>
        </w:trPr>
        <w:tc>
          <w:tcPr>
            <w:tcW w:w="4876" w:type="dxa"/>
            <w:tcBorders>
              <w:top w:val="nil"/>
              <w:left w:val="nil"/>
              <w:bottom w:val="nil"/>
              <w:right w:val="nil"/>
            </w:tcBorders>
          </w:tcPr>
          <w:p w14:paraId="354103DF" w14:textId="77777777" w:rsidR="000104F2" w:rsidRPr="005F046F" w:rsidRDefault="000104F2" w:rsidP="00565F8F">
            <w:pPr>
              <w:pStyle w:val="Normal6a"/>
            </w:pPr>
          </w:p>
        </w:tc>
        <w:tc>
          <w:tcPr>
            <w:tcW w:w="4876" w:type="dxa"/>
            <w:tcBorders>
              <w:top w:val="nil"/>
              <w:left w:val="nil"/>
              <w:bottom w:val="nil"/>
              <w:right w:val="nil"/>
            </w:tcBorders>
          </w:tcPr>
          <w:p w14:paraId="1A3E6119" w14:textId="77777777" w:rsidR="000104F2" w:rsidRPr="005F046F" w:rsidRDefault="000104F2" w:rsidP="00565F8F">
            <w:pPr>
              <w:pStyle w:val="Normal6a"/>
            </w:pPr>
            <w:r w:rsidRPr="005F046F">
              <w:rPr>
                <w:b/>
                <w:i/>
              </w:rPr>
              <w:t>45a.</w:t>
            </w:r>
            <w:r w:rsidRPr="005F046F">
              <w:tab/>
            </w:r>
            <w:r w:rsidRPr="005F046F">
              <w:rPr>
                <w:b/>
                <w:i/>
              </w:rPr>
              <w:t xml:space="preserve">kéri a Bizottságot, hogy a Helyreállítási és </w:t>
            </w:r>
            <w:proofErr w:type="spellStart"/>
            <w:r w:rsidRPr="005F046F">
              <w:rPr>
                <w:b/>
                <w:i/>
              </w:rPr>
              <w:t>Rezilienciaépítési</w:t>
            </w:r>
            <w:proofErr w:type="spellEnd"/>
            <w:r w:rsidRPr="005F046F">
              <w:rPr>
                <w:b/>
                <w:i/>
              </w:rPr>
              <w:t xml:space="preserve"> Eszközzel kapcsolatos valamennyi esetben kötelező jelleggel vezesse be, hogy a szabálytalanságkezelő rendszeren </w:t>
            </w:r>
            <w:r w:rsidRPr="005F046F">
              <w:rPr>
                <w:b/>
                <w:i/>
              </w:rPr>
              <w:lastRenderedPageBreak/>
              <w:t xml:space="preserve">keresztül jelentsék a csalást és a szabálytalanságokat, így biztosítva a Helyreállítási és </w:t>
            </w:r>
            <w:proofErr w:type="spellStart"/>
            <w:r w:rsidRPr="005F046F">
              <w:rPr>
                <w:b/>
                <w:i/>
              </w:rPr>
              <w:t>Rezilienciaépítési</w:t>
            </w:r>
            <w:proofErr w:type="spellEnd"/>
            <w:r w:rsidRPr="005F046F">
              <w:rPr>
                <w:b/>
                <w:i/>
              </w:rPr>
              <w:t xml:space="preserve"> Eszköz forrásait érintő szabálytalanságok és csalások módszeres nyilvántartását, összehasonlíthatóságát és nyomon követését;</w:t>
            </w:r>
          </w:p>
        </w:tc>
      </w:tr>
    </w:tbl>
    <w:p w14:paraId="6B819162"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4B3450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67F58C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E7CD2B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5AC477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D3F692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4B2598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8D564FC" w14:textId="77777777" w:rsidTr="00565F8F">
        <w:trPr>
          <w:trHeight w:hRule="exact" w:val="240"/>
          <w:jc w:val="center"/>
        </w:trPr>
        <w:tc>
          <w:tcPr>
            <w:tcW w:w="9752" w:type="dxa"/>
            <w:gridSpan w:val="2"/>
            <w:tcBorders>
              <w:top w:val="nil"/>
              <w:left w:val="nil"/>
              <w:bottom w:val="nil"/>
              <w:right w:val="nil"/>
            </w:tcBorders>
          </w:tcPr>
          <w:p w14:paraId="2921981D" w14:textId="77777777" w:rsidR="000104F2" w:rsidRPr="005F046F" w:rsidRDefault="000104F2" w:rsidP="00565F8F"/>
        </w:tc>
      </w:tr>
      <w:tr w:rsidR="006C656F" w:rsidRPr="005F046F" w14:paraId="7D1CC0F3" w14:textId="77777777" w:rsidTr="00565F8F">
        <w:trPr>
          <w:trHeight w:val="240"/>
          <w:jc w:val="center"/>
        </w:trPr>
        <w:tc>
          <w:tcPr>
            <w:tcW w:w="4876" w:type="dxa"/>
            <w:tcBorders>
              <w:top w:val="nil"/>
              <w:left w:val="nil"/>
              <w:bottom w:val="nil"/>
              <w:right w:val="nil"/>
            </w:tcBorders>
          </w:tcPr>
          <w:p w14:paraId="7D8FBFDB"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EC02A20" w14:textId="77777777" w:rsidR="000104F2" w:rsidRPr="005F046F" w:rsidRDefault="000104F2" w:rsidP="00565F8F">
            <w:pPr>
              <w:pStyle w:val="AmColumnHeading"/>
            </w:pPr>
            <w:r w:rsidRPr="005F046F">
              <w:t>Módosítás</w:t>
            </w:r>
          </w:p>
        </w:tc>
      </w:tr>
      <w:tr w:rsidR="006C656F" w:rsidRPr="005F046F" w14:paraId="186EB0B5" w14:textId="77777777" w:rsidTr="00565F8F">
        <w:trPr>
          <w:jc w:val="center"/>
        </w:trPr>
        <w:tc>
          <w:tcPr>
            <w:tcW w:w="4876" w:type="dxa"/>
            <w:tcBorders>
              <w:top w:val="nil"/>
              <w:left w:val="nil"/>
              <w:bottom w:val="nil"/>
              <w:right w:val="nil"/>
            </w:tcBorders>
          </w:tcPr>
          <w:p w14:paraId="53231460" w14:textId="77777777" w:rsidR="000104F2" w:rsidRPr="005F046F" w:rsidRDefault="000104F2" w:rsidP="00565F8F">
            <w:pPr>
              <w:pStyle w:val="Normal6a"/>
            </w:pPr>
            <w:r w:rsidRPr="005F046F">
              <w:t>46.</w:t>
            </w:r>
            <w:r w:rsidRPr="005F046F">
              <w:tab/>
              <w:t xml:space="preserve">ismételten felhívja a Bizottságot, hogy erősítse meg az abból eredő kettős finanszírozás kockázatára vonatkozó ellenőrzéseit, hogy mind az uniós költségvetésből, mind a Helyreállítási és </w:t>
            </w:r>
            <w:proofErr w:type="spellStart"/>
            <w:r w:rsidRPr="005F046F">
              <w:t>Rezilienciaépítési</w:t>
            </w:r>
            <w:proofErr w:type="spellEnd"/>
            <w:r w:rsidRPr="005F046F">
              <w:t xml:space="preserve"> Eszközből hasonló területeken – például a közlekedési és energetikai infrastruktúrában – hasonló intézkedéseket finanszíroznak, amit a Helyreállítási és </w:t>
            </w:r>
            <w:proofErr w:type="spellStart"/>
            <w:r w:rsidRPr="005F046F">
              <w:t>Rezilienciaépítési</w:t>
            </w:r>
            <w:proofErr w:type="spellEnd"/>
            <w:r w:rsidRPr="005F046F">
              <w:t xml:space="preserve"> Eszköz és más uniós eszközök közötti szokásos kiegészítő jelleg tesz lehetővé; emlékeztet arra, hogy a Helyreállítási és </w:t>
            </w:r>
            <w:proofErr w:type="spellStart"/>
            <w:r w:rsidRPr="005F046F">
              <w:t>Rezilienciaépítési</w:t>
            </w:r>
            <w:proofErr w:type="spellEnd"/>
            <w:r w:rsidRPr="005F046F">
              <w:t xml:space="preserve"> Eszköz nem a ténylegesen felmerült költségek megtérítéséhez kapcsolódik, hanem inkább olyan mérföldkövek és célok elérését jutalmazza, amelyeket teljes mértékben a Helyreállítási és </w:t>
            </w:r>
            <w:proofErr w:type="spellStart"/>
            <w:r w:rsidRPr="005F046F">
              <w:t>Rezilienciaépítési</w:t>
            </w:r>
            <w:proofErr w:type="spellEnd"/>
            <w:r w:rsidRPr="005F046F">
              <w:t xml:space="preserve"> Eszköztől eltérő forrásokból lehetett volna finanszírozni, anélkül, hogy ezt a Helyreállítási és </w:t>
            </w:r>
            <w:proofErr w:type="spellStart"/>
            <w:r w:rsidRPr="005F046F">
              <w:t>Rezilienciaépítési</w:t>
            </w:r>
            <w:proofErr w:type="spellEnd"/>
            <w:r w:rsidRPr="005F046F">
              <w:t xml:space="preserve"> Eszközben a ténylegesen felmerült költségek megtérítésével való kapcsolat hiánya miatt meg lehetne jegyezni; úgy véli, hogy a korlátozott adatcsere és az ARACHNE-</w:t>
            </w:r>
            <w:proofErr w:type="spellStart"/>
            <w:r w:rsidRPr="005F046F">
              <w:t>hez</w:t>
            </w:r>
            <w:proofErr w:type="spellEnd"/>
            <w:r w:rsidRPr="005F046F">
              <w:t xml:space="preserve"> hasonló adatbányászati eszközök elégtelen használata, valamint a </w:t>
            </w:r>
            <w:r w:rsidRPr="005F046F">
              <w:lastRenderedPageBreak/>
              <w:t xml:space="preserve">Helyreállítási és </w:t>
            </w:r>
            <w:proofErr w:type="spellStart"/>
            <w:r w:rsidRPr="005F046F">
              <w:t>Rezilienciaépítési</w:t>
            </w:r>
            <w:proofErr w:type="spellEnd"/>
            <w:r w:rsidRPr="005F046F">
              <w:t xml:space="preserve"> Eszköz végső kedvezményezettjeinek teljes listájához való közvetlen hozzáférés hiánya növeli a kockázat szintjét; üdvözli, hogy egyes tagállamok a Helyreállítási és </w:t>
            </w:r>
            <w:proofErr w:type="spellStart"/>
            <w:r w:rsidRPr="005F046F">
              <w:t>Rezilienciaépítési</w:t>
            </w:r>
            <w:proofErr w:type="spellEnd"/>
            <w:r w:rsidRPr="005F046F">
              <w:t xml:space="preserve"> Eszköz más uniós eszközökkel való kombinálásának elkerülésére elővigyázatossági intézkedéseket hoztak a kettős finanszírozás kockázatának csökkentése érdekében;</w:t>
            </w:r>
          </w:p>
        </w:tc>
        <w:tc>
          <w:tcPr>
            <w:tcW w:w="4876" w:type="dxa"/>
            <w:tcBorders>
              <w:top w:val="nil"/>
              <w:left w:val="nil"/>
              <w:bottom w:val="nil"/>
              <w:right w:val="nil"/>
            </w:tcBorders>
          </w:tcPr>
          <w:p w14:paraId="03D18883" w14:textId="77777777" w:rsidR="000104F2" w:rsidRPr="005F046F" w:rsidRDefault="000104F2" w:rsidP="00565F8F">
            <w:pPr>
              <w:pStyle w:val="Normal6a"/>
            </w:pPr>
            <w:r w:rsidRPr="005F046F">
              <w:lastRenderedPageBreak/>
              <w:t>46.</w:t>
            </w:r>
            <w:r w:rsidRPr="005F046F">
              <w:tab/>
              <w:t xml:space="preserve">ismételten felhívja a Bizottságot, hogy erősítse meg az abból eredő kettős finanszírozás kockázatára vonatkozó ellenőrzéseit, hogy mind az uniós költségvetésből, mind a Helyreállítási és </w:t>
            </w:r>
            <w:proofErr w:type="spellStart"/>
            <w:r w:rsidRPr="005F046F">
              <w:t>Rezilienciaépítési</w:t>
            </w:r>
            <w:proofErr w:type="spellEnd"/>
            <w:r w:rsidRPr="005F046F">
              <w:t xml:space="preserve"> Eszközből hasonló területeken – például a közlekedési és energetikai infrastruktúrában – hasonló intézkedéseket finanszíroznak, amit a Helyreállítási és </w:t>
            </w:r>
            <w:proofErr w:type="spellStart"/>
            <w:r w:rsidRPr="005F046F">
              <w:t>Rezilienciaépítési</w:t>
            </w:r>
            <w:proofErr w:type="spellEnd"/>
            <w:r w:rsidRPr="005F046F">
              <w:t xml:space="preserve"> Eszköz és más uniós eszközök közötti szokásos kiegészítő jelleg tesz lehetővé; emlékeztet arra, hogy a Helyreállítási és </w:t>
            </w:r>
            <w:proofErr w:type="spellStart"/>
            <w:r w:rsidRPr="005F046F">
              <w:t>Rezilienciaépítési</w:t>
            </w:r>
            <w:proofErr w:type="spellEnd"/>
            <w:r w:rsidRPr="005F046F">
              <w:t xml:space="preserve"> Eszköz nem a ténylegesen felmerült költségek megtérítéséhez kapcsolódik, hanem inkább olyan mérföldkövek és célok elérését jutalmazza, amelyeket teljes mértékben a Helyreállítási és </w:t>
            </w:r>
            <w:proofErr w:type="spellStart"/>
            <w:r w:rsidRPr="005F046F">
              <w:t>Rezilienciaépítési</w:t>
            </w:r>
            <w:proofErr w:type="spellEnd"/>
            <w:r w:rsidRPr="005F046F">
              <w:t xml:space="preserve"> Eszköztől eltérő forrásokból lehetett volna finanszírozni, anélkül, hogy ezt a Helyreállítási és </w:t>
            </w:r>
            <w:proofErr w:type="spellStart"/>
            <w:r w:rsidRPr="005F046F">
              <w:t>Rezilienciaépítési</w:t>
            </w:r>
            <w:proofErr w:type="spellEnd"/>
            <w:r w:rsidRPr="005F046F">
              <w:t xml:space="preserve"> Eszközben a ténylegesen felmerült költségek megtérítésével való kapcsolat hiánya miatt meg lehetne jegyezni; úgy véli, hogy a korlátozott adatcsere és az ARACHNE-</w:t>
            </w:r>
            <w:proofErr w:type="spellStart"/>
            <w:r w:rsidRPr="005F046F">
              <w:t>hez</w:t>
            </w:r>
            <w:proofErr w:type="spellEnd"/>
            <w:r w:rsidRPr="005F046F">
              <w:t xml:space="preserve"> hasonló adatbányászati eszközök elégtelen használata, valamint a </w:t>
            </w:r>
            <w:r w:rsidRPr="005F046F">
              <w:lastRenderedPageBreak/>
              <w:t xml:space="preserve">Helyreállítási és </w:t>
            </w:r>
            <w:proofErr w:type="spellStart"/>
            <w:r w:rsidRPr="005F046F">
              <w:t>Rezilienciaépítési</w:t>
            </w:r>
            <w:proofErr w:type="spellEnd"/>
            <w:r w:rsidRPr="005F046F">
              <w:t xml:space="preserve"> Eszköz végső kedvezményezettjeinek teljes listájához való közvetlen hozzáférés hiánya növeli a kockázat szintjét; üdvözli, hogy egyes tagállamok a Helyreállítási és </w:t>
            </w:r>
            <w:proofErr w:type="spellStart"/>
            <w:r w:rsidRPr="005F046F">
              <w:t>Rezilienciaépítési</w:t>
            </w:r>
            <w:proofErr w:type="spellEnd"/>
            <w:r w:rsidRPr="005F046F">
              <w:t xml:space="preserve"> Eszköz más uniós eszközökkel való kombinálásának elkerülésére elővigyázatossági intézkedéseket hoztak a kettős finanszírozás kockázatának csökkentése érdekében; </w:t>
            </w:r>
            <w:r w:rsidRPr="005F046F">
              <w:rPr>
                <w:b/>
                <w:i/>
              </w:rPr>
              <w:t>ismételten kéri a Bizottságot, hogy tartson fenn megfelelő utólagos ellenőrzési eljárásokat, és fordítson kiemelt figyelmet a kifizetés utáni visszaállás kockázatára a korábban ellenőrzött és kielégítően teljesítettként értékelt célok elérése tekintetében;</w:t>
            </w:r>
          </w:p>
        </w:tc>
      </w:tr>
    </w:tbl>
    <w:p w14:paraId="697DBC2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17A94C4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03E097F"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6FEF85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5E8B26EF"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1B617F8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0667578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4595DA4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46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E819D6F" w14:textId="77777777" w:rsidTr="00565F8F">
        <w:trPr>
          <w:trHeight w:hRule="exact" w:val="240"/>
          <w:jc w:val="center"/>
        </w:trPr>
        <w:tc>
          <w:tcPr>
            <w:tcW w:w="9752" w:type="dxa"/>
            <w:gridSpan w:val="2"/>
            <w:tcBorders>
              <w:top w:val="nil"/>
              <w:left w:val="nil"/>
              <w:bottom w:val="nil"/>
              <w:right w:val="nil"/>
            </w:tcBorders>
          </w:tcPr>
          <w:p w14:paraId="20E43994" w14:textId="77777777" w:rsidR="000104F2" w:rsidRPr="005F046F" w:rsidRDefault="000104F2" w:rsidP="00565F8F"/>
        </w:tc>
      </w:tr>
      <w:tr w:rsidR="006C656F" w:rsidRPr="005F046F" w14:paraId="35D36E18" w14:textId="77777777" w:rsidTr="00565F8F">
        <w:trPr>
          <w:trHeight w:val="240"/>
          <w:jc w:val="center"/>
        </w:trPr>
        <w:tc>
          <w:tcPr>
            <w:tcW w:w="4876" w:type="dxa"/>
            <w:tcBorders>
              <w:top w:val="nil"/>
              <w:left w:val="nil"/>
              <w:bottom w:val="nil"/>
              <w:right w:val="nil"/>
            </w:tcBorders>
          </w:tcPr>
          <w:p w14:paraId="7D818DC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E28FF34" w14:textId="77777777" w:rsidR="000104F2" w:rsidRPr="005F046F" w:rsidRDefault="000104F2" w:rsidP="00565F8F">
            <w:pPr>
              <w:pStyle w:val="AmColumnHeading"/>
            </w:pPr>
            <w:r w:rsidRPr="005F046F">
              <w:t>Módosítás</w:t>
            </w:r>
          </w:p>
        </w:tc>
      </w:tr>
      <w:tr w:rsidR="006C656F" w:rsidRPr="005F046F" w14:paraId="5D5F8BF5" w14:textId="77777777" w:rsidTr="00565F8F">
        <w:trPr>
          <w:jc w:val="center"/>
        </w:trPr>
        <w:tc>
          <w:tcPr>
            <w:tcW w:w="4876" w:type="dxa"/>
            <w:tcBorders>
              <w:top w:val="nil"/>
              <w:left w:val="nil"/>
              <w:bottom w:val="nil"/>
              <w:right w:val="nil"/>
            </w:tcBorders>
          </w:tcPr>
          <w:p w14:paraId="0B336078" w14:textId="77777777" w:rsidR="000104F2" w:rsidRPr="005F046F" w:rsidRDefault="000104F2" w:rsidP="00565F8F">
            <w:pPr>
              <w:pStyle w:val="Normal6a"/>
            </w:pPr>
            <w:r w:rsidRPr="005F046F">
              <w:t>46.</w:t>
            </w:r>
            <w:r w:rsidRPr="005F046F">
              <w:tab/>
              <w:t xml:space="preserve">ismételten felhívja a Bizottságot, hogy erősítse meg az abból eredő kettős finanszírozás kockázatára vonatkozó ellenőrzéseit, hogy mind az uniós költségvetésből, mind a Helyreállítási és </w:t>
            </w:r>
            <w:proofErr w:type="spellStart"/>
            <w:r w:rsidRPr="005F046F">
              <w:t>Rezilienciaépítési</w:t>
            </w:r>
            <w:proofErr w:type="spellEnd"/>
            <w:r w:rsidRPr="005F046F">
              <w:t xml:space="preserve"> Eszközből hasonló területeken – például a közlekedési és energetikai infrastruktúrában – hasonló intézkedéseket finanszíroznak, amit a Helyreállítási és </w:t>
            </w:r>
            <w:proofErr w:type="spellStart"/>
            <w:r w:rsidRPr="005F046F">
              <w:t>Rezilienciaépítési</w:t>
            </w:r>
            <w:proofErr w:type="spellEnd"/>
            <w:r w:rsidRPr="005F046F">
              <w:t xml:space="preserve"> Eszköz és más uniós eszközök közötti szokásos kiegészítő jelleg tesz lehetővé; emlékeztet arra, hogy a Helyreállítási és </w:t>
            </w:r>
            <w:proofErr w:type="spellStart"/>
            <w:r w:rsidRPr="005F046F">
              <w:t>Rezilienciaépítési</w:t>
            </w:r>
            <w:proofErr w:type="spellEnd"/>
            <w:r w:rsidRPr="005F046F">
              <w:t xml:space="preserve"> Eszköz nem a ténylegesen felmerült költségek megtérítéséhez kapcsolódik, hanem inkább olyan mérföldkövek és célok elérését </w:t>
            </w:r>
            <w:r w:rsidRPr="005F046F">
              <w:lastRenderedPageBreak/>
              <w:t xml:space="preserve">jutalmazza, amelyeket teljes mértékben a Helyreállítási és </w:t>
            </w:r>
            <w:proofErr w:type="spellStart"/>
            <w:r w:rsidRPr="005F046F">
              <w:t>Rezilienciaépítési</w:t>
            </w:r>
            <w:proofErr w:type="spellEnd"/>
            <w:r w:rsidRPr="005F046F">
              <w:t xml:space="preserve"> Eszköztől eltérő forrásokból lehetett volna finanszírozni, anélkül, hogy ezt a Helyreállítási és </w:t>
            </w:r>
            <w:proofErr w:type="spellStart"/>
            <w:r w:rsidRPr="005F046F">
              <w:t>Rezilienciaépítési</w:t>
            </w:r>
            <w:proofErr w:type="spellEnd"/>
            <w:r w:rsidRPr="005F046F">
              <w:t xml:space="preserve"> Eszközben a ténylegesen felmerült költségek megtérítésével való kapcsolat hiánya miatt meg lehetne jegyezni; úgy véli, hogy a korlátozott adatcsere és az ARACHNE-</w:t>
            </w:r>
            <w:proofErr w:type="spellStart"/>
            <w:r w:rsidRPr="005F046F">
              <w:t>hez</w:t>
            </w:r>
            <w:proofErr w:type="spellEnd"/>
            <w:r w:rsidRPr="005F046F">
              <w:t xml:space="preserve"> hasonló adatbányászati eszközök elégtelen használata, valamint a Helyreállítási és </w:t>
            </w:r>
            <w:proofErr w:type="spellStart"/>
            <w:r w:rsidRPr="005F046F">
              <w:t>Rezilienciaépítési</w:t>
            </w:r>
            <w:proofErr w:type="spellEnd"/>
            <w:r w:rsidRPr="005F046F">
              <w:t xml:space="preserve"> Eszköz végső kedvezményezettjeinek teljes listájához való közvetlen hozzáférés hiánya növeli a kockázat szintjét; üdvözli, hogy egyes tagállamok a Helyreállítási és </w:t>
            </w:r>
            <w:proofErr w:type="spellStart"/>
            <w:r w:rsidRPr="005F046F">
              <w:t>Rezilienciaépítési</w:t>
            </w:r>
            <w:proofErr w:type="spellEnd"/>
            <w:r w:rsidRPr="005F046F">
              <w:t xml:space="preserve"> Eszköz más uniós eszközökkel való kombinálásának elkerülésére elővigyázatossági intézkedéseket hoztak a kettős finanszírozás kockázatának csökkentése érdekében;</w:t>
            </w:r>
          </w:p>
        </w:tc>
        <w:tc>
          <w:tcPr>
            <w:tcW w:w="4876" w:type="dxa"/>
            <w:tcBorders>
              <w:top w:val="nil"/>
              <w:left w:val="nil"/>
              <w:bottom w:val="nil"/>
              <w:right w:val="nil"/>
            </w:tcBorders>
          </w:tcPr>
          <w:p w14:paraId="4D089596" w14:textId="77777777" w:rsidR="000104F2" w:rsidRPr="005F046F" w:rsidRDefault="000104F2" w:rsidP="00565F8F">
            <w:pPr>
              <w:pStyle w:val="Normal6a"/>
            </w:pPr>
            <w:r w:rsidRPr="005F046F">
              <w:lastRenderedPageBreak/>
              <w:t>46.</w:t>
            </w:r>
            <w:r w:rsidRPr="005F046F">
              <w:tab/>
              <w:t xml:space="preserve">ismételten felhívja a Bizottságot, hogy erősítse meg az abból eredő kettős finanszírozás kockázatára vonatkozó ellenőrzéseit, hogy mind az uniós költségvetésből, mind a Helyreállítási és </w:t>
            </w:r>
            <w:proofErr w:type="spellStart"/>
            <w:r w:rsidRPr="005F046F">
              <w:t>Rezilienciaépítési</w:t>
            </w:r>
            <w:proofErr w:type="spellEnd"/>
            <w:r w:rsidRPr="005F046F">
              <w:t xml:space="preserve"> Eszközből hasonló területeken – például a közlekedési és energetikai infrastruktúrában – hasonló intézkedéseket finanszíroznak, amit a Helyreállítási és </w:t>
            </w:r>
            <w:proofErr w:type="spellStart"/>
            <w:r w:rsidRPr="005F046F">
              <w:t>Rezilienciaépítési</w:t>
            </w:r>
            <w:proofErr w:type="spellEnd"/>
            <w:r w:rsidRPr="005F046F">
              <w:t xml:space="preserve"> Eszköz és más uniós eszközök közötti szokásos kiegészítő jelleg tesz lehetővé; emlékeztet arra, hogy a Helyreállítási és </w:t>
            </w:r>
            <w:proofErr w:type="spellStart"/>
            <w:r w:rsidRPr="005F046F">
              <w:t>Rezilienciaépítési</w:t>
            </w:r>
            <w:proofErr w:type="spellEnd"/>
            <w:r w:rsidRPr="005F046F">
              <w:t xml:space="preserve"> Eszköz nem a ténylegesen felmerült költségek megtérítéséhez kapcsolódik, hanem inkább olyan mérföldkövek és célok elérését </w:t>
            </w:r>
            <w:r w:rsidRPr="005F046F">
              <w:lastRenderedPageBreak/>
              <w:t xml:space="preserve">jutalmazza, amelyeket teljes mértékben a Helyreállítási és </w:t>
            </w:r>
            <w:proofErr w:type="spellStart"/>
            <w:r w:rsidRPr="005F046F">
              <w:t>Rezilienciaépítési</w:t>
            </w:r>
            <w:proofErr w:type="spellEnd"/>
            <w:r w:rsidRPr="005F046F">
              <w:t xml:space="preserve"> Eszköztől eltérő forrásokból lehetett volna finanszírozni, anélkül, hogy ezt a Helyreállítási és </w:t>
            </w:r>
            <w:proofErr w:type="spellStart"/>
            <w:r w:rsidRPr="005F046F">
              <w:t>Rezilienciaépítési</w:t>
            </w:r>
            <w:proofErr w:type="spellEnd"/>
            <w:r w:rsidRPr="005F046F">
              <w:t xml:space="preserve"> Eszközben a ténylegesen felmerült költségek megtérítésével való kapcsolat hiánya miatt meg lehetne jegyezni; úgy véli, hogy a korlátozott adatcsere és az ARACHNE-</w:t>
            </w:r>
            <w:proofErr w:type="spellStart"/>
            <w:r w:rsidRPr="005F046F">
              <w:t>hez</w:t>
            </w:r>
            <w:proofErr w:type="spellEnd"/>
            <w:r w:rsidRPr="005F046F">
              <w:t xml:space="preserve"> hasonló adatbányászati eszközök elégtelen használata, valamint a Helyreállítási és </w:t>
            </w:r>
            <w:proofErr w:type="spellStart"/>
            <w:r w:rsidRPr="005F046F">
              <w:t>Rezilienciaépítési</w:t>
            </w:r>
            <w:proofErr w:type="spellEnd"/>
            <w:r w:rsidRPr="005F046F">
              <w:t xml:space="preserve"> Eszköz végső kedvezményezettjeinek teljes listájához való közvetlen hozzáférés hiánya növeli a kockázat szintjét; üdvözli, hogy egyes tagállamok a Helyreállítási és </w:t>
            </w:r>
            <w:proofErr w:type="spellStart"/>
            <w:r w:rsidRPr="005F046F">
              <w:t>Rezilienciaépítési</w:t>
            </w:r>
            <w:proofErr w:type="spellEnd"/>
            <w:r w:rsidRPr="005F046F">
              <w:t xml:space="preserve"> Eszköz más uniós eszközökkel való kombinálásának elkerülésére elővigyázatossági intézkedéseket hoztak a kettős finanszírozás kockázatának csökkentése érdekében; </w:t>
            </w:r>
            <w:r w:rsidRPr="005F046F">
              <w:rPr>
                <w:b/>
                <w:i/>
              </w:rPr>
              <w:t xml:space="preserve">kéri a Bizottságot, hogy a kettős finanszírozás megelőzése és a határokon átnyúló minták felderítése érdekében gyorsítsa fel az </w:t>
            </w:r>
            <w:proofErr w:type="spellStart"/>
            <w:r w:rsidRPr="005F046F">
              <w:rPr>
                <w:b/>
                <w:i/>
              </w:rPr>
              <w:t>Eurofisc</w:t>
            </w:r>
            <w:proofErr w:type="spellEnd"/>
            <w:r w:rsidRPr="005F046F">
              <w:rPr>
                <w:b/>
                <w:i/>
              </w:rPr>
              <w:t xml:space="preserve"> és az Európai Ügyészség közötti közvetlen, strukturált együttműködés lehetővé tételére irányuló munkát és biztosítsa az adatbányászati eszközök (többek között az ARACHNE) lehető legnagyobb mértékű kihasználását;</w:t>
            </w:r>
          </w:p>
        </w:tc>
      </w:tr>
    </w:tbl>
    <w:p w14:paraId="3589287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9E3589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19C3803"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162</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11DCB7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Tomáš</w:t>
      </w:r>
      <w:proofErr w:type="spellEnd"/>
      <w:r w:rsidRPr="005F046F">
        <w:t xml:space="preserve"> </w:t>
      </w:r>
      <w:proofErr w:type="spellStart"/>
      <w:r w:rsidRPr="005F046F">
        <w:t>Zdechovský</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3F128DBC"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5D43D6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7A44D65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46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6A39AC5" w14:textId="77777777" w:rsidTr="00565F8F">
        <w:trPr>
          <w:trHeight w:hRule="exact" w:val="240"/>
          <w:jc w:val="center"/>
        </w:trPr>
        <w:tc>
          <w:tcPr>
            <w:tcW w:w="9752" w:type="dxa"/>
            <w:gridSpan w:val="2"/>
            <w:tcBorders>
              <w:top w:val="nil"/>
              <w:left w:val="nil"/>
              <w:bottom w:val="nil"/>
              <w:right w:val="nil"/>
            </w:tcBorders>
          </w:tcPr>
          <w:p w14:paraId="3DE072DF" w14:textId="77777777" w:rsidR="000104F2" w:rsidRPr="005F046F" w:rsidRDefault="000104F2" w:rsidP="00565F8F"/>
        </w:tc>
      </w:tr>
      <w:tr w:rsidR="006C656F" w:rsidRPr="005F046F" w14:paraId="19C3FF85" w14:textId="77777777" w:rsidTr="00565F8F">
        <w:trPr>
          <w:trHeight w:val="240"/>
          <w:jc w:val="center"/>
        </w:trPr>
        <w:tc>
          <w:tcPr>
            <w:tcW w:w="4876" w:type="dxa"/>
            <w:tcBorders>
              <w:top w:val="nil"/>
              <w:left w:val="nil"/>
              <w:bottom w:val="nil"/>
              <w:right w:val="nil"/>
            </w:tcBorders>
          </w:tcPr>
          <w:p w14:paraId="2D755587"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095EED58" w14:textId="77777777" w:rsidR="000104F2" w:rsidRPr="005F046F" w:rsidRDefault="000104F2" w:rsidP="00565F8F">
            <w:pPr>
              <w:pStyle w:val="AmColumnHeading"/>
            </w:pPr>
            <w:r w:rsidRPr="005F046F">
              <w:t>Módosítás</w:t>
            </w:r>
          </w:p>
        </w:tc>
      </w:tr>
      <w:tr w:rsidR="006C656F" w:rsidRPr="005F046F" w14:paraId="65691223" w14:textId="77777777" w:rsidTr="00565F8F">
        <w:trPr>
          <w:jc w:val="center"/>
        </w:trPr>
        <w:tc>
          <w:tcPr>
            <w:tcW w:w="4876" w:type="dxa"/>
            <w:tcBorders>
              <w:top w:val="nil"/>
              <w:left w:val="nil"/>
              <w:bottom w:val="nil"/>
              <w:right w:val="nil"/>
            </w:tcBorders>
          </w:tcPr>
          <w:p w14:paraId="0F2E4DC9" w14:textId="77777777" w:rsidR="000104F2" w:rsidRPr="005F046F" w:rsidRDefault="000104F2" w:rsidP="00565F8F">
            <w:pPr>
              <w:pStyle w:val="Normal6a"/>
            </w:pPr>
          </w:p>
        </w:tc>
        <w:tc>
          <w:tcPr>
            <w:tcW w:w="4876" w:type="dxa"/>
            <w:tcBorders>
              <w:top w:val="nil"/>
              <w:left w:val="nil"/>
              <w:bottom w:val="nil"/>
              <w:right w:val="nil"/>
            </w:tcBorders>
          </w:tcPr>
          <w:p w14:paraId="7E6AE1E5" w14:textId="77777777" w:rsidR="000104F2" w:rsidRPr="005F046F" w:rsidRDefault="000104F2" w:rsidP="00565F8F">
            <w:pPr>
              <w:pStyle w:val="Normal6a"/>
            </w:pPr>
            <w:r w:rsidRPr="005F046F">
              <w:rPr>
                <w:b/>
                <w:i/>
              </w:rPr>
              <w:t>46a.</w:t>
            </w:r>
            <w:r w:rsidRPr="005F046F">
              <w:tab/>
            </w:r>
            <w:r w:rsidRPr="005F046F">
              <w:rPr>
                <w:b/>
                <w:i/>
              </w:rPr>
              <w:t xml:space="preserve">megjegyzi, hogy a Bizottság elsősorban a tagállamokra támaszkodik a Helyreállítási és </w:t>
            </w:r>
            <w:proofErr w:type="spellStart"/>
            <w:r w:rsidRPr="005F046F">
              <w:rPr>
                <w:b/>
                <w:i/>
              </w:rPr>
              <w:t>Rezilienciaépítési</w:t>
            </w:r>
            <w:proofErr w:type="spellEnd"/>
            <w:r w:rsidRPr="005F046F">
              <w:rPr>
                <w:b/>
                <w:i/>
              </w:rPr>
              <w:t xml:space="preserve"> Eszközt érintő súlyos szabálytalanságok felderítése </w:t>
            </w:r>
            <w:r w:rsidRPr="005F046F">
              <w:rPr>
                <w:b/>
                <w:i/>
              </w:rPr>
              <w:lastRenderedPageBreak/>
              <w:t xml:space="preserve">és korrekciója, valamint az uniós és nemzeti szabályoknak való megfelelés biztosítása érdekében, de a nemzeti kontrollrendszereknek vannak olyan hiányosságai, amelyeket a végrehajtási szakaszban nem lehetett orvosolni; hangsúlyozza, hogy a kétértelmű jogi keret által gyengített, gyakran homályosan meghatározott mérföldkövekkel/célokkal rendelkező és a csalás magas kockázatát hordozó, hibákra hajlamos eszközzel összefüggésben ez azt eredményezi, hogy nem lehetünk biztosak afelől, hogy a kontrollrendszerek megfelelően védik az EU pénzügyi érdekeit; ismételten kéri a Bizottságot, hogy szükség esetén tegyen határozott és gyors lépéseket, és teljes mértékben használja ki a Helyreállítási és </w:t>
            </w:r>
            <w:proofErr w:type="spellStart"/>
            <w:r w:rsidRPr="005F046F">
              <w:rPr>
                <w:b/>
                <w:i/>
              </w:rPr>
              <w:t>Rezilienciaépítési</w:t>
            </w:r>
            <w:proofErr w:type="spellEnd"/>
            <w:r w:rsidRPr="005F046F">
              <w:rPr>
                <w:b/>
                <w:i/>
              </w:rPr>
              <w:t xml:space="preserve"> Eszközről szóló rendelet rendelkezéseit, amennyiben a tagállamok kontrollrendszereiben továbbra is hiányosságok tapasztalhatók;</w:t>
            </w:r>
          </w:p>
        </w:tc>
      </w:tr>
    </w:tbl>
    <w:p w14:paraId="0AE9C3FA"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50FF994"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56C88C65"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163</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6BEF50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6C9F9E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4D86261B"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E70C34F"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F499B5C" w14:textId="77777777" w:rsidTr="00565F8F">
        <w:trPr>
          <w:trHeight w:hRule="exact" w:val="240"/>
          <w:jc w:val="center"/>
        </w:trPr>
        <w:tc>
          <w:tcPr>
            <w:tcW w:w="9752" w:type="dxa"/>
            <w:gridSpan w:val="2"/>
            <w:tcBorders>
              <w:top w:val="nil"/>
              <w:left w:val="nil"/>
              <w:bottom w:val="nil"/>
              <w:right w:val="nil"/>
            </w:tcBorders>
          </w:tcPr>
          <w:p w14:paraId="37017DF3" w14:textId="77777777" w:rsidR="000104F2" w:rsidRPr="005F046F" w:rsidRDefault="000104F2" w:rsidP="00565F8F"/>
        </w:tc>
      </w:tr>
      <w:tr w:rsidR="006C656F" w:rsidRPr="005F046F" w14:paraId="7BF0CD21" w14:textId="77777777" w:rsidTr="00565F8F">
        <w:trPr>
          <w:trHeight w:val="240"/>
          <w:jc w:val="center"/>
        </w:trPr>
        <w:tc>
          <w:tcPr>
            <w:tcW w:w="4876" w:type="dxa"/>
            <w:tcBorders>
              <w:top w:val="nil"/>
              <w:left w:val="nil"/>
              <w:bottom w:val="nil"/>
              <w:right w:val="nil"/>
            </w:tcBorders>
          </w:tcPr>
          <w:p w14:paraId="55D9E838"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3AE9758" w14:textId="77777777" w:rsidR="000104F2" w:rsidRPr="005F046F" w:rsidRDefault="000104F2" w:rsidP="00565F8F">
            <w:pPr>
              <w:pStyle w:val="AmColumnHeading"/>
            </w:pPr>
            <w:r w:rsidRPr="005F046F">
              <w:t>Módosítás</w:t>
            </w:r>
          </w:p>
        </w:tc>
      </w:tr>
      <w:tr w:rsidR="006C656F" w:rsidRPr="005F046F" w14:paraId="2D132B50" w14:textId="77777777" w:rsidTr="00565F8F">
        <w:trPr>
          <w:jc w:val="center"/>
        </w:trPr>
        <w:tc>
          <w:tcPr>
            <w:tcW w:w="4876" w:type="dxa"/>
            <w:tcBorders>
              <w:top w:val="nil"/>
              <w:left w:val="nil"/>
              <w:bottom w:val="nil"/>
              <w:right w:val="nil"/>
            </w:tcBorders>
          </w:tcPr>
          <w:p w14:paraId="5FFA53BD" w14:textId="77777777" w:rsidR="000104F2" w:rsidRPr="005F046F" w:rsidRDefault="000104F2" w:rsidP="00565F8F">
            <w:pPr>
              <w:pStyle w:val="Normal6a"/>
            </w:pPr>
            <w:r w:rsidRPr="005F046F">
              <w:t>47.</w:t>
            </w:r>
            <w:r w:rsidRPr="005F046F">
              <w:tab/>
              <w:t xml:space="preserve">nagyra értékeli, hogy az Unió – a Számvevőszék ajánlása alapján – erőfeszítéseket tett annak biztosítása érdekében, hogy a korrupcióellenes intézkedéseket integrálják az EU külső fellépési eszközeibe; fenntartja azt az ajánlását, hogy függesszék fel a költségvetés-támogatást és vonják vissza a forrásokat a nem uniós országoktól, beleértve a tagjelölt országokat is, ahol a hatóságok </w:t>
            </w:r>
            <w:r w:rsidRPr="005F046F">
              <w:rPr>
                <w:b/>
                <w:bCs/>
                <w:i/>
                <w:iCs/>
              </w:rPr>
              <w:t xml:space="preserve">egyértelműen </w:t>
            </w:r>
            <w:r w:rsidRPr="005F046F">
              <w:t xml:space="preserve">nem tesznek </w:t>
            </w:r>
            <w:r w:rsidRPr="005F046F">
              <w:rPr>
                <w:b/>
                <w:bCs/>
                <w:i/>
                <w:iCs/>
              </w:rPr>
              <w:lastRenderedPageBreak/>
              <w:t>konkrét</w:t>
            </w:r>
            <w:r w:rsidRPr="005F046F">
              <w:t xml:space="preserve"> lépéseket a széles körben elterjedt korrupció ellen, </w:t>
            </w:r>
            <w:r w:rsidRPr="005F046F">
              <w:rPr>
                <w:b/>
                <w:bCs/>
                <w:i/>
                <w:iCs/>
              </w:rPr>
              <w:t>anélkül, hogy</w:t>
            </w:r>
            <w:r w:rsidRPr="005F046F">
              <w:t xml:space="preserve"> </w:t>
            </w:r>
            <w:r w:rsidRPr="005F046F">
              <w:rPr>
                <w:b/>
                <w:bCs/>
                <w:i/>
                <w:iCs/>
              </w:rPr>
              <w:t>veszélyeztetnék</w:t>
            </w:r>
            <w:r w:rsidRPr="005F046F">
              <w:t xml:space="preserve"> a polgároknak nyújtott támogatást;</w:t>
            </w:r>
          </w:p>
        </w:tc>
        <w:tc>
          <w:tcPr>
            <w:tcW w:w="4876" w:type="dxa"/>
            <w:tcBorders>
              <w:top w:val="nil"/>
              <w:left w:val="nil"/>
              <w:bottom w:val="nil"/>
              <w:right w:val="nil"/>
            </w:tcBorders>
          </w:tcPr>
          <w:p w14:paraId="216B511B" w14:textId="77777777" w:rsidR="000104F2" w:rsidRPr="005F046F" w:rsidRDefault="000104F2" w:rsidP="00565F8F">
            <w:pPr>
              <w:pStyle w:val="Normal6a"/>
            </w:pPr>
            <w:r w:rsidRPr="005F046F">
              <w:lastRenderedPageBreak/>
              <w:t>47.</w:t>
            </w:r>
            <w:r w:rsidRPr="005F046F">
              <w:tab/>
              <w:t xml:space="preserve">nagyra értékeli, hogy az Unió – a Számvevőszék ajánlása alapján – erőfeszítéseket tett annak biztosítása érdekében, hogy a korrupcióellenes intézkedéseket integrálják az EU külső fellépési eszközeibe; fenntartja azt az ajánlását, hogy függesszék fel a költségvetés-támogatást és vonják vissza a forrásokat a nem uniós országoktól, beleértve a tagjelölt országokat is, ahol a hatóságok nem tesznek </w:t>
            </w:r>
            <w:r w:rsidRPr="005F046F">
              <w:rPr>
                <w:b/>
                <w:bCs/>
                <w:i/>
                <w:iCs/>
              </w:rPr>
              <w:t xml:space="preserve">hatékony </w:t>
            </w:r>
            <w:r w:rsidRPr="005F046F">
              <w:t xml:space="preserve">lépéseket </w:t>
            </w:r>
            <w:r w:rsidRPr="005F046F">
              <w:lastRenderedPageBreak/>
              <w:t xml:space="preserve">a széles körben elterjedt korrupció ellen, </w:t>
            </w:r>
            <w:r w:rsidRPr="005F046F">
              <w:rPr>
                <w:b/>
                <w:bCs/>
                <w:i/>
                <w:iCs/>
              </w:rPr>
              <w:t>ugyanakkor továbbra is biztosítsák</w:t>
            </w:r>
            <w:r w:rsidRPr="005F046F">
              <w:t xml:space="preserve"> a polgároknak</w:t>
            </w:r>
            <w:r w:rsidRPr="005F046F">
              <w:rPr>
                <w:b/>
                <w:bCs/>
                <w:i/>
                <w:iCs/>
              </w:rPr>
              <w:t xml:space="preserve">, a civil társadalomnak és a humanitárius tevékenységekhez </w:t>
            </w:r>
            <w:r w:rsidRPr="005F046F">
              <w:t>nyújtott támogatást;</w:t>
            </w:r>
          </w:p>
        </w:tc>
      </w:tr>
    </w:tbl>
    <w:p w14:paraId="53715FDF"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F77D69D"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30D39FB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164</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1A3096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6AC4055"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392CD22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786CA6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47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C4610D3" w14:textId="77777777" w:rsidTr="00565F8F">
        <w:trPr>
          <w:trHeight w:hRule="exact" w:val="240"/>
          <w:jc w:val="center"/>
        </w:trPr>
        <w:tc>
          <w:tcPr>
            <w:tcW w:w="9752" w:type="dxa"/>
            <w:gridSpan w:val="2"/>
            <w:tcBorders>
              <w:top w:val="nil"/>
              <w:left w:val="nil"/>
              <w:bottom w:val="nil"/>
              <w:right w:val="nil"/>
            </w:tcBorders>
          </w:tcPr>
          <w:p w14:paraId="590FC003" w14:textId="77777777" w:rsidR="000104F2" w:rsidRPr="005F046F" w:rsidRDefault="000104F2" w:rsidP="00565F8F"/>
        </w:tc>
      </w:tr>
      <w:tr w:rsidR="006C656F" w:rsidRPr="005F046F" w14:paraId="094FB6CC" w14:textId="77777777" w:rsidTr="00565F8F">
        <w:trPr>
          <w:trHeight w:val="240"/>
          <w:jc w:val="center"/>
        </w:trPr>
        <w:tc>
          <w:tcPr>
            <w:tcW w:w="4876" w:type="dxa"/>
            <w:tcBorders>
              <w:top w:val="nil"/>
              <w:left w:val="nil"/>
              <w:bottom w:val="nil"/>
              <w:right w:val="nil"/>
            </w:tcBorders>
          </w:tcPr>
          <w:p w14:paraId="37005169"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23FEC0F" w14:textId="77777777" w:rsidR="000104F2" w:rsidRPr="005F046F" w:rsidRDefault="000104F2" w:rsidP="00565F8F">
            <w:pPr>
              <w:pStyle w:val="AmColumnHeading"/>
            </w:pPr>
            <w:r w:rsidRPr="005F046F">
              <w:t>Módosítás</w:t>
            </w:r>
          </w:p>
        </w:tc>
      </w:tr>
      <w:tr w:rsidR="006C656F" w:rsidRPr="005F046F" w14:paraId="6908B384" w14:textId="77777777" w:rsidTr="00565F8F">
        <w:trPr>
          <w:jc w:val="center"/>
        </w:trPr>
        <w:tc>
          <w:tcPr>
            <w:tcW w:w="4876" w:type="dxa"/>
            <w:tcBorders>
              <w:top w:val="nil"/>
              <w:left w:val="nil"/>
              <w:bottom w:val="nil"/>
              <w:right w:val="nil"/>
            </w:tcBorders>
          </w:tcPr>
          <w:p w14:paraId="52245E31" w14:textId="77777777" w:rsidR="000104F2" w:rsidRPr="005F046F" w:rsidRDefault="000104F2" w:rsidP="00565F8F">
            <w:pPr>
              <w:pStyle w:val="Normal6a"/>
            </w:pPr>
            <w:r w:rsidRPr="005F046F">
              <w:t>47.</w:t>
            </w:r>
            <w:r w:rsidRPr="005F046F">
              <w:tab/>
              <w:t>nagyra értékeli, hogy az Unió – a Számvevőszék ajánlása alapján – erőfeszítéseket tett annak biztosítása érdekében, hogy a korrupcióellenes intézkedéseket integrálják az EU külső fellépési eszközeibe; fenntartja azt az ajánlását, hogy függesszék fel a költségvetés-támogatást és vonják vissza a forrásokat a nem uniós országoktól, beleértve a tagjelölt országokat is, ahol a hatóságok egyértelműen nem tesznek konkrét lépéseket a széles körben elterjedt korrupció ellen, anélkül, hogy veszélyeztetnék a polgároknak nyújtott támogatást;</w:t>
            </w:r>
          </w:p>
        </w:tc>
        <w:tc>
          <w:tcPr>
            <w:tcW w:w="4876" w:type="dxa"/>
            <w:tcBorders>
              <w:top w:val="nil"/>
              <w:left w:val="nil"/>
              <w:bottom w:val="nil"/>
              <w:right w:val="nil"/>
            </w:tcBorders>
          </w:tcPr>
          <w:p w14:paraId="583E4C79" w14:textId="77777777" w:rsidR="000104F2" w:rsidRPr="005F046F" w:rsidRDefault="000104F2" w:rsidP="00565F8F">
            <w:pPr>
              <w:pStyle w:val="Normal6a"/>
            </w:pPr>
            <w:r w:rsidRPr="005F046F">
              <w:t>47.</w:t>
            </w:r>
            <w:r w:rsidRPr="005F046F">
              <w:tab/>
              <w:t xml:space="preserve">nagyra értékeli, hogy az Unió – a Számvevőszék ajánlása alapján – erőfeszítéseket tett annak biztosítása érdekében, hogy a korrupcióellenes intézkedéseket integrálják az EU külső fellépési eszközeibe; fenntartja azt az ajánlását, hogy függesszék fel a költségvetés-támogatást és vonják vissza a forrásokat a nem uniós országoktól, beleértve a tagjelölt országokat is, ahol a hatóságok egyértelműen nem tesznek konkrét lépéseket a széles körben elterjedt korrupció ellen, anélkül, hogy veszélyeztetnék a polgároknak nyújtott támogatást; </w:t>
            </w:r>
            <w:r w:rsidRPr="005F046F">
              <w:rPr>
                <w:b/>
                <w:i/>
              </w:rPr>
              <w:t>kéri, hogy az Unió pénzügyi érdekei megsértésének megelőzése érdekében az EU érdemeken alapuló további bővítése előtt alaposan és függetlenül vizsgálják meg a tagjelölt országok korrupciós és jogállamisági helyzetét, különös tekintettel azokra, amelyek a csatlakozást követően az uniós költségvetés nettó kedvezményezettjeivé válnának;</w:t>
            </w:r>
          </w:p>
        </w:tc>
      </w:tr>
    </w:tbl>
    <w:p w14:paraId="0DDBCEEF"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49E6397"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B7966A0"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165</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4B62C318" w14:textId="77777777" w:rsidR="000104F2" w:rsidRPr="005F046F" w:rsidRDefault="000104F2" w:rsidP="000104F2">
      <w:pPr>
        <w:pStyle w:val="NormalBold"/>
      </w:pPr>
      <w:r w:rsidRPr="005F046F">
        <w:rPr>
          <w:rStyle w:val="HideTWBExt"/>
          <w:b w:val="0"/>
          <w:color w:val="auto"/>
        </w:rPr>
        <w:lastRenderedPageBreak/>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6E347B0"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7841E7DA"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136889E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E26DD39" w14:textId="77777777" w:rsidTr="00565F8F">
        <w:trPr>
          <w:trHeight w:hRule="exact" w:val="240"/>
          <w:jc w:val="center"/>
        </w:trPr>
        <w:tc>
          <w:tcPr>
            <w:tcW w:w="9752" w:type="dxa"/>
            <w:gridSpan w:val="2"/>
            <w:tcBorders>
              <w:top w:val="nil"/>
              <w:left w:val="nil"/>
              <w:bottom w:val="nil"/>
              <w:right w:val="nil"/>
            </w:tcBorders>
          </w:tcPr>
          <w:p w14:paraId="2C7E8E53" w14:textId="77777777" w:rsidR="000104F2" w:rsidRPr="005F046F" w:rsidRDefault="000104F2" w:rsidP="00565F8F"/>
        </w:tc>
      </w:tr>
      <w:tr w:rsidR="006C656F" w:rsidRPr="005F046F" w14:paraId="08407410" w14:textId="77777777" w:rsidTr="00565F8F">
        <w:trPr>
          <w:trHeight w:val="240"/>
          <w:jc w:val="center"/>
        </w:trPr>
        <w:tc>
          <w:tcPr>
            <w:tcW w:w="4876" w:type="dxa"/>
            <w:tcBorders>
              <w:top w:val="nil"/>
              <w:left w:val="nil"/>
              <w:bottom w:val="nil"/>
              <w:right w:val="nil"/>
            </w:tcBorders>
          </w:tcPr>
          <w:p w14:paraId="040189BC"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A0DA359" w14:textId="77777777" w:rsidR="000104F2" w:rsidRPr="005F046F" w:rsidRDefault="000104F2" w:rsidP="00565F8F">
            <w:pPr>
              <w:pStyle w:val="AmColumnHeading"/>
            </w:pPr>
            <w:r w:rsidRPr="005F046F">
              <w:t>Módosítás</w:t>
            </w:r>
          </w:p>
        </w:tc>
      </w:tr>
      <w:tr w:rsidR="006C656F" w:rsidRPr="005F046F" w14:paraId="20938256" w14:textId="77777777" w:rsidTr="00565F8F">
        <w:trPr>
          <w:jc w:val="center"/>
        </w:trPr>
        <w:tc>
          <w:tcPr>
            <w:tcW w:w="4876" w:type="dxa"/>
            <w:tcBorders>
              <w:top w:val="nil"/>
              <w:left w:val="nil"/>
              <w:bottom w:val="nil"/>
              <w:right w:val="nil"/>
            </w:tcBorders>
          </w:tcPr>
          <w:p w14:paraId="2BB13E6A" w14:textId="77777777" w:rsidR="000104F2" w:rsidRPr="005F046F" w:rsidRDefault="000104F2" w:rsidP="00565F8F">
            <w:pPr>
              <w:pStyle w:val="Normal6a"/>
            </w:pPr>
            <w:r w:rsidRPr="005F046F">
              <w:t>48.</w:t>
            </w:r>
            <w:r w:rsidRPr="005F046F">
              <w:tab/>
              <w:t xml:space="preserve">tudomásul veszi a Számvevőszék 15/2025. sz., a távoli irányítás keretében nyújtott uniós humanitárius segítségnyújtásról szóló </w:t>
            </w:r>
            <w:proofErr w:type="spellStart"/>
            <w:r w:rsidRPr="005F046F">
              <w:t>különjelentésének</w:t>
            </w:r>
            <w:proofErr w:type="spellEnd"/>
            <w:r w:rsidRPr="005F046F">
              <w:t xml:space="preserve"> következtetéseit, elismerve, hogy ez az irányítási megközelítés hasznos keretet biztosít az életmentő segítségnyújtáshoz a nehezen elérhető területeken, de kialakítása és végrehajtása hiányosságokat mutat; megjegyzi, hogy a Bizottság </w:t>
            </w:r>
            <w:r w:rsidRPr="005F046F">
              <w:rPr>
                <w:b/>
                <w:bCs/>
                <w:i/>
                <w:iCs/>
              </w:rPr>
              <w:t>elismeri, hogy</w:t>
            </w:r>
            <w:r w:rsidRPr="005F046F">
              <w:t xml:space="preserve"> a távoli irányítás eredendően </w:t>
            </w:r>
            <w:r w:rsidRPr="005F046F">
              <w:rPr>
                <w:b/>
                <w:bCs/>
                <w:i/>
                <w:iCs/>
              </w:rPr>
              <w:t>kockázatosabb</w:t>
            </w:r>
            <w:r w:rsidRPr="005F046F">
              <w:t xml:space="preserve">, mint a közvetlen </w:t>
            </w:r>
            <w:r w:rsidRPr="005F046F">
              <w:rPr>
                <w:b/>
                <w:bCs/>
                <w:i/>
                <w:iCs/>
              </w:rPr>
              <w:t>végrehajtás, és hogy a csalás és a támogatás-eltérítés a fő kockázatok közé tartozik, mivel</w:t>
            </w:r>
            <w:r w:rsidRPr="005F046F">
              <w:t xml:space="preserve"> a humanitárius szervezetek és az adományozók </w:t>
            </w:r>
            <w:r w:rsidRPr="005F046F">
              <w:rPr>
                <w:b/>
                <w:bCs/>
                <w:i/>
                <w:iCs/>
              </w:rPr>
              <w:t>nem tudják</w:t>
            </w:r>
            <w:r w:rsidRPr="005F046F">
              <w:t xml:space="preserve"> nyomon </w:t>
            </w:r>
            <w:r w:rsidRPr="005F046F">
              <w:rPr>
                <w:b/>
                <w:bCs/>
                <w:i/>
                <w:iCs/>
              </w:rPr>
              <w:t>követni</w:t>
            </w:r>
            <w:r w:rsidRPr="005F046F">
              <w:t xml:space="preserve"> a helyszíni fellépéseket</w:t>
            </w:r>
            <w:r w:rsidRPr="005F046F">
              <w:rPr>
                <w:b/>
                <w:bCs/>
                <w:i/>
                <w:iCs/>
              </w:rPr>
              <w:t>, ami növeli a kockázat szintjét</w:t>
            </w:r>
            <w:r w:rsidRPr="005F046F">
              <w:t xml:space="preserve">; megjegyzi, hogy a Bizottság az összes adományozóhoz hasonlóan külön csapattal rendelkezik a csalás és a támogatással való visszaélés gyanújának kezelésére; hangsúlyozza azonban, hogy kockázati nyilvántartása nem veszi figyelembe azt a hatást, amelyet a távoli irányítás gyakorolhat az azonosított nem kritikus kockázatok – például csalás, a támogatással való visszaélés vagy az etikai normák be nem tartása esetén a hírnév megsértésének kockázata – valószínűségére és hatására; hangsúlyozza különösen, hogy a távoli irányítással járó kockázatoknak a kockázatkezelési, kontroll- és ellenőrzési stratégiájába való elégtelen integrálása korlátozhatja e kockázatok megelőzésére, felderítésére és megfelelő kezelésére való képességét, ami csalás és a támogatással való visszaélés esetén a hírneve sérelmének kockázatával jár; hangsúlyozza, hogy az ellenőrzési stratégia nem ír elő külön ellenőrzéseket a távoli irányítás eredendő kockázatainak </w:t>
            </w:r>
            <w:r w:rsidRPr="005F046F">
              <w:lastRenderedPageBreak/>
              <w:t>kezelésére, és nem veszi figyelembe a távoli irányításnak a csalás elleni küzdelemmel vagy a helyszíni ellenőrzésekkel kapcsolatos ellenőrzési feladatokra gyakorolt hatását; hangsúlyozza, hogy a Bizottság 2021–2027-es ellenőrzési stratégiájában a távolról irányított intézkedések valójában nem kapnak automatikusan magasabb kockázati minősítést az ellenőrizendő intézkedések kockázatalapú kiválasztása során, annak ellenére, hogy ezek az intézkedések sajátos nehézségekkel szembesülnek; egyetért a Számvevőszék – a Bizottság által is teljes mértékben elfogadott – ajánlásaival, amelyek szerint javítani kell a távoli irányítással kapcsolatos megközelítést és iránymutatást, meg kell erősíteni a nem kormányzati szervezetek partnereire vonatkozó tanúsítási folyamatot, ellenőrizni kell a partnerek által szolgáltatott információkat, és jelentést kell tenni az érdekelt feleknek a távoli irányításról; sürgeti a Bizottságot, hogy ennek megfelelően járjon el, és hajtsa végre a Számvevőszék ajánlását, amelyet teljes mértékben elfogadott;</w:t>
            </w:r>
          </w:p>
        </w:tc>
        <w:tc>
          <w:tcPr>
            <w:tcW w:w="4876" w:type="dxa"/>
            <w:tcBorders>
              <w:top w:val="nil"/>
              <w:left w:val="nil"/>
              <w:bottom w:val="nil"/>
              <w:right w:val="nil"/>
            </w:tcBorders>
          </w:tcPr>
          <w:p w14:paraId="49B42F9D" w14:textId="77777777" w:rsidR="000104F2" w:rsidRPr="005F046F" w:rsidRDefault="000104F2" w:rsidP="00565F8F">
            <w:pPr>
              <w:pStyle w:val="Normal6a"/>
            </w:pPr>
            <w:r w:rsidRPr="005F046F">
              <w:lastRenderedPageBreak/>
              <w:t>48.</w:t>
            </w:r>
            <w:r w:rsidRPr="005F046F">
              <w:tab/>
              <w:t xml:space="preserve">tudomásul veszi a Számvevőszék 15/2025. sz., a távoli irányítás keretében nyújtott uniós humanitárius segítségnyújtásról szóló </w:t>
            </w:r>
            <w:proofErr w:type="spellStart"/>
            <w:r w:rsidRPr="005F046F">
              <w:t>különjelentésének</w:t>
            </w:r>
            <w:proofErr w:type="spellEnd"/>
            <w:r w:rsidRPr="005F046F">
              <w:t xml:space="preserve"> következtetéseit, elismerve, hogy ez az irányítási megközelítés hasznos keretet biztosít az életmentő segítségnyújtáshoz a nehezen elérhető területeken, de kialakítása és végrehajtása hiányosságokat mutat; megjegyzi, hogy a Bizottság </w:t>
            </w:r>
            <w:r w:rsidRPr="005F046F">
              <w:rPr>
                <w:b/>
                <w:bCs/>
                <w:i/>
                <w:iCs/>
              </w:rPr>
              <w:t>pénzeszközeit csak végső megoldásként kezelik távolról, azaz olyan helyzetekben, amikor a humanitárius hozzáférést biztonsági aggályok, illetve de jure vagy de facto hatóságok által előírt határozatok korlátozzák;</w:t>
            </w:r>
            <w:r w:rsidRPr="005F046F">
              <w:rPr>
                <w:b/>
                <w:i/>
              </w:rPr>
              <w:t xml:space="preserve"> </w:t>
            </w:r>
            <w:r w:rsidRPr="005F046F">
              <w:rPr>
                <w:b/>
                <w:bCs/>
                <w:i/>
                <w:iCs/>
              </w:rPr>
              <w:t>hangsúlyozza, hogy</w:t>
            </w:r>
            <w:r w:rsidRPr="005F046F">
              <w:t xml:space="preserve"> a távoli irányítás </w:t>
            </w:r>
            <w:r w:rsidRPr="005F046F">
              <w:rPr>
                <w:b/>
                <w:bCs/>
                <w:i/>
                <w:iCs/>
              </w:rPr>
              <w:t xml:space="preserve">megvalósításának </w:t>
            </w:r>
            <w:r w:rsidRPr="005F046F">
              <w:t xml:space="preserve">eredendően </w:t>
            </w:r>
            <w:r w:rsidRPr="005F046F">
              <w:rPr>
                <w:b/>
                <w:bCs/>
                <w:i/>
                <w:iCs/>
              </w:rPr>
              <w:t>nehéz körülményei kockázatosabbá teszik azt</w:t>
            </w:r>
            <w:r w:rsidRPr="005F046F">
              <w:t xml:space="preserve">, mint a közvetlen </w:t>
            </w:r>
            <w:r w:rsidRPr="005F046F">
              <w:rPr>
                <w:b/>
                <w:bCs/>
                <w:i/>
                <w:iCs/>
              </w:rPr>
              <w:t xml:space="preserve">végrehajtást, amelyhez a Bizottság a lehető leghamarabb visszatér, </w:t>
            </w:r>
            <w:r w:rsidRPr="005F046F">
              <w:t xml:space="preserve">és </w:t>
            </w:r>
            <w:r w:rsidRPr="005F046F">
              <w:rPr>
                <w:b/>
                <w:bCs/>
                <w:i/>
                <w:iCs/>
              </w:rPr>
              <w:t>az alkalmanként korlátozhatja</w:t>
            </w:r>
            <w:r w:rsidRPr="005F046F">
              <w:t xml:space="preserve"> a humanitárius szervezetek és az adományozók </w:t>
            </w:r>
            <w:r w:rsidRPr="005F046F">
              <w:rPr>
                <w:b/>
                <w:bCs/>
                <w:i/>
                <w:iCs/>
              </w:rPr>
              <w:t xml:space="preserve">azon képességét is, hogy </w:t>
            </w:r>
            <w:r w:rsidRPr="005F046F">
              <w:t xml:space="preserve">nyomon </w:t>
            </w:r>
            <w:r w:rsidRPr="005F046F">
              <w:rPr>
                <w:b/>
                <w:bCs/>
                <w:i/>
                <w:iCs/>
              </w:rPr>
              <w:t>kövessék</w:t>
            </w:r>
            <w:r w:rsidRPr="005F046F">
              <w:t xml:space="preserve"> a helyszíni fellépéseket; megjegyzi, hogy a Bizottság az összes adományozóhoz hasonlóan külön csapattal rendelkezik a csalás és a támogatással való visszaélés gyanújának kezelésére; hangsúlyozza azonban, hogy kockázati nyilvántartása nem veszi figyelembe azt a hatást, amelyet a távoli irányítás gyakorolhat az azonosított nem kritikus kockázatok – például csalás, a támogatással való visszaélés vagy az etikai normák be nem tartása esetén a hírnév megsértésének kockázata – valószínűségére és hatására; hangsúlyozza különösen, hogy a távoli irányítással járó kockázatoknak a kockázatkezelési, kontroll- és ellenőrzési stratégiájába való </w:t>
            </w:r>
            <w:r w:rsidRPr="005F046F">
              <w:lastRenderedPageBreak/>
              <w:t>elégtelen integrálása korlátozhatja e kockázatok megelőzésére, felderítésére és megfelelő kezelésére való képességét, ami csalás és a támogatással való visszaélés esetén a hírneve sérelmének kockázatával jár; hangsúlyozza, hogy az ellenőrzési stratégia nem ír elő külön ellenőrzéseket a távoli irányítás eredendő kockázatainak kezelésére, és nem veszi figyelembe a távoli irányításnak a csalás elleni küzdelemmel vagy a helyszíni ellenőrzésekkel kapcsolatos ellenőrzési feladatokra gyakorolt hatását; hangsúlyozza, hogy a Bizottság 2021–2027-es ellenőrzési stratégiájában a távolról irányított intézkedések valójában nem kapnak automatikusan magasabb kockázati minősítést az ellenőrizendő intézkedések kockázatalapú kiválasztása során, annak ellenére, hogy ezek az intézkedések sajátos nehézségekkel szembesülnek; egyetért a Számvevőszék – a Bizottság által is teljes mértékben elfogadott – ajánlásaival, amelyek szerint javítani kell a távoli irányítással kapcsolatos megközelítést és iránymutatást, meg kell erősíteni a nem kormányzati szervezetek partnereire vonatkozó tanúsítási folyamatot, ellenőrizni kell a partnerek által szolgáltatott információkat, és jelentést kell tenni az érdekelt feleknek a távoli irányításról; sürgeti a Bizottságot, hogy ennek megfelelően járjon el, és hajtsa végre a Számvevőszék ajánlását, amelyet teljes mértékben elfogadott;</w:t>
            </w:r>
          </w:p>
        </w:tc>
      </w:tr>
    </w:tbl>
    <w:p w14:paraId="55FBF116"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D5CBCA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43D4447"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166</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D71402A"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Damian</w:t>
      </w:r>
      <w:proofErr w:type="spellEnd"/>
      <w:r w:rsidRPr="005F046F">
        <w:t xml:space="preserve"> </w:t>
      </w:r>
      <w:proofErr w:type="spellStart"/>
      <w:r w:rsidRPr="005F046F">
        <w:t>Boeselager</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CB78C83" w14:textId="77777777" w:rsidR="000104F2" w:rsidRPr="005F046F" w:rsidRDefault="000104F2" w:rsidP="000104F2">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r w:rsidRPr="005F046F">
        <w:rPr>
          <w:rStyle w:val="HideTWBInt"/>
          <w:color w:val="auto"/>
        </w:rPr>
        <w:t>{</w:t>
      </w:r>
      <w:proofErr w:type="spellStart"/>
      <w:r w:rsidRPr="005F046F">
        <w:rPr>
          <w:rStyle w:val="HideTWBInt"/>
          <w:color w:val="auto"/>
        </w:rPr>
        <w:t>Verts</w:t>
      </w:r>
      <w:proofErr w:type="spellEnd"/>
      <w:r w:rsidRPr="005F046F">
        <w:rPr>
          <w:rStyle w:val="HideTWBInt"/>
          <w:color w:val="auto"/>
        </w:rPr>
        <w:t>/ALE}</w:t>
      </w:r>
      <w:r w:rsidRPr="005F046F">
        <w:t xml:space="preserve">a </w:t>
      </w:r>
      <w:proofErr w:type="spellStart"/>
      <w:r w:rsidRPr="005F046F">
        <w:t>Verts</w:t>
      </w:r>
      <w:proofErr w:type="spellEnd"/>
      <w:r w:rsidRPr="005F046F">
        <w:t>/ALE képviselőcsoport nevében</w:t>
      </w:r>
      <w:r w:rsidRPr="005F046F">
        <w:rPr>
          <w:rStyle w:val="HideTWBExt"/>
          <w:color w:val="auto"/>
        </w:rPr>
        <w:t>&lt;/</w:t>
      </w:r>
      <w:proofErr w:type="spellStart"/>
      <w:r w:rsidRPr="005F046F">
        <w:rPr>
          <w:rStyle w:val="HideTWBExt"/>
          <w:color w:val="auto"/>
        </w:rPr>
        <w:t>AuNomDe</w:t>
      </w:r>
      <w:proofErr w:type="spellEnd"/>
      <w:r w:rsidRPr="005F046F">
        <w:rPr>
          <w:rStyle w:val="HideTWBExt"/>
          <w:color w:val="auto"/>
        </w:rPr>
        <w:t>&gt;</w:t>
      </w:r>
    </w:p>
    <w:p w14:paraId="18963DC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6CDD4DC"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16BF1A3"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bekezdés</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4A1F394E" w14:textId="77777777" w:rsidTr="00565F8F">
        <w:trPr>
          <w:trHeight w:hRule="exact" w:val="240"/>
          <w:jc w:val="center"/>
        </w:trPr>
        <w:tc>
          <w:tcPr>
            <w:tcW w:w="9752" w:type="dxa"/>
            <w:gridSpan w:val="2"/>
            <w:tcBorders>
              <w:top w:val="nil"/>
              <w:left w:val="nil"/>
              <w:bottom w:val="nil"/>
              <w:right w:val="nil"/>
            </w:tcBorders>
          </w:tcPr>
          <w:p w14:paraId="1521BB68" w14:textId="77777777" w:rsidR="000104F2" w:rsidRPr="005F046F" w:rsidRDefault="000104F2" w:rsidP="00565F8F"/>
        </w:tc>
      </w:tr>
      <w:tr w:rsidR="006C656F" w:rsidRPr="005F046F" w14:paraId="514F47BA" w14:textId="77777777" w:rsidTr="00565F8F">
        <w:trPr>
          <w:trHeight w:val="240"/>
          <w:jc w:val="center"/>
        </w:trPr>
        <w:tc>
          <w:tcPr>
            <w:tcW w:w="4876" w:type="dxa"/>
            <w:tcBorders>
              <w:top w:val="nil"/>
              <w:left w:val="nil"/>
              <w:bottom w:val="nil"/>
              <w:right w:val="nil"/>
            </w:tcBorders>
          </w:tcPr>
          <w:p w14:paraId="2AE64BD7" w14:textId="77777777" w:rsidR="000104F2" w:rsidRPr="005F046F" w:rsidRDefault="000104F2" w:rsidP="00565F8F">
            <w:pPr>
              <w:pStyle w:val="AmColumnHeading"/>
            </w:pPr>
            <w:r w:rsidRPr="005F046F">
              <w:lastRenderedPageBreak/>
              <w:t>Állásfoglalásra irányuló indítvány</w:t>
            </w:r>
          </w:p>
        </w:tc>
        <w:tc>
          <w:tcPr>
            <w:tcW w:w="4876" w:type="dxa"/>
            <w:tcBorders>
              <w:top w:val="nil"/>
              <w:left w:val="nil"/>
              <w:bottom w:val="nil"/>
              <w:right w:val="nil"/>
            </w:tcBorders>
          </w:tcPr>
          <w:p w14:paraId="5FF83D29" w14:textId="77777777" w:rsidR="000104F2" w:rsidRPr="005F046F" w:rsidRDefault="000104F2" w:rsidP="00565F8F">
            <w:pPr>
              <w:pStyle w:val="AmColumnHeading"/>
            </w:pPr>
            <w:r w:rsidRPr="005F046F">
              <w:t>Módosítás</w:t>
            </w:r>
          </w:p>
        </w:tc>
      </w:tr>
      <w:tr w:rsidR="006C656F" w:rsidRPr="005F046F" w14:paraId="5401A8DA" w14:textId="77777777" w:rsidTr="00565F8F">
        <w:trPr>
          <w:jc w:val="center"/>
        </w:trPr>
        <w:tc>
          <w:tcPr>
            <w:tcW w:w="4876" w:type="dxa"/>
            <w:tcBorders>
              <w:top w:val="nil"/>
              <w:left w:val="nil"/>
              <w:bottom w:val="nil"/>
              <w:right w:val="nil"/>
            </w:tcBorders>
          </w:tcPr>
          <w:p w14:paraId="697F91BF" w14:textId="77777777" w:rsidR="000104F2" w:rsidRPr="005F046F" w:rsidRDefault="000104F2" w:rsidP="00565F8F">
            <w:pPr>
              <w:pStyle w:val="Normal6a"/>
            </w:pPr>
            <w:r w:rsidRPr="005F046F">
              <w:t>48.</w:t>
            </w:r>
            <w:r w:rsidRPr="005F046F">
              <w:tab/>
              <w:t xml:space="preserve">tudomásul veszi a Számvevőszék 15/2025. sz., a távoli irányítás keretében nyújtott uniós humanitárius segítségnyújtásról szóló </w:t>
            </w:r>
            <w:proofErr w:type="spellStart"/>
            <w:r w:rsidRPr="005F046F">
              <w:t>különjelentésének</w:t>
            </w:r>
            <w:proofErr w:type="spellEnd"/>
            <w:r w:rsidRPr="005F046F">
              <w:t xml:space="preserve"> következtetéseit, elismerve, hogy ez az irányítási megközelítés hasznos keretet biztosít az életmentő segítségnyújtáshoz a nehezen elérhető területeken, de kialakítása és végrehajtása hiányosságokat mutat; megjegyzi, hogy a Bizottság elismeri, hogy a távoli irányítás eredendően kockázatosabb, mint a közvetlen végrehajtás, és hogy a csalás és a támogatás-eltérítés a fő kockázatok közé tartozik, mivel a humanitárius szervezetek és az adományozók nem tudják nyomon követni a helyszíni fellépéseket, ami növeli a kockázat szintjét; megjegyzi, hogy a Bizottság az összes adományozóhoz hasonlóan külön csapattal rendelkezik a csalás és a támogatással való visszaélés gyanújának kezelésére; hangsúlyozza azonban, hogy kockázati nyilvántartása nem veszi figyelembe azt a hatást, amelyet a távoli irányítás gyakorolhat az azonosított nem kritikus kockázatok – például csalás, a támogatással való visszaélés vagy az etikai normák be nem tartása esetén a hírnév megsértésének kockázata – valószínűségére és hatására; hangsúlyozza különösen, hogy a távoli irányítással járó kockázatoknak a kockázatkezelési, kontroll- és ellenőrzési stratégiájába való elégtelen integrálása korlátozhatja e kockázatok megelőzésére, felderítésére és megfelelő kezelésére való képességét, ami csalás és a támogatással való visszaélés esetén a hírneve sérelmének kockázatával jár; hangsúlyozza, hogy az ellenőrzési stratégia nem ír elő külön ellenőrzéseket a távoli irányítás eredendő kockázatainak kezelésére, és nem veszi figyelembe a távoli irányításnak a csalás elleni küzdelemmel vagy a helyszíni ellenőrzésekkel kapcsolatos ellenőrzési feladatokra gyakorolt hatását; </w:t>
            </w:r>
            <w:r w:rsidRPr="005F046F">
              <w:lastRenderedPageBreak/>
              <w:t>hangsúlyozza, hogy a Bizottság 2021–2027-es ellenőrzési stratégiájában a távolról irányított intézkedések valójában nem kapnak automatikusan magasabb kockázati minősítést az ellenőrizendő intézkedések kockázatalapú kiválasztása során, annak ellenére, hogy ezek az intézkedések sajátos nehézségekkel szembesülnek; egyetért a Számvevőszék – a Bizottság által is teljes mértékben elfogadott – ajánlásaival, amelyek szerint javítani kell a távoli irányítással kapcsolatos megközelítést és iránymutatást, meg kell erősíteni a nem kormányzati szervezetek partnereire vonatkozó tanúsítási folyamatot, ellenőrizni kell a partnerek által szolgáltatott információkat, és jelentést kell tenni az érdekelt feleknek a távoli irányításról; sürgeti a Bizottságot, hogy ennek megfelelően járjon el, és hajtsa végre a Számvevőszék ajánlását, amelyet teljes mértékben elfogadott;</w:t>
            </w:r>
          </w:p>
        </w:tc>
        <w:tc>
          <w:tcPr>
            <w:tcW w:w="4876" w:type="dxa"/>
            <w:tcBorders>
              <w:top w:val="nil"/>
              <w:left w:val="nil"/>
              <w:bottom w:val="nil"/>
              <w:right w:val="nil"/>
            </w:tcBorders>
          </w:tcPr>
          <w:p w14:paraId="5E072ACB" w14:textId="77777777" w:rsidR="000104F2" w:rsidRPr="005F046F" w:rsidRDefault="000104F2" w:rsidP="00565F8F">
            <w:pPr>
              <w:pStyle w:val="Normal6a"/>
            </w:pPr>
            <w:r w:rsidRPr="005F046F">
              <w:lastRenderedPageBreak/>
              <w:t>48.</w:t>
            </w:r>
            <w:r w:rsidRPr="005F046F">
              <w:tab/>
              <w:t xml:space="preserve">tudomásul veszi a Számvevőszék 15/2025. sz., a távoli irányítás keretében nyújtott uniós humanitárius segítségnyújtásról szóló </w:t>
            </w:r>
            <w:proofErr w:type="spellStart"/>
            <w:r w:rsidRPr="005F046F">
              <w:t>különjelentésének</w:t>
            </w:r>
            <w:proofErr w:type="spellEnd"/>
            <w:r w:rsidRPr="005F046F">
              <w:t xml:space="preserve"> következtetéseit, elismerve, hogy ez az irányítási megközelítés hasznos keretet biztosít az életmentő segítségnyújtáshoz a nehezen elérhető területeken, de kialakítása és végrehajtása hiányosságokat mutat; megjegyzi, hogy a Bizottság elismeri, hogy a távoli irányítás eredendően kockázatosabb, mint a közvetlen végrehajtás, és hogy a csalás és a támogatás-eltérítés a fő kockázatok közé tartozik, mivel a humanitárius szervezetek és az adományozók nem tudják nyomon követni a helyszíni fellépéseket, ami növeli a kockázat szintjét; megjegyzi, hogy a Bizottság az összes adományozóhoz hasonlóan külön csapattal rendelkezik a csalás és a támogatással való visszaélés gyanújának kezelésére; hangsúlyozza azonban, hogy kockázati nyilvántartása nem veszi figyelembe azt a hatást, amelyet a távoli irányítás gyakorolhat az azonosított nem kritikus kockázatok – például csalás, a támogatással való visszaélés vagy az etikai normák be nem tartása esetén a hírnév megsértésének kockázata – valószínűségére és hatására; hangsúlyozza különösen, hogy a távoli irányítással járó kockázatoknak a kockázatkezelési, kontroll- és ellenőrzési stratégiájába való elégtelen integrálása korlátozhatja e kockázatok megelőzésére, felderítésére és megfelelő kezelésére való képességét, ami csalás és a támogatással való visszaélés esetén a hírneve sérelmének kockázatával jár; hangsúlyozza, hogy az ellenőrzési stratégia nem ír elő külön ellenőrzéseket a távoli irányítás eredendő kockázatainak kezelésére, és nem veszi figyelembe a távoli irányításnak a csalás elleni küzdelemmel vagy a helyszíni ellenőrzésekkel kapcsolatos ellenőrzési feladatokra gyakorolt hatását; </w:t>
            </w:r>
            <w:r w:rsidRPr="005F046F">
              <w:lastRenderedPageBreak/>
              <w:t xml:space="preserve">hangsúlyozza, hogy a Bizottság 2021–2027-es ellenőrzési stratégiájában a távolról irányított intézkedések valójában nem kapnak automatikusan magasabb kockázati minősítést az ellenőrizendő intézkedések kockázatalapú kiválasztása során, annak ellenére, hogy ezek az intézkedések sajátos nehézségekkel szembesülnek; egyetért a Számvevőszék – a Bizottság által is teljes mértékben elfogadott – ajánlásaival, amelyek szerint javítani kell a távoli irányítással kapcsolatos megközelítést és iránymutatást, meg kell erősíteni a nem kormányzati szervezetek partnereire vonatkozó tanúsítási folyamatot, ellenőrizni kell a partnerek által szolgáltatott információkat, és jelentést kell tenni az érdekelt feleknek a távoli irányításról; sürgeti a Bizottságot, hogy ennek megfelelően járjon el, </w:t>
            </w:r>
            <w:r w:rsidRPr="005F046F">
              <w:rPr>
                <w:b/>
                <w:i/>
              </w:rPr>
              <w:t>többek között biztosítsa, hogy a távirányítás szisztematikusan magasabb kockázati besoroláshoz vezessen az ellenőrzések kiválasztásakor, erősítse meg a partnerek által bejelentett információk ellenőrzését, valamint erősítse meg a csalásmegelőzési és visszaélés-bejelentési csatornákat a magas kockázatú környezeteken belül,</w:t>
            </w:r>
            <w:r w:rsidRPr="005F046F">
              <w:t xml:space="preserve"> és hajtsa végre a Számvevőszék ajánlását, amelyet teljes mértékben elfogadott;</w:t>
            </w:r>
          </w:p>
        </w:tc>
      </w:tr>
    </w:tbl>
    <w:p w14:paraId="5EB79DBE"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452B671A"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3CD7CCD"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167</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D3981C4"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2340602"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60D75158"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F5875E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6624B1B6" w14:textId="77777777" w:rsidTr="00565F8F">
        <w:trPr>
          <w:trHeight w:hRule="exact" w:val="240"/>
          <w:jc w:val="center"/>
        </w:trPr>
        <w:tc>
          <w:tcPr>
            <w:tcW w:w="9752" w:type="dxa"/>
            <w:gridSpan w:val="2"/>
            <w:tcBorders>
              <w:top w:val="nil"/>
              <w:left w:val="nil"/>
              <w:bottom w:val="nil"/>
              <w:right w:val="nil"/>
            </w:tcBorders>
          </w:tcPr>
          <w:p w14:paraId="3FB0366C" w14:textId="77777777" w:rsidR="000104F2" w:rsidRPr="005F046F" w:rsidRDefault="000104F2" w:rsidP="00565F8F"/>
        </w:tc>
      </w:tr>
      <w:tr w:rsidR="006C656F" w:rsidRPr="005F046F" w14:paraId="6468D3C3" w14:textId="77777777" w:rsidTr="00565F8F">
        <w:trPr>
          <w:trHeight w:val="240"/>
          <w:jc w:val="center"/>
        </w:trPr>
        <w:tc>
          <w:tcPr>
            <w:tcW w:w="4876" w:type="dxa"/>
            <w:tcBorders>
              <w:top w:val="nil"/>
              <w:left w:val="nil"/>
              <w:bottom w:val="nil"/>
              <w:right w:val="nil"/>
            </w:tcBorders>
          </w:tcPr>
          <w:p w14:paraId="28C28336"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49307E44" w14:textId="77777777" w:rsidR="000104F2" w:rsidRPr="005F046F" w:rsidRDefault="000104F2" w:rsidP="00565F8F">
            <w:pPr>
              <w:pStyle w:val="AmColumnHeading"/>
            </w:pPr>
            <w:r w:rsidRPr="005F046F">
              <w:t>Módosítás</w:t>
            </w:r>
          </w:p>
        </w:tc>
      </w:tr>
      <w:tr w:rsidR="006C656F" w:rsidRPr="005F046F" w14:paraId="23885F09" w14:textId="77777777" w:rsidTr="00565F8F">
        <w:trPr>
          <w:jc w:val="center"/>
        </w:trPr>
        <w:tc>
          <w:tcPr>
            <w:tcW w:w="4876" w:type="dxa"/>
            <w:tcBorders>
              <w:top w:val="nil"/>
              <w:left w:val="nil"/>
              <w:bottom w:val="nil"/>
              <w:right w:val="nil"/>
            </w:tcBorders>
          </w:tcPr>
          <w:p w14:paraId="2490D09C" w14:textId="77777777" w:rsidR="000104F2" w:rsidRPr="005F046F" w:rsidRDefault="000104F2" w:rsidP="00565F8F">
            <w:pPr>
              <w:pStyle w:val="Normal6a"/>
            </w:pPr>
          </w:p>
        </w:tc>
        <w:tc>
          <w:tcPr>
            <w:tcW w:w="4876" w:type="dxa"/>
            <w:tcBorders>
              <w:top w:val="nil"/>
              <w:left w:val="nil"/>
              <w:bottom w:val="nil"/>
              <w:right w:val="nil"/>
            </w:tcBorders>
          </w:tcPr>
          <w:p w14:paraId="629FB24F" w14:textId="77777777" w:rsidR="000104F2" w:rsidRPr="005F046F" w:rsidRDefault="000104F2" w:rsidP="00565F8F">
            <w:pPr>
              <w:pStyle w:val="Normal6a"/>
            </w:pPr>
            <w:r w:rsidRPr="005F046F">
              <w:rPr>
                <w:b/>
                <w:i/>
              </w:rPr>
              <w:t>48a.</w:t>
            </w:r>
            <w:r w:rsidRPr="005F046F">
              <w:tab/>
            </w:r>
            <w:r w:rsidRPr="005F046F">
              <w:rPr>
                <w:b/>
                <w:i/>
              </w:rPr>
              <w:t xml:space="preserve">hangsúlyozza, hogy Ukrajna jelentős helyreállítási és újjáépítési szükségletekkel rendelkezik, és az </w:t>
            </w:r>
            <w:r w:rsidRPr="005F046F">
              <w:rPr>
                <w:b/>
                <w:i/>
              </w:rPr>
              <w:lastRenderedPageBreak/>
              <w:t xml:space="preserve">elkövetkező években folyamatos nemzetközi támogatásra fog szorulni; emlékeztet arra, hogy a közfinanszírozás önmagában nem lesz elegendő, és a kormányzás, az elszámoltathatóság és az üzleti környezet javítását célzó folyamatos reformok mellett elengedhetetlen lesz a magánszektor bevonása; aggodalmát fejezi ki a korrupciós ügyekről szóló közelmúltbeli jelentések miatt, beleértve a magas rangú tisztviselőket érintő állításokat is, ugyanakkor elismeri az Ukrajna által a korrupcióellenes, a pénzmosás elleni és az elszámoltathatósági reformok előmozdítása terén elért eredményeket; kiemeli az Ukrajna által a teljes körű invázió közepette tett erőfeszítéseket; ösztönzi Ukrajnát, hogy folytassa ezeket a reformokat, ideértve az oligarchák befolyásának kezelésére irányuló erőfeszítéseket is, és kéri a Bizottságot, hogy erősítse meg jobban az országban folytatott, uniós </w:t>
            </w:r>
            <w:proofErr w:type="spellStart"/>
            <w:r w:rsidRPr="005F046F">
              <w:rPr>
                <w:b/>
                <w:i/>
              </w:rPr>
              <w:t>finanszírozású</w:t>
            </w:r>
            <w:proofErr w:type="spellEnd"/>
            <w:r w:rsidRPr="005F046F">
              <w:rPr>
                <w:b/>
                <w:i/>
              </w:rPr>
              <w:t xml:space="preserve"> tevékenységek felügyeletét; hangsúlyozza, hogy az Ukrajnának nyújtott uniós támogatást az Unió pénzügyi érdekeinek védelmét célzó erőteljes intézkedéseknek kell kísérniük – a csalás, a korrupció, az összeférhetetlenség és a szabálytalanságok hatékony megelőzését, felderítését és korrekcióját is ideértve – annak biztosítása érdekében, hogy az uniós pénzeszközöket megfelelően nyomon kövessék, és azok eljussanak a tervezett kedvezményezettekhez; emlékeztet arra, hogy az (EU) 2024/792 rendelettel létrehozott Ukrajna-eszköz az Ukrajna helyreállításának, újjáépítésének és reformjainak támogatására szolgáló fő uniós eszköz, amely a 2024–2027-es időszakra akár 50 milliárd EUR-t biztosít; kiemeli az elfogadott reformok végrehajtásához és az uniós értékek tiszteletben tartásához kapcsolódó feltételrendszert; tudomásul veszi az EU és Ukrajna közötti keretmegállapodásnak az Unió pénzügyi érdekeit érintő csalás és </w:t>
            </w:r>
            <w:r w:rsidRPr="005F046F">
              <w:rPr>
                <w:b/>
                <w:i/>
              </w:rPr>
              <w:lastRenderedPageBreak/>
              <w:t xml:space="preserve">korrupció megelőzését és kezelését szolgáló biztosítékok meghatározásában betöltött szerepét, az OLAF-fal való együttműködést is ideértve; üdvözli, hogy az Ukrán Állami Számvevőszéket jelölték ki csalás elleni nemzeti koordinációs pontként; nagyra értékeli az OLAF és az Európai Ügyészség által az Ukrajnában felhasznált uniós pénzeszközök védelme terén végzett munkát, beleértve az uniós </w:t>
            </w:r>
            <w:proofErr w:type="spellStart"/>
            <w:r w:rsidRPr="005F046F">
              <w:rPr>
                <w:b/>
                <w:i/>
              </w:rPr>
              <w:t>finanszírozású</w:t>
            </w:r>
            <w:proofErr w:type="spellEnd"/>
            <w:r w:rsidRPr="005F046F">
              <w:rPr>
                <w:b/>
                <w:i/>
              </w:rPr>
              <w:t xml:space="preserve"> közbeszerzésekkel kapcsolatos súlyos szabálytalanságok tekintetében folytatott közelmúltbeli vizsgálatokat is; kéri a Bizottságot, hogy erősítse meg jobban az Ukrajnának nyújtott uniós támogatás ellenőrzését, ideértve azokat az eseteket is, amikor a csalás kockázata Ukrajnán kívüli gazdasági szereplőket érint; ösztönzi az uniós szervek és az ukrán hatóságok közötti folyamatos együttműködést;</w:t>
            </w:r>
          </w:p>
        </w:tc>
      </w:tr>
    </w:tbl>
    <w:p w14:paraId="41B2AA0C"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7E3256A9"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4186E502"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168</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6F0C583D"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47A2062F"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2DD413D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3C08EB21"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208A2C9B" w14:textId="77777777" w:rsidTr="00565F8F">
        <w:trPr>
          <w:trHeight w:hRule="exact" w:val="240"/>
          <w:jc w:val="center"/>
        </w:trPr>
        <w:tc>
          <w:tcPr>
            <w:tcW w:w="9752" w:type="dxa"/>
            <w:gridSpan w:val="2"/>
            <w:tcBorders>
              <w:top w:val="nil"/>
              <w:left w:val="nil"/>
              <w:bottom w:val="nil"/>
              <w:right w:val="nil"/>
            </w:tcBorders>
          </w:tcPr>
          <w:p w14:paraId="3D311F4A" w14:textId="77777777" w:rsidR="000104F2" w:rsidRPr="005F046F" w:rsidRDefault="000104F2" w:rsidP="00565F8F"/>
        </w:tc>
      </w:tr>
      <w:tr w:rsidR="006C656F" w:rsidRPr="005F046F" w14:paraId="0572031B" w14:textId="77777777" w:rsidTr="00565F8F">
        <w:trPr>
          <w:trHeight w:val="240"/>
          <w:jc w:val="center"/>
        </w:trPr>
        <w:tc>
          <w:tcPr>
            <w:tcW w:w="4876" w:type="dxa"/>
            <w:tcBorders>
              <w:top w:val="nil"/>
              <w:left w:val="nil"/>
              <w:bottom w:val="nil"/>
              <w:right w:val="nil"/>
            </w:tcBorders>
          </w:tcPr>
          <w:p w14:paraId="6FDDFE2A"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326C7284" w14:textId="77777777" w:rsidR="000104F2" w:rsidRPr="005F046F" w:rsidRDefault="000104F2" w:rsidP="00565F8F">
            <w:pPr>
              <w:pStyle w:val="AmColumnHeading"/>
            </w:pPr>
            <w:r w:rsidRPr="005F046F">
              <w:t>Módosítás</w:t>
            </w:r>
          </w:p>
        </w:tc>
      </w:tr>
      <w:tr w:rsidR="006C656F" w:rsidRPr="005F046F" w14:paraId="485AB70C" w14:textId="77777777" w:rsidTr="00565F8F">
        <w:trPr>
          <w:jc w:val="center"/>
        </w:trPr>
        <w:tc>
          <w:tcPr>
            <w:tcW w:w="4876" w:type="dxa"/>
            <w:tcBorders>
              <w:top w:val="nil"/>
              <w:left w:val="nil"/>
              <w:bottom w:val="nil"/>
              <w:right w:val="nil"/>
            </w:tcBorders>
          </w:tcPr>
          <w:p w14:paraId="01EDCB6D" w14:textId="77777777" w:rsidR="000104F2" w:rsidRPr="005F046F" w:rsidRDefault="000104F2" w:rsidP="00565F8F">
            <w:pPr>
              <w:pStyle w:val="Normal6a"/>
            </w:pPr>
          </w:p>
        </w:tc>
        <w:tc>
          <w:tcPr>
            <w:tcW w:w="4876" w:type="dxa"/>
            <w:tcBorders>
              <w:top w:val="nil"/>
              <w:left w:val="nil"/>
              <w:bottom w:val="nil"/>
              <w:right w:val="nil"/>
            </w:tcBorders>
          </w:tcPr>
          <w:p w14:paraId="1AA1B2F2" w14:textId="77777777" w:rsidR="000104F2" w:rsidRPr="005F046F" w:rsidRDefault="000104F2" w:rsidP="00565F8F">
            <w:pPr>
              <w:pStyle w:val="Normal6a"/>
            </w:pPr>
            <w:r w:rsidRPr="005F046F">
              <w:rPr>
                <w:b/>
                <w:i/>
              </w:rPr>
              <w:t>48a.</w:t>
            </w:r>
            <w:r w:rsidRPr="005F046F">
              <w:tab/>
            </w:r>
            <w:r w:rsidRPr="005F046F">
              <w:rPr>
                <w:b/>
                <w:i/>
              </w:rPr>
              <w:t xml:space="preserve">hangsúlyozza, hogy az a példátlan mértékű pénzügyi támogatás, amelyet Ukrajna az elmúlt években az Uniótól kapott, és amelyet a jelenlegi háború teremtette rendkívül kedvezőtlen körülmények között használtak fel, megfelelő intézkedések elfogadását teszi szükségessé annak biztosítása érdekében, hogy ezeket a forrásokat a rendeltetésnek megfelelően használják fel, különösen ott, ahol a rászorulók javát szolgálják; ezzel összefüggésben nagyra értékeli az OLAF és az Európai Ügyészség által az EU pénzügyi érdekeinek védelme terén végzett </w:t>
            </w:r>
            <w:r w:rsidRPr="005F046F">
              <w:rPr>
                <w:b/>
                <w:i/>
              </w:rPr>
              <w:lastRenderedPageBreak/>
              <w:t>fontos munkát, emlékeztetve arra, hogy az Európai Ügyészség hatásköre akkor is kiterjed az uniós pénzeszközökre, ha azokat harmadik országokban használják fel;</w:t>
            </w:r>
          </w:p>
        </w:tc>
      </w:tr>
    </w:tbl>
    <w:p w14:paraId="5B2D1CA0" w14:textId="77777777" w:rsidR="000104F2" w:rsidRPr="005F046F" w:rsidRDefault="000104F2" w:rsidP="000104F2">
      <w:pPr>
        <w:pStyle w:val="AmOrLang"/>
      </w:pPr>
      <w:proofErr w:type="spellStart"/>
      <w:r w:rsidRPr="005F046F">
        <w:lastRenderedPageBreak/>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6CB01B16"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20EB09B4"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169</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73E0075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Dick </w:t>
      </w:r>
      <w:proofErr w:type="spellStart"/>
      <w:r w:rsidRPr="005F046F">
        <w:t>Erixon</w:t>
      </w:r>
      <w:proofErr w:type="spellEnd"/>
      <w:r w:rsidRPr="005F046F">
        <w:t xml:space="preserve">, </w:t>
      </w:r>
      <w:proofErr w:type="spellStart"/>
      <w:r w:rsidRPr="005F046F">
        <w:t>Bert</w:t>
      </w:r>
      <w:proofErr w:type="spellEnd"/>
      <w:r w:rsidRPr="005F046F">
        <w:t xml:space="preserve">-Jan </w:t>
      </w:r>
      <w:proofErr w:type="spellStart"/>
      <w:r w:rsidRPr="005F046F">
        <w:t>Ruissen</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74879E33"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1CD10E0"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030D2F14"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a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7869A3C5" w14:textId="77777777" w:rsidTr="00565F8F">
        <w:trPr>
          <w:trHeight w:hRule="exact" w:val="240"/>
          <w:jc w:val="center"/>
        </w:trPr>
        <w:tc>
          <w:tcPr>
            <w:tcW w:w="9752" w:type="dxa"/>
            <w:gridSpan w:val="2"/>
            <w:tcBorders>
              <w:top w:val="nil"/>
              <w:left w:val="nil"/>
              <w:bottom w:val="nil"/>
              <w:right w:val="nil"/>
            </w:tcBorders>
          </w:tcPr>
          <w:p w14:paraId="2BD3D39B" w14:textId="77777777" w:rsidR="000104F2" w:rsidRPr="005F046F" w:rsidRDefault="000104F2" w:rsidP="00565F8F"/>
        </w:tc>
      </w:tr>
      <w:tr w:rsidR="006C656F" w:rsidRPr="005F046F" w14:paraId="0C37B063" w14:textId="77777777" w:rsidTr="00565F8F">
        <w:trPr>
          <w:trHeight w:val="240"/>
          <w:jc w:val="center"/>
        </w:trPr>
        <w:tc>
          <w:tcPr>
            <w:tcW w:w="4876" w:type="dxa"/>
            <w:tcBorders>
              <w:top w:val="nil"/>
              <w:left w:val="nil"/>
              <w:bottom w:val="nil"/>
              <w:right w:val="nil"/>
            </w:tcBorders>
          </w:tcPr>
          <w:p w14:paraId="07BCB1D5"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6CFEF631" w14:textId="77777777" w:rsidR="000104F2" w:rsidRPr="005F046F" w:rsidRDefault="000104F2" w:rsidP="00565F8F">
            <w:pPr>
              <w:pStyle w:val="AmColumnHeading"/>
            </w:pPr>
            <w:r w:rsidRPr="005F046F">
              <w:t>Módosítás</w:t>
            </w:r>
          </w:p>
        </w:tc>
      </w:tr>
      <w:tr w:rsidR="006C656F" w:rsidRPr="005F046F" w14:paraId="30EC126A" w14:textId="77777777" w:rsidTr="00565F8F">
        <w:trPr>
          <w:jc w:val="center"/>
        </w:trPr>
        <w:tc>
          <w:tcPr>
            <w:tcW w:w="4876" w:type="dxa"/>
            <w:tcBorders>
              <w:top w:val="nil"/>
              <w:left w:val="nil"/>
              <w:bottom w:val="nil"/>
              <w:right w:val="nil"/>
            </w:tcBorders>
          </w:tcPr>
          <w:p w14:paraId="4F767FBC" w14:textId="77777777" w:rsidR="000104F2" w:rsidRPr="005F046F" w:rsidRDefault="000104F2" w:rsidP="00565F8F">
            <w:pPr>
              <w:pStyle w:val="Normal6a"/>
            </w:pPr>
          </w:p>
        </w:tc>
        <w:tc>
          <w:tcPr>
            <w:tcW w:w="4876" w:type="dxa"/>
            <w:tcBorders>
              <w:top w:val="nil"/>
              <w:left w:val="nil"/>
              <w:bottom w:val="nil"/>
              <w:right w:val="nil"/>
            </w:tcBorders>
          </w:tcPr>
          <w:p w14:paraId="100F2ADD" w14:textId="77777777" w:rsidR="000104F2" w:rsidRPr="005F046F" w:rsidRDefault="000104F2" w:rsidP="00565F8F">
            <w:pPr>
              <w:pStyle w:val="Normal6a"/>
            </w:pPr>
            <w:r w:rsidRPr="005F046F">
              <w:rPr>
                <w:b/>
                <w:i/>
              </w:rPr>
              <w:t>48a.</w:t>
            </w:r>
            <w:r w:rsidRPr="005F046F">
              <w:tab/>
            </w:r>
            <w:r w:rsidRPr="005F046F">
              <w:rPr>
                <w:b/>
                <w:i/>
              </w:rPr>
              <w:t>kéri a Bizottságot, hogy fordítson különös figyelmet az uniós pénzeszközök külső dimenziójának kezelésére, ideértve a humanitárius segítségnyújtást és az előcsatlakozási támogatást is; hangsúlyozza, hogy a humanitárius segítségnyújtás távirányítása – bár bizonyos körülmények között szükséges – növeli a csalás és a segélyek eltérítésének kockázatát; kéri a Bizottságot, hogy teljes mértékben hajtsa végre a Számvevőszéknek a távirányítással kapcsolatos megközelítés javítására, a nem kormányzati partnerek tanúsítási folyamatának megerősítésére és a partnerek által szolgáltatott információk ellenőrzésére vonatkozó ajánlásait;</w:t>
            </w:r>
          </w:p>
        </w:tc>
      </w:tr>
    </w:tbl>
    <w:p w14:paraId="6B8B33D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65095F2"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0B2EA501"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170</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177CBE7B"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r w:rsidRPr="005F046F">
        <w:t xml:space="preserve">Rudi </w:t>
      </w:r>
      <w:proofErr w:type="spellStart"/>
      <w:r w:rsidRPr="005F046F">
        <w:t>Kennes</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27A4211E"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5E974AB9"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6D1A7857"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C1282A3" w14:textId="77777777" w:rsidTr="00565F8F">
        <w:trPr>
          <w:trHeight w:hRule="exact" w:val="240"/>
          <w:jc w:val="center"/>
        </w:trPr>
        <w:tc>
          <w:tcPr>
            <w:tcW w:w="9752" w:type="dxa"/>
            <w:gridSpan w:val="2"/>
            <w:tcBorders>
              <w:top w:val="nil"/>
              <w:left w:val="nil"/>
              <w:bottom w:val="nil"/>
              <w:right w:val="nil"/>
            </w:tcBorders>
          </w:tcPr>
          <w:p w14:paraId="2B879958" w14:textId="77777777" w:rsidR="000104F2" w:rsidRPr="005F046F" w:rsidRDefault="000104F2" w:rsidP="00565F8F"/>
        </w:tc>
      </w:tr>
      <w:tr w:rsidR="006C656F" w:rsidRPr="005F046F" w14:paraId="5F234167" w14:textId="77777777" w:rsidTr="00565F8F">
        <w:trPr>
          <w:trHeight w:val="240"/>
          <w:jc w:val="center"/>
        </w:trPr>
        <w:tc>
          <w:tcPr>
            <w:tcW w:w="4876" w:type="dxa"/>
            <w:tcBorders>
              <w:top w:val="nil"/>
              <w:left w:val="nil"/>
              <w:bottom w:val="nil"/>
              <w:right w:val="nil"/>
            </w:tcBorders>
          </w:tcPr>
          <w:p w14:paraId="3D2A6D80"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1FB78984" w14:textId="77777777" w:rsidR="000104F2" w:rsidRPr="005F046F" w:rsidRDefault="000104F2" w:rsidP="00565F8F">
            <w:pPr>
              <w:pStyle w:val="AmColumnHeading"/>
            </w:pPr>
            <w:r w:rsidRPr="005F046F">
              <w:t>Módosítás</w:t>
            </w:r>
          </w:p>
        </w:tc>
      </w:tr>
      <w:tr w:rsidR="006C656F" w:rsidRPr="005F046F" w14:paraId="29BD8063" w14:textId="77777777" w:rsidTr="00565F8F">
        <w:trPr>
          <w:jc w:val="center"/>
        </w:trPr>
        <w:tc>
          <w:tcPr>
            <w:tcW w:w="4876" w:type="dxa"/>
            <w:tcBorders>
              <w:top w:val="nil"/>
              <w:left w:val="nil"/>
              <w:bottom w:val="nil"/>
              <w:right w:val="nil"/>
            </w:tcBorders>
          </w:tcPr>
          <w:p w14:paraId="6690EBF3" w14:textId="77777777" w:rsidR="000104F2" w:rsidRPr="005F046F" w:rsidRDefault="000104F2" w:rsidP="00565F8F">
            <w:pPr>
              <w:pStyle w:val="Normal6a"/>
            </w:pPr>
          </w:p>
        </w:tc>
        <w:tc>
          <w:tcPr>
            <w:tcW w:w="4876" w:type="dxa"/>
            <w:tcBorders>
              <w:top w:val="nil"/>
              <w:left w:val="nil"/>
              <w:bottom w:val="nil"/>
              <w:right w:val="nil"/>
            </w:tcBorders>
          </w:tcPr>
          <w:p w14:paraId="60B8B9D1" w14:textId="77777777" w:rsidR="000104F2" w:rsidRPr="005F046F" w:rsidRDefault="000104F2" w:rsidP="00565F8F">
            <w:pPr>
              <w:pStyle w:val="Normal6a"/>
            </w:pPr>
            <w:r w:rsidRPr="005F046F">
              <w:rPr>
                <w:b/>
                <w:i/>
              </w:rPr>
              <w:t>48b.</w:t>
            </w:r>
            <w:r w:rsidRPr="005F046F">
              <w:tab/>
            </w:r>
            <w:r w:rsidRPr="005F046F">
              <w:rPr>
                <w:b/>
                <w:i/>
              </w:rPr>
              <w:t>üdvözli az arra vonatkozó döntést, hogy nem fogadják el az ukrán parlamentben (</w:t>
            </w:r>
            <w:proofErr w:type="spellStart"/>
            <w:r w:rsidRPr="005F046F">
              <w:rPr>
                <w:b/>
                <w:i/>
              </w:rPr>
              <w:t>Verhovna</w:t>
            </w:r>
            <w:proofErr w:type="spellEnd"/>
            <w:r w:rsidRPr="005F046F">
              <w:rPr>
                <w:b/>
                <w:i/>
              </w:rPr>
              <w:t xml:space="preserve"> </w:t>
            </w:r>
            <w:proofErr w:type="spellStart"/>
            <w:r w:rsidRPr="005F046F">
              <w:rPr>
                <w:b/>
                <w:i/>
              </w:rPr>
              <w:t>Rada</w:t>
            </w:r>
            <w:proofErr w:type="spellEnd"/>
            <w:r w:rsidRPr="005F046F">
              <w:rPr>
                <w:b/>
                <w:i/>
              </w:rPr>
              <w:t>) 2025 júliusában megszavazott jogszabályt, amely gyengítette volna az ukrán Szakosított Korrupcióellenes Ügyészség (SAPO) és a nemzeti korrupcióellenes hivatal (NABU) intézkedéseinek hatékonyságát, különös tekintettel a média által a közelmúltban feltárt magas szintű korrupciós ügyekre, amelyek rávilágítanak, hogy a korrupciós bűncselekmények kezelésekor elővigyázatos és körültekintő megközelítésre van szükség, és amelyek kiemelik az átláthatósági célok hatékony elérésére irányuló ukrán erőfeszítések fontosságát;</w:t>
            </w:r>
          </w:p>
        </w:tc>
      </w:tr>
    </w:tbl>
    <w:p w14:paraId="65F31A4C"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3A44C8A0" w14:textId="77777777"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p>
    <w:p w14:paraId="72905B76" w14:textId="77777777" w:rsidR="000104F2" w:rsidRPr="005F046F" w:rsidRDefault="000104F2" w:rsidP="000104F2">
      <w:pPr>
        <w:pStyle w:val="AmNumberTabs"/>
      </w:pPr>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w:t>
      </w:r>
      <w:r w:rsidRPr="005F046F">
        <w:t>Módosítás</w:t>
      </w:r>
      <w:r w:rsidRPr="005F046F">
        <w:tab/>
      </w:r>
      <w:r w:rsidRPr="005F046F">
        <w:tab/>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r w:rsidRPr="005F046F">
        <w:t>171</w:t>
      </w:r>
      <w:r w:rsidRPr="005F046F">
        <w:rPr>
          <w:rStyle w:val="HideTWBExt"/>
          <w:color w:val="auto"/>
        </w:rPr>
        <w:t>&lt;/</w:t>
      </w:r>
      <w:proofErr w:type="spellStart"/>
      <w:r w:rsidRPr="005F046F">
        <w:rPr>
          <w:rStyle w:val="HideTWBExt"/>
          <w:color w:val="auto"/>
        </w:rPr>
        <w:t>NumAm</w:t>
      </w:r>
      <w:proofErr w:type="spellEnd"/>
      <w:r w:rsidRPr="005F046F">
        <w:rPr>
          <w:rStyle w:val="HideTWBExt"/>
          <w:color w:val="auto"/>
        </w:rPr>
        <w:t>&gt;</w:t>
      </w:r>
    </w:p>
    <w:p w14:paraId="2711A558"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&gt;&lt;</w:t>
      </w:r>
      <w:proofErr w:type="spellStart"/>
      <w:r w:rsidRPr="005F046F">
        <w:rPr>
          <w:rStyle w:val="HideTWBExt"/>
          <w:b w:val="0"/>
          <w:color w:val="auto"/>
        </w:rPr>
        <w:t>Members</w:t>
      </w:r>
      <w:proofErr w:type="spellEnd"/>
      <w:r w:rsidRPr="005F046F">
        <w:rPr>
          <w:rStyle w:val="HideTWBExt"/>
          <w:b w:val="0"/>
          <w:color w:val="auto"/>
        </w:rPr>
        <w:t>&gt;</w:t>
      </w:r>
      <w:proofErr w:type="spellStart"/>
      <w:r w:rsidRPr="005F046F">
        <w:t>Gilles</w:t>
      </w:r>
      <w:proofErr w:type="spellEnd"/>
      <w:r w:rsidRPr="005F046F">
        <w:t xml:space="preserve"> </w:t>
      </w:r>
      <w:proofErr w:type="spellStart"/>
      <w:r w:rsidRPr="005F046F">
        <w:t>Boyer</w:t>
      </w:r>
      <w:proofErr w:type="spellEnd"/>
      <w:r w:rsidRPr="005F046F">
        <w:t xml:space="preserve">, Olivier </w:t>
      </w:r>
      <w:proofErr w:type="spellStart"/>
      <w:r w:rsidRPr="005F046F">
        <w:t>Chastel</w:t>
      </w:r>
      <w:proofErr w:type="spellEnd"/>
      <w:r w:rsidRPr="005F046F">
        <w:t xml:space="preserve">, </w:t>
      </w:r>
      <w:proofErr w:type="spellStart"/>
      <w:r w:rsidRPr="005F046F">
        <w:t>Michal</w:t>
      </w:r>
      <w:proofErr w:type="spellEnd"/>
      <w:r w:rsidRPr="005F046F">
        <w:t xml:space="preserve"> </w:t>
      </w:r>
      <w:proofErr w:type="spellStart"/>
      <w:r w:rsidRPr="005F046F">
        <w:t>Wiezik</w:t>
      </w:r>
      <w:proofErr w:type="spellEnd"/>
      <w:r w:rsidRPr="005F046F">
        <w:t xml:space="preserve">, </w:t>
      </w:r>
      <w:proofErr w:type="spellStart"/>
      <w:r w:rsidRPr="005F046F">
        <w:t>Vlad</w:t>
      </w:r>
      <w:proofErr w:type="spellEnd"/>
      <w:r w:rsidRPr="005F046F">
        <w:t xml:space="preserve"> </w:t>
      </w:r>
      <w:proofErr w:type="spellStart"/>
      <w:r w:rsidRPr="005F046F">
        <w:t>Vasile-Voiculescu</w:t>
      </w:r>
      <w:proofErr w:type="spellEnd"/>
      <w:r w:rsidRPr="005F046F">
        <w:rPr>
          <w:rStyle w:val="HideTWBExt"/>
          <w:b w:val="0"/>
          <w:color w:val="auto"/>
        </w:rPr>
        <w:t>&lt;/</w:t>
      </w:r>
      <w:proofErr w:type="spellStart"/>
      <w:r w:rsidRPr="005F046F">
        <w:rPr>
          <w:rStyle w:val="HideTWBExt"/>
          <w:b w:val="0"/>
          <w:color w:val="auto"/>
        </w:rPr>
        <w:t>Members</w:t>
      </w:r>
      <w:proofErr w:type="spellEnd"/>
      <w:r w:rsidRPr="005F046F">
        <w:rPr>
          <w:rStyle w:val="HideTWBExt"/>
          <w:b w:val="0"/>
          <w:color w:val="auto"/>
        </w:rPr>
        <w:t>&gt;</w:t>
      </w:r>
    </w:p>
    <w:p w14:paraId="6B00F4F6" w14:textId="77777777" w:rsidR="000104F2" w:rsidRPr="005F046F" w:rsidRDefault="000104F2" w:rsidP="000104F2">
      <w:pPr>
        <w:pStyle w:val="NormalBold"/>
      </w:pPr>
      <w:r w:rsidRPr="005F046F">
        <w:rPr>
          <w:rStyle w:val="HideTWBExt"/>
          <w:b w:val="0"/>
          <w:color w:val="auto"/>
        </w:rPr>
        <w:t>&lt;/</w:t>
      </w:r>
      <w:proofErr w:type="spellStart"/>
      <w:r w:rsidRPr="005F046F">
        <w:rPr>
          <w:rStyle w:val="HideTWBExt"/>
          <w:b w:val="0"/>
          <w:color w:val="auto"/>
        </w:rPr>
        <w:t>RepeatBlock-By</w:t>
      </w:r>
      <w:proofErr w:type="spellEnd"/>
      <w:r w:rsidRPr="005F046F">
        <w:rPr>
          <w:rStyle w:val="HideTWBExt"/>
          <w:b w:val="0"/>
          <w:color w:val="auto"/>
        </w:rPr>
        <w:t>&gt;</w:t>
      </w:r>
    </w:p>
    <w:p w14:paraId="1EC272F6"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r w:rsidRPr="005F046F">
        <w:t>Állásfoglalásra irányuló indítvány</w:t>
      </w:r>
      <w:r w:rsidRPr="005F046F">
        <w:rPr>
          <w:rStyle w:val="HideTWBExt"/>
          <w:color w:val="auto"/>
        </w:rPr>
        <w:t>&lt;/</w:t>
      </w:r>
      <w:proofErr w:type="spellStart"/>
      <w:r w:rsidRPr="005F046F">
        <w:rPr>
          <w:rStyle w:val="HideTWBExt"/>
          <w:color w:val="auto"/>
        </w:rPr>
        <w:t>DocAmend</w:t>
      </w:r>
      <w:proofErr w:type="spellEnd"/>
      <w:r w:rsidRPr="005F046F">
        <w:rPr>
          <w:rStyle w:val="HideTWBExt"/>
          <w:color w:val="auto"/>
        </w:rPr>
        <w:t>&gt;</w:t>
      </w:r>
    </w:p>
    <w:p w14:paraId="24C108EE" w14:textId="77777777" w:rsidR="000104F2" w:rsidRPr="005F046F" w:rsidRDefault="000104F2" w:rsidP="000104F2">
      <w:pPr>
        <w:pStyle w:val="NormalBold"/>
      </w:pP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r w:rsidRPr="005F046F">
        <w:t>48 b bekezdés (új)</w:t>
      </w:r>
      <w:r w:rsidRPr="005F046F">
        <w:rPr>
          <w:rStyle w:val="HideTWBExt"/>
          <w:color w:val="auto"/>
        </w:rPr>
        <w:t>&lt;/</w:t>
      </w:r>
      <w:proofErr w:type="spellStart"/>
      <w:r w:rsidRPr="005F046F">
        <w:rPr>
          <w:rStyle w:val="HideTWBExt"/>
          <w:color w:val="auto"/>
        </w:rPr>
        <w:t>Article</w:t>
      </w:r>
      <w:proofErr w:type="spellEnd"/>
      <w:r w:rsidRPr="005F046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656F" w:rsidRPr="005F046F" w14:paraId="0568BBEB" w14:textId="77777777" w:rsidTr="00565F8F">
        <w:trPr>
          <w:trHeight w:hRule="exact" w:val="240"/>
          <w:jc w:val="center"/>
        </w:trPr>
        <w:tc>
          <w:tcPr>
            <w:tcW w:w="9752" w:type="dxa"/>
            <w:gridSpan w:val="2"/>
            <w:tcBorders>
              <w:top w:val="nil"/>
              <w:left w:val="nil"/>
              <w:bottom w:val="nil"/>
              <w:right w:val="nil"/>
            </w:tcBorders>
          </w:tcPr>
          <w:p w14:paraId="1C8069D4" w14:textId="77777777" w:rsidR="000104F2" w:rsidRPr="005F046F" w:rsidRDefault="000104F2" w:rsidP="00565F8F"/>
        </w:tc>
      </w:tr>
      <w:tr w:rsidR="006C656F" w:rsidRPr="005F046F" w14:paraId="1E23F163" w14:textId="77777777" w:rsidTr="00565F8F">
        <w:trPr>
          <w:trHeight w:val="240"/>
          <w:jc w:val="center"/>
        </w:trPr>
        <w:tc>
          <w:tcPr>
            <w:tcW w:w="4876" w:type="dxa"/>
            <w:tcBorders>
              <w:top w:val="nil"/>
              <w:left w:val="nil"/>
              <w:bottom w:val="nil"/>
              <w:right w:val="nil"/>
            </w:tcBorders>
          </w:tcPr>
          <w:p w14:paraId="1DFDC7F1" w14:textId="77777777" w:rsidR="000104F2" w:rsidRPr="005F046F" w:rsidRDefault="000104F2" w:rsidP="00565F8F">
            <w:pPr>
              <w:pStyle w:val="AmColumnHeading"/>
            </w:pPr>
            <w:r w:rsidRPr="005F046F">
              <w:t>Állásfoglalásra irányuló indítvány</w:t>
            </w:r>
          </w:p>
        </w:tc>
        <w:tc>
          <w:tcPr>
            <w:tcW w:w="4876" w:type="dxa"/>
            <w:tcBorders>
              <w:top w:val="nil"/>
              <w:left w:val="nil"/>
              <w:bottom w:val="nil"/>
              <w:right w:val="nil"/>
            </w:tcBorders>
          </w:tcPr>
          <w:p w14:paraId="2BEC2A6A" w14:textId="77777777" w:rsidR="000104F2" w:rsidRPr="005F046F" w:rsidRDefault="000104F2" w:rsidP="00565F8F">
            <w:pPr>
              <w:pStyle w:val="AmColumnHeading"/>
            </w:pPr>
            <w:r w:rsidRPr="005F046F">
              <w:t>Módosítás</w:t>
            </w:r>
          </w:p>
        </w:tc>
      </w:tr>
      <w:tr w:rsidR="006C656F" w:rsidRPr="005F046F" w14:paraId="205F8843" w14:textId="77777777" w:rsidTr="00565F8F">
        <w:trPr>
          <w:jc w:val="center"/>
        </w:trPr>
        <w:tc>
          <w:tcPr>
            <w:tcW w:w="4876" w:type="dxa"/>
            <w:tcBorders>
              <w:top w:val="nil"/>
              <w:left w:val="nil"/>
              <w:bottom w:val="nil"/>
              <w:right w:val="nil"/>
            </w:tcBorders>
          </w:tcPr>
          <w:p w14:paraId="63F02460" w14:textId="77777777" w:rsidR="000104F2" w:rsidRPr="005F046F" w:rsidRDefault="000104F2" w:rsidP="00565F8F">
            <w:pPr>
              <w:pStyle w:val="Normal6a"/>
            </w:pPr>
          </w:p>
        </w:tc>
        <w:tc>
          <w:tcPr>
            <w:tcW w:w="4876" w:type="dxa"/>
            <w:tcBorders>
              <w:top w:val="nil"/>
              <w:left w:val="nil"/>
              <w:bottom w:val="nil"/>
              <w:right w:val="nil"/>
            </w:tcBorders>
          </w:tcPr>
          <w:p w14:paraId="0EB066AC" w14:textId="77777777" w:rsidR="000104F2" w:rsidRPr="005F046F" w:rsidRDefault="000104F2" w:rsidP="00565F8F">
            <w:pPr>
              <w:pStyle w:val="Normal6a"/>
            </w:pPr>
            <w:r w:rsidRPr="005F046F">
              <w:rPr>
                <w:b/>
                <w:i/>
              </w:rPr>
              <w:t>48b.</w:t>
            </w:r>
            <w:r w:rsidRPr="005F046F">
              <w:tab/>
            </w:r>
            <w:r w:rsidRPr="005F046F">
              <w:rPr>
                <w:b/>
                <w:i/>
              </w:rPr>
              <w:t xml:space="preserve">megismétli, hogy meg kell erősíteni az Oroszországgal és </w:t>
            </w:r>
            <w:proofErr w:type="spellStart"/>
            <w:r w:rsidRPr="005F046F">
              <w:rPr>
                <w:b/>
                <w:i/>
              </w:rPr>
              <w:t>Belarusszal</w:t>
            </w:r>
            <w:proofErr w:type="spellEnd"/>
            <w:r w:rsidRPr="005F046F">
              <w:rPr>
                <w:b/>
                <w:i/>
              </w:rPr>
              <w:t xml:space="preserve"> szembeni uniós szankciók végrehajtását, és kiemeli a tagállamoknak, az OLAF-</w:t>
            </w:r>
            <w:proofErr w:type="spellStart"/>
            <w:r w:rsidRPr="005F046F">
              <w:rPr>
                <w:b/>
                <w:i/>
              </w:rPr>
              <w:t>nak</w:t>
            </w:r>
            <w:proofErr w:type="spellEnd"/>
            <w:r w:rsidRPr="005F046F">
              <w:rPr>
                <w:b/>
                <w:i/>
              </w:rPr>
              <w:t xml:space="preserve"> és az Európai Ügyészségnek a szankciók kijátszásának megelőzésében és az Unió pénzügyi érdekeinek védelmében betöltött szerepét;</w:t>
            </w:r>
          </w:p>
        </w:tc>
      </w:tr>
    </w:tbl>
    <w:p w14:paraId="0BFB3986" w14:textId="77777777" w:rsidR="000104F2" w:rsidRPr="005F046F" w:rsidRDefault="000104F2" w:rsidP="000104F2">
      <w:pPr>
        <w:pStyle w:val="AmOrLang"/>
      </w:pPr>
      <w:proofErr w:type="spellStart"/>
      <w:r w:rsidRPr="005F046F">
        <w:t>Or</w:t>
      </w:r>
      <w:proofErr w:type="spellEnd"/>
      <w:r w:rsidRPr="005F046F">
        <w:t xml:space="preserve">. </w:t>
      </w:r>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r w:rsidRPr="005F046F">
        <w:rPr>
          <w:rStyle w:val="HideTWBInt"/>
          <w:color w:val="auto"/>
        </w:rPr>
        <w:t>{EN}</w:t>
      </w:r>
      <w:proofErr w:type="spellStart"/>
      <w:r w:rsidRPr="005F046F">
        <w:t>en</w:t>
      </w:r>
      <w:proofErr w:type="spellEnd"/>
      <w:r w:rsidRPr="005F046F">
        <w:rPr>
          <w:rStyle w:val="HideTWBExt"/>
          <w:color w:val="auto"/>
        </w:rPr>
        <w:t>&lt;/</w:t>
      </w:r>
      <w:proofErr w:type="spellStart"/>
      <w:r w:rsidRPr="005F046F">
        <w:rPr>
          <w:rStyle w:val="HideTWBExt"/>
          <w:color w:val="auto"/>
        </w:rPr>
        <w:t>Original</w:t>
      </w:r>
      <w:proofErr w:type="spellEnd"/>
      <w:r w:rsidRPr="005F046F">
        <w:rPr>
          <w:rStyle w:val="HideTWBExt"/>
          <w:color w:val="auto"/>
        </w:rPr>
        <w:t>&gt;</w:t>
      </w:r>
    </w:p>
    <w:p w14:paraId="54D34D32" w14:textId="6E3AB1EE" w:rsidR="000104F2" w:rsidRPr="005F046F" w:rsidRDefault="000104F2" w:rsidP="000104F2">
      <w:r w:rsidRPr="005F046F">
        <w:rPr>
          <w:rStyle w:val="HideTWBExt"/>
          <w:color w:val="auto"/>
        </w:rPr>
        <w:t>&lt;/</w:t>
      </w:r>
      <w:proofErr w:type="spellStart"/>
      <w:r w:rsidRPr="005F046F">
        <w:rPr>
          <w:rStyle w:val="HideTWBExt"/>
          <w:color w:val="auto"/>
        </w:rPr>
        <w:t>Amend</w:t>
      </w:r>
      <w:proofErr w:type="spellEnd"/>
      <w:r w:rsidRPr="005F046F">
        <w:rPr>
          <w:rStyle w:val="HideTWBExt"/>
          <w:color w:val="auto"/>
        </w:rPr>
        <w:t>&gt;&lt;/</w:t>
      </w:r>
      <w:proofErr w:type="spellStart"/>
      <w:r w:rsidRPr="005F046F">
        <w:rPr>
          <w:rStyle w:val="HideTWBExt"/>
          <w:color w:val="auto"/>
        </w:rPr>
        <w:t>RepeatBlock-Amend</w:t>
      </w:r>
      <w:proofErr w:type="spellEnd"/>
      <w:r w:rsidRPr="005F046F">
        <w:rPr>
          <w:rStyle w:val="HideTWBExt"/>
          <w:color w:val="auto"/>
        </w:rPr>
        <w:t>&gt;</w:t>
      </w:r>
    </w:p>
    <w:p w14:paraId="7419266C" w14:textId="16E851D1" w:rsidR="00F91304" w:rsidRPr="005F046F" w:rsidRDefault="00F91304" w:rsidP="000104F2"/>
    <w:sectPr w:rsidR="00F91304" w:rsidRPr="005F046F" w:rsidSect="003A1A2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6C71D" w14:textId="77777777" w:rsidR="00B341CB" w:rsidRPr="005F046F" w:rsidRDefault="00B341CB">
      <w:r w:rsidRPr="005F046F">
        <w:separator/>
      </w:r>
    </w:p>
  </w:endnote>
  <w:endnote w:type="continuationSeparator" w:id="0">
    <w:p w14:paraId="5C7B3E40" w14:textId="77777777" w:rsidR="00B341CB" w:rsidRPr="005F046F" w:rsidRDefault="00B341CB">
      <w:r w:rsidRPr="005F04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C67F" w14:textId="56AC4C3E" w:rsidR="003A1A27" w:rsidRPr="005F046F" w:rsidRDefault="003A1A27" w:rsidP="003A1A27">
    <w:pPr>
      <w:pStyle w:val="EPFooter"/>
    </w:pPr>
    <w:r w:rsidRPr="005F046F">
      <w:t>PE</w:t>
    </w:r>
    <w:r w:rsidRPr="005F046F">
      <w:rPr>
        <w:rStyle w:val="HideTWBExt"/>
      </w:rPr>
      <w:t>&lt;</w:t>
    </w:r>
    <w:proofErr w:type="spellStart"/>
    <w:r w:rsidRPr="005F046F">
      <w:rPr>
        <w:rStyle w:val="HideTWBExt"/>
      </w:rPr>
      <w:t>NoPE</w:t>
    </w:r>
    <w:proofErr w:type="spellEnd"/>
    <w:r w:rsidRPr="005F046F">
      <w:rPr>
        <w:rStyle w:val="HideTWBExt"/>
      </w:rPr>
      <w:t>&gt;</w:t>
    </w:r>
    <w:r w:rsidRPr="005F046F">
      <w:t>784.234</w:t>
    </w:r>
    <w:r w:rsidRPr="005F046F">
      <w:rPr>
        <w:rStyle w:val="HideTWBExt"/>
      </w:rPr>
      <w:t>&lt;/</w:t>
    </w:r>
    <w:proofErr w:type="spellStart"/>
    <w:r w:rsidRPr="005F046F">
      <w:rPr>
        <w:rStyle w:val="HideTWBExt"/>
      </w:rPr>
      <w:t>NoPE</w:t>
    </w:r>
    <w:proofErr w:type="spellEnd"/>
    <w:r w:rsidRPr="005F046F">
      <w:rPr>
        <w:rStyle w:val="HideTWBExt"/>
      </w:rPr>
      <w:t>&gt;&lt;Version&gt;</w:t>
    </w:r>
    <w:r w:rsidRPr="005F046F">
      <w:t>v01-00</w:t>
    </w:r>
    <w:r w:rsidRPr="005F046F">
      <w:rPr>
        <w:rStyle w:val="HideTWBExt"/>
      </w:rPr>
      <w:t>&lt;/Version&gt;</w:t>
    </w:r>
    <w:r w:rsidRPr="005F046F">
      <w:tab/>
    </w:r>
    <w:r w:rsidRPr="005F046F">
      <w:fldChar w:fldCharType="begin"/>
    </w:r>
    <w:r w:rsidRPr="005F046F">
      <w:instrText xml:space="preserve"> PAGE  \* MERGEFORMAT </w:instrText>
    </w:r>
    <w:r w:rsidRPr="005F046F">
      <w:fldChar w:fldCharType="separate"/>
    </w:r>
    <w:r w:rsidRPr="005F046F">
      <w:rPr>
        <w:noProof/>
      </w:rPr>
      <w:t>2</w:t>
    </w:r>
    <w:r w:rsidRPr="005F046F">
      <w:fldChar w:fldCharType="end"/>
    </w:r>
    <w:r w:rsidRPr="005F046F">
      <w:t>/</w:t>
    </w:r>
    <w:fldSimple w:instr=" NUMPAGES  \* MERGEFORMAT ">
      <w:r w:rsidRPr="005F046F">
        <w:rPr>
          <w:noProof/>
        </w:rPr>
        <w:t>137</w:t>
      </w:r>
    </w:fldSimple>
    <w:r w:rsidRPr="005F046F">
      <w:tab/>
    </w:r>
    <w:r w:rsidRPr="005F046F">
      <w:rPr>
        <w:rStyle w:val="HideTWBExt"/>
      </w:rPr>
      <w:t>&lt;</w:t>
    </w:r>
    <w:proofErr w:type="spellStart"/>
    <w:r w:rsidRPr="005F046F">
      <w:rPr>
        <w:rStyle w:val="HideTWBExt"/>
      </w:rPr>
      <w:t>PathFdR</w:t>
    </w:r>
    <w:proofErr w:type="spellEnd"/>
    <w:r w:rsidRPr="005F046F">
      <w:rPr>
        <w:rStyle w:val="HideTWBExt"/>
      </w:rPr>
      <w:t>&gt;</w:t>
    </w:r>
    <w:r w:rsidR="005F046F" w:rsidRPr="005F046F">
      <w:t>AM\1336586HU.docx</w:t>
    </w:r>
    <w:r w:rsidRPr="005F046F">
      <w:rPr>
        <w:rStyle w:val="HideTWBExt"/>
      </w:rPr>
      <w:t>&lt;/</w:t>
    </w:r>
    <w:proofErr w:type="spellStart"/>
    <w:r w:rsidRPr="005F046F">
      <w:rPr>
        <w:rStyle w:val="HideTWBExt"/>
      </w:rPr>
      <w:t>PathFdR</w:t>
    </w:r>
    <w:proofErr w:type="spellEnd"/>
    <w:r w:rsidRPr="005F046F">
      <w:rPr>
        <w:rStyle w:val="HideTWBExt"/>
      </w:rPr>
      <w:t>&gt;</w:t>
    </w:r>
  </w:p>
  <w:p w14:paraId="42C97EC5" w14:textId="4B74C992" w:rsidR="00F91304" w:rsidRPr="005F046F" w:rsidRDefault="003A1A27" w:rsidP="003A1A27">
    <w:pPr>
      <w:pStyle w:val="EPFooter2"/>
    </w:pPr>
    <w:r w:rsidRPr="005F046F">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2A70" w14:textId="3176FABC" w:rsidR="003A1A27" w:rsidRPr="005F046F" w:rsidRDefault="003A1A27" w:rsidP="003A1A27">
    <w:pPr>
      <w:pStyle w:val="EPFooter"/>
    </w:pPr>
    <w:r w:rsidRPr="005F046F">
      <w:rPr>
        <w:rStyle w:val="HideTWBExt"/>
      </w:rPr>
      <w:t>&lt;</w:t>
    </w:r>
    <w:proofErr w:type="spellStart"/>
    <w:r w:rsidRPr="005F046F">
      <w:rPr>
        <w:rStyle w:val="HideTWBExt"/>
      </w:rPr>
      <w:t>PathFdR</w:t>
    </w:r>
    <w:proofErr w:type="spellEnd"/>
    <w:r w:rsidRPr="005F046F">
      <w:rPr>
        <w:rStyle w:val="HideTWBExt"/>
      </w:rPr>
      <w:t>&gt;</w:t>
    </w:r>
    <w:r w:rsidR="005F046F" w:rsidRPr="005F046F">
      <w:t>AM\1336586HU.docx</w:t>
    </w:r>
    <w:r w:rsidRPr="005F046F">
      <w:rPr>
        <w:rStyle w:val="HideTWBExt"/>
      </w:rPr>
      <w:t>&lt;/</w:t>
    </w:r>
    <w:proofErr w:type="spellStart"/>
    <w:r w:rsidRPr="005F046F">
      <w:rPr>
        <w:rStyle w:val="HideTWBExt"/>
      </w:rPr>
      <w:t>PathFdR</w:t>
    </w:r>
    <w:proofErr w:type="spellEnd"/>
    <w:r w:rsidRPr="005F046F">
      <w:rPr>
        <w:rStyle w:val="HideTWBExt"/>
      </w:rPr>
      <w:t>&gt;</w:t>
    </w:r>
    <w:r w:rsidRPr="005F046F">
      <w:tab/>
    </w:r>
    <w:r w:rsidRPr="005F046F">
      <w:fldChar w:fldCharType="begin"/>
    </w:r>
    <w:r w:rsidRPr="005F046F">
      <w:instrText xml:space="preserve"> PAGE  \* MERGEFORMAT </w:instrText>
    </w:r>
    <w:r w:rsidRPr="005F046F">
      <w:fldChar w:fldCharType="separate"/>
    </w:r>
    <w:r w:rsidRPr="005F046F">
      <w:rPr>
        <w:noProof/>
      </w:rPr>
      <w:t>137</w:t>
    </w:r>
    <w:r w:rsidRPr="005F046F">
      <w:fldChar w:fldCharType="end"/>
    </w:r>
    <w:r w:rsidRPr="005F046F">
      <w:t>/</w:t>
    </w:r>
    <w:fldSimple w:instr=" NUMPAGES  \* MERGEFORMAT ">
      <w:r w:rsidRPr="005F046F">
        <w:rPr>
          <w:noProof/>
        </w:rPr>
        <w:t>137</w:t>
      </w:r>
    </w:fldSimple>
    <w:r w:rsidRPr="005F046F">
      <w:tab/>
      <w:t>PE</w:t>
    </w:r>
    <w:r w:rsidRPr="005F046F">
      <w:rPr>
        <w:rStyle w:val="HideTWBExt"/>
      </w:rPr>
      <w:t>&lt;</w:t>
    </w:r>
    <w:proofErr w:type="spellStart"/>
    <w:r w:rsidRPr="005F046F">
      <w:rPr>
        <w:rStyle w:val="HideTWBExt"/>
      </w:rPr>
      <w:t>NoPE</w:t>
    </w:r>
    <w:proofErr w:type="spellEnd"/>
    <w:r w:rsidRPr="005F046F">
      <w:rPr>
        <w:rStyle w:val="HideTWBExt"/>
      </w:rPr>
      <w:t>&gt;</w:t>
    </w:r>
    <w:r w:rsidRPr="005F046F">
      <w:t>784.234</w:t>
    </w:r>
    <w:r w:rsidRPr="005F046F">
      <w:rPr>
        <w:rStyle w:val="HideTWBExt"/>
      </w:rPr>
      <w:t>&lt;/</w:t>
    </w:r>
    <w:proofErr w:type="spellStart"/>
    <w:r w:rsidRPr="005F046F">
      <w:rPr>
        <w:rStyle w:val="HideTWBExt"/>
      </w:rPr>
      <w:t>NoPE</w:t>
    </w:r>
    <w:proofErr w:type="spellEnd"/>
    <w:r w:rsidRPr="005F046F">
      <w:rPr>
        <w:rStyle w:val="HideTWBExt"/>
      </w:rPr>
      <w:t>&gt;&lt;Version&gt;</w:t>
    </w:r>
    <w:r w:rsidRPr="005F046F">
      <w:t>v01-00</w:t>
    </w:r>
    <w:r w:rsidRPr="005F046F">
      <w:rPr>
        <w:rStyle w:val="HideTWBExt"/>
      </w:rPr>
      <w:t>&lt;/Version&gt;</w:t>
    </w:r>
  </w:p>
  <w:p w14:paraId="4B152B5D" w14:textId="4C0F7D38" w:rsidR="00F91304" w:rsidRPr="005F046F" w:rsidRDefault="003A1A27" w:rsidP="003A1A27">
    <w:pPr>
      <w:pStyle w:val="EPFooter2"/>
    </w:pPr>
    <w:r w:rsidRPr="005F046F">
      <w:tab/>
    </w:r>
    <w:r w:rsidRPr="005F046F">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EF5B" w14:textId="3F69EFF6" w:rsidR="003A1A27" w:rsidRPr="005F046F" w:rsidRDefault="003A1A27" w:rsidP="003A1A27">
    <w:pPr>
      <w:pStyle w:val="EPFooter"/>
    </w:pPr>
    <w:r w:rsidRPr="005F046F">
      <w:rPr>
        <w:rStyle w:val="HideTWBExt"/>
      </w:rPr>
      <w:t>&lt;</w:t>
    </w:r>
    <w:proofErr w:type="spellStart"/>
    <w:r w:rsidRPr="005F046F">
      <w:rPr>
        <w:rStyle w:val="HideTWBExt"/>
      </w:rPr>
      <w:t>PathFdR</w:t>
    </w:r>
    <w:proofErr w:type="spellEnd"/>
    <w:r w:rsidRPr="005F046F">
      <w:rPr>
        <w:rStyle w:val="HideTWBExt"/>
      </w:rPr>
      <w:t>&gt;</w:t>
    </w:r>
    <w:r w:rsidR="005F046F" w:rsidRPr="005F046F">
      <w:t>AM\1336586HU.docx</w:t>
    </w:r>
    <w:r w:rsidRPr="005F046F">
      <w:rPr>
        <w:rStyle w:val="HideTWBExt"/>
      </w:rPr>
      <w:t>&lt;/</w:t>
    </w:r>
    <w:proofErr w:type="spellStart"/>
    <w:r w:rsidRPr="005F046F">
      <w:rPr>
        <w:rStyle w:val="HideTWBExt"/>
      </w:rPr>
      <w:t>PathFdR</w:t>
    </w:r>
    <w:proofErr w:type="spellEnd"/>
    <w:r w:rsidRPr="005F046F">
      <w:rPr>
        <w:rStyle w:val="HideTWBExt"/>
      </w:rPr>
      <w:t>&gt;</w:t>
    </w:r>
    <w:r w:rsidRPr="005F046F">
      <w:tab/>
    </w:r>
    <w:r w:rsidRPr="005F046F">
      <w:tab/>
      <w:t>PE</w:t>
    </w:r>
    <w:r w:rsidRPr="005F046F">
      <w:rPr>
        <w:rStyle w:val="HideTWBExt"/>
      </w:rPr>
      <w:t>&lt;</w:t>
    </w:r>
    <w:proofErr w:type="spellStart"/>
    <w:r w:rsidRPr="005F046F">
      <w:rPr>
        <w:rStyle w:val="HideTWBExt"/>
      </w:rPr>
      <w:t>NoPE</w:t>
    </w:r>
    <w:proofErr w:type="spellEnd"/>
    <w:r w:rsidRPr="005F046F">
      <w:rPr>
        <w:rStyle w:val="HideTWBExt"/>
      </w:rPr>
      <w:t>&gt;</w:t>
    </w:r>
    <w:r w:rsidRPr="005F046F">
      <w:t>784.234</w:t>
    </w:r>
    <w:r w:rsidRPr="005F046F">
      <w:rPr>
        <w:rStyle w:val="HideTWBExt"/>
      </w:rPr>
      <w:t>&lt;/</w:t>
    </w:r>
    <w:proofErr w:type="spellStart"/>
    <w:r w:rsidRPr="005F046F">
      <w:rPr>
        <w:rStyle w:val="HideTWBExt"/>
      </w:rPr>
      <w:t>NoPE</w:t>
    </w:r>
    <w:proofErr w:type="spellEnd"/>
    <w:r w:rsidRPr="005F046F">
      <w:rPr>
        <w:rStyle w:val="HideTWBExt"/>
      </w:rPr>
      <w:t>&gt;&lt;Version&gt;</w:t>
    </w:r>
    <w:r w:rsidRPr="005F046F">
      <w:t>v01-00</w:t>
    </w:r>
    <w:r w:rsidRPr="005F046F">
      <w:rPr>
        <w:rStyle w:val="HideTWBExt"/>
      </w:rPr>
      <w:t>&lt;/Version&gt;</w:t>
    </w:r>
  </w:p>
  <w:p w14:paraId="3E17185E" w14:textId="73EC68C4" w:rsidR="00F91304" w:rsidRPr="005F046F" w:rsidRDefault="003A1A27" w:rsidP="003A1A27">
    <w:pPr>
      <w:pStyle w:val="EPFooter2"/>
    </w:pPr>
    <w:r w:rsidRPr="005F046F">
      <w:t>HU</w:t>
    </w:r>
    <w:r w:rsidRPr="005F046F">
      <w:tab/>
    </w:r>
    <w:r w:rsidRPr="005F046F">
      <w:rPr>
        <w:b w:val="0"/>
        <w:i/>
        <w:color w:val="C0C0C0"/>
        <w:sz w:val="22"/>
      </w:rPr>
      <w:t>Egyesülve a sokféleségben</w:t>
    </w:r>
    <w:r w:rsidRPr="005F046F">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54D0A" w14:textId="77777777" w:rsidR="00B341CB" w:rsidRPr="005F046F" w:rsidRDefault="00B341CB">
      <w:r w:rsidRPr="005F046F">
        <w:separator/>
      </w:r>
    </w:p>
  </w:footnote>
  <w:footnote w:type="continuationSeparator" w:id="0">
    <w:p w14:paraId="67C22330" w14:textId="77777777" w:rsidR="00B341CB" w:rsidRPr="005F046F" w:rsidRDefault="00B341CB">
      <w:r w:rsidRPr="005F04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D768D" w14:textId="77777777" w:rsidR="00080D06" w:rsidRDefault="00080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89D7" w14:textId="77777777" w:rsidR="00080D06" w:rsidRDefault="00080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DB08" w14:textId="77777777" w:rsidR="00080D06" w:rsidRDefault="00080D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HU"/>
    <w:docVar w:name="TXTLANGUEMIN" w:val="hu"/>
    <w:docVar w:name="TXTNRPE" w:val="784.234"/>
    <w:docVar w:name="TXTPEorAP" w:val="PE"/>
    <w:docVar w:name="TXTROUTE" w:val="AM\1336586HU.docx"/>
    <w:docVar w:name="TXTVERSION" w:val="01-00"/>
  </w:docVars>
  <w:rsids>
    <w:rsidRoot w:val="00A77B3E"/>
    <w:rsid w:val="000104F2"/>
    <w:rsid w:val="00080D06"/>
    <w:rsid w:val="0024631A"/>
    <w:rsid w:val="00282C88"/>
    <w:rsid w:val="003A1A27"/>
    <w:rsid w:val="005F046F"/>
    <w:rsid w:val="006C656F"/>
    <w:rsid w:val="0070214D"/>
    <w:rsid w:val="00A77B3E"/>
    <w:rsid w:val="00B321FB"/>
    <w:rsid w:val="00B341CB"/>
    <w:rsid w:val="00CA2A55"/>
    <w:rsid w:val="00EC7E0B"/>
    <w:rsid w:val="00F8255E"/>
    <w:rsid w:val="00F91304"/>
    <w:rsid w:val="00FE31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E2E20FA"/>
  <w15:docId w15:val="{AAC9E4BB-2AB7-47BD-9BED-B3C9F0D7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104F2"/>
    <w:pPr>
      <w:tabs>
        <w:tab w:val="center" w:pos="4680"/>
        <w:tab w:val="right" w:pos="9360"/>
      </w:tabs>
    </w:pPr>
  </w:style>
  <w:style w:type="character" w:customStyle="1" w:styleId="HeaderChar">
    <w:name w:val="Header Char"/>
    <w:basedOn w:val="DefaultParagraphFont"/>
    <w:link w:val="Header"/>
    <w:rsid w:val="000104F2"/>
    <w:rPr>
      <w:sz w:val="24"/>
      <w:szCs w:val="24"/>
    </w:rPr>
  </w:style>
  <w:style w:type="paragraph" w:styleId="Footer">
    <w:name w:val="footer"/>
    <w:basedOn w:val="Normal"/>
    <w:link w:val="FooterChar"/>
    <w:rsid w:val="00080D06"/>
    <w:pPr>
      <w:tabs>
        <w:tab w:val="center" w:pos="4513"/>
        <w:tab w:val="right" w:pos="9026"/>
      </w:tabs>
    </w:pPr>
  </w:style>
  <w:style w:type="character" w:customStyle="1" w:styleId="FooterChar">
    <w:name w:val="Footer Char"/>
    <w:basedOn w:val="DefaultParagraphFont"/>
    <w:link w:val="Footer"/>
    <w:rsid w:val="00080D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137</Pages>
  <Words>31853</Words>
  <Characters>227285</Characters>
  <Application>Microsoft Office Word</Application>
  <DocSecurity>0</DocSecurity>
  <Lines>8113</Lines>
  <Paragraphs>1515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2026-02-25T12:38:00Z</dcterms:created>
  <dcterms:modified xsi:type="dcterms:W3CDTF">2026-02-25T12:38:00Z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361412</vt:lpwstr>
  </property>
  <property fmtid="{D5CDD505-2E9C-101B-9397-08002B2CF9AE}" pid="7" name="dmxml.render.traceId">
    <vt:lpwstr>69820ae0910f3aa9d6c45d7ac027eebc</vt:lpwstr>
  </property>
  <property fmtid="{D5CDD505-2E9C-101B-9397-08002B2CF9AE}" pid="8" name="FooterPath">
    <vt:lpwstr>AM\1336586HU.docx</vt:lpwstr>
  </property>
  <property fmtid="{D5CDD505-2E9C-101B-9397-08002B2CF9AE}" pid="9" name="PE Number">
    <vt:lpwstr>784.234</vt:lpwstr>
  </property>
  <property fmtid="{D5CDD505-2E9C-101B-9397-08002B2CF9AE}" pid="10" name="UID">
    <vt:lpwstr>eu.europa.europarl-DIN1-2026-0000023278_01.00-xm-01.00_text-xml</vt:lpwstr>
  </property>
  <property fmtid="{D5CDD505-2E9C-101B-9397-08002B2CF9AE}" pid="11" name="LastEdited with">
    <vt:lpwstr>10.2.1 Build [20260110]</vt:lpwstr>
  </property>
  <property fmtid="{D5CDD505-2E9C-101B-9397-08002B2CF9AE}" pid="12" name="Bookout">
    <vt:lpwstr>OK - 2026/02/25 13:37</vt:lpwstr>
  </property>
</Properties>
</file>