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Evropský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{CONT}</w:t>
      </w:r>
      <w:r>
        <w:t>Výbor pro rozpočtovou kontrolu</w:t>
      </w:r>
      <w:r>
        <w:rPr>
          <w:rStyle w:val="HideTWBExt"/>
        </w:rPr>
        <w:t>&lt;/Commission&gt;</w:t>
      </w:r>
    </w:p>
    <w:p>
      <w:pPr>
        <w:pStyle w:val="LineBottom"/>
      </w:pPr>
      <w:r>
        <w:t xml:space="preserve"> </w:t>
      </w:r>
    </w:p>
    <w:p>
      <w:pPr>
        <w:pStyle w:val="CoverReference"/>
      </w:pPr>
      <w:r>
        <w:rPr>
          <w:rStyle w:val="HideTWBExt"/>
        </w:rPr>
        <w:t>&lt;RefProc&gt;</w:t>
      </w:r>
      <w:r>
        <w:t>2025/2145</w:t>
      </w:r>
      <w:r>
        <w:rPr>
          <w:rStyle w:val="HideTWBExt"/>
        </w:rPr>
        <w:t>&lt;/RefProc&gt;</w:t>
      </w:r>
      <w:r>
        <w:rPr>
          <w:rStyle w:val="HideTWBExt"/>
        </w:rPr>
        <w:t>&lt;RefTypeProc&gt;</w:t>
      </w:r>
      <w:r>
        <w:t>(DEC)</w:t>
      </w:r>
      <w:r>
        <w:rPr>
          <w:rStyle w:val="HideTWBExt"/>
        </w:rPr>
        <w:t>&lt;/RefTypeProc&gt;</w:t>
      </w:r>
    </w:p>
    <w:p>
      <w:pPr>
        <w:pStyle w:val="CoverDate"/>
      </w:pPr>
      <w:r>
        <w:rPr>
          <w:rStyle w:val="HideTWBExt"/>
        </w:rPr>
        <w:t>&lt;Date&gt;</w:t>
      </w:r>
      <w:r>
        <w:rPr>
          <w:rStyle w:val="HideTWBInt"/>
        </w:rPr>
        <w:t>{20/02/2026}</w:t>
      </w:r>
      <w:r>
        <w:t>20.2.2026</w:t>
      </w:r>
      <w:r>
        <w:rPr>
          <w:rStyle w:val="HideTWBExt"/>
        </w:rPr>
        <w:t>&lt;/Date&gt;</w:t>
      </w:r>
    </w:p>
    <w:p>
      <w:pPr>
        <w:pStyle w:val="CoverDocType"/>
      </w:pPr>
      <w:r>
        <w:rPr>
          <w:rStyle w:val="HideTWBExt"/>
        </w:rPr>
        <w:t>&lt;TypeAM&gt;</w:t>
      </w:r>
      <w:r>
        <w:t>POZMĚŇOVACÍ NÁVRHY</w:t>
      </w:r>
      <w:r>
        <w:rPr>
          <w:rStyle w:val="HideTWBExt"/>
        </w:rPr>
        <w:t>&lt;/TypeAM&gt;</w:t>
      </w:r>
    </w:p>
    <w:p>
      <w:pPr>
        <w:pStyle w:val="CoverDocType24a"/>
      </w:pPr>
      <w:r>
        <w:rPr>
          <w:rStyle w:val="HideTWBExt"/>
        </w:rPr>
        <w:t>&lt;RangeAM&gt;</w:t>
      </w:r>
      <w:r>
        <w:t>1</w:t>
      </w:r>
      <w:r>
        <w:t xml:space="preserve"> - </w:t>
      </w:r>
      <w:r>
        <w:t>250</w:t>
      </w:r>
      <w:r>
        <w:rPr>
          <w:rStyle w:val="HideTWBExt"/>
        </w:rPr>
        <w:t>&lt;/RangeAM&gt;</w:t>
      </w:r>
    </w:p>
    <w:p>
      <w:pPr>
        <w:pStyle w:val="CoverBold"/>
      </w:pPr>
      <w:r>
        <w:rPr>
          <w:rStyle w:val="HideTWBExt"/>
        </w:rPr>
        <w:t>&lt;TitreType&gt;</w:t>
      </w:r>
      <w:r>
        <w:t>Návrh zprávy</w:t>
      </w:r>
      <w:r>
        <w:rPr>
          <w:rStyle w:val="HideTWBExt"/>
        </w:rPr>
        <w:t>&lt;/TitreType&gt;</w:t>
      </w:r>
    </w:p>
    <w:p>
      <w:pPr>
        <w:pStyle w:val="CoverBold"/>
      </w:pPr>
      <w:r>
        <w:rPr>
          <w:rStyle w:val="HideTWBExt"/>
        </w:rPr>
        <w:t>&lt;Rapporteur&gt;</w:t>
      </w:r>
      <w:r>
        <w:t>Daniel Freund</w:t>
      </w:r>
      <w:r>
        <w:rPr>
          <w:rStyle w:val="HideTWBExt"/>
        </w:rPr>
        <w:t>&lt;/Rapporteur&gt;</w:t>
      </w:r>
    </w:p>
    <w:p>
      <w:pPr>
        <w:pStyle w:val="CoverNormal24a"/>
      </w:pPr>
      <w:r>
        <w:rPr>
          <w:rStyle w:val="HideTWBExt"/>
        </w:rPr>
        <w:t>&lt;DocRefPE&gt;</w:t>
      </w:r>
      <w:r>
        <w:t>(PE778.123v01-00)</w:t>
      </w:r>
      <w:r>
        <w:rPr>
          <w:rStyle w:val="HideTWBExt"/>
        </w:rPr>
        <w:t>&lt;/DocRefPE&gt;</w:t>
      </w:r>
    </w:p>
    <w:p>
      <w:pPr>
        <w:pStyle w:val="CoverNormal"/>
      </w:pPr>
      <w:r>
        <w:rPr>
          <w:rStyle w:val="HideTWBExt"/>
        </w:rPr>
        <w:t>&lt;Titre&gt;</w:t>
      </w:r>
      <w:r>
        <w:t>Udělení absolutoria za rozpočtový rok 2024: souhrnný rozpočet EU – Komise</w:t>
      </w:r>
      <w:r>
        <w:rPr>
          <w:rStyle w:val="HideTWBExt"/>
        </w:rPr>
        <w:t>&lt;/Titre&gt;</w:t>
      </w:r>
    </w:p>
    <w:p>
      <w:pPr>
        <w:pStyle w:val="CoverNormal24a"/>
      </w:pPr>
      <w:r>
        <w:rPr>
          <w:rStyle w:val="HideTWBExt"/>
        </w:rPr>
        <w:t>&lt;DocRef&gt;</w:t>
      </w:r>
      <w:r>
        <w:t>(2025/2145(DEC))</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Pozměňovací návrh</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vyjadřuje politování nad tím, že v rozporu s deklarovanými hodnotami a samotným účelem založení Unie je Evropská komise pravidelně předmětem skandálů spojených s jejími komisaři nebo jejich blízkými poradci:</w:t>
            </w:r>
            <w:r>
              <w:t xml:space="preserve"> </w:t>
            </w:r>
            <w:r>
              <w:rPr>
                <w:b/>
                <w:i/>
              </w:rPr>
              <w:t>praní peněz prostřednictvím loterijních lístků, jehož se údajně dopouštěl komisař pro spravedlnost (potenciálně 1 milion EUR);</w:t>
            </w:r>
            <w:r>
              <w:t xml:space="preserve"> </w:t>
            </w:r>
            <w:r>
              <w:rPr>
                <w:b/>
                <w:i/>
              </w:rPr>
              <w:t>nevysvětlitelná shovívavost Evropské komise vůči jejímu generálnímu řediteli pro dopravu, který údajně akceptoval bezplatné lety společnosti Qatar Airways;</w:t>
            </w:r>
            <w:r>
              <w:t xml:space="preserve"> </w:t>
            </w:r>
            <w:r>
              <w:rPr>
                <w:b/>
                <w:i/>
              </w:rPr>
              <w:t>neomluvitelné rozhodnutí Komise hradit sedmiletou dovolenou, na niž byly celkem vynaloženy prostředky ve výši 1,5 milionu EUR, jednomu z ředitelů Komise obviněnému ze znásilnění, aniž by po jeho pravomocném odsouzení proběhl jakýkoli pokus získat finanční prostředky zpět;</w:t>
            </w:r>
            <w:r>
              <w:t xml:space="preserve"> </w:t>
            </w:r>
            <w:r>
              <w:rPr>
                <w:b/>
                <w:i/>
              </w:rPr>
              <w:t>případ efektu „otáčivých dveří“ v plynárenské společnosti týkající se poradce místopředsedy Komise odpovědného za životní prostředí a Zelenou dohodu pro Evropu a jeho fungování;</w:t>
            </w:r>
            <w:r>
              <w:t xml:space="preserve"> </w:t>
            </w:r>
            <w:r>
              <w:rPr>
                <w:b/>
                <w:i/>
              </w:rPr>
              <w:t>skandál správy svěřenského fondu pro Afriku, který odsoudil Evropský účetní dvůr;</w:t>
            </w:r>
            <w:r>
              <w:t xml:space="preserve"> </w:t>
            </w:r>
            <w:r>
              <w:rPr>
                <w:b/>
                <w:i/>
              </w:rPr>
              <w:t>skandál týkající se toho, že Evropská komise financuje prostřednictvím veřejných prostředků nevládní organizace, aby jí pomocí lobbingu pomohly přijmout pseudoklimatický legislativní balíček (Zelenou dohodu);</w:t>
            </w:r>
            <w:r>
              <w:t xml:space="preserve"> </w:t>
            </w:r>
            <w:r>
              <w:rPr>
                <w:b/>
                <w:i/>
              </w:rPr>
              <w:t>financování nevládních organizací blízkých imigračním, teroristickým nebo islamistickým hnutím;</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připomíná, že dodržování zásad právního státu a základních práv je předpokladem řádného finančního řízení rozpočtu Unie a že Komise má k dispozici širokou škálu nástrojů k zajištění jejich dodržování;</w:t>
            </w:r>
            <w:r>
              <w:t xml:space="preserve"> </w:t>
            </w:r>
            <w:r>
              <w:rPr>
                <w:b/>
                <w:i/>
              </w:rPr>
              <w:t>s vážným znepokojením si všímá pokračujícího úpadku právního státu, systémové korupce a útoků na základní práva v několika členských státech, což má přímé důsledky pro řádné řízení finančních prostředků Unie;</w:t>
            </w:r>
            <w:r>
              <w:t xml:space="preserve"> </w:t>
            </w:r>
            <w:r>
              <w:rPr>
                <w:b/>
                <w:i/>
              </w:rPr>
              <w:t>upozorňuje zejména na zhoršující se situaci v Maďarsku, která se vyznačuje rozsáhlou korupcí a pevně etablovanými oligarchickými sítěmi;</w:t>
            </w:r>
            <w:r>
              <w:t xml:space="preserve"> </w:t>
            </w:r>
            <w:r>
              <w:rPr>
                <w:b/>
                <w:i/>
              </w:rPr>
              <w:t>lituje, že zatímco problémy přetrvávají nebo se zhoršují, tlak Komise na provádění reálných reforem slábne, protože se snižuje objem prostředků, které zůstávají zmrazeny;</w:t>
            </w:r>
            <w:r>
              <w:t xml:space="preserve"> </w:t>
            </w:r>
            <w:r>
              <w:rPr>
                <w:b/>
                <w:i/>
              </w:rPr>
              <w:t>zdůrazňuje, že Komise musí překročit rámec pouhého monitorování a plně a důsledně využívat dostupné nástroje, které jí v případech, kdy nedostatky v oblasti právního státu ovlivňují řádné finanční řízení v Maďarsku a v ostatních dotčených členských státech, umožňují pozastavit či ochránit finanční prostředky Unie;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připomíná, že dodržování zásad právního státu a základních práv je předpokladem řádného finančního řízení rozpočtu Unie a že Komise má k dispozici širokou škálu nástrojů k zajištění jejich dodržování; s vážným znepokojením si všímá pokračujícího úpadku právního státu, systémové korupce a útoků na základní práva v několika členských státech, což má přímé důsledky pro řádné řízení finančních prostředků Unie; upozorňuje zejména na zhoršující se situaci v Maďarsku, </w:t>
            </w:r>
            <w:r>
              <w:rPr>
                <w:b/>
                <w:i/>
              </w:rPr>
              <w:t>která se vyznačuje rozsáhlou korupcí a pevně etablovanými oligarchickými sítěmi;</w:t>
            </w:r>
            <w:r>
              <w:t xml:space="preserve"> </w:t>
            </w:r>
            <w:r>
              <w:rPr>
                <w:b/>
                <w:i/>
              </w:rPr>
              <w:t>lituje, že zatímco</w:t>
            </w:r>
            <w:r>
              <w:t xml:space="preserve"> problémy </w:t>
            </w:r>
            <w:r>
              <w:rPr>
                <w:b/>
                <w:i/>
              </w:rPr>
              <w:t>přetrvávají nebo se zhoršují, tlak Komise na provádění reálných reforem slábne, protože se snižuje objem</w:t>
            </w:r>
            <w:r>
              <w:t xml:space="preserve"> prostředků</w:t>
            </w:r>
            <w:r>
              <w:rPr>
                <w:b/>
                <w:i/>
              </w:rPr>
              <w:t>, které zůstávají zmrazeny;</w:t>
            </w:r>
            <w:r>
              <w:t xml:space="preserve"> </w:t>
            </w:r>
            <w:r>
              <w:rPr>
                <w:b/>
                <w:i/>
              </w:rPr>
              <w:t>zdůrazňuje, že Komise musí překročit rámec pouhého monitorování a plně a důsledně využívat dostupné nástroje, které jí</w:t>
            </w:r>
            <w:r>
              <w:t xml:space="preserve"> v případech, kdy nedostatky v oblasti právního státu </w:t>
            </w:r>
            <w:r>
              <w:rPr>
                <w:b/>
                <w:i/>
              </w:rPr>
              <w:t>ovlivňují</w:t>
            </w:r>
            <w:r>
              <w:t xml:space="preserve"> řádné finanční řízení </w:t>
            </w:r>
            <w:r>
              <w:rPr>
                <w:b/>
                <w:i/>
              </w:rPr>
              <w:t>v Maďarsku a v ostatních dotčených členských státech, umožňují pozastavit či ochránit finanční prostředky Unie</w:t>
            </w:r>
            <w:r>
              <w:t>;</w:t>
            </w:r>
          </w:p>
        </w:tc>
        <w:tc>
          <w:tcPr>
            <w:tcW w:w="4876" w:type="dxa"/>
            <w:tcBorders>
              <w:top w:val="nil"/>
              <w:left w:val="nil"/>
              <w:bottom w:val="nil"/>
              <w:right w:val="nil"/>
            </w:tcBorders>
          </w:tcPr>
          <w:p>
            <w:pPr>
              <w:pStyle w:val="Normal6a"/>
            </w:pPr>
            <w:r>
              <w:t>2.</w:t>
            </w:r>
            <w:r>
              <w:tab/>
            </w:r>
            <w:r>
              <w:t xml:space="preserve">připomíná, že dodržování zásad právního státu a základních práv je předpokladem řádného finančního řízení rozpočtu Unie a že Komise má k dispozici širokou škálu nástrojů k zajištění jejich dodržování; s vážným znepokojením si všímá pokračujícího úpadku právního státu, systémové korupce a útoků na základní práva v několika členských státech, což má přímé důsledky pro řádné řízení finančních prostředků Unie; upozorňuje zejména na zhoršující se situaci v Maďarsku, </w:t>
            </w:r>
            <w:r>
              <w:rPr>
                <w:b/>
                <w:i/>
              </w:rPr>
              <w:t>kde</w:t>
            </w:r>
            <w:r>
              <w:t xml:space="preserve"> problémy </w:t>
            </w:r>
            <w:r>
              <w:rPr>
                <w:b/>
                <w:i/>
              </w:rPr>
              <w:t>v oblasti právního státu vyžadují neustálou pozornost;</w:t>
            </w:r>
            <w:r>
              <w:t xml:space="preserve"> </w:t>
            </w:r>
            <w:r>
              <w:rPr>
                <w:b/>
                <w:i/>
              </w:rPr>
              <w:t>vyzývá Komisi, aby ve všech členských státech uplatňovala důsledná a přiměřená opatření, včetně strategického využívání pozastavení vyplácení nebo zmrazení finančních</w:t>
            </w:r>
            <w:r>
              <w:t xml:space="preserve"> prostředků </w:t>
            </w:r>
            <w:r>
              <w:rPr>
                <w:b/>
                <w:i/>
              </w:rPr>
              <w:t>Unie</w:t>
            </w:r>
            <w:r>
              <w:t xml:space="preserve"> v případech, kdy nedostatky v oblasti právního státu </w:t>
            </w:r>
            <w:r>
              <w:rPr>
                <w:b/>
                <w:i/>
              </w:rPr>
              <w:t>ohrožují</w:t>
            </w:r>
            <w:r>
              <w:t xml:space="preserve"> řádné finanční 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Kinga Kollár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připomíná, že dodržování zásad právního státu a základních práv je předpokladem řádného finančního řízení rozpočtu Unie a že Komise má k dispozici širokou škálu nástrojů k zajištění jejich dodržování; s vážným znepokojením si všímá pokračujícího úpadku právního státu, systémové korupce a útoků na základní práva v několika členských státech, což má přímé důsledky pro řádné řízení finančních prostředků Unie; upozorňuje zejména na zhoršující se situaci v Maďarsku, která se vyznačuje rozsáhlou korupcí a pevně etablovanými oligarchickými sítěmi; lituje, že zatímco problémy přetrvávají nebo se zhoršují, tlak Komise na provádění reálných reforem slábne, protože se snižuje objem prostředků, které zůstávají zmrazeny; zdůrazňuje, že Komise musí překročit rámec pouhého monitorování a plně a důsledně využívat dostupné nástroje, které jí v případech, kdy nedostatky v oblasti právního státu ovlivňují řádné finanční řízení v Maďarsku a v ostatních dotčených členských státech, umožňují pozastavit či ochránit finanční prostředky Unie;</w:t>
            </w:r>
          </w:p>
        </w:tc>
        <w:tc>
          <w:tcPr>
            <w:tcW w:w="4876" w:type="dxa"/>
            <w:tcBorders>
              <w:top w:val="nil"/>
              <w:left w:val="nil"/>
              <w:bottom w:val="nil"/>
              <w:right w:val="nil"/>
            </w:tcBorders>
          </w:tcPr>
          <w:p>
            <w:pPr>
              <w:pStyle w:val="Normal6a"/>
            </w:pPr>
            <w:r>
              <w:t>2.</w:t>
            </w:r>
            <w:r>
              <w:tab/>
            </w:r>
            <w:r>
              <w:t>připomíná, že dodržování zásad právního státu a základních práv je předpokladem řádného finančního řízení rozpočtu Unie a že Komise má k dispozici širokou škálu nástrojů k zajištění jejich dodržování; s vážným znepokojením si všímá pokračujícího úpadku právního státu, systémové korupce a útoků na základní práva v několika členských státech, což má přímé důsledky pro řádné řízení finančních prostředků Unie; upozorňuje zejména na zhoršující se situaci v Maďarsku, která se vyznačuje rozsáhlou korupcí a pevně etablovanými oligarchickými sítěmi</w:t>
            </w:r>
            <w:r>
              <w:rPr>
                <w:b/>
                <w:i/>
              </w:rPr>
              <w:t>, přičemž nedostatek finančních prostředků EU má znepokojivý dopad na poskytování veřejných služeb</w:t>
            </w:r>
            <w:r>
              <w:t>; lituje, že zatímco problémy přetrvávají nebo se zhoršují, tlak Komise na provádění reálných reforem slábne, protože se snižuje objem prostředků, které zůstávají zmrazeny; zdůrazňuje, že Komise musí překročit rámec pouhého monitorování a plně a důsledně využívat dostupné nástroje, které jí v případech, kdy nedostatky v oblasti právního státu ovlivňují řádné finanční řízení v Maďarsku a v ostatních dotčených členských státech, umožňují pozastavit či ochránit finanční prostředky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vyzývá k respektování rovnosti všech členských států před Smlouvami, a zdůrazňuje, že je třeba zajistit, aby každý členský stát měl rovný přístup k evropským fondům, neboť v současné době není se všemi členskými státy zacházeno stejně a není jim poskytována stejně velká podpora z fondů Unie, což významně narušuje fungování jednotného trhu;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zdůrazňuje, že dodržování zásad právního státu se musí vztahovat na všechny účastníky programů Unie, včetně třetích zemí;</w:t>
            </w:r>
            <w:r>
              <w:t xml:space="preserve"> </w:t>
            </w:r>
            <w:r>
              <w:rPr>
                <w:b/>
                <w:i/>
              </w:rPr>
              <w:t>vyzývá Komisi, aby zavedla přísnější pravidla transparentnosti, pokud jde o finanční prostředky EU poskytované třetím zemím, zejména s cílem lépe předcházet závažným trestným činům, násilí, terorismu a zneužívání finančních prostředků EU, a aby okamžitě ukončila smlouvy, pokud existují důkazy o takových činech či jednání;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Şerban Dimitrie Sturdza, 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konstatuje, že Účetní dvůr ve své výroční zprávě za rok 2024 upozorňuje na několik problémů, které vzbuzují vážné obavy; vítá, že celková míra chyb klesla z 5,6 % za rok 2023 na 3,6 % za rok 2024; zdůrazňuje však, že tento pokles je třeba vykládat obezřetně, neboť nemusel nutně odrážet zvýšení účinnosti kontrolních systémů, ale mohl být ovlivněn i kontextovými faktory, například tím, že skončily mimořádné výdaje související s COVID-19, úroveň plnění rozpočtu byla v roce 2024 mimořádně nízká a provádění VFR na období 2021–2027 se dosud nacházelo v rané fázi; je zejména znepokojen tím, že ačkoli se míra chyb v okruhu „Soudržnost, odolnost a hodnoty“ snížila z 9,3 % na 5,7 %, stále výrazně překračuje práh významnosti ve výši 2 %; v této souvislosti vyjadřuje vážné znepokojení nad návrhy na zavedení nového modelu výdajů v rámci příštího VFR, který by ještě více závisel na kontrolních systémech členských států, přičemž se zdá, že základní příčiny přetrvávající vysoké míry chyb dosud nebyly dostatečně řešeny;</w:t>
            </w:r>
          </w:p>
        </w:tc>
        <w:tc>
          <w:tcPr>
            <w:tcW w:w="4876" w:type="dxa"/>
            <w:tcBorders>
              <w:top w:val="nil"/>
              <w:left w:val="nil"/>
              <w:bottom w:val="nil"/>
              <w:right w:val="nil"/>
            </w:tcBorders>
          </w:tcPr>
          <w:p>
            <w:pPr>
              <w:pStyle w:val="Normal6a"/>
            </w:pPr>
            <w:r>
              <w:t>4.</w:t>
            </w:r>
            <w:r>
              <w:tab/>
            </w:r>
            <w:r>
              <w:t xml:space="preserve">konstatuje, že Účetní dvůr ve své výroční zprávě za rok 2024 upozorňuje na několik problémů, které vzbuzují vážné obavy; vítá, že celková míra chyb klesla z 5,6 % za rok 2023 na 3,6 % za rok 2024; zdůrazňuje však, že tento pokles je třeba vykládat obezřetně, neboť nemusel nutně odrážet zvýšení účinnosti kontrolních systémů, ale mohl být ovlivněn i kontextovými faktory, například tím, že skončily mimořádné výdaje související s COVID-19, úroveň plnění rozpočtu byla v roce 2024 mimořádně nízká a provádění VFR na období 2021–2027 se dosud nacházelo v rané fázi; je zejména znepokojen tím, že ačkoli se míra chyb v okruhu „Soudržnost, odolnost a hodnoty“ snížila z 9,3 % na 5,7 %, stále výrazně překračuje práh významnosti ve výši 2 %;v této souvislosti vyjadřuje vážné znepokojení nad návrhy na zavedení nového modelu výdajů v rámci příštího VFR, který by ještě více závisel na kontrolních systémech členských států, přičemž se zdá, že základní příčiny přetrvávající vysoké míry chyb dosud nebyly dostatečně řešeny; </w:t>
            </w:r>
            <w:r>
              <w:rPr>
                <w:b/>
                <w:i/>
              </w:rPr>
              <w:t>připomíná, že politika soudržnosti je i nadále základním nástrojem Unie pro prosazování hospodářské, sociální a územní konvergence a podporu vyváženého rozvoje napříč regiony, a zdůrazňuje, že jakákoli budoucí reforma výdajových modelů musí zachovat cíle, předvídatelnost a zvláštní rozpočtový rámec politiky soudržnosti;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konstatuje, že Účetní dvůr ve své výroční zprávě za rok 2024 upozorňuje na několik problémů, které vzbuzují vážné obavy; vítá, že celková míra chyb klesla z 5,6 % za rok 2023 na 3,6 % za rok 2024; zdůrazňuje však, že tento pokles je třeba vykládat obezřetně, neboť nemusel nutně odrážet zvýšení účinnosti kontrolních systémů, ale mohl být ovlivněn i kontextovými faktory, například tím, že skončily mimořádné výdaje související s COVID-19, úroveň plnění rozpočtu byla v roce 2024 mimořádně nízká a provádění VFR na období 2021–2027 se dosud nacházelo v rané fázi; je zejména znepokojen tím, že ačkoli se míra chyb v okruhu „Soudržnost, odolnost a hodnoty“ snížila z 9,3 % na 5,7 %, stále výrazně překračuje práh významnosti ve výši 2 %; v této souvislosti vyjadřuje vážné znepokojení nad návrhy na zavedení nového modelu výdajů v rámci příštího VFR, který by ještě více závisel na kontrolních systémech členských států, přičemž se zdá, že základní příčiny přetrvávající vysoké míry chyb dosud nebyly dostatečně řešeny;</w:t>
            </w:r>
          </w:p>
        </w:tc>
        <w:tc>
          <w:tcPr>
            <w:tcW w:w="4876" w:type="dxa"/>
            <w:tcBorders>
              <w:top w:val="nil"/>
              <w:left w:val="nil"/>
              <w:bottom w:val="nil"/>
              <w:right w:val="nil"/>
            </w:tcBorders>
          </w:tcPr>
          <w:p>
            <w:pPr>
              <w:pStyle w:val="Normal6a"/>
            </w:pPr>
            <w:r>
              <w:t>4.</w:t>
            </w:r>
            <w:r>
              <w:tab/>
            </w:r>
            <w:r>
              <w:t xml:space="preserve">konstatuje, že Účetní dvůr ve své výroční zprávě za rok 2024 upozorňuje na několik problémů, které vzbuzují vážné obavy; vítá, že celková míra chyb klesla z 5,6 % za rok 2023 na 3,6 % za rok 2024; zdůrazňuje však, že tento pokles je třeba vykládat obezřetně, neboť nemusel nutně odrážet zvýšení účinnosti </w:t>
            </w:r>
            <w:r>
              <w:rPr>
                <w:b/>
                <w:i/>
              </w:rPr>
              <w:t>finančního řízení nebo</w:t>
            </w:r>
            <w:r>
              <w:t xml:space="preserve"> kontrolních systémů, ale mohl být ovlivněn i kontextovými faktory, například tím, že skončily mimořádné výdaje související s COVID-19, úroveň plnění rozpočtu byla v roce 2024 mimořádně nízká a provádění VFR na období 2021–2027 se dosud nacházelo v rané fázi; je zejména znepokojen tím, že ačkoli se míra chyb v okruhu „Soudržnost, odolnost a hodnoty“ snížila z 9,3 % na 5,7 %, stále výrazně překračuje práh významnosti ve výši 2 %</w:t>
            </w:r>
            <w:r>
              <w:rPr>
                <w:b/>
                <w:i/>
              </w:rPr>
              <w:t>, přičemž Účetní dvůr stále nachází nedostatky jak na straně Komise, tak na straně členských států, pokud jde o kontrolu a odhalování;</w:t>
            </w:r>
            <w:r>
              <w:t xml:space="preserve"> </w:t>
            </w:r>
            <w:r>
              <w:rPr>
                <w:b/>
                <w:i/>
              </w:rPr>
              <w:t>je znepokojivé, že zjištění Účetního dvora se opakují natolik, že současná míra chyb v oblasti soudržnosti by mohla být považována za přirozenou míru chyb v oblasti politiky soudržnosti</w:t>
            </w:r>
            <w:r>
              <w:t>; v této souvislosti vyjadřuje vážné znepokojení nad návrhy na zavedení nového modelu výdajů v rámci příštího VFR, který by ještě více závisel na kontrolních systémech členských států, přičemž se zdá, že základní příčiny přetrvávající vysoké míry chyb dosud nebyly dostatečně řešeny;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vyjadřuje hluboké znepokojení nad přetrvávajícími nedostatky v provádění nástroje RRF; bere na vědomí, že Účetní dvůr vydal již třetí rok po sobě stanovisko s výhradami k legalitě a správnosti výdajů z nástroje RRF a že odhaduje minimální finanční dopad svých zjištění nad prahem významnosti ; zdůrazňuje </w:t>
            </w:r>
            <w:r>
              <w:rPr>
                <w:b/>
                <w:i/>
              </w:rPr>
              <w:t>závažné</w:t>
            </w:r>
            <w:r>
              <w:t xml:space="preserve"> nedostatky v oblasti auditu a kontroly, které zjistil Účetní dvůr a které nadále narušují jistotu řádného využívání prostředků z nástroje RRF; je obzvláště znepokojen značným nedostatkem vyvozování odpovědnosti, který vyplývá z absence spolehlivých a úplných informací o konečných příjemcích finančních prostředků Unie, a to zejména v důsledku výkladu pojmu „konečný příjemce“ v rámci nástroje RRF ze strany Komise, který je v rozporu se stávajícími právními předpisy; </w:t>
            </w:r>
            <w:r>
              <w:rPr>
                <w:b/>
                <w:i/>
              </w:rPr>
              <w:t>domnívá se, že tyto nedostatky v nástroji RRF by ve svém souhrnu odůvodňovaly zamítnutí udělení absolutoria za provádění nástroje RRF v roce 2024, pokud by orgán příslušný k udělení absolutoria mohl toto rozhodnutí přijmout samostatně;</w:t>
            </w:r>
            <w:r>
              <w:t xml:space="preserve"> připomíná, že Parlament v předchozích usneseních o udělení absolutoria opakovaně vyjádřil vážné obavy ohledně nástroje RRF, včetně transparentnosti konečných příjemců, a proto požaduje, aby Komise </w:t>
            </w:r>
            <w:r>
              <w:rPr>
                <w:b/>
                <w:i/>
              </w:rPr>
              <w:t>do šesti měsíců</w:t>
            </w:r>
            <w:r>
              <w:t xml:space="preserve"> předložila </w:t>
            </w:r>
            <w:r>
              <w:rPr>
                <w:b/>
                <w:i/>
              </w:rPr>
              <w:t>úplný a</w:t>
            </w:r>
            <w:r>
              <w:t xml:space="preserve"> smysluplný seznam konečných příjemců, s výjimkou pouhých zprostředkujících subjektů, jako jsou ministerstva nebo řídící orgány; </w:t>
            </w:r>
            <w:r>
              <w:rPr>
                <w:b/>
                <w:i/>
              </w:rPr>
              <w:t>uvádí, že v případě, že Komise této žádosti nevyhoví, obrátí se Parlament na Soudní dvůr EU, aby zajistil, že občané a zúčastněné strany budou mít k těmto informacím plný přístup;</w:t>
            </w:r>
          </w:p>
        </w:tc>
        <w:tc>
          <w:tcPr>
            <w:tcW w:w="4876" w:type="dxa"/>
            <w:tcBorders>
              <w:top w:val="nil"/>
              <w:left w:val="nil"/>
              <w:bottom w:val="nil"/>
              <w:right w:val="nil"/>
            </w:tcBorders>
          </w:tcPr>
          <w:p>
            <w:pPr>
              <w:pStyle w:val="Normal6a"/>
            </w:pPr>
            <w:r>
              <w:t>5.</w:t>
            </w:r>
            <w:r>
              <w:tab/>
            </w:r>
            <w:r>
              <w:t>vyjadřuje hluboké znepokojení nad přetrvávajícími nedostatky v provádění nástroje RRF; bere na vědomí, že Účetní dvůr vydal již třetí rok po sobě stanovisko s výhradami k legalitě a správnosti výdajů z nástroje RRF a že odhaduje minimální finanční dopad svých zjištění nad prahem významnosti ; zdůrazňuje nedostatky v oblasti auditu a kontroly, které zjistil Účetní dvůr a které nadále narušují jistotu řádného využívání prostředků z nástroje RRF; je obzvláště znepokojen značným nedostatkem vyvozování odpovědnosti, který vyplývá z absence spolehlivých a úplných informací o konečných příjemcích finančních prostředků Unie, a to zejména v důsledku výkladu pojmu „konečný příjemce“ v rámci nástroje RRF ze strany Komise, který je v rozporu se stávajícími právními předpisy; připomíná, že Parlament v předchozích usneseních o udělení absolutoria opakovaně vyjádřil vážné obavy ohledně nástroje RRF, včetně transparentnosti konečných příjemců, a proto požaduje, aby Komise předložila smysluplný seznam konečných příjemců, s výjimkou pouhých zprostředkujících subjektů, jako jsou ministerstva nebo řídící orgány;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vyjadřuje hluboké znepokojení nad přetrvávajícími nedostatky v provádění nástroje RRF; bere na vědomí, že Účetní dvůr vydal již třetí rok po sobě stanovisko s výhradami k legalitě a správnosti výdajů z nástroje RRF a že odhaduje minimální finanční dopad svých zjištění nad prahem významnosti ; zdůrazňuje závažné nedostatky v oblasti auditu a kontroly, které zjistil Účetní dvůr a které nadále narušují jistotu řádného využívání prostředků z nástroje RRF; je obzvláště znepokojen značným nedostatkem vyvozování odpovědnosti, který vyplývá z absence spolehlivých a úplných informací o konečných příjemcích finančních prostředků Unie, a to zejména v důsledku výkladu pojmu „konečný příjemce“ v rámci nástroje RRF ze strany Komise, který je v rozporu se stávajícími právními předpisy; </w:t>
            </w:r>
            <w:r>
              <w:rPr>
                <w:b/>
                <w:i/>
              </w:rPr>
              <w:t>domnívá se, že</w:t>
            </w:r>
            <w:r>
              <w:t xml:space="preserve"> tyto nedostatky </w:t>
            </w:r>
            <w:r>
              <w:rPr>
                <w:b/>
                <w:i/>
              </w:rPr>
              <w:t>v nástroji RRF by ve svém souhrnu odůvodňovaly zamítnutí udělení absolutoria za</w:t>
            </w:r>
            <w:r>
              <w:t xml:space="preserve"> provádění nástroje RRF </w:t>
            </w:r>
            <w:r>
              <w:rPr>
                <w:b/>
                <w:i/>
              </w:rPr>
              <w:t>v roce 2024, pokud by orgán příslušný k udělení absolutoria mohl toto rozhodnutí přijmout samostatně</w:t>
            </w:r>
            <w:r>
              <w:t xml:space="preserve">; připomíná, že Parlament v předchozích usneseních o udělení absolutoria opakovaně vyjádřil vážné obavy ohledně nástroje RRF, včetně transparentnosti konečných příjemců, a proto požaduje, aby Komise do šesti měsíců předložila úplný a smysluplný seznam konečných příjemců, s výjimkou pouhých zprostředkujících subjektů, jako jsou ministerstva nebo řídící orgány; </w:t>
            </w:r>
            <w:r>
              <w:rPr>
                <w:b/>
                <w:i/>
              </w:rPr>
              <w:t>uvádí, že v případě, že Komise této žádosti nevyhoví, obrátí se Parlament na Soudní dvůr EU, aby zajistil, že občané a zúčastněné strany budou mít k těmto informacím plný přístup;</w:t>
            </w:r>
          </w:p>
        </w:tc>
        <w:tc>
          <w:tcPr>
            <w:tcW w:w="4876" w:type="dxa"/>
            <w:tcBorders>
              <w:top w:val="nil"/>
              <w:left w:val="nil"/>
              <w:bottom w:val="nil"/>
              <w:right w:val="nil"/>
            </w:tcBorders>
          </w:tcPr>
          <w:p>
            <w:pPr>
              <w:pStyle w:val="Normal6a"/>
            </w:pPr>
            <w:r>
              <w:t>5.</w:t>
            </w:r>
            <w:r>
              <w:tab/>
            </w:r>
            <w:r>
              <w:t xml:space="preserve">vyjadřuje hluboké znepokojení nad přetrvávajícími nedostatky v provádění nástroje RRF; bere na vědomí, že Účetní dvůr vydal již třetí rok po sobě stanovisko s výhradami k legalitě a správnosti výdajů z nástroje RRF a že odhaduje minimální finanční dopad svých zjištění nad prahem významnosti ; zdůrazňuje závažné nedostatky v oblasti auditu a kontroly, které zjistil Účetní dvůr a které nadále narušují jistotu řádného využívání prostředků z nástroje RRF; je obzvláště znepokojen značným nedostatkem vyvozování odpovědnosti, který vyplývá z absence spolehlivých a úplných informací o konečných příjemcích finančních prostředků Unie, a to zejména v důsledku výkladu pojmu „konečný příjemce“ v rámci nástroje RRF ze strany Komise, který je v rozporu se stávajícími právními předpisy; tyto nedostatky </w:t>
            </w:r>
            <w:r>
              <w:rPr>
                <w:b/>
                <w:i/>
              </w:rPr>
              <w:t>výrazně oslabují míru jistoty, pokud jde o</w:t>
            </w:r>
            <w:r>
              <w:t xml:space="preserve"> provádění nástroje RRF</w:t>
            </w:r>
            <w:r>
              <w:rPr>
                <w:b/>
                <w:i/>
              </w:rPr>
              <w:t>, a vyžadovaly by posílenou kontrolu</w:t>
            </w:r>
            <w:r>
              <w:t>; připomíná, že Parlament v předchozích usneseních o udělení absolutoria opakovaně vyjádřil vážné obavy ohledně nástroje RRF, včetně transparentnosti konečných příjemců, a proto požaduje, aby Komise do šesti měsíců předložila úplný a smysluplný seznam konečných příjemců, s výjimkou pouhých zprostředkujících subjektů, jako jsou ministerstva nebo řídící orgány;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Eero Heinäluoma,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vyjadřuje hluboké znepokojení nad přetrvávajícími nedostatky v provádění nástroje RRF; bere na vědomí, že Účetní dvůr vydal již třetí rok po sobě stanovisko s výhradami k legalitě a správnosti výdajů z nástroje RRF a že odhaduje minimální finanční dopad svých zjištění nad prahem významnosti ; zdůrazňuje závažné nedostatky v oblasti auditu a kontroly, které zjistil Účetní dvůr a které nadále narušují jistotu řádného využívání prostředků z nástroje RRF; je obzvláště znepokojen značným nedostatkem vyvozování odpovědnosti, který vyplývá z absence spolehlivých a úplných informací o konečných příjemcích finančních prostředků Unie, a to zejména v důsledku výkladu pojmu „konečný příjemce“ v rámci nástroje RRF ze strany Komise, který je v rozporu se stávajícími právními předpisy; domnívá se, že </w:t>
            </w:r>
            <w:r>
              <w:rPr>
                <w:b/>
                <w:i/>
              </w:rPr>
              <w:t>tyto nedostatky v nástroji RRF by ve svém souhrnu odůvodňovaly zamítnutí udělení absolutoria za provádění nástroje RRF v roce 2024, pokud by orgán příslušný k udělení absolutoria mohl toto rozhodnutí přijmout samostatně</w:t>
            </w:r>
            <w:r>
              <w:t xml:space="preserve">; připomíná, že Parlament v předchozích usneseních o udělení absolutoria opakovaně vyjádřil vážné obavy ohledně nástroje RRF, včetně transparentnosti konečných příjemců, a proto požaduje, aby Komise </w:t>
            </w:r>
            <w:r>
              <w:rPr>
                <w:b/>
                <w:i/>
              </w:rPr>
              <w:t>do šesti měsíců předložila úplný a smysluplný seznam</w:t>
            </w:r>
            <w:r>
              <w:t xml:space="preserve"> konečných příjemců, s výjimkou pouhých zprostředkujících subjektů, jako jsou ministerstva nebo řídící orgány; </w:t>
            </w:r>
            <w:r>
              <w:rPr>
                <w:b/>
                <w:i/>
              </w:rPr>
              <w:t>uvádí, že v případě, že Komise této žádosti nevyhoví, obrátí se Parlament na Soudní dvůr EU, aby zajistil, že občané a zúčastněné strany budou mít k těmto informacím plný přístup;</w:t>
            </w:r>
          </w:p>
        </w:tc>
        <w:tc>
          <w:tcPr>
            <w:tcW w:w="4876" w:type="dxa"/>
            <w:tcBorders>
              <w:top w:val="nil"/>
              <w:left w:val="nil"/>
              <w:bottom w:val="nil"/>
              <w:right w:val="nil"/>
            </w:tcBorders>
          </w:tcPr>
          <w:p>
            <w:pPr>
              <w:pStyle w:val="Normal6a"/>
            </w:pPr>
            <w:r>
              <w:t>5.</w:t>
            </w:r>
            <w:r>
              <w:tab/>
            </w:r>
            <w:r>
              <w:t xml:space="preserve">vyjadřuje hluboké znepokojení nad přetrvávajícími nedostatky v provádění nástroje RRF; bere na vědomí, že Účetní dvůr vydal již třetí rok po sobě stanovisko s výhradami k legalitě a správnosti výdajů z nástroje RRF a že odhaduje minimální finanční dopad svých zjištění nad prahem významnosti ; zdůrazňuje závažné nedostatky v oblasti auditu a kontroly, které zjistil Účetní dvůr a které nadále narušují jistotu řádného využívání prostředků z nástroje RRF; je obzvláště znepokojen značným nedostatkem vyvozování odpovědnosti, který vyplývá z absence spolehlivých a úplných informací o konečných příjemcích finančních prostředků Unie, a to zejména v důsledku výkladu pojmu „konečný příjemce“ v rámci nástroje RRF ze strany Komise, který je v rozporu se stávajícími právními předpisy; domnívá se, že </w:t>
            </w:r>
            <w:r>
              <w:rPr>
                <w:b/>
                <w:i/>
              </w:rPr>
              <w:t>bez řešení zjištěných nedostatků nemůže být nástroj RRF jakožto vzor základem pro výdaje Unie po roce 2027</w:t>
            </w:r>
            <w:r>
              <w:t xml:space="preserve">; připomíná, že Parlament v předchozích usneseních o udělení absolutoria opakovaně vyjádřil vážné obavy ohledně nástroje RRF, včetně transparentnosti konečných příjemců, a proto požaduje, aby Komise </w:t>
            </w:r>
            <w:r>
              <w:rPr>
                <w:b/>
                <w:i/>
              </w:rPr>
              <w:t>využila všechny prostředky, které má k dispozici, aby zajistila, že členské státy předloží úplné a smysluplné seznamy</w:t>
            </w:r>
            <w:r>
              <w:t xml:space="preserve"> konečných příjemců, s výjimkou pouhých zprostředkujících subjektů, jako jsou ministerstva nebo řídící orgány;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opakuje, že občané mají právo vědět, kdo v konečném důsledku dostává finanční prostředky Unie;</w:t>
            </w:r>
            <w:r>
              <w:t xml:space="preserve"> </w:t>
            </w:r>
            <w:r>
              <w:rPr>
                <w:b/>
                <w:i/>
              </w:rPr>
              <w:t>vyzývá k harmonizovanému, strojově čitelnému zveřejňování konečných příjemců a dodavatelů, kteří dostávají prostředky z různých nástrojů;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vyzývá k důslednějšímu zveřejňování skutečného vlastnictví hlavních dodavatelů a zprostředkovatelů provádějících projekty financované Unií, aby se zabránilo střetům zájmů a skryté koncentraci finančních prostředků;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se znepokojením bere na vědomí zjištění zvláštní zprávy Účetního dvora 21/2025 o podpoře EU z nástroje RRF pro lepší podnikatelské prostředí, v níž se uvádí, že z více než 109 miliard EUR přidělených na zlepšení podnikatelského prostředí v EU v rámci tohoto nástroje přinesla významné výsledky pouze jedna třetina dokončených reforem;</w:t>
            </w:r>
            <w:r>
              <w:t xml:space="preserve"> </w:t>
            </w:r>
            <w:r>
              <w:rPr>
                <w:b/>
                <w:i/>
              </w:rPr>
              <w:t>domnívá se, že tato zjištění vyvolávají vážné otázky ohledně efektivnosti nákladů nástroje RRF a jeho modelu vyplácení založeného na milnících;</w:t>
            </w:r>
            <w:r>
              <w:t xml:space="preserve"> </w:t>
            </w:r>
            <w:r>
              <w:rPr>
                <w:b/>
                <w:i/>
              </w:rPr>
              <w:t>vyzývá Komisi, aby tyto výsledky zohlednila při navrhování budoucích nástrojů založených na výkonnosti a aby prokázala, jak budou získané zkušenosti využity k zajištění toho, aby vypůjčené finanční prostředky přinášely občanům Unie měřitelnou ekonomickou návratnost;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Dick Erixon, 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se znepokojením konstatuje, že současná míra čerpání prostředků z fondů soudržnosti je výrazně nižší než míra čerpání v předchozím VFR na období 2014–2020 a současně do konce roku 2024 bylo vyplaceno pouze přibližně 50 % prostředků v rámci nástroje RRF, což znamená, že zbývajících 50 % prostředků musí být vyplaceno do konce období provádění nástroje RRF v prosinci 2026; se znepokojením konstatuje, že celková částka nesplacených dluhopisů EU vzrostla na konci roku 2024 na 578,2 miliardy EUR, a bere na vědomí odhady Účetního dvora, podle nichž by tato částka mohla do konce roku 2027 dosáhnout 900 miliard EUR, což </w:t>
            </w:r>
            <w:r>
              <w:rPr>
                <w:b/>
                <w:i/>
              </w:rPr>
              <w:t>může</w:t>
            </w:r>
            <w:r>
              <w:t xml:space="preserve"> značně </w:t>
            </w:r>
            <w:r>
              <w:rPr>
                <w:b/>
                <w:i/>
              </w:rPr>
              <w:t>zatížit</w:t>
            </w:r>
            <w:r>
              <w:t xml:space="preserve"> budoucí VFR kvůli souvisejícím platbám úroků a splátkám jistiny;</w:t>
            </w:r>
          </w:p>
        </w:tc>
        <w:tc>
          <w:tcPr>
            <w:tcW w:w="4876" w:type="dxa"/>
            <w:tcBorders>
              <w:top w:val="nil"/>
              <w:left w:val="nil"/>
              <w:bottom w:val="nil"/>
              <w:right w:val="nil"/>
            </w:tcBorders>
          </w:tcPr>
          <w:p>
            <w:pPr>
              <w:pStyle w:val="Normal6a"/>
            </w:pPr>
            <w:r>
              <w:t>6.</w:t>
            </w:r>
            <w:r>
              <w:tab/>
            </w:r>
            <w:r>
              <w:t xml:space="preserve">se znepokojením konstatuje, že současná míra čerpání prostředků z fondů soudržnosti je výrazně nižší než míra čerpání v předchozím VFR na období 2014–2020 a současně do konce roku 2024 bylo vyplaceno pouze přibližně 50 % prostředků v rámci nástroje RRF, což znamená, že zbývajících 50 % prostředků musí být vyplaceno do konce období provádění nástroje RRF v prosinci 2026; se znepokojením konstatuje, že celková částka nesplacených dluhopisů EU vzrostla na konci roku 2024 na 578,2 miliardy EUR, a bere na vědomí odhady Účetního dvora, podle nichž by tato částka mohla do konce roku 2027 dosáhnout 900 miliard EUR, což značně </w:t>
            </w:r>
            <w:r>
              <w:rPr>
                <w:b/>
                <w:i/>
              </w:rPr>
              <w:t>zatíží</w:t>
            </w:r>
            <w:r>
              <w:t xml:space="preserve"> budoucí VFR kvůli souvisejícím platbám úroků a splátkám jistiny; </w:t>
            </w:r>
            <w:r>
              <w:rPr>
                <w:b/>
                <w:i/>
              </w:rPr>
              <w:t>zdůrazňuje, že tato bezprecedentní výše dluhu Unie představuje strukturální fiskální riziko, které musí být zohledněno ve všech budoucích rozpočtových rozhodnutích;</w:t>
            </w:r>
            <w:r>
              <w:t xml:space="preserve"> </w:t>
            </w:r>
            <w:r>
              <w:rPr>
                <w:b/>
                <w:i/>
              </w:rPr>
              <w:t>připomíná, že úrokové náklady dluhu v konečném důsledku zvyšují zátěž daňových poplatníků v členských státech;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se znepokojením konstatuje, že současná míra čerpání prostředků z fondů soudržnosti je výrazně nižší než míra čerpání v předchozím VFR na období 2014–2020 a současně do konce roku 2024 bylo vyplaceno pouze přibližně 50 % prostředků v rámci nástroje RRF, což znamená, že zbývajících 50 % prostředků musí být vyplaceno do konce období provádění nástroje RRF v prosinci 2026; se znepokojením konstatuje, že celková částka nesplacených dluhopisů EU vzrostla na konci roku 2024 na 578,2 miliardy EUR, a bere na vědomí odhady Účetního dvora, podle nichž by tato částka mohla do konce roku 2027 dosáhnout 900 miliard EUR, což může značně zatížit budoucí VFR kvůli souvisejícím platbám úroků a splátkám jistiny;</w:t>
            </w:r>
          </w:p>
        </w:tc>
        <w:tc>
          <w:tcPr>
            <w:tcW w:w="4876" w:type="dxa"/>
            <w:tcBorders>
              <w:top w:val="nil"/>
              <w:left w:val="nil"/>
              <w:bottom w:val="nil"/>
              <w:right w:val="nil"/>
            </w:tcBorders>
          </w:tcPr>
          <w:p>
            <w:pPr>
              <w:pStyle w:val="Normal6a"/>
            </w:pPr>
            <w:r>
              <w:t>6.</w:t>
            </w:r>
            <w:r>
              <w:tab/>
            </w:r>
            <w:r>
              <w:t xml:space="preserve">se znepokojením konstatuje, že současná míra čerpání prostředků z fondů soudržnosti je výrazně nižší než míra čerpání v předchozím VFR na období 2014–2020 a současně do konce roku 2024 bylo vyplaceno pouze přibližně 50 % prostředků v rámci nástroje RRF, což znamená, že zbývajících 50 % prostředků musí být vyplaceno do konce období provádění nástroje RRF v prosinci 2026; se znepokojením konstatuje, že celková částka nesplacených dluhopisů EU vzrostla na konci roku 2024 na 578,2 miliardy EUR, a </w:t>
            </w:r>
            <w:r>
              <w:rPr>
                <w:b/>
                <w:i/>
              </w:rPr>
              <w:t>se znepokojením</w:t>
            </w:r>
            <w:r>
              <w:t xml:space="preserve"> bere na vědomí odhady Účetního dvora, podle nichž by tato částka mohla do konce roku 2027 dosáhnout 900 miliard EUR, což může značně zatížit budoucí VFR kvůli souvisejícím platbám úroků a splátkám jistiny;</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zdůrazňuje, že transparentnost není abstraktní zásadou řízení, ale základním prvkem účinného kontrolního prostředí; podtrhuje, že neúplná dokumentace, nejednotné registrační postupy nebo využívání neformálních komunikačních kanálů přímo oslabují auditní stopy a brání orgánu udělujícímu absolutorium posoudit legalitu, správnost a řádné finanční řízení; </w:t>
            </w:r>
            <w:r>
              <w:rPr>
                <w:b/>
                <w:i/>
              </w:rPr>
              <w:t>v této souvislosti vyjadřuje politování nad tím, že v posledních letech je doloženo mnoho příkladů, kdy</w:t>
            </w:r>
            <w:r>
              <w:t xml:space="preserve"> Komise </w:t>
            </w:r>
            <w:r>
              <w:rPr>
                <w:b/>
                <w:i/>
              </w:rPr>
              <w:t>nedodržela přiměřené standardy</w:t>
            </w:r>
            <w:r>
              <w:t xml:space="preserve"> transparentnosti</w:t>
            </w:r>
            <w:r>
              <w:rPr>
                <w:b/>
                <w:i/>
              </w:rPr>
              <w:t>, jak bylo uvedeno i ve věci projednávané Soudním dvorem EU týkající se textových zpráv mezi předsedkyní Komise a generálním ředitelem společnosti Pfizer;</w:t>
            </w:r>
            <w:r>
              <w:t xml:space="preserve"> </w:t>
            </w:r>
            <w:r>
              <w:rPr>
                <w:b/>
                <w:i/>
              </w:rPr>
              <w:t>připomíná, že Tribunál zrušil zamítavé rozhodnutí Komise ve věci New York Times / Stevi</w:t>
            </w:r>
            <w:r>
              <w:rPr>
                <w:b/>
                <w:i/>
                <w:vertAlign w:val="superscript"/>
              </w:rPr>
              <w:t>2</w:t>
            </w:r>
            <w:r>
              <w:rPr>
                <w:b/>
                <w:i/>
              </w:rPr>
              <w:t>týkající se přístupu k příslušným textovým zprávám, přičemž zdůraznil potřebu věrohodného vyhledávání a důkladné evidence pomíjivých forem komunikace;</w:t>
            </w:r>
            <w:r>
              <w:t xml:space="preserve"> </w:t>
            </w:r>
            <w:r>
              <w:rPr>
                <w:b/>
                <w:i/>
              </w:rPr>
              <w:t>je rovněž znepokojen tím, že Komise v mnoha případech neodpověděla</w:t>
            </w:r>
            <w:r>
              <w:t xml:space="preserve"> na žádosti o přístup k dokumentům </w:t>
            </w:r>
            <w:r>
              <w:rPr>
                <w:b/>
                <w:i/>
              </w:rPr>
              <w:t>ve stanovených lhůtách, zejména v případech potvrzujících žádostí, kdy evropský veřejný ochránce práv zjistil systémová a významná zpoždění v reakci administrativy Komise</w:t>
            </w:r>
            <w:r>
              <w:t>;</w:t>
            </w:r>
          </w:p>
        </w:tc>
        <w:tc>
          <w:tcPr>
            <w:tcW w:w="4876" w:type="dxa"/>
            <w:tcBorders>
              <w:top w:val="nil"/>
              <w:left w:val="nil"/>
              <w:bottom w:val="nil"/>
              <w:right w:val="nil"/>
            </w:tcBorders>
          </w:tcPr>
          <w:p>
            <w:pPr>
              <w:pStyle w:val="Normal6a"/>
            </w:pPr>
            <w:r>
              <w:t>7.</w:t>
            </w:r>
            <w:r>
              <w:tab/>
            </w:r>
            <w:r>
              <w:t xml:space="preserve">zdůrazňuje, že transparentnost není abstraktní zásadou řízení, ale základním prvkem účinného kontrolního prostředí; podtrhuje, že neúplná dokumentace, nejednotné registrační postupy nebo využívání neformálních komunikačních kanálů přímo oslabují auditní stopy a brání orgánu udělujícímu absolutorium posoudit legalitu, správnost a řádné finanční řízení; </w:t>
            </w:r>
            <w:r>
              <w:rPr>
                <w:b/>
                <w:i/>
              </w:rPr>
              <w:t>zdůrazňuje, že</w:t>
            </w:r>
            <w:r>
              <w:t xml:space="preserve"> Komise </w:t>
            </w:r>
            <w:r>
              <w:rPr>
                <w:b/>
                <w:i/>
              </w:rPr>
              <w:t>by měla zajistit, aby postupy</w:t>
            </w:r>
            <w:r>
              <w:t xml:space="preserve"> transparentnosti </w:t>
            </w:r>
            <w:r>
              <w:rPr>
                <w:b/>
                <w:i/>
              </w:rPr>
              <w:t>splňovaly vysoké standardy správy věcí veřejných a bylo tak zaručeno, že orgán příslušný k udělení absolutoria může plně posoudit legalitu, správnost a řádné finanční řízení;</w:t>
            </w:r>
            <w:r>
              <w:t xml:space="preserve"> </w:t>
            </w:r>
            <w:r>
              <w:rPr>
                <w:b/>
                <w:i/>
              </w:rPr>
              <w:t>konstatuje, že je důležité včas reagovat</w:t>
            </w:r>
            <w:r>
              <w:t xml:space="preserve"> na žádosti o přístup k dokumentům</w:t>
            </w:r>
            <w:r>
              <w:rPr>
                <w:b/>
                <w:i/>
              </w:rPr>
              <w:t>;</w:t>
            </w:r>
            <w:r>
              <w:t xml:space="preserve"> </w:t>
            </w:r>
            <w:r>
              <w:rPr>
                <w:b/>
                <w:i/>
              </w:rPr>
              <w:t>vybízí Komisi, aby posílila své postupy s cílem zajistit, aby orgány dohledu mohly plně posuzovat legalitu, správnost a řádné finanční řízení</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2</w:t>
            </w:r>
            <w:r>
              <w:t xml:space="preserve"> </w:t>
            </w:r>
            <w:r>
              <w:rPr>
                <w:b/>
                <w:i/>
              </w:rPr>
              <w:t>Stevi, New York Times v.</w:t>
            </w:r>
            <w:r>
              <w:t xml:space="preserve"> </w:t>
            </w:r>
            <w:r>
              <w:rPr>
                <w:b/>
                <w:i/>
              </w:rPr>
              <w:t>Komise, T-36/23, ECLI:EU:T:2025:483, https://eur-lex.europa.eu/legal-content/CS/TXT/PDF/?uri=CELEX:62023TJ0036.</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zdůrazňuje, že transparentnost </w:t>
            </w:r>
            <w:r>
              <w:rPr>
                <w:b/>
                <w:i/>
              </w:rPr>
              <w:t>není abstraktní zásadou řízení, ale základním</w:t>
            </w:r>
            <w:r>
              <w:t xml:space="preserve"> prvkem účinného kontrolního prostředí; podtrhuje, že neúplná dokumentace, nejednotné registrační postupy nebo využívání neformálních komunikačních kanálů přímo oslabují auditní stopy a brání orgánu udělujícímu absolutorium posoudit legalitu, správnost a řádné finanční řízení; </w:t>
            </w:r>
            <w:r>
              <w:rPr>
                <w:b/>
                <w:i/>
              </w:rPr>
              <w:t>v této souvislosti vyjadřuje politování nad tím, že v posledních letech je doloženo mnoho příkladů, kdy</w:t>
            </w:r>
            <w:r>
              <w:t xml:space="preserve"> Komise </w:t>
            </w:r>
            <w:r>
              <w:rPr>
                <w:b/>
                <w:i/>
              </w:rPr>
              <w:t>nedodržela přiměřené standardy</w:t>
            </w:r>
            <w:r>
              <w:t xml:space="preserve"> transparentnosti</w:t>
            </w:r>
            <w:r>
              <w:rPr>
                <w:b/>
                <w:i/>
              </w:rPr>
              <w:t>, jak bylo uvedeno i ve věci projednávané Soudním dvorem EU týkající se textových zpráv mezi předsedkyní Komise a generálním ředitelem společnosti Pfizer;</w:t>
            </w:r>
            <w:r>
              <w:t xml:space="preserve"> </w:t>
            </w:r>
            <w:r>
              <w:rPr>
                <w:b/>
                <w:i/>
              </w:rPr>
              <w:t>připomíná, že Tribunál zrušil zamítavé rozhodnutí Komise ve věci New York Times / Stevi</w:t>
            </w:r>
            <w:r>
              <w:rPr>
                <w:b/>
                <w:i/>
                <w:vertAlign w:val="superscript"/>
              </w:rPr>
              <w:t>2</w:t>
            </w:r>
            <w:r>
              <w:rPr>
                <w:b/>
                <w:i/>
              </w:rPr>
              <w:t>týkající se přístupu k příslušným textovým zprávám, přičemž zdůraznil potřebu věrohodného vyhledávání a důkladné evidence pomíjivých forem komunikace;</w:t>
            </w:r>
            <w:r>
              <w:t xml:space="preserve"> </w:t>
            </w:r>
            <w:r>
              <w:rPr>
                <w:b/>
                <w:i/>
              </w:rPr>
              <w:t>je rovněž znepokojen tím, že Komise v mnoha případech neodpověděla na žádosti o přístup k dokumentům ve stanovených</w:t>
            </w:r>
            <w:r>
              <w:t xml:space="preserve"> lhůtách, zejména v případech potvrzujících žádostí, kdy evropský veřejný ochránce práv zjistil systémová a významná zpoždění v reakci administrativy Komise;</w:t>
            </w:r>
          </w:p>
        </w:tc>
        <w:tc>
          <w:tcPr>
            <w:tcW w:w="4876" w:type="dxa"/>
            <w:tcBorders>
              <w:top w:val="nil"/>
              <w:left w:val="nil"/>
              <w:bottom w:val="nil"/>
              <w:right w:val="nil"/>
            </w:tcBorders>
          </w:tcPr>
          <w:p>
            <w:pPr>
              <w:pStyle w:val="Normal6a"/>
            </w:pPr>
            <w:r>
              <w:t>7.</w:t>
            </w:r>
            <w:r>
              <w:tab/>
            </w:r>
            <w:r>
              <w:t xml:space="preserve">zdůrazňuje, že transparentnost </w:t>
            </w:r>
            <w:r>
              <w:rPr>
                <w:b/>
                <w:i/>
              </w:rPr>
              <w:t>je zásadním</w:t>
            </w:r>
            <w:r>
              <w:t xml:space="preserve"> prvkem účinného kontrolního prostředí; podtrhuje, že neúplná dokumentace, nejednotné registrační postupy nebo využívání neformálních komunikačních kanálů přímo oslabují auditní stopy a brání orgánu udělujícímu absolutorium posoudit legalitu, správnost a řádné finanční řízení; </w:t>
            </w:r>
            <w:r>
              <w:rPr>
                <w:b/>
                <w:i/>
              </w:rPr>
              <w:t>poukazuje na opakované nedostatky</w:t>
            </w:r>
            <w:r>
              <w:t xml:space="preserve"> Komise</w:t>
            </w:r>
            <w:r>
              <w:rPr>
                <w:b/>
                <w:i/>
              </w:rPr>
              <w:t>, pokud jde o plnění základních norem</w:t>
            </w:r>
            <w:r>
              <w:t xml:space="preserve"> transparentnosti </w:t>
            </w:r>
            <w:r>
              <w:rPr>
                <w:b/>
                <w:i/>
              </w:rPr>
              <w:t>v zákonných</w:t>
            </w:r>
            <w:r>
              <w:t xml:space="preserve"> lhůtách, zejména v případech potvrzujících žádostí, kdy evropský veřejný ochránce práv zjistil systémová a významná zpoždění v reakci administrativy Komise;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2</w:t>
            </w:r>
            <w:r>
              <w:t xml:space="preserve"> </w:t>
            </w:r>
            <w:r>
              <w:rPr>
                <w:b/>
                <w:i/>
              </w:rPr>
              <w:t>Stevi, New York Times v.</w:t>
            </w:r>
            <w:r>
              <w:t xml:space="preserve"> </w:t>
            </w:r>
            <w:r>
              <w:rPr>
                <w:b/>
                <w:i/>
              </w:rPr>
              <w:t>Komise, T-36/23, ECLI:EU:T:2025:483, https://eur-lex.europa.eu/legal-content/CS/TXT/PDF/?uri=CELEX:62023TJ0036.</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Şerban Dimitrie Sturdza, Dick Erixon, 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zdůrazňuje, že transparentnost není abstraktní zásadou řízení, ale základním prvkem účinného kontrolního prostředí; podtrhuje, že neúplná dokumentace, nejednotné registrační postupy nebo využívání neformálních komunikačních kanálů přímo oslabují auditní stopy a brání orgánu udělujícímu absolutorium posoudit legalitu, správnost a řádné finanční řízení; v této souvislosti vyjadřuje politování nad tím, že v posledních letech je doloženo mnoho příkladů, kdy Komise nedodržela přiměřené standardy transparentnosti, jak bylo uvedeno i ve věci projednávané Soudním dvorem EU týkající se textových zpráv mezi předsedkyní Komise a generálním ředitelem společnosti Pfizer; připomíná, že Tribunál zrušil zamítavé rozhodnutí Komise ve věci New York Times / Stevi</w:t>
            </w:r>
            <w:r>
              <w:rPr>
                <w:vertAlign w:val="superscript"/>
              </w:rPr>
              <w:t>2</w:t>
            </w:r>
            <w:r>
              <w:t>týkající se přístupu k příslušným textovým zprávám, přičemž zdůraznil potřebu věrohodného vyhledávání a důkladné evidence pomíjivých forem komunikace; je rovněž znepokojen tím, že Komise v mnoha případech neodpověděla na žádosti o přístup k dokumentům ve stanovených lhůtách, zejména v případech potvrzujících žádostí, kdy evropský veřejný ochránce práv zjistil systémová a významná zpoždění v reakci administrativy Komise;</w:t>
            </w:r>
          </w:p>
        </w:tc>
        <w:tc>
          <w:tcPr>
            <w:tcW w:w="4876" w:type="dxa"/>
            <w:tcBorders>
              <w:top w:val="nil"/>
              <w:left w:val="nil"/>
              <w:bottom w:val="nil"/>
              <w:right w:val="nil"/>
            </w:tcBorders>
          </w:tcPr>
          <w:p>
            <w:pPr>
              <w:pStyle w:val="Normal6a"/>
            </w:pPr>
            <w:r>
              <w:t>7.</w:t>
            </w:r>
            <w:r>
              <w:tab/>
            </w:r>
            <w:r>
              <w:t>zdůrazňuje, že transparentnost není abstraktní zásadou řízení, ale základním prvkem účinného kontrolního prostředí; podtrhuje, že neúplná dokumentace, nejednotné registrační postupy nebo využívání neformálních komunikačních kanálů přímo oslabují auditní stopy a brání orgánu udělujícímu absolutorium posoudit legalitu, správnost a řádné finanční řízení; v této souvislosti vyjadřuje politování nad tím, že v posledních letech je doloženo mnoho příkladů, kdy Komise nedodržela přiměřené standardy transparentnosti, jak bylo uvedeno i ve věci projednávané Soudním dvorem EU týkající se textových zpráv mezi předsedkyní Komise a generálním ředitelem společnosti Pfizer; připomíná, že Tribunál zrušil zamítavé rozhodnutí Komise ve věci New York Times / Stevi</w:t>
            </w:r>
            <w:r>
              <w:rPr>
                <w:vertAlign w:val="superscript"/>
              </w:rPr>
              <w:t>2</w:t>
            </w:r>
            <w:r>
              <w:t xml:space="preserve"> týkající se přístupu k příslušným textovým zprávám, přičemž zdůraznil potřebu věrohodného vyhledávání a důkladné evidence pomíjivých forem komunikace</w:t>
            </w:r>
            <w:r>
              <w:rPr>
                <w:b/>
                <w:i/>
              </w:rPr>
              <w:t>;</w:t>
            </w:r>
            <w:r>
              <w:t xml:space="preserve"> </w:t>
            </w:r>
            <w:r>
              <w:rPr>
                <w:b/>
                <w:i/>
              </w:rPr>
              <w:t>domnívá se, že neschopnost zajistit řádnou dokumentaci a transparentnost na úrovni vrcholného vedení může oslabit důvěru veřejnosti, institucionální odpovědnost a důvěryhodnost Komise jako strážkyně Smluv</w:t>
            </w:r>
            <w:r>
              <w:t xml:space="preserve">; je rovněž znepokojen tím, že Komise v mnoha případech neodpověděla na žádosti o přístup k dokumentům ve stanovených lhůtách, zejména v případech potvrzujících žádostí, kdy evropský veřejný ochránce práv zjistil systémová a významná zpoždění v reakci administrativy Komise; </w:t>
            </w:r>
            <w:r>
              <w:rPr>
                <w:b/>
                <w:i/>
              </w:rPr>
              <w:t>vyzývá vedení Komise, aby zajistilo plné dodržování povinností týkajících se transparentnosti a řádnou registraci veškeré komunikace související s prací, a to i na úrovni funkce předsedy a sboru komisařů, a aby posílilo vnitřní postupy a mechanismy odpovědnosti s cílem zabránit v budoucnu podobným nedostatkům;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Stevi, New York Times v. Komise, T-36/23, ECLI:EU:T:2025:483, https://eur-lex.europa.eu/legal-content/CS/TXT/PDF/?uri=CELEX:62023TJ0036.</w:t>
            </w:r>
          </w:p>
        </w:tc>
        <w:tc>
          <w:tcPr>
            <w:tcW w:w="4876" w:type="dxa"/>
            <w:tcBorders>
              <w:top w:val="nil"/>
              <w:left w:val="nil"/>
              <w:bottom w:val="nil"/>
              <w:right w:val="nil"/>
            </w:tcBorders>
          </w:tcPr>
          <w:p>
            <w:pPr>
              <w:pStyle w:val="Normal6a"/>
            </w:pPr>
            <w:r>
              <w:rPr>
                <w:vertAlign w:val="superscript"/>
              </w:rPr>
              <w:t>2</w:t>
            </w:r>
            <w:r>
              <w:t xml:space="preserve"> </w:t>
            </w:r>
            <w:r>
              <w:t>Stevi, New York Times v. Komise, T-36/23, ECLI:EU:T:2025:483, https://eur-lex.europa.eu/legal-content/CS/TXT/PDF/?uri=CELEX:62023TJ0036.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Joachim Stanisław Brudziński, 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zdůrazňuje, že transparentnost není abstraktní zásadou řízení, ale základním prvkem účinného kontrolního prostředí; podtrhuje, že neúplná dokumentace, nejednotné registrační postupy nebo využívání neformálních komunikačních kanálů přímo oslabují auditní stopy a brání orgánu udělujícímu absolutorium posoudit legalitu, správnost a řádné finanční řízení; v této souvislosti vyjadřuje politování nad tím, že v posledních letech je doloženo mnoho příkladů, kdy Komise nedodržela přiměřené standardy transparentnosti, jak bylo uvedeno i ve věci projednávané Soudním dvorem EU týkající se textových zpráv mezi předsedkyní Komise a generálním ředitelem společnosti Pfizer; připomíná, že Tribunál zrušil zamítavé rozhodnutí Komise ve věci New York Times / Stevi</w:t>
            </w:r>
            <w:r>
              <w:rPr>
                <w:vertAlign w:val="superscript"/>
              </w:rPr>
              <w:t>2</w:t>
            </w:r>
            <w:r>
              <w:t>týkající se přístupu k příslušným textovým zprávám, přičemž zdůraznil potřebu věrohodného vyhledávání a důkladné evidence pomíjivých forem komunikace; je rovněž znepokojen tím, že Komise v mnoha případech neodpověděla na žádosti o přístup k dokumentům ve stanovených lhůtách, zejména v případech potvrzujících žádostí, kdy evropský veřejný ochránce práv zjistil systémová a významná zpoždění v reakci administrativy Komise;</w:t>
            </w:r>
          </w:p>
        </w:tc>
        <w:tc>
          <w:tcPr>
            <w:tcW w:w="4876" w:type="dxa"/>
            <w:tcBorders>
              <w:top w:val="nil"/>
              <w:left w:val="nil"/>
              <w:bottom w:val="nil"/>
              <w:right w:val="nil"/>
            </w:tcBorders>
          </w:tcPr>
          <w:p>
            <w:pPr>
              <w:pStyle w:val="Normal6a"/>
            </w:pPr>
            <w:r>
              <w:t>7.</w:t>
            </w:r>
            <w:r>
              <w:tab/>
            </w:r>
            <w:r>
              <w:t>zdůrazňuje, že transparentnost není abstraktní zásadou řízení, ale základním prvkem účinného kontrolního prostředí; podtrhuje, že neúplná dokumentace, nejednotné registrační postupy nebo využívání neformálních komunikačních kanálů přímo oslabují auditní stopy a brání orgánu udělujícímu absolutorium posoudit legalitu, správnost a řádné finanční řízení; v této souvislosti vyjadřuje politování nad tím, že v posledních letech je doloženo mnoho příkladů, kdy Komise nedodržela přiměřené standardy transparentnosti, jak bylo uvedeno i ve věci projednávané Soudním dvorem EU týkající se textových zpráv mezi předsedkyní Komise a generálním ředitelem společnosti Pfizer; připomíná, že Tribunál zrušil zamítavé rozhodnutí Komise ve věci New York Times / Stevi</w:t>
            </w:r>
            <w:r>
              <w:rPr>
                <w:vertAlign w:val="superscript"/>
              </w:rPr>
              <w:t>2</w:t>
            </w:r>
            <w:r>
              <w:t xml:space="preserve"> týkající se přístupu k příslušným textovým zprávám, přičemž zdůraznil potřebu věrohodného vyhledávání a důkladné evidence pomíjivých forem komunikace; je rovněž znepokojen tím, že Komise v mnoha případech neodpověděla na žádosti o přístup k dokumentům ve stanovených lhůtách, zejména v případech potvrzujících žádostí, kdy evropský veřejný ochránce práv zjistil systémová a významná zpoždění v reakci administrativy Komise; </w:t>
            </w:r>
            <w:r>
              <w:rPr>
                <w:b/>
                <w:i/>
              </w:rPr>
              <w:t>zdůrazňuje, že tyto kroky podkopávají zásady právního státu, oslabují důvěryhodnost institucí a narušují důvěru v Evropskou unii.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Stevi, New York Times v. Komise, T-36/23, ECLI:EU:T:2025:483, https://eur-lex.europa.eu/legal-content/CS/TXT/PDF/?uri=CELEX:62023TJ0036.</w:t>
            </w:r>
          </w:p>
        </w:tc>
        <w:tc>
          <w:tcPr>
            <w:tcW w:w="4876" w:type="dxa"/>
            <w:tcBorders>
              <w:top w:val="nil"/>
              <w:left w:val="nil"/>
              <w:bottom w:val="nil"/>
              <w:right w:val="nil"/>
            </w:tcBorders>
          </w:tcPr>
          <w:p>
            <w:pPr>
              <w:pStyle w:val="Normal6a"/>
            </w:pPr>
            <w:r>
              <w:rPr>
                <w:vertAlign w:val="superscript"/>
              </w:rPr>
              <w:t>2</w:t>
            </w:r>
            <w:r>
              <w:t xml:space="preserve"> </w:t>
            </w:r>
            <w:r>
              <w:t>Stevi, New York Times v. Komise, T-36/23, ECLI:EU:T:2025:483, https://eur-lex.europa.eu/legal-content/CS/TXT/PDF/?uri=CELEX:62023TJ0036.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vyjadřuje politování nad skandálem, kdy předsedkyně Komise nakoupila 4,6 miliardy dávek očkovacích látek proti COVID-19 za 71 miliard EUR, a nad nedávným nákupem dalších 146 milionů dávek za neznámou částku;</w:t>
            </w:r>
            <w:r>
              <w:rPr>
                <w:b/>
                <w:i/>
              </w:rPr>
              <w:t>vzhledem k tomu, že evropská komisařka pro zdraví dne 27. března 2023 před zvláštním výborem COVI potvrdila, že předsedkyně Von der Leyenová se navzdory informacím zveřejněným v New York Times (28. dubna 2021) a závěrům Evropského účetního dvora uvedeným v jeho zvláštní zprávě o nákupu očkovacích látek proti COVID-19 nezapojila do žádného jednání o smlouvách o očkovacích látkách proti COVID-19;</w:t>
            </w:r>
            <w:r>
              <w:rPr>
                <w:b/>
                <w:i/>
              </w:rPr>
              <w:t>vzhledem k tomu, že Komise požádala některé poslance Parlamentu ve výboru COVI, aby dne 30. května 2023 podepsali závazek mlčenlivosti, aniž by upřesnila datum ukončení této povinnosti mlčenlivosti týkající se odškodnění, které Evropané platí společnosti Pfizer za každou dávku výměnou za nedodání některých dávek, které mají být dodány;</w:t>
            </w:r>
            <w:r>
              <w:rPr>
                <w:b/>
                <w:i/>
              </w:rPr>
              <w:t>vyjadřuje své zklamání nad přetrvávající nedostatečnou transparentností ze strany Komise, pokud jde o její dohody s farmaceutickými společnostmi odpovědnými za výrobu očkovacích látek proti onemocnění COVID-19 a komunikaci prostřednictvím SMS mezi předsedkyní Komise a generálním ředitelem farmaceutické společnosti do té míry, že soudní řízení poškodilo pověst Komise, a přitom mohla předsedkyně v Parlamentu vše snadno vysvětlit;</w:t>
            </w:r>
            <w:r>
              <w:rPr>
                <w:b/>
                <w:i/>
              </w:rPr>
              <w:t>vyjadřuje politování nad nečinností Komise, pokud jde o oběti závažných vedlejších účinků očkovacích látek proti COVID-19, z hlediska lékařského výzkumu a odškodnění;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vyjadřuje politování nad tím, že se Komise rozhodla v právním sporu týkajícím se odmítnutí objednat dávky očkovacích látek, které po skončení pandemie již nejsou zapotřebí, bránit společnost Pfizer spíše než členské státy;</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bere na vědomí extrémní pomalost úřadu EPPO při vyšetřování nákupu očkovacích látek proti COVID-19 nebo skandálu „Katargate“ a skutečnost, že úřad EPPO nadále odmítá odpovídat na parlamentní otázky týkající se zdrojů vyčleněných na vyšetřování, harmonogramu nebo prováděných operací;</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7d.</w:t>
            </w:r>
            <w:r>
              <w:tab/>
            </w:r>
            <w:r>
              <w:rPr>
                <w:b/>
                <w:i/>
              </w:rPr>
              <w:t>připomíná, že v mimořádně objemných smlouvách o dávkách COVID-19 se počítalo s možností auditu;</w:t>
            </w:r>
            <w:r>
              <w:t xml:space="preserve"> </w:t>
            </w:r>
            <w:r>
              <w:rPr>
                <w:b/>
                <w:i/>
              </w:rPr>
              <w:t>tento nárok trvá až 5 let po vyplacení konečného zůstatku;</w:t>
            </w:r>
            <w:r>
              <w:t xml:space="preserve"> </w:t>
            </w:r>
            <w:r>
              <w:rPr>
                <w:b/>
                <w:i/>
              </w:rPr>
              <w:t>poté by farmaceutické laboratoře, jako je Pfizer, mohly veškeré dokumenty související s těmito smlouvami zničit;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7e.</w:t>
            </w:r>
            <w:r>
              <w:tab/>
            </w:r>
            <w:r>
              <w:rPr>
                <w:b/>
                <w:i/>
              </w:rPr>
              <w:t>konstatuje, že od pandemie COVID-19 se Komise příliš snadno vyhýbá Smlouvám, aby si mohla vymýšlet různé pravomoci (bydlení, volby, zdraví, zpravodajství, počasí atd.), obrovské dluhy nebo jiné finanční struktury, které krátkodobě i dlouhodobě ohrožují finanční zdraví evropských domácností a států;</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7c.</w:t>
            </w:r>
            <w:r>
              <w:tab/>
            </w:r>
            <w:r>
              <w:rPr>
                <w:b/>
                <w:i/>
              </w:rPr>
              <w:t>podle serveru Politico evropské země již v roce 2024 připustily, že prodaly 215 milionů dávek očkovacích látek proti COVID-19 za cenu 4 miliard EUR;</w:t>
            </w:r>
            <w:r>
              <w:t xml:space="preserve"> </w:t>
            </w:r>
            <w:r>
              <w:rPr>
                <w:b/>
                <w:i/>
              </w:rPr>
              <w:t>dne 16. ledna 2024 však Úřad pro připravenost a reakci na mimořádné situace v oblasti zdraví (HERA) jménem Komise a 18 členských států, včetně Francie, zveřejnil výzvu k podávání nabídek s cílem objednat dalších 146 milionů dávek očkovacích látek, přičemž předem oznámil, že cena bude utajena a že nabídky budou moci podávat pouze vyzvané společnosti;</w:t>
            </w:r>
            <w:r>
              <w:t xml:space="preserve"> </w:t>
            </w:r>
            <w:r>
              <w:rPr>
                <w:b/>
                <w:i/>
              </w:rPr>
              <w:t>vyjadřuje politování nad tím, že Komise zachovává ceny a smlouvy v tajnosti, což brání parlamentní kontrole smluv;</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Virginie Joron,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 f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7f.</w:t>
            </w:r>
            <w:r>
              <w:tab/>
            </w:r>
            <w:r>
              <w:rPr>
                <w:b/>
                <w:i/>
              </w:rPr>
              <w:t>je překvapen tím, že velké finanční chyby Komise v posledních letech (smlouvy o očkovacích látkách proti COVID-19, remdesivir, pohyblivé úrokové sazby pro nástroj RRF, podvody v oblasti uhlíkové daně atd.) nebyly předmětem žádného proaktivního šetření, a to ani ex ante, ani ex post, aby bylo možné odhalit spoluúčast nebo nedbalost;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konstatuje, že </w:t>
            </w:r>
            <w:r>
              <w:rPr>
                <w:b/>
                <w:i/>
              </w:rPr>
              <w:t>Andrej Babiš se v prosinci 2025 znovu stal předsedou vlády České republiky;</w:t>
            </w:r>
            <w:r>
              <w:t xml:space="preserve"> </w:t>
            </w:r>
            <w:r>
              <w:rPr>
                <w:b/>
                <w:i/>
              </w:rPr>
              <w:t>připomíná, že již dříve bylo zjištěno, že se při výkonu této funkce nachází ve střetu</w:t>
            </w:r>
            <w:r>
              <w:t xml:space="preserve"> zájmů v </w:t>
            </w:r>
            <w:r>
              <w:rPr>
                <w:b/>
                <w:i/>
              </w:rPr>
              <w:t>souvislosti s tím, že je současně vlastníkem společnosti Agrofert, a že tento střet zájmů vedl</w:t>
            </w:r>
            <w:r>
              <w:t xml:space="preserve"> v minulosti k pozastavení financování </w:t>
            </w:r>
            <w:r>
              <w:rPr>
                <w:b/>
                <w:i/>
              </w:rPr>
              <w:t>Unie</w:t>
            </w:r>
            <w:r>
              <w:t xml:space="preserve"> a k finanční opravě; </w:t>
            </w:r>
            <w:r>
              <w:rPr>
                <w:b/>
                <w:i/>
              </w:rPr>
              <w:t>se znepokojením konstatuje, že dosud nebyla uplatněna žádná</w:t>
            </w:r>
            <w:r>
              <w:t xml:space="preserve"> ověřitelná právní opatření, </w:t>
            </w:r>
            <w:r>
              <w:rPr>
                <w:b/>
                <w:i/>
              </w:rPr>
              <w:t>která by s konečnou platností vyloučila riziko</w:t>
            </w:r>
            <w:r>
              <w:t xml:space="preserve">, že by prostředky Unie mohly </w:t>
            </w:r>
            <w:r>
              <w:rPr>
                <w:b/>
                <w:i/>
              </w:rPr>
              <w:t>přímo či nepřímo</w:t>
            </w:r>
            <w:r>
              <w:t xml:space="preserve"> přinášet prospěch </w:t>
            </w:r>
            <w:r>
              <w:rPr>
                <w:b/>
                <w:i/>
              </w:rPr>
              <w:t>jeho</w:t>
            </w:r>
            <w:r>
              <w:t xml:space="preserve"> soukromým obchodním zájmům;</w:t>
            </w:r>
          </w:p>
        </w:tc>
        <w:tc>
          <w:tcPr>
            <w:tcW w:w="4876" w:type="dxa"/>
            <w:tcBorders>
              <w:top w:val="nil"/>
              <w:left w:val="nil"/>
              <w:bottom w:val="nil"/>
              <w:right w:val="nil"/>
            </w:tcBorders>
          </w:tcPr>
          <w:p>
            <w:pPr>
              <w:pStyle w:val="Normal6a"/>
            </w:pPr>
            <w:r>
              <w:t>8.</w:t>
            </w:r>
            <w:r>
              <w:tab/>
            </w:r>
            <w:r>
              <w:t xml:space="preserve">konstatuje, že </w:t>
            </w:r>
            <w:r>
              <w:rPr>
                <w:b/>
                <w:i/>
              </w:rPr>
              <w:t>některé střety</w:t>
            </w:r>
            <w:r>
              <w:t xml:space="preserve"> zájmů v </w:t>
            </w:r>
            <w:r>
              <w:rPr>
                <w:b/>
                <w:i/>
              </w:rPr>
              <w:t>členských státech vedly</w:t>
            </w:r>
            <w:r>
              <w:t xml:space="preserve"> v minulosti k pozastavení financování a k finanční opravě; </w:t>
            </w:r>
            <w:r>
              <w:rPr>
                <w:b/>
                <w:i/>
              </w:rPr>
              <w:t>připomíná, že je důležité zavést</w:t>
            </w:r>
            <w:r>
              <w:t xml:space="preserve"> ověřitelná právní opatření, </w:t>
            </w:r>
            <w:r>
              <w:rPr>
                <w:b/>
                <w:i/>
              </w:rPr>
              <w:t>aby se zabránilo jakémukoli riziku</w:t>
            </w:r>
            <w:r>
              <w:t xml:space="preserve">, že by prostředky Unie mohly přinášet prospěch soukromým obchodním zájmům </w:t>
            </w:r>
            <w:r>
              <w:rPr>
                <w:b/>
                <w:i/>
              </w:rPr>
              <w:t>osob zastávajících veřejnou funkci</w:t>
            </w:r>
            <w:r>
              <w:t xml:space="preserve">; </w:t>
            </w:r>
            <w:r>
              <w:rPr>
                <w:b/>
                <w:i/>
              </w:rPr>
              <w:t>zdůrazňuje, že členské státy by měly zajistit, že budou zavedeny účinné záruky na podporu transparentnosti, integrity a řádného finančního řízení finančních prostředků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Virginie Joron,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rPr>
                <w:b/>
                <w:i/>
              </w:rPr>
              <w:t>konstatuje, že Andrej Babiš se v prosinci 2025 znovu stal předsedou vlády České republiky;</w:t>
            </w:r>
            <w:r>
              <w:t xml:space="preserve"> </w:t>
            </w:r>
            <w:r>
              <w:rPr>
                <w:b/>
                <w:i/>
              </w:rPr>
              <w:t>připomíná, že již dříve bylo zjištěno, že se při výkonu této funkce nachází ve střetu zájmů v souvislosti s tím, že je současně vlastníkem</w:t>
            </w:r>
            <w:r>
              <w:t xml:space="preserve"> společnosti </w:t>
            </w:r>
            <w:r>
              <w:rPr>
                <w:b/>
                <w:i/>
              </w:rPr>
              <w:t>Agrofert, a že tento střet zájmů vedl v minulosti k pozastavení financování Unie a k finanční opravě</w:t>
            </w:r>
            <w:r>
              <w:t>; se znepokojením konstatuje, že dosud nebyla uplatněna žádná ověřitelná právní opatření, která by s konečnou platností vyloučila riziko, že by prostředky Unie mohly přímo či nepřímo přinášet prospěch jeho soukromým obchodním zájmům;</w:t>
            </w:r>
          </w:p>
        </w:tc>
        <w:tc>
          <w:tcPr>
            <w:tcW w:w="4876" w:type="dxa"/>
            <w:tcBorders>
              <w:top w:val="nil"/>
              <w:left w:val="nil"/>
              <w:bottom w:val="nil"/>
              <w:right w:val="nil"/>
            </w:tcBorders>
          </w:tcPr>
          <w:p>
            <w:pPr>
              <w:pStyle w:val="Normal6a"/>
            </w:pPr>
            <w:r>
              <w:t>8.</w:t>
            </w:r>
            <w:r>
              <w:tab/>
            </w:r>
            <w:r>
              <w:rPr>
                <w:b/>
                <w:i/>
              </w:rPr>
              <w:t>bere na vědomí zneužití části plánu na podporu oživení po pandemii COVID-19 prostřednictvím programu 2 400 dotací financovaných EU v objemu 282 milionů EUR určeného pro hotely, restaurace a kulturní zařízení, které vyšlo najevo v Polsku poté, co kampaň za transparentnost odhalila dotace poskytnuté na nákup jachet, barům s prodejem vodky a</w:t>
            </w:r>
            <w:r>
              <w:t xml:space="preserve"> společnosti </w:t>
            </w:r>
            <w:r>
              <w:rPr>
                <w:b/>
                <w:i/>
              </w:rPr>
              <w:t>registrované na stejné adrese jako jeden swingers klub</w:t>
            </w:r>
            <w:r>
              <w:t xml:space="preserve">; se znepokojením konstatuje, že dosud nebyla uplatněna žádná </w:t>
            </w:r>
            <w:r>
              <w:rPr>
                <w:b/>
                <w:i/>
              </w:rPr>
              <w:t>účinná a</w:t>
            </w:r>
            <w:r>
              <w:t xml:space="preserve"> ověřitelná právní opatření, která by s konečnou platností vyloučila riziko, že by prostředky Unie mohly přímo či nepřímo přinášet prospěch jeho soukromým obchodním zájmům;</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konstatuje, že Andrej Babiš se v prosinci 2025 znovu stal předsedou vlády České republiky; připomíná, že již dříve bylo zjištěno, že se při výkonu této funkce nachází ve střetu zájmů v souvislosti s tím, že je současně vlastníkem společnosti Agrofert, a že tento střet zájmů vedl v minulosti k pozastavení financování Unie a k finanční opravě; </w:t>
            </w:r>
            <w:r>
              <w:rPr>
                <w:b/>
                <w:i/>
              </w:rPr>
              <w:t>se znepokojením</w:t>
            </w:r>
            <w:r>
              <w:t xml:space="preserve"> konstatuje, že </w:t>
            </w:r>
            <w:r>
              <w:rPr>
                <w:b/>
                <w:i/>
              </w:rPr>
              <w:t>dosud nebyla uplatněna žádná ověřitelná</w:t>
            </w:r>
            <w:r>
              <w:t xml:space="preserve"> právní </w:t>
            </w:r>
            <w:r>
              <w:rPr>
                <w:b/>
                <w:i/>
              </w:rPr>
              <w:t>opatření</w:t>
            </w:r>
            <w:r>
              <w:t xml:space="preserve">, která </w:t>
            </w:r>
            <w:r>
              <w:rPr>
                <w:b/>
                <w:i/>
              </w:rPr>
              <w:t>by s konečnou platností vyloučila riziko, že by prostředky Unie mohly přímo či nepřímo přinášet prospěch jeho soukromým obchodním zájmům</w:t>
            </w:r>
            <w:r>
              <w:t>;</w:t>
            </w:r>
          </w:p>
        </w:tc>
        <w:tc>
          <w:tcPr>
            <w:tcW w:w="4876" w:type="dxa"/>
            <w:tcBorders>
              <w:top w:val="nil"/>
              <w:left w:val="nil"/>
              <w:bottom w:val="nil"/>
              <w:right w:val="nil"/>
            </w:tcBorders>
          </w:tcPr>
          <w:p>
            <w:pPr>
              <w:pStyle w:val="Normal6a"/>
            </w:pPr>
            <w:r>
              <w:t>8.</w:t>
            </w:r>
            <w:r>
              <w:tab/>
            </w:r>
            <w:r>
              <w:t>konstatuje, že Andrej Babiš se v prosinci 2025 znovu stal předsedou vlády České republiky; připomíná, že již dříve bylo zjištěno, že se při výkonu této funkce nachází ve střetu zájmů v souvislosti s tím, že je současně vlastníkem společnosti Agrofert, a že tento střet zájmů vedl v minulosti k pozastavení financování Unie a k finanční opravě; konstatuje, že</w:t>
            </w:r>
            <w:r>
              <w:rPr>
                <w:b/>
                <w:i/>
              </w:rPr>
              <w:t>  bylo provedeno</w:t>
            </w:r>
            <w:r>
              <w:t xml:space="preserve"> právní </w:t>
            </w:r>
            <w:r>
              <w:rPr>
                <w:b/>
                <w:i/>
              </w:rPr>
              <w:t>ujednání v souladu s právními předpisy EU</w:t>
            </w:r>
            <w:r>
              <w:t xml:space="preserve">, která </w:t>
            </w:r>
            <w:r>
              <w:rPr>
                <w:b/>
                <w:i/>
              </w:rPr>
              <w:t>má definitivně odstranit veškeré obavy týkající se finančních prostředků Unie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zdůrazňuje, že členové Komise musí splňovat nejvyšší standardy bezúhonnosti, nezávislosti a odpovědnosti, a to jak ve svých současných funkcích, tak ve svých předchozích funkcích; </w:t>
            </w:r>
            <w:r>
              <w:rPr>
                <w:b/>
                <w:i/>
              </w:rPr>
              <w:t>se znepokojením konstatuje, že v období, kdy byl komisař Várhelyi, nyní komisař pro zdraví a dobré životní podmínky zvířat, odpovědný za toto generální ředitelství jako komisař pro sousedství a rozšíření, zůstalo v GŘ NEAR neobsazeno několik vedoucích pozic a že v době jeho působení na stálém zastoupení Maďarska při Unii údajně působila špionážní skupina, což ve svém souhrnu podkopává důvěru v jeho schopnost vykonávat funkci způsobem, který je plně v souladu s hodnotami Unie a požadavky řádné správy;</w:t>
            </w:r>
          </w:p>
        </w:tc>
        <w:tc>
          <w:tcPr>
            <w:tcW w:w="4876" w:type="dxa"/>
            <w:tcBorders>
              <w:top w:val="nil"/>
              <w:left w:val="nil"/>
              <w:bottom w:val="nil"/>
              <w:right w:val="nil"/>
            </w:tcBorders>
          </w:tcPr>
          <w:p>
            <w:pPr>
              <w:pStyle w:val="Normal6a"/>
            </w:pPr>
            <w:r>
              <w:t>9.</w:t>
            </w:r>
            <w:r>
              <w:tab/>
            </w:r>
            <w:r>
              <w:t>zdůrazňuje, že členové Komise musí splňovat nejvyšší standardy bezúhonnosti, nezávislosti a odpovědnosti, a to jak ve svých současných funkcích, tak ve svých předchozích funkcích;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zdůrazňuje, že členové Komise musí splňovat nejvyšší standardy bezúhonnosti, nezávislosti a odpovědnosti, a to jak ve svých současných funkcích, tak ve svých předchozích funkcích; </w:t>
            </w:r>
            <w:r>
              <w:rPr>
                <w:b/>
                <w:i/>
              </w:rPr>
              <w:t>se znepokojením konstatuje, že v období, kdy byl komisař Várhelyi, nyní komisař pro zdraví a dobré životní podmínky zvířat, odpovědný za toto generální ředitelství jako komisař pro sousedství a rozšíření, zůstalo v GŘ NEAR neobsazeno několik vedoucích pozic a že v době jeho působení na stálém zastoupení Maďarska při Unii údajně působila špionážní skupina, což ve svém souhrnu podkopává důvěru v jeho schopnost vykonávat funkci způsobem, který je plně v souladu s hodnotami Unie a požadavky řádné správy;</w:t>
            </w:r>
          </w:p>
        </w:tc>
        <w:tc>
          <w:tcPr>
            <w:tcW w:w="4876" w:type="dxa"/>
            <w:tcBorders>
              <w:top w:val="nil"/>
              <w:left w:val="nil"/>
              <w:bottom w:val="nil"/>
              <w:right w:val="nil"/>
            </w:tcBorders>
          </w:tcPr>
          <w:p>
            <w:pPr>
              <w:pStyle w:val="Normal6a"/>
            </w:pPr>
            <w:r>
              <w:t>9.</w:t>
            </w:r>
            <w:r>
              <w:tab/>
            </w:r>
            <w:r>
              <w:t>zdůrazňuje, že členové Komise musí splňovat nejvyšší standardy bezúhonnosti, nezávislosti a odpovědnosti, a to jak ve svých současných funkcích, tak ve svých předchozích funkcích;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Carlo Fidanza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zdůrazňuje, že členové Komise musí splňovat nejvyšší standardy bezúhonnosti, nezávislosti a odpovědnosti, a to jak ve svých současných funkcích, tak ve svých předchozích funkcích; </w:t>
            </w:r>
            <w:r>
              <w:rPr>
                <w:b/>
                <w:i/>
              </w:rPr>
              <w:t>se znepokojením konstatuje, že v období, kdy byl komisař Várhelyi, nyní komisař pro zdraví a dobré životní podmínky zvířat, odpovědný za toto generální ředitelství jako komisař pro sousedství a rozšíření, zůstalo v GŘ NEAR neobsazeno několik vedoucích pozic a že v době jeho působení na stálém zastoupení Maďarska při Unii údajně působila špionážní skupina, což ve svém souhrnu podkopává důvěru v jeho schopnost vykonávat funkci způsobem, který je plně v souladu s hodnotami Unie a požadavky řádné správy;</w:t>
            </w:r>
          </w:p>
        </w:tc>
        <w:tc>
          <w:tcPr>
            <w:tcW w:w="4876" w:type="dxa"/>
            <w:tcBorders>
              <w:top w:val="nil"/>
              <w:left w:val="nil"/>
              <w:bottom w:val="nil"/>
              <w:right w:val="nil"/>
            </w:tcBorders>
          </w:tcPr>
          <w:p>
            <w:pPr>
              <w:pStyle w:val="Normal6a"/>
            </w:pPr>
            <w:r>
              <w:t>9.</w:t>
            </w:r>
            <w:r>
              <w:tab/>
            </w:r>
            <w:r>
              <w:t>zdůrazňuje, že členové Komise musí splňovat nejvyšší standardy bezúhonnosti, nezávislosti a odpovědnosti, a to jak ve svých současných funkcích, tak ve svých předchozích funkcích;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zdůrazňuje, že členové Komise musí splňovat nejvyšší standardy bezúhonnosti, nezávislosti a odpovědnosti, a to jak ve svých současných funkcích, tak ve svých předchozích funkcích; </w:t>
            </w:r>
            <w:r>
              <w:rPr>
                <w:b/>
                <w:i/>
              </w:rPr>
              <w:t>se znepokojením konstatuje, že v období, kdy byl komisař Várhelyi, nyní komisař pro zdraví a dobré životní podmínky zvířat, odpovědný za toto generální ředitelství jako komisař pro sousedství a rozšíření, zůstalo v GŘ NEAR neobsazeno několik vedoucích pozic a že v době jeho působení na stálém zastoupení Maďarska při Unii údajně působila špionážní skupina, což ve svém souhrnu podkopává důvěru v jeho schopnost vykonávat funkci způsobem, který je plně v souladu s hodnotami Unie a požadavky řádné správy;</w:t>
            </w:r>
          </w:p>
        </w:tc>
        <w:tc>
          <w:tcPr>
            <w:tcW w:w="4876" w:type="dxa"/>
            <w:tcBorders>
              <w:top w:val="nil"/>
              <w:left w:val="nil"/>
              <w:bottom w:val="nil"/>
              <w:right w:val="nil"/>
            </w:tcBorders>
          </w:tcPr>
          <w:p>
            <w:pPr>
              <w:pStyle w:val="Normal6a"/>
            </w:pPr>
            <w:r>
              <w:t>9.</w:t>
            </w:r>
            <w:r>
              <w:tab/>
            </w:r>
            <w:r>
              <w:t>zdůrazňuje, že členové Komise musí splňovat nejvyšší standardy bezúhonnosti, nezávislosti a odpovědnosti, a to jak ve svých současných funkcích, tak ve svých předchozích funkcích;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vyjadřuje politování nad skandálem, do něhož byl zapojen Didier Reynders, bývalý evropský komisař pro spravedlnost odpovědný za otázky týkající se právního státu v některých členských státech, a v němž se objevila podezření z praní peněz:</w:t>
            </w:r>
            <w:r>
              <w:t xml:space="preserve"> </w:t>
            </w:r>
            <w:r>
              <w:rPr>
                <w:b/>
                <w:i/>
              </w:rPr>
              <w:t>belgické orgány jej obviňují z praní přibližně 700 000 až jednoho milionu EUR prostřednictvím hotovostních vkladů na jeho bankovní účet (v letech 2008 až 2018) a systému hromadných nákupů vnitrostátních loterijních lístků, jejichž výhry byly poté legitimně vyplaceny;</w:t>
            </w:r>
            <w:r>
              <w:t xml:space="preserve"> </w:t>
            </w:r>
            <w:r>
              <w:rPr>
                <w:b/>
                <w:i/>
              </w:rPr>
              <w:t>v roce 2025 byl po prohlídkách a výsleších formálně obviněn z praní peněz, což je vzhledem k jeho dřívější úloze propagátora právního státu v Evropské komisi mimořádně skandální;</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Joachim Stanisław Brudziński, 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vyjadřuje politování nad tím, že Evropská unie byla konfrontována s odhalením řady skandálů, do nichž byli zapojeni vysocí představitelé jejích vlastních orgánů, včetně Evropské komise, což se projevilo zejména ve skandálu s bývalým komisařem pro spravedlnost, který se osobně podílel na zpolitizovaných a nespravedlivých útocích na členské státy při praní peněz;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vyzývá Komisi, aby posílila transparentnost a odpovědnost, pokud jde o jmenování a činnost zvláštních poradců, a to systematickým zveřejňováním podrobných informací o kritériích jejich výběru, o jejich mandátu, úkolech, době trvání pracovního poměru, odměňování a prohlášeních o zájmech;</w:t>
            </w:r>
            <w:r>
              <w:t xml:space="preserve"> </w:t>
            </w:r>
            <w:r>
              <w:rPr>
                <w:b/>
                <w:i/>
              </w:rPr>
              <w:t>zdůrazňuje, že zvláštní poradci mohou mít významný vliv na utváření politik, a proto se na ně musí vztahovat jasné standardy správy, povinnosti pravidelného podávání zpráv a proaktivní zveřejňování informací v souladu se zásadami řádného finančního řízení a čl. 15 odst. 3 SFEU;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Joachim Stanisław Brudziński, 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9b.</w:t>
            </w:r>
            <w:r>
              <w:tab/>
            </w:r>
            <w:r>
              <w:rPr>
                <w:b/>
                <w:i/>
              </w:rPr>
              <w:t>zdůrazňuje, že Komise musí jednat zcela nestranně a transparentně, což zahrnuje vyloučení střetů zájmů, zajištění jasné odpovědnosti za správu finančních prostředků EU a dodržování vlastních pokynů pro právní stát;</w:t>
            </w:r>
            <w:r>
              <w:t xml:space="preserve"> </w:t>
            </w:r>
            <w:r>
              <w:rPr>
                <w:b/>
                <w:i/>
              </w:rPr>
              <w:t>konstatuje, že nedůsledné uplatňování těchto zásad vede k dvojímu metru a podkopává důvěru v orgány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Joachim Stanisław Brudziński, 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9c.</w:t>
            </w:r>
            <w:r>
              <w:tab/>
            </w:r>
            <w:r>
              <w:rPr>
                <w:b/>
                <w:i/>
              </w:rPr>
              <w:t>zdůrazňuje, že všechny orgány EU, včetně Komise, musí jakožto orgány vykonávající veřejnou moc dodržovat procesní transparentnost a politickou odpovědnost ve stejném rozsahu jako členské státy;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Joachim Stanisław Brudziński, 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9d.</w:t>
            </w:r>
            <w:r>
              <w:tab/>
            </w:r>
            <w:r>
              <w:rPr>
                <w:b/>
                <w:i/>
              </w:rPr>
              <w:t>zdůrazňuje, že následná opatření Komise nemohou vést k rozšiřování jejích pravomocí nad rámec stanovený Smlouvami nebo k zásahům do ústavních výsad členských států;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9b.</w:t>
            </w:r>
            <w:r>
              <w:tab/>
            </w:r>
            <w:r>
              <w:rPr>
                <w:b/>
                <w:i/>
              </w:rPr>
              <w:t>zdůrazňuje, že bylo prokázáno, že finanční zájmy Evropské unie nebyly v Evropské komisi dobře chráněny, a vzhledem k nebývalému počtu rozsáhlých skandálů v tomto orgánu konstatuje, že je třeba dále posílit a revidovat protikorupční pravidla a pravidla transparentnosti tohoto orgánu a uplatnit získané zkušenosti;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Dick Erixon, Şerban Dimitrie Sturdza, 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lituje, že Účetní dvůr v několika zvláštních zprávách v posledních letech opakovaně doložil, že Komise systematicky přeceňuje pozitivní účinky výdajů Unie na klima; </w:t>
            </w:r>
            <w:r>
              <w:rPr>
                <w:b/>
                <w:i/>
              </w:rPr>
              <w:t>zároveň vyjadřuje politování nad tím, že metodiky Komise pro sledování dopadů výdajů Unie na klima a biologickou rozmanitost nezachycují všechny dopady činností</w:t>
            </w:r>
            <w:r>
              <w:t xml:space="preserve"> Unie, </w:t>
            </w:r>
            <w:r>
              <w:rPr>
                <w:b/>
                <w:i/>
              </w:rPr>
              <w:t>například dopad některých dotací v rámci společné zemědělské politiky, které jsou pro klima a biologickou rozmanitost škodlivé;</w:t>
            </w:r>
            <w:r>
              <w:t xml:space="preserve"> </w:t>
            </w:r>
            <w:r>
              <w:rPr>
                <w:b/>
                <w:i/>
              </w:rPr>
              <w:t>konstatuje, že sledování pouze pozitivních účinků rozpočtu Unie na klima a biologickou rozmanitost vede k systematickému přeceňování příspěvku rozpočtu Unie k těmto cílům a vytváří příliš pozitivní dojem o výkonnosti rozpočtu Unie;</w:t>
            </w:r>
            <w:r>
              <w:t xml:space="preserve"> </w:t>
            </w:r>
            <w:r>
              <w:rPr>
                <w:b/>
                <w:i/>
              </w:rPr>
              <w:t>zdůrazňuje, že tyto metodické nedostatky se promítají do konkrétních nedostatků, pokud jde o vyvozování odpovědnosti ze strany orgánu příslušného k udělení absolutoria;</w:t>
            </w:r>
            <w:r>
              <w:t xml:space="preserve"> </w:t>
            </w:r>
            <w:r>
              <w:rPr>
                <w:b/>
                <w:i/>
              </w:rPr>
              <w:t>lituje zejména toho,</w:t>
            </w:r>
            <w:r>
              <w:t xml:space="preserve"> že Komise </w:t>
            </w:r>
            <w:r>
              <w:rPr>
                <w:b/>
                <w:i/>
              </w:rPr>
              <w:t>nebyla schopna poskytnout vysledovatelné informace o projektech, které byly v roce 2024 zamítnuty nebo změněny na základě zásady „významně nepoškozovat“, přestože tato zásada hraje ústřední roli v rámci nástroje RRF a politiky soudržnosti;</w:t>
            </w:r>
            <w:r>
              <w:t xml:space="preserve"> </w:t>
            </w:r>
            <w:r>
              <w:rPr>
                <w:b/>
                <w:i/>
              </w:rPr>
              <w:t>zdůrazňuje, že schopnost Parlamentu vykonávat rozpočtovou kontrolu závisí také na ověřitelných důkazech na úrovni projektu o</w:t>
            </w:r>
            <w:r>
              <w:t xml:space="preserve"> dodržování předpisů </w:t>
            </w:r>
            <w:r>
              <w:rPr>
                <w:b/>
                <w:i/>
              </w:rPr>
              <w:t>a dopadu na životní prostředí</w:t>
            </w:r>
            <w:r>
              <w:t>;</w:t>
            </w:r>
          </w:p>
        </w:tc>
        <w:tc>
          <w:tcPr>
            <w:tcW w:w="4876" w:type="dxa"/>
            <w:tcBorders>
              <w:top w:val="nil"/>
              <w:left w:val="nil"/>
              <w:bottom w:val="nil"/>
              <w:right w:val="nil"/>
            </w:tcBorders>
          </w:tcPr>
          <w:p>
            <w:pPr>
              <w:pStyle w:val="Normal6a"/>
            </w:pPr>
            <w:r>
              <w:t>10.</w:t>
            </w:r>
            <w:r>
              <w:tab/>
            </w:r>
            <w:r>
              <w:t xml:space="preserve">lituje, že Účetní dvůr v několika zvláštních zprávách v posledních letech opakovaně doložil, že Komise systematicky přeceňuje pozitivní účinky výdajů Unie na klima; </w:t>
            </w:r>
            <w:r>
              <w:rPr>
                <w:b/>
                <w:i/>
              </w:rPr>
              <w:t>poukazuje na to, že přísnější normy pro opatření související s klimatem zvyšují provozní náklady napříč programy</w:t>
            </w:r>
            <w:r>
              <w:t xml:space="preserve"> Unie, </w:t>
            </w:r>
            <w:r>
              <w:rPr>
                <w:b/>
                <w:i/>
              </w:rPr>
              <w:t>čímž se snižuje dostupný rozpočet na jiné priority a zvyšují se náklady daňových poplatníků;</w:t>
            </w:r>
            <w:r>
              <w:t xml:space="preserve"> </w:t>
            </w:r>
            <w:r>
              <w:rPr>
                <w:b/>
                <w:i/>
              </w:rPr>
              <w:t>trvá na tom, že veškeré výdaje v oblasti klimatu a životního prostředí musí být před vynaložením podrobeny důkladné analýze nákladů a přínosů, která prokáže jasnou návratnost investic, a</w:t>
            </w:r>
            <w:r>
              <w:t xml:space="preserve"> že Komise </w:t>
            </w:r>
            <w:r>
              <w:rPr>
                <w:b/>
                <w:i/>
              </w:rPr>
              <w:t>by měla každoročně podávat zprávu o celkových administrativních nákladech a nákladech na</w:t>
            </w:r>
            <w:r>
              <w:t xml:space="preserve"> dodržování předpisů </w:t>
            </w:r>
            <w:r>
              <w:rPr>
                <w:b/>
                <w:i/>
              </w:rPr>
              <w:t>vyplývajících z požadavků ekologického sestavování rozpočtu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lituje</w:t>
            </w:r>
            <w:r>
              <w:t xml:space="preserve">, že Účetní dvůr v několika zvláštních zprávách v posledních letech </w:t>
            </w:r>
            <w:r>
              <w:rPr>
                <w:b/>
                <w:i/>
              </w:rPr>
              <w:t>opakovaně doložil, že</w:t>
            </w:r>
            <w:r>
              <w:t xml:space="preserve"> Komise </w:t>
            </w:r>
            <w:r>
              <w:rPr>
                <w:b/>
                <w:i/>
              </w:rPr>
              <w:t>systematicky přeceňuje pozitivní účinky</w:t>
            </w:r>
            <w:r>
              <w:t xml:space="preserve"> výdajů Unie na klima; </w:t>
            </w:r>
            <w:r>
              <w:rPr>
                <w:b/>
                <w:i/>
              </w:rPr>
              <w:t>zároveň vyjadřuje politování nad tím, že</w:t>
            </w:r>
            <w:r>
              <w:t xml:space="preserve"> metodiky </w:t>
            </w:r>
            <w:r>
              <w:rPr>
                <w:b/>
                <w:i/>
              </w:rPr>
              <w:t>Komise</w:t>
            </w:r>
            <w:r>
              <w:t xml:space="preserve"> pro sledování </w:t>
            </w:r>
            <w:r>
              <w:rPr>
                <w:b/>
                <w:i/>
              </w:rPr>
              <w:t>dopadů</w:t>
            </w:r>
            <w:r>
              <w:t xml:space="preserve"> výdajů </w:t>
            </w:r>
            <w:r>
              <w:rPr>
                <w:b/>
                <w:i/>
              </w:rPr>
              <w:t>Unie</w:t>
            </w:r>
            <w:r>
              <w:t xml:space="preserve"> na klima a biologickou rozmanitost nezachycují všechny </w:t>
            </w:r>
            <w:r>
              <w:rPr>
                <w:b/>
                <w:i/>
              </w:rPr>
              <w:t>dopady</w:t>
            </w:r>
            <w:r>
              <w:t xml:space="preserve"> činností Unie, </w:t>
            </w:r>
            <w:r>
              <w:rPr>
                <w:b/>
                <w:i/>
              </w:rPr>
              <w:t>například dopad</w:t>
            </w:r>
            <w:r>
              <w:t xml:space="preserve"> některých </w:t>
            </w:r>
            <w:r>
              <w:rPr>
                <w:b/>
                <w:i/>
              </w:rPr>
              <w:t>dotací</w:t>
            </w:r>
            <w:r>
              <w:t xml:space="preserve"> v rámci společné zemědělské politiky</w:t>
            </w:r>
            <w:r>
              <w:rPr>
                <w:b/>
                <w:i/>
              </w:rPr>
              <w:t>, které jsou pro klima a biologickou rozmanitost škodlivé</w:t>
            </w:r>
            <w:r>
              <w:t xml:space="preserve">; konstatuje, že </w:t>
            </w:r>
            <w:r>
              <w:rPr>
                <w:b/>
                <w:i/>
              </w:rPr>
              <w:t>sledování pouze pozitivních účinků rozpočtu Unie na klima a biologickou rozmanitost vede k systematickému přeceňování příspěvku rozpočtu Unie k těmto cílům a vytváří příliš pozitivní dojem o výkonnosti rozpočtu Unie;</w:t>
            </w:r>
            <w:r>
              <w:t xml:space="preserve"> </w:t>
            </w:r>
            <w:r>
              <w:rPr>
                <w:b/>
                <w:i/>
              </w:rPr>
              <w:t>zdůrazňuje, že tyto metodické nedostatky se promítají do konkrétních nedostatků, pokud jde o vyvozování odpovědnosti ze strany orgánu příslušného k udělení absolutoria;</w:t>
            </w:r>
            <w:r>
              <w:t xml:space="preserve"> </w:t>
            </w:r>
            <w:r>
              <w:rPr>
                <w:b/>
                <w:i/>
              </w:rPr>
              <w:t>lituje zejména toho, že Komise nebyla schopna poskytnout vysledovatelné informace o projektech, které byly v roce 2024 zamítnuty nebo změněny na základě</w:t>
            </w:r>
            <w:r>
              <w:t xml:space="preserve"> zásady „významně nepoškozovat“</w:t>
            </w:r>
            <w:r>
              <w:rPr>
                <w:b/>
                <w:i/>
              </w:rPr>
              <w:t>, přestože tato zásada hraje ústřední roli v rámci nástroje RRF a politiky soudržnosti</w:t>
            </w:r>
            <w:r>
              <w:t xml:space="preserve">; zdůrazňuje, že schopnost Parlamentu vykonávat rozpočtovou kontrolu závisí </w:t>
            </w:r>
            <w:r>
              <w:rPr>
                <w:b/>
                <w:i/>
              </w:rPr>
              <w:t>také</w:t>
            </w:r>
            <w:r>
              <w:t xml:space="preserve"> na ověřitelných důkazech na úrovni projektu o dodržování předpisů a dopadu na životní prostředí;</w:t>
            </w:r>
          </w:p>
        </w:tc>
        <w:tc>
          <w:tcPr>
            <w:tcW w:w="4876" w:type="dxa"/>
            <w:tcBorders>
              <w:top w:val="nil"/>
              <w:left w:val="nil"/>
              <w:bottom w:val="nil"/>
              <w:right w:val="nil"/>
            </w:tcBorders>
          </w:tcPr>
          <w:p>
            <w:pPr>
              <w:pStyle w:val="Normal6a"/>
            </w:pPr>
            <w:r>
              <w:t>10.</w:t>
            </w:r>
            <w:r>
              <w:tab/>
            </w:r>
            <w:r>
              <w:rPr>
                <w:b/>
                <w:i/>
              </w:rPr>
              <w:t>konstatuje</w:t>
            </w:r>
            <w:r>
              <w:t xml:space="preserve">, že Účetní dvůr </w:t>
            </w:r>
            <w:r>
              <w:rPr>
                <w:b/>
                <w:i/>
              </w:rPr>
              <w:t>zjistil</w:t>
            </w:r>
            <w:r>
              <w:t xml:space="preserve"> v několika zvláštních zprávách v posledních letech </w:t>
            </w:r>
            <w:r>
              <w:rPr>
                <w:b/>
                <w:i/>
              </w:rPr>
              <w:t>nedostatky v metodice</w:t>
            </w:r>
            <w:r>
              <w:t xml:space="preserve"> Komise </w:t>
            </w:r>
            <w:r>
              <w:rPr>
                <w:b/>
                <w:i/>
              </w:rPr>
              <w:t>pro odhad dopadu</w:t>
            </w:r>
            <w:r>
              <w:t xml:space="preserve"> výdajů Unie na klima; </w:t>
            </w:r>
            <w:r>
              <w:rPr>
                <w:b/>
                <w:i/>
              </w:rPr>
              <w:t>zdůrazňuje, že omezení stávajících metodik mohou ovlivnit spolehlivost vykazovaných údajů a mohou mít dopad na posouzení výkonnosti prováděné orgánem příslušným k udělení absolutoria;</w:t>
            </w:r>
            <w:r>
              <w:t xml:space="preserve"> </w:t>
            </w:r>
            <w:r>
              <w:rPr>
                <w:b/>
                <w:i/>
              </w:rPr>
              <w:t>dále konstatuje, že stávající</w:t>
            </w:r>
            <w:r>
              <w:t xml:space="preserve"> metodiky pro sledování výdajů na klima a biologickou rozmanitost </w:t>
            </w:r>
            <w:r>
              <w:rPr>
                <w:b/>
                <w:i/>
              </w:rPr>
              <w:t>plně</w:t>
            </w:r>
            <w:r>
              <w:t xml:space="preserve"> nezachycují všechny </w:t>
            </w:r>
            <w:r>
              <w:rPr>
                <w:b/>
                <w:i/>
              </w:rPr>
              <w:t>účinky</w:t>
            </w:r>
            <w:r>
              <w:t xml:space="preserve"> činností Unie, </w:t>
            </w:r>
            <w:r>
              <w:rPr>
                <w:b/>
                <w:i/>
              </w:rPr>
              <w:t>včetně</w:t>
            </w:r>
            <w:r>
              <w:t xml:space="preserve"> některých </w:t>
            </w:r>
            <w:r>
              <w:rPr>
                <w:b/>
                <w:i/>
              </w:rPr>
              <w:t>opatření</w:t>
            </w:r>
            <w:r>
              <w:t xml:space="preserve"> v rámci společné zemědělské politiky; konstatuje, že </w:t>
            </w:r>
            <w:r>
              <w:rPr>
                <w:b/>
                <w:i/>
              </w:rPr>
              <w:t>uplatňování</w:t>
            </w:r>
            <w:r>
              <w:t xml:space="preserve"> zásady „významně nepoškozovat“ </w:t>
            </w:r>
            <w:r>
              <w:rPr>
                <w:b/>
                <w:i/>
              </w:rPr>
              <w:t>pomáhá k tomu, aby se předcházelo nevyhovujícím opatřením;</w:t>
            </w:r>
            <w:r>
              <w:t xml:space="preserve"> </w:t>
            </w:r>
            <w:r>
              <w:rPr>
                <w:b/>
                <w:i/>
              </w:rPr>
              <w:t>zdůrazňuje, že tato metodická omezení mohou orgánu příslušnému k udělení absolutoria způsobit problémy v oblasti odpovědnosti</w:t>
            </w:r>
            <w:r>
              <w:t xml:space="preserve">; zdůrazňuje, že schopnost Parlamentu vykonávat </w:t>
            </w:r>
            <w:r>
              <w:rPr>
                <w:b/>
                <w:i/>
              </w:rPr>
              <w:t>účinnou</w:t>
            </w:r>
            <w:r>
              <w:t xml:space="preserve"> rozpočtovou kontrolu závisí na </w:t>
            </w:r>
            <w:r>
              <w:rPr>
                <w:b/>
                <w:i/>
              </w:rPr>
              <w:t>transparentních a</w:t>
            </w:r>
            <w:r>
              <w:t xml:space="preserve"> ověřitelných důkazech na úrovni projektu o dodržování předpisů a dopadu na životní prostředí;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lituje, že Účetní dvůr v několika zvláštních zprávách v posledních letech opakovaně doložil, že Komise systematicky přeceňuje pozitivní účinky výdajů Unie na klima;</w:t>
            </w:r>
            <w:r>
              <w:t xml:space="preserve"> zároveň </w:t>
            </w:r>
            <w:r>
              <w:rPr>
                <w:b/>
                <w:i/>
              </w:rPr>
              <w:t>vyjadřuje politování nad tím, že metodiky Komise pro sledování dopadů výdajů Unie na klima a biologickou rozmanitost nezachycují všechny dopady činností</w:t>
            </w:r>
            <w:r>
              <w:t xml:space="preserve"> Unie, </w:t>
            </w:r>
            <w:r>
              <w:rPr>
                <w:b/>
                <w:i/>
              </w:rPr>
              <w:t>například dopad některých dotací</w:t>
            </w:r>
            <w:r>
              <w:t xml:space="preserve"> v rámci společné zemědělské politiky</w:t>
            </w:r>
            <w:r>
              <w:rPr>
                <w:b/>
                <w:i/>
              </w:rPr>
              <w:t>, které jsou pro klima a biologickou rozmanitost škodlivé;</w:t>
            </w:r>
            <w:r>
              <w:t xml:space="preserve"> </w:t>
            </w:r>
            <w:r>
              <w:rPr>
                <w:b/>
                <w:i/>
              </w:rPr>
              <w:t>konstatuje, že sledování pouze pozitivních účinků rozpočtu Unie na klima a biologickou rozmanitost vede k systematickému přeceňování příspěvku rozpočtu Unie k těmto cílům a vytváří příliš pozitivní dojem o výkonnosti rozpočtu Unie</w:t>
            </w:r>
            <w:r>
              <w:t xml:space="preserve">; zdůrazňuje, že </w:t>
            </w:r>
            <w:r>
              <w:rPr>
                <w:b/>
                <w:i/>
              </w:rPr>
              <w:t>tyto metodické nedostatky se promítají do konkrétních nedostatků, pokud jde o vyvozování odpovědnosti ze strany orgánu příslušného k udělení absolutoria</w:t>
            </w:r>
            <w:r>
              <w:t>; lituje zejména toho, že Komise nebyla schopna poskytnout vysledovatelné informace o projektech, které byly v roce 2024 zamítnuty nebo změněny na základě zásady „významně nepoškozovat“, přestože tato zásada hraje ústřední roli v rámci nástroje RRF a politiky soudržnosti; zdůrazňuje, že schopnost Parlamentu vykonávat rozpočtovou kontrolu závisí také na ověřitelných důkazech na úrovni projektu o dodržování předpisů a dopadu na životní prostředí;</w:t>
            </w:r>
          </w:p>
        </w:tc>
        <w:tc>
          <w:tcPr>
            <w:tcW w:w="4876" w:type="dxa"/>
            <w:tcBorders>
              <w:top w:val="nil"/>
              <w:left w:val="nil"/>
              <w:bottom w:val="nil"/>
              <w:right w:val="nil"/>
            </w:tcBorders>
          </w:tcPr>
          <w:p>
            <w:pPr>
              <w:pStyle w:val="Normal6a"/>
            </w:pPr>
            <w:r>
              <w:t>10.</w:t>
            </w:r>
            <w:r>
              <w:tab/>
            </w:r>
            <w:r>
              <w:rPr>
                <w:b/>
                <w:i/>
              </w:rPr>
              <w:t>uznává zjištění Účetního dvora týkající se podávání zpráv o klimatu a</w:t>
            </w:r>
            <w:r>
              <w:t xml:space="preserve"> zároveň </w:t>
            </w:r>
            <w:r>
              <w:rPr>
                <w:b/>
                <w:i/>
              </w:rPr>
              <w:t>zdůrazňuje, že výdaje</w:t>
            </w:r>
            <w:r>
              <w:t xml:space="preserve"> Unie, </w:t>
            </w:r>
            <w:r>
              <w:rPr>
                <w:b/>
                <w:i/>
              </w:rPr>
              <w:t>a to i</w:t>
            </w:r>
            <w:r>
              <w:t xml:space="preserve"> v rámci společné zemědělské politiky </w:t>
            </w:r>
            <w:r>
              <w:rPr>
                <w:b/>
                <w:i/>
              </w:rPr>
              <w:t>(SZP), sledují řadu cílů, zejména potravinové zabezpečení, stabilitu příjmů zemědělců a soudržnost venkova</w:t>
            </w:r>
            <w:r>
              <w:t xml:space="preserve">; zdůrazňuje, že </w:t>
            </w:r>
            <w:r>
              <w:rPr>
                <w:b/>
                <w:i/>
              </w:rPr>
              <w:t>metodiky sledování klimatu by měly odrážet tento širší politický kontext a vyhnout se jednorozměrnému posuzování zaměřenému výhradně na environmentální ukazatele;</w:t>
            </w:r>
            <w:r>
              <w:t xml:space="preserve"> </w:t>
            </w:r>
            <w:r>
              <w:rPr>
                <w:b/>
                <w:i/>
              </w:rPr>
              <w:t>vyzývá Komisi, aby dále zlepšila transparentnost a sledovatelnost výdajů souvisejících s klimatem a zároveň zajistila, aby požadavky na podávání zpráv byly i nadále přiměřené a nevytvářely další administrativní zátěž pro zemědělce nebo řídicí orgány</w:t>
            </w:r>
            <w:r>
              <w:t>; lituje zejména toho, že Komise nebyla schopna poskytnout vysledovatelné informace o projektech, které byly v roce 2024 zamítnuty nebo změněny na základě zásady „významně nepoškozovat“, přestože tato zásada hraje ústřední roli v rámci nástroje RRF a politiky soudržnosti; zdůrazňuje, že schopnost Parlamentu vykonávat rozpočtovou kontrolu závisí také na ověřitelných důkazech na úrovni projektu o dodržování předpisů a dopadu na životní prostředí;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lituje, že Účetní dvůr v několika zvláštních zprávách v posledních letech opakovaně doložil, že Komise systematicky přeceňuje pozitivní účinky výdajů Unie na klima; zároveň vyjadřuje politování nad tím, že metodiky Komise pro sledování dopadů výdajů Unie na klima a biologickou rozmanitost nezachycují všechny dopady činností Unie, například dopad některých dotací v rámci společné zemědělské politiky, které jsou pro klima a biologickou rozmanitost škodlivé; konstatuje, že sledování pouze pozitivních účinků rozpočtu Unie na klima a biologickou rozmanitost vede k systematickému přeceňování příspěvku rozpočtu Unie k těmto cílům a vytváří příliš pozitivní dojem o výkonnosti rozpočtu Unie; zdůrazňuje, že tyto metodické nedostatky se promítají do konkrétních nedostatků, pokud jde o vyvozování odpovědnosti ze strany orgánu příslušného k udělení absolutoria; lituje zejména toho, že Komise nebyla schopna poskytnout vysledovatelné informace o projektech, které byly v roce 2024 zamítnuty nebo změněny na základě zásady „významně nepoškozovat“, přestože tato zásada hraje ústřední roli v rámci nástroje RRF a politiky soudržnosti; zdůrazňuje, že schopnost Parlamentu vykonávat rozpočtovou kontrolu závisí také na ověřitelných důkazech na úrovni projektu o dodržování předpisů a dopadu na životní prostředí;</w:t>
            </w:r>
          </w:p>
        </w:tc>
        <w:tc>
          <w:tcPr>
            <w:tcW w:w="4876" w:type="dxa"/>
            <w:tcBorders>
              <w:top w:val="nil"/>
              <w:left w:val="nil"/>
              <w:bottom w:val="nil"/>
              <w:right w:val="nil"/>
            </w:tcBorders>
          </w:tcPr>
          <w:p>
            <w:pPr>
              <w:pStyle w:val="Normal6a"/>
            </w:pPr>
            <w:r>
              <w:t>10.</w:t>
            </w:r>
            <w:r>
              <w:tab/>
            </w:r>
            <w:r>
              <w:t xml:space="preserve">lituje, že Účetní dvůr v několika zvláštních zprávách v posledních letech opakovaně doložil, že Komise systematicky přeceňuje pozitivní účinky výdajů Unie na klima; zároveň vyjadřuje politování nad tím, že metodiky Komise pro sledování dopadů výdajů Unie na klima a biologickou rozmanitost </w:t>
            </w:r>
            <w:r>
              <w:rPr>
                <w:b/>
                <w:i/>
              </w:rPr>
              <w:t>jsou systémy označování ex ante založené na očekávaném účinku činností a nezohledňují skutečné výsledky ani</w:t>
            </w:r>
            <w:r>
              <w:t xml:space="preserve"> nezachycují všechny dopady činností Unie, například dopad některých dotací v rámci společné zemědělské politiky, které jsou pro klima a biologickou rozmanitost škodlivé; konstatuje, že sledování pouze </w:t>
            </w:r>
            <w:r>
              <w:rPr>
                <w:b/>
                <w:i/>
              </w:rPr>
              <w:t>výdajových cílů a</w:t>
            </w:r>
            <w:r>
              <w:t xml:space="preserve"> pozitivních účinků rozpočtu Unie na klima a biologickou rozmanitost vede k systematickému přeceňování příspěvku rozpočtu Unie k těmto cílům a vytváří příliš pozitivní dojem o výkonnosti rozpočtu Unie; zdůrazňuje, že tyto metodické nedostatky se promítají do konkrétních nedostatků, pokud jde o vyvozování odpovědnosti ze strany orgánu příslušného k udělení absolutoria; lituje zejména toho, že Komise nebyla schopna poskytnout vysledovatelné informace o projektech, které byly v roce 2024 zamítnuty nebo změněny na základě zásady „významně nepoškozovat“, přestože tato zásada hraje ústřední roli v rámci nástroje RRF a politiky soudržnosti; zdůrazňuje, že schopnost Parlamentu vykonávat rozpočtovou kontrolu závisí také na ověřitelných důkazech na úrovni projektu o dodržování předpisů a dopadu na životní prostředí;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lituje, že Účetní dvůr v několika zvláštních zprávách v posledních letech opakovaně doložil, že Komise </w:t>
            </w:r>
            <w:r>
              <w:rPr>
                <w:b/>
                <w:i/>
              </w:rPr>
              <w:t>systematicky přeceňuje pozitivní účinky</w:t>
            </w:r>
            <w:r>
              <w:t xml:space="preserve"> výdajů Unie na klima</w:t>
            </w:r>
            <w:r>
              <w:rPr>
                <w:b/>
                <w:i/>
              </w:rPr>
              <w:t>;</w:t>
            </w:r>
            <w:r>
              <w:t xml:space="preserve"> </w:t>
            </w:r>
            <w:r>
              <w:rPr>
                <w:b/>
                <w:i/>
              </w:rPr>
              <w:t>zároveň</w:t>
            </w:r>
            <w:r>
              <w:t xml:space="preserve"> vyjadřuje politování nad tím, že metodiky Komise pro sledování dopadů výdajů Unie na klima a biologickou rozmanitost nezachycují všechny dopady činností Unie</w:t>
            </w:r>
            <w:r>
              <w:rPr>
                <w:b/>
                <w:i/>
              </w:rPr>
              <w:t>, například dopad některých dotací v rámci společné zemědělské politiky, které jsou pro klima a biologickou rozmanitost škodlivé</w:t>
            </w:r>
            <w:r>
              <w:t>; konstatuje, že sledování pouze pozitivních účinků rozpočtu Unie na klima a biologickou rozmanitost vede k systematickému přeceňování příspěvku rozpočtu Unie k těmto cílům a vytváří příliš pozitivní dojem o výkonnosti rozpočtu Unie; zdůrazňuje, že tyto metodické nedostatky se promítají do konkrétních nedostatků, pokud jde o vyvozování odpovědnosti ze strany orgánu příslušného k udělení absolutoria; lituje zejména toho, že Komise nebyla schopna poskytnout vysledovatelné informace o projektech, které byly v roce 2024 zamítnuty nebo změněny na základě zásady „významně nepoškozovat“, přestože tato zásada hraje ústřední roli v rámci nástroje RRF a politiky soudržnosti; zdůrazňuje, že schopnost Parlamentu vykonávat rozpočtovou kontrolu závisí také na ověřitelných důkazech na úrovni projektu o dodržování předpisů a dopadu na životní prostředí;</w:t>
            </w:r>
          </w:p>
        </w:tc>
        <w:tc>
          <w:tcPr>
            <w:tcW w:w="4876" w:type="dxa"/>
            <w:tcBorders>
              <w:top w:val="nil"/>
              <w:left w:val="nil"/>
              <w:bottom w:val="nil"/>
              <w:right w:val="nil"/>
            </w:tcBorders>
          </w:tcPr>
          <w:p>
            <w:pPr>
              <w:pStyle w:val="Normal6a"/>
            </w:pPr>
            <w:r>
              <w:t>10.</w:t>
            </w:r>
            <w:r>
              <w:tab/>
            </w:r>
            <w:r>
              <w:t xml:space="preserve">lituje, že Účetní dvůr v několika zvláštních zprávách v posledních letech opakovaně doložil, že Komise </w:t>
            </w:r>
            <w:r>
              <w:rPr>
                <w:b/>
                <w:i/>
              </w:rPr>
              <w:t>možná směřuje k přeceňování pozitivních dopadů</w:t>
            </w:r>
            <w:r>
              <w:t xml:space="preserve"> výdajů </w:t>
            </w:r>
            <w:r>
              <w:rPr>
                <w:b/>
                <w:i/>
              </w:rPr>
              <w:t>a programů Evropské</w:t>
            </w:r>
            <w:r>
              <w:t xml:space="preserve"> unie na klima </w:t>
            </w:r>
            <w:r>
              <w:rPr>
                <w:b/>
                <w:i/>
              </w:rPr>
              <w:t>a biologickou rozmanitost;</w:t>
            </w:r>
            <w:r>
              <w:t xml:space="preserve"> </w:t>
            </w:r>
            <w:r>
              <w:rPr>
                <w:b/>
                <w:i/>
              </w:rPr>
              <w:t>vyzývá Komisi, aby zlepšila své metodiky sledování a ukazatele výkonnosti týkající se klimatu a biologické rozmanitosti;</w:t>
            </w:r>
            <w:r>
              <w:t xml:space="preserve"> vyjadřuje politování nad tím, že metodiky Komise pro sledování dopadů výdajů Unie na klima a biologickou rozmanitost nezachycují všechny dopady činností Unie; konstatuje, že sledování pouze pozitivních účinků rozpočtu Unie na klima a biologickou rozmanitost vede k systematickému přeceňování příspěvku rozpočtu Unie k těmto cílům a vytváří příliš pozitivní dojem o výkonnosti rozpočtu Unie; zdůrazňuje, že tyto metodické nedostatky se promítají do konkrétních nedostatků, pokud jde o vyvozování odpovědnosti ze strany orgánu příslušného k udělení absolutoria; lituje zejména toho, že Komise nebyla schopna poskytnout vysledovatelné informace o projektech, které byly v roce 2024 zamítnuty nebo změněny na základě zásady „významně nepoškozovat“, přestože tato zásada hraje ústřední roli v rámci nástroje RRF a politiky soudržnosti; zdůrazňuje, že schopnost Parlamentu vykonávat rozpočtovou kontrolu závisí také na ověřitelných důkazech na úrovni projektu o dodržování předpisů a dopadu na životní prostředí;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lituje, že Účetní dvůr v několika zvláštních zprávách v posledních letech opakovaně doložil, že Komise systematicky přeceňuje pozitivní účinky výdajů Unie na klima; zároveň vyjadřuje politování nad tím, že metodiky Komise pro sledování dopadů výdajů Unie na klima a biologickou rozmanitost nezachycují všechny dopady činností Unie, například dopad některých dotací v rámci společné zemědělské politiky</w:t>
            </w:r>
            <w:r>
              <w:rPr>
                <w:b/>
                <w:i/>
              </w:rPr>
              <w:t>, které jsou pro klima a biologickou rozmanitost škodlivé</w:t>
            </w:r>
            <w:r>
              <w:t>; konstatuje, že sledování pouze pozitivních účinků rozpočtu Unie na klima a biologickou rozmanitost vede k systematickému přeceňování příspěvku rozpočtu Unie k těmto cílům a vytváří příliš pozitivní dojem o výkonnosti rozpočtu Unie; zdůrazňuje, že tyto metodické nedostatky se promítají do konkrétních nedostatků, pokud jde o vyvozování odpovědnosti ze strany orgánu příslušného k udělení absolutoria; lituje zejména toho, že Komise nebyla schopna poskytnout vysledovatelné informace o projektech, které byly v roce 2024 zamítnuty nebo změněny na základě zásady „významně nepoškozovat“, přestože tato zásada hraje ústřední roli v rámci nástroje RRF a politiky soudržnosti; zdůrazňuje, že schopnost Parlamentu vykonávat rozpočtovou kontrolu závisí také na ověřitelných důkazech na úrovni projektu o dodržování předpisů a dopadu na životní prostředí;</w:t>
            </w:r>
          </w:p>
        </w:tc>
        <w:tc>
          <w:tcPr>
            <w:tcW w:w="4876" w:type="dxa"/>
            <w:tcBorders>
              <w:top w:val="nil"/>
              <w:left w:val="nil"/>
              <w:bottom w:val="nil"/>
              <w:right w:val="nil"/>
            </w:tcBorders>
          </w:tcPr>
          <w:p>
            <w:pPr>
              <w:pStyle w:val="Normal6a"/>
            </w:pPr>
            <w:r>
              <w:t>10.</w:t>
            </w:r>
            <w:r>
              <w:tab/>
            </w:r>
            <w:r>
              <w:t>lituje, že Účetní dvůr v několika zvláštních zprávách v posledních letech opakovaně doložil, že Komise systematicky přeceňuje pozitivní účinky výdajů Unie na klima; zároveň vyjadřuje politování nad tím, že metodiky Komise pro sledování dopadů výdajů Unie na klima a biologickou rozmanitost nezachycují všechny dopady činností Unie, například dopad některých dotací v rámci společné zemědělské politiky; konstatuje, že sledování pouze pozitivních účinků rozpočtu Unie na klima a biologickou rozmanitost vede k systematickému přeceňování příspěvku rozpočtu Unie k těmto cílům a vytváří příliš pozitivní dojem o výkonnosti rozpočtu Unie; zdůrazňuje, že tyto metodické nedostatky se promítají do konkrétních nedostatků, pokud jde o vyvozování odpovědnosti ze strany orgánu příslušného k udělení absolutoria; lituje zejména toho, že Komise nebyla schopna poskytnout vysledovatelné informace o projektech, které byly v roce 2024 zamítnuty nebo změněny na základě zásady „významně nepoškozovat“, přestože tato zásada hraje ústřední roli v rámci nástroje RRF a politiky soudržnosti; zdůrazňuje, že schopnost Parlamentu vykonávat rozpočtovou kontrolu závisí také na ověřitelných důkazech na úrovni projektu o dodržování předpisů a dopadu na životní prostředí;</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Joachim Stanisław Brudziński, 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vyjadřuje politování nad tím, že opatření přijatá Komisí v rámci politiky v oblasti klimatu odrážejí iracionální ideologické perspektivy a spolupráci s konkrétními skupinami zúčastněných stran, přičemž dosažené výsledky nejsou úměrné výši výdajů, což oslabuje celkovou efektivitu výdajů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připomíná, že přezkum grantových dohod s nevládními organizacemi, který Komise provedla v roce 2024, potvrdil, že nedošlo k porušení právních předpisů;</w:t>
            </w:r>
            <w:r>
              <w:t xml:space="preserve"> </w:t>
            </w:r>
            <w:r>
              <w:rPr>
                <w:b/>
                <w:i/>
              </w:rPr>
              <w:t>zdůrazňuje, že organizace občanské společnosti jsou oprávněnými příjemci finančních prostředků Unie podle Smluv a často přispívají k plnění cílů Unie nákladově efektivním způsobem zaměřeným na dopad;</w:t>
            </w:r>
            <w:r>
              <w:t xml:space="preserve"> </w:t>
            </w:r>
            <w:r>
              <w:rPr>
                <w:b/>
                <w:i/>
              </w:rPr>
              <w:t>zdůrazňuje, že rozpočtová kontrola, záruky a požadavky na transparentnost musí být uplatňovány neutrálně, přiměřeně a na základě důkazů při respektování právní jistoty a že nesmí vyčleňovat nevládní organizace jako rizikovou kategorii;</w:t>
            </w:r>
            <w:r>
              <w:t xml:space="preserve"> </w:t>
            </w:r>
            <w:r>
              <w:rPr>
                <w:b/>
                <w:i/>
              </w:rPr>
              <w:t>zdůrazňuje, že selektivní transparentnost podkopává důvěru v postup udělování absolutoria a že účinná kontrola vyžaduje uplatňování stejných standardů na všechny příjemce, včetně podniků a poradenských firem;</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připomíná, že přezkum grantových dohod s nevládními organizacemi, který Komise provedla v roce 2024, potvrdil, že nedošlo k porušení právních předpisů;</w:t>
            </w:r>
            <w:r>
              <w:t xml:space="preserve"> </w:t>
            </w:r>
            <w:r>
              <w:rPr>
                <w:b/>
                <w:i/>
              </w:rPr>
              <w:t>zdůrazňuje, že organizace občanské společnosti jsou oprávněnými příjemci finančních prostředků Unie podle Smluv a často přispívají k plnění cílů Unie nákladově efektivním způsobem zaměřeným na dopad;</w:t>
            </w:r>
            <w:r>
              <w:t xml:space="preserve"> </w:t>
            </w:r>
            <w:r>
              <w:rPr>
                <w:b/>
                <w:i/>
              </w:rPr>
              <w:t>zdůrazňuje, že rozpočtová kontrola, záruky a požadavky na transparentnost musí být uplatňovány neutrálně, přiměřeně a na základě důkazů při respektování právní jistoty a že nesmí vyčleňovat nevládní organizace jako rizikovou kategorii;</w:t>
            </w:r>
            <w:r>
              <w:t xml:space="preserve"> </w:t>
            </w:r>
            <w:r>
              <w:rPr>
                <w:b/>
                <w:i/>
              </w:rPr>
              <w:t>zdůrazňuje, že selektivní transparentnost podkopává důvěru v postup udělování absolutoria a že účinná kontrola vyžaduje uplatňování stejných standardů na všechny příjemce, včetně podniků a poradenských firem;</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rPr>
                <w:b/>
                <w:i/>
              </w:rPr>
              <w:t>připomíná, že přezkum grantových dohod s nevládními organizacemi, který Komise provedla v roce 2024, potvrdil, že nedošlo k porušení právních předpisů;</w:t>
            </w:r>
            <w:r>
              <w:t xml:space="preserve"> zdůrazňuje, že </w:t>
            </w:r>
            <w:r>
              <w:rPr>
                <w:b/>
                <w:i/>
              </w:rPr>
              <w:t>organizace občanské společnosti jsou oprávněnými příjemci</w:t>
            </w:r>
            <w:r>
              <w:t xml:space="preserve"> finančních prostředků Unie </w:t>
            </w:r>
            <w:r>
              <w:rPr>
                <w:b/>
                <w:i/>
              </w:rPr>
              <w:t>podle Smluv a často přispívají k plnění cílů Unie nákladově efektivním způsobem zaměřeným na dopad</w:t>
            </w:r>
            <w:r>
              <w:t xml:space="preserve">; zdůrazňuje, že rozpočtová kontrola, záruky a požadavky na transparentnost musí být uplatňovány </w:t>
            </w:r>
            <w:r>
              <w:rPr>
                <w:b/>
                <w:i/>
              </w:rPr>
              <w:t>neutrálně, přiměřeně a na základě důkazů při respektování právní jistoty a že nesmí vyčleňovat nevládní organizace jako rizikovou kategorii</w:t>
            </w:r>
            <w:r>
              <w:t xml:space="preserve">; zdůrazňuje, že </w:t>
            </w:r>
            <w:r>
              <w:rPr>
                <w:b/>
                <w:i/>
              </w:rPr>
              <w:t>selektivní transparentnost</w:t>
            </w:r>
            <w:r>
              <w:t xml:space="preserve"> podkopává důvěru v postup udělování absolutoria a že účinná kontrola vyžaduje uplatňování stejných standardů na všechny příjemce</w:t>
            </w:r>
            <w:r>
              <w:rPr>
                <w:b/>
                <w:i/>
              </w:rPr>
              <w:t>, včetně podniků a poradenských firem</w:t>
            </w:r>
            <w:r>
              <w:t>;</w:t>
            </w:r>
          </w:p>
        </w:tc>
        <w:tc>
          <w:tcPr>
            <w:tcW w:w="4876" w:type="dxa"/>
            <w:tcBorders>
              <w:top w:val="nil"/>
              <w:left w:val="nil"/>
              <w:bottom w:val="nil"/>
              <w:right w:val="nil"/>
            </w:tcBorders>
          </w:tcPr>
          <w:p>
            <w:pPr>
              <w:pStyle w:val="Normal6a"/>
            </w:pPr>
            <w:r>
              <w:t>11.</w:t>
            </w:r>
            <w:r>
              <w:tab/>
            </w:r>
            <w:r>
              <w:t xml:space="preserve">zdůrazňuje, že </w:t>
            </w:r>
            <w:r>
              <w:rPr>
                <w:b/>
                <w:i/>
              </w:rPr>
              <w:t>každý příjemce</w:t>
            </w:r>
            <w:r>
              <w:t xml:space="preserve"> finančních prostředků Unie</w:t>
            </w:r>
            <w:r>
              <w:rPr>
                <w:b/>
                <w:i/>
              </w:rPr>
              <w:t>, včetně nevládních organizací, by měl podléhat důkladným, přiměřeným a na posouzení rizik založeným požadavkům na kontrolu a transparentnost v souladu s právními předpisy a řádným finančním řízením</w:t>
            </w:r>
            <w:r>
              <w:t xml:space="preserve">; zdůrazňuje, že rozpočtová kontrola, záruky a požadavky na transparentnost musí být uplatňovány </w:t>
            </w:r>
            <w:r>
              <w:rPr>
                <w:b/>
                <w:i/>
              </w:rPr>
              <w:t>neutrálním a přiměřeným způsobem založeným na důkazech, který zajistí, aby se transparentnost a dohled účinně uplatňovaly na všechny kategorie příjemců a kontrola byla založena na rizicích</w:t>
            </w:r>
            <w:r>
              <w:t xml:space="preserve">; zdůrazňuje, že </w:t>
            </w:r>
            <w:r>
              <w:rPr>
                <w:b/>
                <w:i/>
              </w:rPr>
              <w:t>nedostatek transparentnosti</w:t>
            </w:r>
            <w:r>
              <w:t xml:space="preserve"> podkopává důvěru v postup udělování absolutoria a že účinná kontrola vyžaduje uplatňování stejných standardů na všechny příjemce;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Virginie Joron,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připomíná, že přezkum grantových dohod s nevládními organizacemi, který Komise provedla v roce 2024, potvrdil, že nedošlo k porušení právních předpisů; zdůrazňuje, že organizace občanské společnosti jsou </w:t>
            </w:r>
            <w:r>
              <w:rPr>
                <w:b/>
                <w:i/>
              </w:rPr>
              <w:t>oprávněnými</w:t>
            </w:r>
            <w:r>
              <w:t xml:space="preserve"> příjemci finančních prostředků Unie podle Smluv a často </w:t>
            </w:r>
            <w:r>
              <w:rPr>
                <w:b/>
                <w:i/>
              </w:rPr>
              <w:t>přispívají</w:t>
            </w:r>
            <w:r>
              <w:t xml:space="preserve"> k plnění cílů Unie nákladově efektivním způsobem zaměřeným na dopad; zdůrazňuje, že rozpočtová kontrola, záruky a požadavky na transparentnost musí být uplatňovány neutrálně, přiměřeně a na základě důkazů při respektování právní jistoty a že </w:t>
            </w:r>
            <w:r>
              <w:rPr>
                <w:b/>
                <w:i/>
              </w:rPr>
              <w:t>nesmí</w:t>
            </w:r>
            <w:r>
              <w:t xml:space="preserve"> vyčleňovat nevládní organizace jako rizikovou kategorii; zdůrazňuje, že selektivní transparentnost podkopává důvěru v postup udělování absolutoria a že účinná kontrola vyžaduje uplatňování stejných standardů na všechny příjemce, včetně podniků a poradenských firem;</w:t>
            </w:r>
          </w:p>
        </w:tc>
        <w:tc>
          <w:tcPr>
            <w:tcW w:w="4876" w:type="dxa"/>
            <w:tcBorders>
              <w:top w:val="nil"/>
              <w:left w:val="nil"/>
              <w:bottom w:val="nil"/>
              <w:right w:val="nil"/>
            </w:tcBorders>
          </w:tcPr>
          <w:p>
            <w:pPr>
              <w:pStyle w:val="Normal6a"/>
            </w:pPr>
            <w:r>
              <w:t>11.</w:t>
            </w:r>
            <w:r>
              <w:tab/>
            </w:r>
            <w:r>
              <w:t xml:space="preserve">připomíná, že přezkum grantových dohod s nevládními organizacemi, který Komise provedla v roce 2024, potvrdil, že nedošlo k porušení právních předpisů; zdůrazňuje, že organizace občanské společnosti jsou příjemci finančních prostředků Unie podle Smluv a často </w:t>
            </w:r>
            <w:r>
              <w:rPr>
                <w:b/>
                <w:i/>
              </w:rPr>
              <w:t>nepřispívají</w:t>
            </w:r>
            <w:r>
              <w:t xml:space="preserve"> k plnění cílů Unie nákladově efektivním způsobem zaměřeným na dopad; zdůrazňuje, že rozpočtová kontrola, záruky a požadavky na transparentnost musí být uplatňovány neutrálně, přiměřeně a na základě důkazů při respektování právní jistoty a že </w:t>
            </w:r>
            <w:r>
              <w:rPr>
                <w:b/>
                <w:i/>
              </w:rPr>
              <w:t>musí</w:t>
            </w:r>
            <w:r>
              <w:t xml:space="preserve"> vyčleňovat nevládní organizace jako rizikovou kategorii; zdůrazňuje, že selektivní transparentnost podkopává důvěru v postup udělování absolutoria a že účinná kontrola vyžaduje uplatňování stejných standardů na všechny příjemce, včetně podniků a poradenských firem;</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připomíná, že přezkum grantových dohod s nevládními organizacemi, který Komise provedla v roce 2024, nezjistil žádné porušení právních předpisů;</w:t>
            </w:r>
            <w:r>
              <w:t xml:space="preserve"> </w:t>
            </w:r>
            <w:r>
              <w:rPr>
                <w:b/>
                <w:i/>
              </w:rPr>
              <w:t>konstatuje, že podle Smluv jsou organizace občanské společnosti legitimními příjemci finančních prostředků Unie a často podporují dosažení cílů Unie nákladově efektivním způsobem zaměřeným na dopad;</w:t>
            </w:r>
            <w:r>
              <w:t xml:space="preserve"> </w:t>
            </w:r>
            <w:r>
              <w:rPr>
                <w:b/>
                <w:i/>
              </w:rPr>
              <w:t>zdůrazňuje, že rozpočtová kontrola, záruky a požadavky na transparentnost musí být uplatňovány neutrálně, přiměřeně a na základě důkazů, s ohledem na právní jistotu, a že by neměly vyčleňovat nevládní organizace jako zvláštní rizikovou kategorii;</w:t>
            </w:r>
            <w:r>
              <w:t xml:space="preserve"> </w:t>
            </w:r>
            <w:r>
              <w:rPr>
                <w:b/>
                <w:i/>
              </w:rPr>
              <w:t>zdůrazňuje, že selektivní transparentnost může podkopat důvěru v postup udělování absolutoria a že účinná kontrola vyžaduje důsledné uplatňování srovnatelných standardů na všechny příjemce, včetně podniků a poradenských firem;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konstatuje však, že s ohledem na pokrok, jehož dosáhla pracovní skupina pro kontrolu zřízená v rámci Parlamentu, je stále zapotřebí úplné vyjasnění v návaznosti na obvinění ze střetu zájmů mezi některými nevládními organizacemi a Komisí;</w:t>
            </w:r>
            <w:r>
              <w:t xml:space="preserve"> </w:t>
            </w:r>
            <w:r>
              <w:rPr>
                <w:b/>
                <w:i/>
              </w:rPr>
              <w:t>vyzývá Komisi, aby pokračovala v prosazování větší transparentnosti, pokud jde o příjemce finančních prostředků Unie a odborníky, a aby poskytla jasnou definici toho, co představuje nevládní organizaci;</w:t>
            </w:r>
            <w:r>
              <w:t xml:space="preserve"> </w:t>
            </w:r>
            <w:r>
              <w:rPr>
                <w:b/>
                <w:i/>
              </w:rPr>
              <w:t>dále vyzývá k zavedení účinného dohledu nad činnostmi financovanými z fondů Unie a k plnému dodržování hodnot a norem právního státu Evropské unie ze strany příjemců;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konstatuje, že EU DisinfoLab, nevládní organizace sankcionovaná v roce 2022 belgickým úřadem pro ochranu údajů, nadále dostává finanční prostředky Unie (&gt; 1,2 milionu EUR v roce 2024</w:t>
            </w:r>
            <w:r>
              <w:rPr>
                <w:b/>
                <w:i/>
                <w:vertAlign w:val="superscript"/>
              </w:rPr>
              <w:t>8 a</w:t>
            </w:r>
            <w:r>
              <w:rPr>
                <w:b/>
                <w:i/>
              </w:rPr>
              <w:t>), přestože jí byla uložena správní sankce za provádění profilovacích činností a sestavování politicky zaměřených spisů o lidech na sociálních sítích, což je v rozporu s obecným nařízením o ochraně osobních údajů;</w:t>
            </w:r>
            <w:r>
              <w:t xml:space="preserve"> </w:t>
            </w:r>
            <w:r>
              <w:rPr>
                <w:b/>
                <w:i/>
              </w:rPr>
              <w:t>konstatuje, že v roce 2024 se s tímto subjektem setkali dva členové kabinetu Jourové za účelem uspořádání akce;</w:t>
            </w:r>
            <w:r>
              <w:t xml:space="preserve"> </w:t>
            </w:r>
            <w:r>
              <w:rPr>
                <w:b/>
                <w:i/>
              </w:rPr>
              <w:t>vyzývá Komisi, aby zastavila veškeré platby nevládním organizacím, na něž členské státy uvalily sankce, a aby je nezahrnovala do svých expertních skupin;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8 a</w:t>
            </w:r>
            <w:r>
              <w:t xml:space="preserve"> </w:t>
            </w:r>
            <w:r>
              <w:rPr>
                <w:b/>
                <w:i/>
              </w:rPr>
              <w:t>1,21 milionu EUR podle rejstříku finanční transparentnosti Komise;</w:t>
            </w:r>
            <w:r>
              <w:t xml:space="preserve"> </w:t>
            </w:r>
            <w:r>
              <w:rPr>
                <w:b/>
                <w:i/>
              </w:rPr>
              <w:t>https://www.autoriteprotectiondonnees.be/publications/decision-quant-au-fond-n-13-2022.pdf https://transparency-register.europa.eu/search-register-or-update/organisation-detail_en?id=593474530364-05 https://cordis.europa.eu/project/id/101070093</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f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11f.</w:t>
            </w:r>
            <w:r>
              <w:tab/>
            </w:r>
            <w:r>
              <w:rPr>
                <w:b/>
                <w:i/>
              </w:rPr>
              <w:t>vyjadřuje politování nad tím, že chybí jasná a funkční definice „nevládní organizace“, včetně objektivních kritérií nezávislosti na veřejných orgánech;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11e.</w:t>
            </w:r>
            <w:r>
              <w:tab/>
            </w:r>
            <w:r>
              <w:rPr>
                <w:b/>
                <w:i/>
              </w:rPr>
              <w:t>vyjadřuje politování nad nedostatkem skutečného dohledu ze strany Komise a jejích výkonných agentur nad skutečným statusem nevládních organizací (neziskových nebo ziskových) a nad nedostatečným stropem pro odměňování ředitelů, který by rozlišoval mezi „komerčními“ nevládními organizacemi a skutečně solidárními nevládními organizacemi</w:t>
            </w:r>
            <w:r>
              <w:rPr>
                <w:b/>
                <w:i/>
                <w:vertAlign w:val="superscript"/>
              </w:rPr>
              <w:t>5 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5 a</w:t>
            </w:r>
            <w:r>
              <w:t xml:space="preserve"> </w:t>
            </w:r>
            <w:r>
              <w:rPr>
                <w:b/>
                <w:i/>
              </w:rPr>
              <w:t>https://www.europarl.europa.eu/doceo/document/E-10-2025-003625_CS.html</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11c.</w:t>
            </w:r>
            <w:r>
              <w:tab/>
            </w:r>
            <w:r>
              <w:rPr>
                <w:b/>
                <w:i/>
              </w:rPr>
              <w:t>vyjadřuje politování nad nedostatkem skutečného dohledu ze strany Komise a jejích výkonných agentur, který by sledoval konečného příjemce finančních prostředků, které přiděluje, a tyto informace zveřejňoval, zejména s ohledem na neprůhledný systém dílčích grantů mezi nevládními organizacemi;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g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11g.</w:t>
            </w:r>
            <w:r>
              <w:tab/>
            </w:r>
            <w:r>
              <w:rPr>
                <w:b/>
                <w:i/>
              </w:rPr>
              <w:t>vyjadřuje politování nad skandálem týkajícím se programu LIFE, který otřásl Komisí a poškodil pověst všech evropských orgánů a institucí;</w:t>
            </w:r>
            <w:r>
              <w:t xml:space="preserve"> </w:t>
            </w:r>
            <w:r>
              <w:rPr>
                <w:b/>
                <w:i/>
              </w:rPr>
              <w:t>připomíná, že tento případ pramení z finančních prostředků Unie, jež Komise vyplácela nevládním organizacím, aby lobovaly u poslanců EP a orgánů v otázkách Zelené dohody a nasměrovaly jejich hlasování v její prospěch;</w:t>
            </w:r>
            <w:r>
              <w:t xml:space="preserve"> </w:t>
            </w:r>
            <w:r>
              <w:rPr>
                <w:b/>
                <w:i/>
              </w:rPr>
              <w:t>je znepokojen takovým vměšováním mezi evropskými orgány, které je v rozporu s demokratickým procesem a odhaluje nepřípustné a čistě politické využívání veřejných prostředků;</w:t>
            </w:r>
            <w:r>
              <w:t xml:space="preserve"> </w:t>
            </w:r>
            <w:r>
              <w:rPr>
                <w:b/>
                <w:i/>
              </w:rPr>
              <w:t>očekává, že vyjdou najevo další podobné případy;</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11d.</w:t>
            </w:r>
            <w:r>
              <w:tab/>
            </w:r>
            <w:r>
              <w:rPr>
                <w:b/>
                <w:i/>
              </w:rPr>
              <w:t>vyjadřuje politování nad tím, že neexistuje jednotný portál pro transparentnost v reálném čase, který by sledoval finanční prostředky EU poskytované nevládním organizacím, jak doporučuje Evropský účetní dvůr;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11b.</w:t>
            </w:r>
            <w:r>
              <w:tab/>
            </w:r>
            <w:r>
              <w:rPr>
                <w:b/>
                <w:i/>
              </w:rPr>
              <w:t>připomíná, že podle Evropského účetního dvora činí celkové finanční prostředky EU poskytnuté nevládním organizacím v rámci vnitřních politik na auditované podobdobí (2021–2023) 7,4 miliardy EUR.</w:t>
            </w:r>
            <w:r>
              <w:t xml:space="preserve"> </w:t>
            </w:r>
            <w:r>
              <w:rPr>
                <w:b/>
                <w:i/>
              </w:rPr>
              <w:t>z více než 4400 nevládních organizací, které obdržely finanční prostředky, jich 30 obdrželo více než 40 % celkových finančních prostředků, tj. 3,3 miliardy EUR</w:t>
            </w:r>
            <w:r>
              <w:rPr>
                <w:b/>
                <w:i/>
                <w:vertAlign w:val="superscript"/>
              </w:rPr>
              <w:t>4 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 a</w:t>
            </w:r>
            <w:r>
              <w:t xml:space="preserve"> </w:t>
            </w:r>
            <w:r>
              <w:rPr>
                <w:b/>
                <w:i/>
              </w:rPr>
              <w:t>Evropský účetní dvůr, Zvláštní zpráva 11/2025</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11b.</w:t>
            </w:r>
            <w:r>
              <w:tab/>
            </w:r>
            <w:r>
              <w:rPr>
                <w:b/>
                <w:i/>
              </w:rPr>
              <w:t>připomíná klíčovou úlohu organizací občanské společnosti při prosazování demokratických hodnot na podporu dynamické a živé demokratické společnosti, neboť zajišťují pevný základ pro široké pokrytí všech relevantních názorů v různých diskusích a zdůrazňuje, že organizace občanské společnosti mohou obdržet podporu z fondů Unie na výkon těchto funkcí, jak je stanoveno v článku 11 Smlouvy o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domnívá se, že přímé nebo nepřímé financování tvorby novinářského obsahu o záležitostech EU ze strany EU je ze své podstaty neslučitelné se zásadou redakční nezávislosti;</w:t>
            </w:r>
            <w:r>
              <w:t xml:space="preserve"> </w:t>
            </w:r>
            <w:r>
              <w:rPr>
                <w:b/>
                <w:i/>
              </w:rPr>
              <w:t>zdůrazňuje, že mediální organizace, které jsou příjemci těchto finančních prostředků, nemohou při podávání zpráv o institucích, které je financují, věrohodně zachovávat zdání nestrannosti;</w:t>
            </w:r>
            <w:r>
              <w:t xml:space="preserve"> </w:t>
            </w:r>
            <w:r>
              <w:rPr>
                <w:b/>
                <w:i/>
              </w:rPr>
              <w:t>vyzývá Komisi, aby se zdržela vydávání dalších výzev k předkládání návrhů na produkci mediálního obsahu financovaného EU a aby postupně ukončila stávající dohody o financování, jakmile skončí jejich platnost;</w:t>
            </w:r>
            <w:r>
              <w:t xml:space="preserve"> </w:t>
            </w:r>
            <w:r>
              <w:rPr>
                <w:b/>
                <w:i/>
              </w:rPr>
              <w:t>zdůrazňuje, že informované veřejné diskusi o politice EU nejlépe poslouží skutečně nezávislá žurnalistika, nikoli institucionálně dotované zpravodajství;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11b.</w:t>
            </w:r>
            <w:r>
              <w:tab/>
            </w:r>
            <w:r>
              <w:rPr>
                <w:b/>
                <w:i/>
              </w:rPr>
              <w:t>se znepokojením konstatuje, že celoevropská vysílací stanice Euronews obdržela za posledních 15 let více než 350 milionů EUR z finančních prostředků Unie, přičemž od svého vzniku zaznamenala celkovou ztrátu ve výši 180 milionů EUR;</w:t>
            </w:r>
            <w:r>
              <w:t xml:space="preserve"> </w:t>
            </w:r>
            <w:r>
              <w:rPr>
                <w:b/>
                <w:i/>
              </w:rPr>
              <w:t>konstatuje, že subjekt televizního vysílání prošel významnými změnami vlastnictví, které vedly k tomu, že jej nabyli investoři s úzkými vazbami na vlády členských států, což vyvolává vážné otázky ohledně redakční nezávislosti a využívání finančních prostředků Unie;</w:t>
            </w:r>
            <w:r>
              <w:t xml:space="preserve"> </w:t>
            </w:r>
            <w:r>
              <w:rPr>
                <w:b/>
                <w:i/>
              </w:rPr>
              <w:t>vyjadřuje hluboké znepokojení nad zprávami, že 48 zaměstnanců zaslalo předsedovi dopis, v němž si stěžovali na přímé vměšování a nucenou autocenzuru;</w:t>
            </w:r>
            <w:r>
              <w:t xml:space="preserve"> </w:t>
            </w:r>
            <w:r>
              <w:rPr>
                <w:b/>
                <w:i/>
              </w:rPr>
              <w:t>dále konstatuje, že investigativní zpravodajství</w:t>
            </w:r>
            <w:r>
              <w:rPr>
                <w:b/>
                <w:i/>
                <w:vertAlign w:val="superscript"/>
              </w:rPr>
              <w:t>1a</w:t>
            </w:r>
            <w:r>
              <w:t xml:space="preserve"> </w:t>
            </w:r>
            <w:r>
              <w:rPr>
                <w:b/>
                <w:i/>
              </w:rPr>
              <w:t>odhalilo, že provozovatel vysílání vytváří sponzorovaný obsah pro vlády třetích zemí, aniž by tuto skutečnost uvedl náležitě ve známost;</w:t>
            </w:r>
            <w:r>
              <w:t xml:space="preserve"> </w:t>
            </w:r>
            <w:r>
              <w:rPr>
                <w:b/>
                <w:i/>
              </w:rPr>
              <w:t>domnívá se, že sdělovací prostředky financované Unií musí podléhat přísným požadavkům na transparentnost;</w:t>
            </w:r>
            <w:r>
              <w:t xml:space="preserve"> </w:t>
            </w:r>
            <w:r>
              <w:rPr>
                <w:b/>
                <w:i/>
              </w:rPr>
              <w:t>se znepokojením konstatuje, že interní zprávy Evropského účetního dvora a Komise poukázaly na nedostatečný dohled, neboť monitorování ze strany Komise je omezeno na konkrétní financované programy, a nikoli na celkovou vlastnickou strukturu vysílací organizace nebo celkovou redakční nezávislost;</w:t>
            </w:r>
            <w:r>
              <w:t xml:space="preserve"> </w:t>
            </w:r>
            <w:r>
              <w:rPr>
                <w:b/>
                <w:i/>
              </w:rPr>
              <w:t>vyzývá Komisi, aby provedla komplexní přezkum všech dlouhodobých dohod Unie o financování s mediálními organizacemi s cílem posoudit, zda je účinně chráněna redakční nezávislost a zda jsou finanční prostředky Unie využívány v souladu se zásadou řádného finančního řízení;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https://www.euractiv.com/news/inside-euronews-how-europes-broadcaster-became-an-influence-network/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Dick Erixon, 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připomíná, že vzhledem k naléhavé potřebě posílit obranné schopnosti Unie se od začátku ruské útočné války proti Ukrajině zvýšil počet a objem nástrojů financování unijní obrany; zdůrazňuje potřebu komplexního přístupu Unie k financování obrany, který klade větší důraz na </w:t>
            </w:r>
            <w:r>
              <w:rPr>
                <w:b/>
                <w:i/>
              </w:rPr>
              <w:t>boj proti hybridním hrozbám</w:t>
            </w:r>
            <w:r>
              <w:t xml:space="preserve">, včetně </w:t>
            </w:r>
            <w:r>
              <w:rPr>
                <w:b/>
                <w:i/>
              </w:rPr>
              <w:t>hrozeb souvisejících s umělou inteligencí, drony a kybernetickými útoky</w:t>
            </w:r>
            <w:r>
              <w:t>; zdůrazňuje, že demokratická odpovědnost, kontrolovatelnost a transparentnost se musí zvyšovat souběžně s výdaji a že bezpečnostní hlediska nelze používat k ospravedlnění slabšího dohledu, roztříštěného podávání zpráv nebo omezení přístupu orgánu příslušného k udělení absolutoria; zdůrazňuje, že je třeba dále zlepšit transparentnost financování unijní obrany, mimo jiné zajištěním auditních opatření, která by byla v praxi rovnocenná těm, jež se vztahují na civilní výdaje, a aby orgán příslušný k udělení absolutoria mohl vykonávat demokratickou kontrolu všech činností financovaných Unií ve fázi přijímání, navrhování a provádění;</w:t>
            </w:r>
          </w:p>
        </w:tc>
        <w:tc>
          <w:tcPr>
            <w:tcW w:w="4876" w:type="dxa"/>
            <w:tcBorders>
              <w:top w:val="nil"/>
              <w:left w:val="nil"/>
              <w:bottom w:val="nil"/>
              <w:right w:val="nil"/>
            </w:tcBorders>
          </w:tcPr>
          <w:p>
            <w:pPr>
              <w:pStyle w:val="Normal6a"/>
            </w:pPr>
            <w:r>
              <w:t>12.</w:t>
            </w:r>
            <w:r>
              <w:tab/>
            </w:r>
            <w:r>
              <w:t xml:space="preserve">připomíná, že vzhledem k naléhavé potřebě posílit obranné schopnosti Unie se od začátku ruské útočné války proti Ukrajině zvýšil počet a objem nástrojů financování unijní obrany; </w:t>
            </w:r>
            <w:r>
              <w:rPr>
                <w:b/>
                <w:i/>
              </w:rPr>
              <w:t>domnívá se, že obrana a podpora Ukrajiny musí být v současném geopolitickém kontextu považovány za rozpočtovou prioritu a že ke splnění tohoto cíle by měly být přerozděleny zdroje z programů s nižší prioritou;</w:t>
            </w:r>
            <w:r>
              <w:t xml:space="preserve"> zdůrazňuje potřebu komplexního přístupu Unie k financování obrany, který klade větší důraz na </w:t>
            </w:r>
            <w:r>
              <w:rPr>
                <w:b/>
                <w:i/>
              </w:rPr>
              <w:t>technologie, které poskytují největší provozní výhodu za každé investované euro</w:t>
            </w:r>
            <w:r>
              <w:t xml:space="preserve">, včetně </w:t>
            </w:r>
            <w:r>
              <w:rPr>
                <w:b/>
                <w:i/>
              </w:rPr>
              <w:t>umělé inteligence, dronů a kybernetických schopností</w:t>
            </w:r>
            <w:r>
              <w:t>; zdůrazňuje, že demokratická odpovědnost, kontrolovatelnost a transparentnost se musí zvyšovat souběžně s výdaji a že bezpečnostní hlediska nelze používat k ospravedlnění slabšího dohledu, roztříštěného podávání zpráv nebo omezení přístupu orgánu příslušného k udělení absolutoria; zdůrazňuje, že je třeba dále zlepšit transparentnost financování unijní obrany, mimo jiné zajištěním auditních opatření, která by byla v praxi rovnocenná těm, jež se vztahují na civilní výdaje, a aby orgán příslušný k udělení absolutoria mohl vykonávat demokratickou kontrolu všech činností financovaných Unií ve fázi přijímání, navrhování a provádění;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připomíná, že vzhledem k naléhavé potřebě posílit obranné schopnosti Unie se od začátku ruské útočné války proti Ukrajině zvýšil počet a objem nástrojů financování unijní obrany; zdůrazňuje potřebu komplexního přístupu Unie k financování obrany, který klade větší důraz na boj proti hybridním hrozbám, včetně hrozeb souvisejících s umělou inteligencí, drony a kybernetickými útoky; zdůrazňuje, že demokratická odpovědnost, kontrolovatelnost a transparentnost se musí zvyšovat souběžně s výdaji a že bezpečnostní hlediska nelze používat k ospravedlnění slabšího dohledu, roztříštěného podávání zpráv nebo omezení přístupu orgánu příslušného k udělení absolutoria; zdůrazňuje, že je třeba dále zlepšit transparentnost financování </w:t>
            </w:r>
            <w:r>
              <w:rPr>
                <w:b/>
                <w:i/>
              </w:rPr>
              <w:t>unijní</w:t>
            </w:r>
            <w:r>
              <w:t xml:space="preserve"> obrany</w:t>
            </w:r>
            <w:r>
              <w:rPr>
                <w:b/>
                <w:i/>
              </w:rPr>
              <w:t>, mimo jiné zajištěním auditních opatření, která by byla v praxi rovnocenná těm, jež se vztahují na civilní výdaje, a aby orgán příslušný k udělení absolutoria mohl vykonávat demokratickou kontrolu všech činností financovaných Unií ve fázi přijímání, navrhování a provádění</w:t>
            </w:r>
            <w:r>
              <w:t>;</w:t>
            </w:r>
          </w:p>
        </w:tc>
        <w:tc>
          <w:tcPr>
            <w:tcW w:w="4876" w:type="dxa"/>
            <w:tcBorders>
              <w:top w:val="nil"/>
              <w:left w:val="nil"/>
              <w:bottom w:val="nil"/>
              <w:right w:val="nil"/>
            </w:tcBorders>
          </w:tcPr>
          <w:p>
            <w:pPr>
              <w:pStyle w:val="Normal6a"/>
            </w:pPr>
            <w:r>
              <w:t>12.</w:t>
            </w:r>
            <w:r>
              <w:tab/>
            </w:r>
            <w:r>
              <w:t xml:space="preserve">připomíná, že vzhledem k naléhavé potřebě posílit obranné schopnosti Unie se od začátku ruské útočné války proti Ukrajině zvýšil počet a objem nástrojů financování unijní obrany; zdůrazňuje potřebu komplexního přístupu Unie k financování obrany, který klade větší důraz na boj proti hybridním hrozbám, včetně hrozeb souvisejících s umělou inteligencí, drony a kybernetickými útoky; zdůrazňuje, že demokratická odpovědnost, kontrolovatelnost a transparentnost se musí zvyšovat souběžně s výdaji a že bezpečnostní hlediska nelze používat k ospravedlnění slabšího dohledu, roztříštěného podávání zpráv nebo omezení přístupu orgánu příslušného k udělení absolutoria; zdůrazňuje, že je třeba dále zlepšit transparentnost financování obrany </w:t>
            </w:r>
            <w:r>
              <w:rPr>
                <w:b/>
                <w:i/>
              </w:rPr>
              <w:t>ze strany Unie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připomíná, že vzhledem k naléhavé potřebě posílit obranné schopnosti Unie se od začátku ruské útočné války proti Ukrajině zvýšil počet a objem nástrojů financování unijní obrany; zdůrazňuje potřebu komplexního přístupu Unie k financování obrany, který klade větší důraz na boj proti hybridním hrozbám, včetně hrozeb souvisejících s umělou inteligencí, drony a kybernetickými útoky; zdůrazňuje, že demokratická odpovědnost, kontrolovatelnost a transparentnost se musí zvyšovat souběžně s výdaji </w:t>
            </w:r>
            <w:r>
              <w:rPr>
                <w:b/>
                <w:i/>
              </w:rPr>
              <w:t>a že</w:t>
            </w:r>
            <w:r>
              <w:t xml:space="preserve"> bezpečnostní </w:t>
            </w:r>
            <w:r>
              <w:rPr>
                <w:b/>
                <w:i/>
              </w:rPr>
              <w:t>hlediska nelze používat k ospravedlnění slabšího dohledu, roztříštěného podávání zpráv nebo omezení přístupu</w:t>
            </w:r>
            <w:r>
              <w:t xml:space="preserve"> orgánu příslušného k udělení absolutoria; zdůrazňuje, že je třeba dále zlepšit transparentnost financování unijní obrany, mimo jiné zajištěním auditních opatření, která by byla </w:t>
            </w:r>
            <w:r>
              <w:rPr>
                <w:b/>
                <w:i/>
              </w:rPr>
              <w:t>v praxi rovnocenná těm, jež se vztahují na civilní výdaje, a</w:t>
            </w:r>
            <w:r>
              <w:t xml:space="preserve"> aby orgán příslušný k udělení absolutoria mohl vykonávat demokratickou kontrolu všech činností financovaných Unií ve fázi přijímání, navrhování a provádění;</w:t>
            </w:r>
          </w:p>
        </w:tc>
        <w:tc>
          <w:tcPr>
            <w:tcW w:w="4876" w:type="dxa"/>
            <w:tcBorders>
              <w:top w:val="nil"/>
              <w:left w:val="nil"/>
              <w:bottom w:val="nil"/>
              <w:right w:val="nil"/>
            </w:tcBorders>
          </w:tcPr>
          <w:p>
            <w:pPr>
              <w:pStyle w:val="Normal6a"/>
            </w:pPr>
            <w:r>
              <w:t>12.</w:t>
            </w:r>
            <w:r>
              <w:tab/>
            </w:r>
            <w:r>
              <w:t xml:space="preserve">připomíná, že vzhledem k naléhavé potřebě posílit obranné schopnosti Unie se od začátku </w:t>
            </w:r>
            <w:r>
              <w:rPr>
                <w:b/>
                <w:i/>
              </w:rPr>
              <w:t>nezákonné</w:t>
            </w:r>
            <w:r>
              <w:t xml:space="preserve"> ruské útočné války proti Ukrajině zvýšil počet a objem nástrojů financování unijní obrany; zdůrazňuje potřebu komplexního přístupu Unie k financování obrany, který klade větší důraz na boj proti hybridním hrozbám, včetně hrozeb souvisejících s umělou inteligencí, drony a kybernetickými útoky; zdůrazňuje, že demokratická odpovědnost, kontrolovatelnost a transparentnost se musí zvyšovat souběžně s výdaji</w:t>
            </w:r>
            <w:r>
              <w:rPr>
                <w:b/>
                <w:i/>
              </w:rPr>
              <w:t>, a zároveň uznává, že legitimní</w:t>
            </w:r>
            <w:r>
              <w:t xml:space="preserve"> bezpečnostní </w:t>
            </w:r>
            <w:r>
              <w:rPr>
                <w:b/>
                <w:i/>
              </w:rPr>
              <w:t>požadavky mohou omezit zveřejňování některých citlivých informací, aniž by se snížila celková schopnost</w:t>
            </w:r>
            <w:r>
              <w:t xml:space="preserve"> orgánu příslušného k udělení absolutoria </w:t>
            </w:r>
            <w:r>
              <w:rPr>
                <w:b/>
                <w:i/>
              </w:rPr>
              <w:t>vykonávat účinný dohled</w:t>
            </w:r>
            <w:r>
              <w:t xml:space="preserve">; zdůrazňuje, že je třeba dále zlepšit transparentnost financování unijní obrany, mimo jiné zajištěním auditních opatření, která by byla </w:t>
            </w:r>
            <w:r>
              <w:rPr>
                <w:b/>
                <w:i/>
              </w:rPr>
              <w:t>přiměřená citlivosti obranných činností, ale plně zajišťujících účinný dohled, a zajištěním toho,</w:t>
            </w:r>
            <w:r>
              <w:t xml:space="preserve"> aby orgán příslušný k udělení absolutoria mohl vykonávat demokratickou kontrolu všech činností financovaných Unií ve fázi přijímání, navrhování a provádění;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rPr>
                <w:b/>
                <w:i/>
              </w:rPr>
              <w:t>připomíná</w:t>
            </w:r>
            <w:r>
              <w:t xml:space="preserve">, že vzhledem k naléhavé potřebě posílit obranné schopnosti Unie se od začátku ruské útočné války proti Ukrajině zvýšil počet a objem nástrojů financování unijní obrany; zdůrazňuje potřebu komplexního přístupu Unie k financování obrany, který </w:t>
            </w:r>
            <w:r>
              <w:rPr>
                <w:b/>
                <w:i/>
              </w:rPr>
              <w:t>klade větší důraz na boj proti hybridním hrozbám</w:t>
            </w:r>
            <w:r>
              <w:t xml:space="preserve">, včetně hrozeb </w:t>
            </w:r>
            <w:r>
              <w:rPr>
                <w:b/>
                <w:i/>
              </w:rPr>
              <w:t>souvisejících</w:t>
            </w:r>
            <w:r>
              <w:t xml:space="preserve"> s umělou inteligencí, drony a kybernetickými útoky; zdůrazňuje, že demokratická odpovědnost, kontrolovatelnost a transparentnost se musí zvyšovat souběžně s výdaji a že bezpečnostní hlediska </w:t>
            </w:r>
            <w:r>
              <w:rPr>
                <w:b/>
                <w:i/>
              </w:rPr>
              <w:t>nelze používat k ospravedlnění slabšího dohledu</w:t>
            </w:r>
            <w:r>
              <w:t xml:space="preserve">, </w:t>
            </w:r>
            <w:r>
              <w:rPr>
                <w:b/>
                <w:i/>
              </w:rPr>
              <w:t>roztříštěného</w:t>
            </w:r>
            <w:r>
              <w:t xml:space="preserve"> podávání zpráv nebo </w:t>
            </w:r>
            <w:r>
              <w:rPr>
                <w:b/>
                <w:i/>
              </w:rPr>
              <w:t>omezení přístupu</w:t>
            </w:r>
            <w:r>
              <w:t xml:space="preserve"> orgánu příslušného k udělení absolutoria; zdůrazňuje, že je třeba dále zlepšit transparentnost financování unijní obrany, mimo jiné zajištěním auditních opatření, která by byla v praxi rovnocenná těm, jež se vztahují na civilní výdaje, a aby orgán příslušný k udělení absolutoria mohl vykonávat demokratickou kontrolu všech činností financovaných Unií ve fázi přijímání, navrhování a provádění;</w:t>
            </w:r>
          </w:p>
        </w:tc>
        <w:tc>
          <w:tcPr>
            <w:tcW w:w="4876" w:type="dxa"/>
            <w:tcBorders>
              <w:top w:val="nil"/>
              <w:left w:val="nil"/>
              <w:bottom w:val="nil"/>
              <w:right w:val="nil"/>
            </w:tcBorders>
          </w:tcPr>
          <w:p>
            <w:pPr>
              <w:pStyle w:val="Normal6a"/>
            </w:pPr>
            <w:r>
              <w:t>12.</w:t>
            </w:r>
            <w:r>
              <w:tab/>
            </w:r>
            <w:r>
              <w:rPr>
                <w:b/>
                <w:i/>
              </w:rPr>
              <w:t>vítá</w:t>
            </w:r>
            <w:r>
              <w:t xml:space="preserve">, že vzhledem k naléhavé potřebě posílit obranné schopnosti Unie se od začátku ruské útočné války proti Ukrajině zvýšil počet a objem nástrojů financování unijní obrany; zdůrazňuje potřebu komplexního přístupu Unie k financování </w:t>
            </w:r>
            <w:r>
              <w:rPr>
                <w:b/>
                <w:i/>
              </w:rPr>
              <w:t>bezpečnosti a</w:t>
            </w:r>
            <w:r>
              <w:t xml:space="preserve"> obrany, který </w:t>
            </w:r>
            <w:r>
              <w:rPr>
                <w:b/>
                <w:i/>
              </w:rPr>
              <w:t>by reagoval jak na konvenční vojenské hrozby, tak na nekonvenční hrozby</w:t>
            </w:r>
            <w:r>
              <w:t xml:space="preserve">, včetně </w:t>
            </w:r>
            <w:r>
              <w:rPr>
                <w:b/>
                <w:i/>
              </w:rPr>
              <w:t>hybridních</w:t>
            </w:r>
            <w:r>
              <w:t xml:space="preserve"> hrozeb</w:t>
            </w:r>
            <w:r>
              <w:rPr>
                <w:b/>
                <w:i/>
              </w:rPr>
              <w:t>, jako jsou hrozby související</w:t>
            </w:r>
            <w:r>
              <w:t xml:space="preserve"> s umělou inteligencí, drony a kybernetickými útoky; zdůrazňuje, že demokratická odpovědnost, kontrolovatelnost a transparentnost se musí zvyšovat souběžně s výdaji a že bezpečnostní hlediska </w:t>
            </w:r>
            <w:r>
              <w:rPr>
                <w:b/>
                <w:i/>
              </w:rPr>
              <w:t>nemohou automaticky oslabit dohled</w:t>
            </w:r>
            <w:r>
              <w:t xml:space="preserve">, podávání zpráv nebo </w:t>
            </w:r>
            <w:r>
              <w:rPr>
                <w:b/>
                <w:i/>
              </w:rPr>
              <w:t>přístup</w:t>
            </w:r>
            <w:r>
              <w:t xml:space="preserve"> orgánu příslušného k udělení absolutoria</w:t>
            </w:r>
            <w:r>
              <w:rPr>
                <w:b/>
                <w:i/>
              </w:rPr>
              <w:t>, pokud nejsou řádně odůvodněny</w:t>
            </w:r>
            <w:r>
              <w:t>; zdůrazňuje, že je třeba dále zlepšit transparentnost financování unijní obrany, mimo jiné zajištěním auditních opatření, která by byla v praxi rovnocenná těm, jež se vztahují na civilní výdaje, a aby orgán příslušný k udělení absolutoria mohl vykonávat demokratickou kontrolu všech činností financovaných Unií ve fázi přijímání, navrhování a provádění;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připomíná, že je důležité zajistit, aby veškeré přidělování finančních prostředků doprovázel odpovídající dohled, se zvláštním důrazem na dodržování základních hodnot Unie;</w:t>
            </w:r>
            <w:r>
              <w:t xml:space="preserve"> </w:t>
            </w:r>
            <w:r>
              <w:rPr>
                <w:b/>
                <w:i/>
              </w:rPr>
              <w:t>vyzývá Komisi, aby v souladu se svými povinnostmi podle finančního nařízení a grantových dohod programu Erasmus+ shromáždila a posoudila příslušné důkazy s cílem přezkoumat veškeré případy potenciálně podvodných nebo neoprávněných příjemců;</w:t>
            </w:r>
            <w:r>
              <w:t xml:space="preserve"> </w:t>
            </w:r>
            <w:r>
              <w:rPr>
                <w:b/>
                <w:i/>
              </w:rPr>
              <w:t>vyzývá k řádnému zajištění programu proti jeho zneužívání ze strany organizací, jejichž činnost je v rozporu se základními hodnotami Unie, včetně lidské důstojnosti, svobody, demokracie, rovnosti, právního státu a lidských práv;</w:t>
            </w:r>
            <w:r>
              <w:t xml:space="preserve"> </w:t>
            </w:r>
            <w:r>
              <w:rPr>
                <w:b/>
                <w:i/>
              </w:rPr>
              <w:t>připomíná, že Komise má zákonnou povinnost zajistit, aby se příjemci programu zavázali k dodržování těchto hodnot a skutečně je dodržovali a aby se nedopouštěli profesních pochybení;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zdůrazňuje, že rovnost je základní hodnota Unie a je zakotvena v Listině základních práv Evropské unie;</w:t>
            </w:r>
            <w:r>
              <w:t xml:space="preserve"> </w:t>
            </w:r>
            <w:r>
              <w:rPr>
                <w:b/>
                <w:i/>
              </w:rPr>
              <w:t>připomíná závazek Unie začleňovat genderové hledisko do tvorby politik a vynakládání finančních prostředků Unie, včetně genderového rozpočtování;</w:t>
            </w:r>
            <w:r>
              <w:t xml:space="preserve"> </w:t>
            </w:r>
            <w:r>
              <w:rPr>
                <w:b/>
                <w:i/>
              </w:rPr>
              <w:t>vybízí Komisi, aby pokračovala v úsilí vyvíjeném při genderovém rozpočtování a při sledování dopadu rozpočtu Unie na podporu genderové rovnosti;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konstatuje, že rok 2024, včetně období před volbami do Evropského parlamentu, byl poznamenán zvýšeným rizikem zahraničního vměšování a vlivových operací namířených proti demokratickým institucím a voleným zástupcům;</w:t>
            </w:r>
            <w:r>
              <w:t xml:space="preserve"> </w:t>
            </w:r>
            <w:r>
              <w:rPr>
                <w:b/>
                <w:i/>
              </w:rPr>
              <w:t>vyzývá proto k trvalému a systematickému posilování vnitřních záruk, povinností týkajících se transparentnosti a strukturované spolupráce s příslušnými orgány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zdůrazňuje, že je důležité zachovat institucionální integritu a posílit odolnost Parlamentu vůči možnému zahraničnímu vměšování;</w:t>
            </w:r>
            <w:r>
              <w:t xml:space="preserve"> </w:t>
            </w:r>
            <w:r>
              <w:rPr>
                <w:b/>
                <w:i/>
              </w:rPr>
              <w:t>odsuzuje veškeré nepatřičné pokusy o ovlivňování legislativní činnosti Evropského parlamentu;</w:t>
            </w:r>
            <w:r>
              <w:t xml:space="preserve"> </w:t>
            </w:r>
            <w:r>
              <w:rPr>
                <w:b/>
                <w:i/>
              </w:rPr>
              <w:t>v této souvislosti zdůrazňuje zásadní odpovědnost úřadu OLAF za provedení všech nezbytných hloubkových šetření;</w:t>
            </w:r>
            <w:r>
              <w:t xml:space="preserve"> </w:t>
            </w:r>
            <w:r>
              <w:rPr>
                <w:b/>
                <w:i/>
              </w:rPr>
              <w:t>zdůrazňuje klíčovou úlohu Úřadu evropského veřejného žalobce při ochraně finančních zájmů Evropské unie;</w:t>
            </w:r>
            <w:r>
              <w:t xml:space="preserve"> </w:t>
            </w:r>
            <w:r>
              <w:rPr>
                <w:b/>
                <w:i/>
              </w:rPr>
              <w:t>připomíná dohodu o zřízení interinstitucionálního orgánu pro etické normy pro členy orgánů a poradních institucí uvedených v článku 13 Smlouvy o Evropské unii a trvá na jejím urychleném a účinném provedení ve všech orgánech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připomíná, že je důležité přísně uplatňovat finanční pravidla Unie ve všech programech a na všechny příjemce, aby se zabránilo veškerým formám podvodů, střetů zájmů, korupce, dvojího financování a praní peněz;</w:t>
            </w:r>
            <w:r>
              <w:t xml:space="preserve"> </w:t>
            </w:r>
            <w:r>
              <w:rPr>
                <w:b/>
                <w:i/>
              </w:rPr>
              <w:t>připomíná v tomto rámci klíčovou úlohu celé struktury Unie pro boj proti podvodům a vyjadřuje určité obavy ohledně toho, že některé členské státy odmítají spolupracovat s jedním z jejích prvků, zejména s Úřadem evropského veřejného žalobce;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staví se proti jakékoli formě zdanění na úrovni EU uloženého přímo na evropské občany a připomíná, že fiskální zátěž je již v mnoha členských státech vysoká a neměla by být zhoršována výběrem dodatečných daní na úrovni Unie;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Carlo Fidanza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13.</w:t>
            </w:r>
            <w:r>
              <w:tab/>
            </w:r>
            <w:r>
              <w:rPr>
                <w:b/>
                <w:i/>
              </w:rPr>
              <w:t>vyzývá Komisi, aby zejména:</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 urychleně přehodnotila a řešila zhoršení stavu právního státu a rizika pro rozpočet Unie v Maďarsku a přijala veškerá nezbytná opatření v souladu s nařízením o podmíněnosti a dalšími dostupnými nástroji, včetně úplného pozastavení vyplácení finančních prostředků Unie;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ii) důsledně a správně uplatňovala ustanovení týkající se „konečných příjemců“ obsažená v nařízení Evropského parlamentu a Rady (EU) 2021/241 ze dne 12. února 2021, kterým se zřizuje Nástroj pro oživení a odolnost</w:t>
            </w:r>
            <w:r>
              <w:rPr>
                <w:b/>
                <w:i/>
                <w:vertAlign w:val="superscript"/>
              </w:rPr>
              <w:t>3</w:t>
            </w:r>
            <w:r>
              <w:rPr>
                <w:b/>
                <w:i/>
              </w:rPr>
              <w:t>(nařízení o nástroji RRF), a to revizí svých pokynů k RRP, aby komunikovala s členskými státy o správném uplatňování definice „konečných příjemců“ a do šesti měsíců poskytla orgánu příslušnému k udělení absolutoria úplný a smysluplný seznam konečných příjemců, s výjimkou pouhých zprostředkujících subjektů, jako jsou ministerstva nebo řídicí orgány;</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iii) zajistila plné dodržování pravidel Unie pro přístup k dokumentům, včetně textových zpráv a jiné elektronické komunikace předsedy Komise a komisařů;</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iv) zajistila, aby v případě, že zjištěný střet zájmů nebude prokazatelně a ověřitelně vyřešen, nebyly společnosti Agrofert ani jiným obchodním zájmům Andreje Babiše přímo ani nepřímo vypláceny žádné finanční prostředky Unie;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 vyzývá předsedkyni Komise, aby v souladu s čl. 17 odst. 6 SEU vyslovila nedůvěru komisaři Várhelyimu;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vi) vyzývá Komisi, aby v souladu s doporučeními Účetního dvora posílila stávající kontrolní rámec prostřednictvím nezávislého předběžného ověřování koeficientů pro klima a biologickou rozmanitost, systematického zveřejňování údajů o klimatu na úrovni projektů a transparentního podávání zpráv o výdajích škodlivých pro životní prostředí;</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3</w:t>
            </w:r>
            <w:r>
              <w:t xml:space="preserve"> </w:t>
            </w:r>
            <w:r>
              <w:rPr>
                <w:b/>
                <w:i/>
              </w:rPr>
              <w:t>Úř. věst. L 57, 18.2.2021, ELI:</w:t>
            </w:r>
            <w:r>
              <w:t xml:space="preserve"> </w:t>
            </w:r>
            <w:r>
              <w:rPr>
                <w:b/>
                <w:i/>
              </w:rPr>
              <w:t>http://data.europa.eu/eli/reg/2021/241/oj.</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w:t>
            </w:r>
            <w:r>
              <w:tab/>
            </w:r>
            <w:r>
              <w:rPr>
                <w:b/>
                <w:i/>
              </w:rPr>
              <w:t>zahájila první neformální krok mechanismu podmíněnosti, dojde-li v členských státech k závažnému systémovému porušování zásad právního státu a existuje-li riziko pro finanční zájmy Unie, s cílem povzbudit členské státy, aby právní stát dodržovaly a porušování zásad právního státu včas zlepšovaly;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w:t>
            </w:r>
            <w:r>
              <w:tab/>
            </w:r>
            <w:r>
              <w:rPr>
                <w:b/>
                <w:i/>
              </w:rPr>
              <w:t>urychleně přehodnotila a řešila zhoršení stavu právního státu a rizika pro rozpočet Unie v Maďarsku a přijala veškerá nezbytná opatření v souladu s nařízením o podmíněnosti a dalšími dostupnými nástroji, včetně úplného pozastavení vyplácení finančních prostředků Unie;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urychleně přehodnotila a řešila </w:t>
            </w:r>
            <w:r>
              <w:rPr>
                <w:b/>
                <w:i/>
              </w:rPr>
              <w:t>zhoršení stavu</w:t>
            </w:r>
            <w:r>
              <w:t xml:space="preserve"> právního státu </w:t>
            </w:r>
            <w:r>
              <w:rPr>
                <w:b/>
                <w:i/>
              </w:rPr>
              <w:t>a rizika pro rozpočet Unie v Maďarsku</w:t>
            </w:r>
            <w:r>
              <w:t xml:space="preserve"> a přijala veškerá nezbytná opatření v souladu s nařízením o podmíněnosti a dalšími dostupnými nástroji, včetně </w:t>
            </w:r>
            <w:r>
              <w:rPr>
                <w:b/>
                <w:i/>
              </w:rPr>
              <w:t>úplného</w:t>
            </w:r>
            <w:r>
              <w:t xml:space="preserve"> pozastavení </w:t>
            </w:r>
            <w:r>
              <w:rPr>
                <w:b/>
                <w:i/>
              </w:rPr>
              <w:t>vyplácení</w:t>
            </w:r>
            <w:r>
              <w:t xml:space="preserve"> finančních prostředků Unie;</w:t>
            </w:r>
          </w:p>
        </w:tc>
        <w:tc>
          <w:tcPr>
            <w:tcW w:w="4876" w:type="dxa"/>
            <w:tcBorders>
              <w:top w:val="nil"/>
              <w:left w:val="nil"/>
              <w:bottom w:val="nil"/>
              <w:right w:val="nil"/>
            </w:tcBorders>
          </w:tcPr>
          <w:p>
            <w:pPr>
              <w:pStyle w:val="Normal6a"/>
            </w:pPr>
            <w:r>
              <w:t>i)</w:t>
            </w:r>
            <w:r>
              <w:tab/>
            </w:r>
            <w:r>
              <w:t xml:space="preserve">urychleně přehodnotila a řešila </w:t>
            </w:r>
            <w:r>
              <w:rPr>
                <w:b/>
                <w:i/>
              </w:rPr>
              <w:t>situace v členských státech, kdy nedostatky v oblasti</w:t>
            </w:r>
            <w:r>
              <w:t xml:space="preserve"> právního státu </w:t>
            </w:r>
            <w:r>
              <w:rPr>
                <w:b/>
                <w:i/>
              </w:rPr>
              <w:t>mohou ovlivnit řádné finanční řízení rozpočtu Unie,</w:t>
            </w:r>
            <w:r>
              <w:t xml:space="preserve"> a přijala veškerá nezbytná opatření v souladu s nařízením o podmíněnosti a dalšími dostupnými nástroji, včetně pozastavení finančních prostředků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urychleně přehodnotila a řešila zhoršení stavu právního státu a rizika pro rozpočet Unie v Maďarsku a přijala veškerá nezbytná opatření v souladu s nařízením o podmíněnosti a dalšími dostupnými nástroji, včetně úplného pozastavení vyplácení finančních prostředků Unie;</w:t>
            </w:r>
          </w:p>
        </w:tc>
        <w:tc>
          <w:tcPr>
            <w:tcW w:w="4876" w:type="dxa"/>
            <w:tcBorders>
              <w:top w:val="nil"/>
              <w:left w:val="nil"/>
              <w:bottom w:val="nil"/>
              <w:right w:val="nil"/>
            </w:tcBorders>
          </w:tcPr>
          <w:p>
            <w:pPr>
              <w:pStyle w:val="Normal6a"/>
            </w:pPr>
            <w:r>
              <w:t>i)</w:t>
            </w:r>
            <w:r>
              <w:tab/>
            </w:r>
            <w:r>
              <w:t xml:space="preserve">urychleně přehodnotila a řešila zhoršení stavu právního státu a rizika pro rozpočet Unie v Maďarsku </w:t>
            </w:r>
            <w:r>
              <w:rPr>
                <w:b/>
                <w:i/>
              </w:rPr>
              <w:t>a ve všech členských státech</w:t>
            </w:r>
            <w:r>
              <w:t xml:space="preserve"> a přijala veškerá nezbytná opatření v souladu s nařízením o podmíněnosti a dalšími dostupnými nástroji, včetně úplného pozastavení vyplácení finančních prostředků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bodbod i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urychleně přehodnotila a řešila zhoršení stavu právního státu a rizika pro rozpočet Unie v Maďarsku a přijala veškerá nezbytná opatření v souladu s nařízením o podmíněnosti a dalšími dostupnými nástroji, včetně </w:t>
            </w:r>
            <w:r>
              <w:rPr>
                <w:b/>
                <w:i/>
              </w:rPr>
              <w:t>úplného</w:t>
            </w:r>
            <w:r>
              <w:t xml:space="preserve"> pozastavení vyplácení finančních prostředků Unie;</w:t>
            </w:r>
          </w:p>
        </w:tc>
        <w:tc>
          <w:tcPr>
            <w:tcW w:w="4876" w:type="dxa"/>
            <w:tcBorders>
              <w:top w:val="nil"/>
              <w:left w:val="nil"/>
              <w:bottom w:val="nil"/>
              <w:right w:val="nil"/>
            </w:tcBorders>
          </w:tcPr>
          <w:p>
            <w:pPr>
              <w:pStyle w:val="Normal6a"/>
            </w:pPr>
            <w:r>
              <w:t>i)</w:t>
            </w:r>
            <w:r>
              <w:tab/>
            </w:r>
            <w:r>
              <w:t>urychleně přehodnotila a řešila zhoršení stavu právního státu a rizika pro rozpočet Unie v Maďarsku a přijala veškerá nezbytná opatření v souladu s nařízením o podmíněnosti a dalšími dostupnými nástroji, včetně pozastavení vyplácení finančních prostředků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pečlivě posoudila rizika, která nese rozpočet EU, a podala o nich jasnou zprávu, jak požaduje Účetní dvůr, a aby předložila důsledná opatření k jejich zmírnění;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ii)</w:t>
            </w:r>
            <w:r>
              <w:tab/>
            </w:r>
            <w:r>
              <w:t>důsledně a správně uplatňovala ustanovení týkající se „konečných příjemců“ obsažená v nařízení Evropského parlamentu a Rady (EU) 2021/241 ze dne 12. února 2021, kterým se zřizuje Nástroj pro oživení a odolnost</w:t>
            </w:r>
            <w:r>
              <w:rPr>
                <w:b/>
                <w:i/>
                <w:vertAlign w:val="superscript"/>
              </w:rPr>
              <w:t>3</w:t>
            </w:r>
            <w:r>
              <w:t xml:space="preserve">(nařízení o nástroji RRF), </w:t>
            </w:r>
            <w:r>
              <w:rPr>
                <w:b/>
                <w:i/>
              </w:rPr>
              <w:t>a to revizí</w:t>
            </w:r>
            <w:r>
              <w:t xml:space="preserve"> svých </w:t>
            </w:r>
            <w:r>
              <w:rPr>
                <w:b/>
                <w:i/>
              </w:rPr>
              <w:t>pokynů k RRP, aby komunikovala s členskými státy o správném uplatňování definice „</w:t>
            </w:r>
            <w:r>
              <w:t xml:space="preserve">konečných příjemců“ </w:t>
            </w:r>
            <w:r>
              <w:rPr>
                <w:b/>
                <w:i/>
              </w:rPr>
              <w:t>a do šesti měsíců</w:t>
            </w:r>
            <w:r>
              <w:t xml:space="preserve"> poskytla orgánu příslušnému k udělení absolutoria </w:t>
            </w:r>
            <w:r>
              <w:rPr>
                <w:b/>
                <w:i/>
              </w:rPr>
              <w:t>úplný a smysluplný seznam konečných příjemců, s výjimkou pouhých zprostředkujících subjektů, jako jsou ministerstva nebo řídicí orgány</w:t>
            </w:r>
            <w:r>
              <w:t>;</w:t>
            </w:r>
          </w:p>
        </w:tc>
        <w:tc>
          <w:tcPr>
            <w:tcW w:w="4876" w:type="dxa"/>
            <w:tcBorders>
              <w:top w:val="nil"/>
              <w:left w:val="nil"/>
              <w:bottom w:val="nil"/>
              <w:right w:val="nil"/>
            </w:tcBorders>
          </w:tcPr>
          <w:p>
            <w:pPr>
              <w:pStyle w:val="Normal6a"/>
            </w:pPr>
            <w:r>
              <w:t>ii)</w:t>
            </w:r>
            <w:r>
              <w:tab/>
            </w:r>
            <w:r>
              <w:t>důsledně a správně uplatňovala ustanovení týkající se „konečných příjemců“ obsažená v nařízení Evropského parlamentu a Rady (EU) 2021/241 ze dne 12. února 2021, kterým se zřizuje Nástroj pro oživení a odolnost</w:t>
            </w:r>
            <w:r>
              <w:rPr>
                <w:b/>
                <w:i/>
                <w:vertAlign w:val="superscript"/>
              </w:rPr>
              <w:t>[1]</w:t>
            </w:r>
            <w:r>
              <w:t xml:space="preserve"> (nařízení o nástroji RRF), </w:t>
            </w:r>
            <w:r>
              <w:rPr>
                <w:b/>
                <w:i/>
              </w:rPr>
              <w:t>které vyžaduje, aby členské státy v rámci</w:t>
            </w:r>
            <w:r>
              <w:t xml:space="preserve"> svých </w:t>
            </w:r>
            <w:r>
              <w:rPr>
                <w:b/>
                <w:i/>
              </w:rPr>
              <w:t>auditních a kontrolních povinností shromažďovaly údaje a zajišťovaly přístup k údajům, včetně jména</w:t>
            </w:r>
            <w:r>
              <w:t xml:space="preserve"> konečných příjemců </w:t>
            </w:r>
            <w:r>
              <w:rPr>
                <w:b/>
                <w:i/>
              </w:rPr>
              <w:t>finančních prostředků;</w:t>
            </w:r>
            <w:r>
              <w:t xml:space="preserve"> </w:t>
            </w:r>
            <w:r>
              <w:rPr>
                <w:b/>
                <w:i/>
              </w:rPr>
              <w:t>připomíná, že „konečným příjemcem</w:t>
            </w:r>
            <w:r>
              <w:t xml:space="preserve">“ </w:t>
            </w:r>
            <w:r>
              <w:rPr>
                <w:b/>
                <w:i/>
              </w:rPr>
              <w:t>by se měl rozumět poslední subjekt, který dostává finanční prostředky, a nikoli dodavatel, subdodavatel nebo zprostředkující subjekty;</w:t>
            </w:r>
            <w:r>
              <w:t xml:space="preserve"> </w:t>
            </w:r>
            <w:r>
              <w:rPr>
                <w:b/>
                <w:i/>
              </w:rPr>
              <w:t>vyzývá Komisi, aby tyto údaje</w:t>
            </w:r>
            <w:r>
              <w:t xml:space="preserve"> poskytla orgánu příslušnému k udělení absolutoria </w:t>
            </w:r>
            <w:r>
              <w:rPr>
                <w:b/>
                <w:i/>
              </w:rPr>
              <w:t>v souladu s požadavky na transparentnost stanovenými v nařízení</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3</w:t>
            </w:r>
            <w:r>
              <w:t xml:space="preserve"> </w:t>
            </w:r>
            <w:r>
              <w:rPr>
                <w:b/>
                <w:i/>
              </w:rPr>
              <w:t>Úř. věst. L 57, 18.2.2021, ELI:</w:t>
            </w:r>
            <w:r>
              <w:t xml:space="preserve"> </w:t>
            </w:r>
            <w:r>
              <w:rPr>
                <w:b/>
                <w:i/>
              </w:rPr>
              <w:t>http://data.europa.eu/eli/reg/2021/241/oj.</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Eero Heinäluoma,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ii)</w:t>
            </w:r>
            <w:r>
              <w:tab/>
            </w:r>
            <w:r>
              <w:t>důsledně a správně uplatňovala ustanovení týkající se „konečných příjemců“ obsažená v nařízení Evropského parlamentu a Rady (EU) 2021/241 ze dne 12. února 2021, kterým se zřizuje Nástroj pro oživení a odolnost</w:t>
            </w:r>
            <w:r>
              <w:rPr>
                <w:vertAlign w:val="superscript"/>
              </w:rPr>
              <w:t>3</w:t>
            </w:r>
            <w:r>
              <w:t xml:space="preserve">(nařízení o nástroji RRF), a to revizí svých pokynů k RRP, aby komunikovala s členskými státy o správném uplatňování definice „konečných příjemců“ a </w:t>
            </w:r>
            <w:r>
              <w:rPr>
                <w:b/>
                <w:i/>
              </w:rPr>
              <w:t>do šesti měsíců</w:t>
            </w:r>
            <w:r>
              <w:t xml:space="preserve"> poskytla orgánu příslušnému k udělení absolutoria úplný a smysluplný seznam konečných příjemců, s výjimkou pouhých zprostředkujících subjektů, jako jsou ministerstva nebo řídicí orgány;</w:t>
            </w:r>
          </w:p>
        </w:tc>
        <w:tc>
          <w:tcPr>
            <w:tcW w:w="4876" w:type="dxa"/>
            <w:tcBorders>
              <w:top w:val="nil"/>
              <w:left w:val="nil"/>
              <w:bottom w:val="nil"/>
              <w:right w:val="nil"/>
            </w:tcBorders>
          </w:tcPr>
          <w:p>
            <w:pPr>
              <w:pStyle w:val="Normal6a"/>
            </w:pPr>
            <w:r>
              <w:t>ii)</w:t>
            </w:r>
            <w:r>
              <w:tab/>
            </w:r>
            <w:r>
              <w:t>důsledně a správně uplatňovala ustanovení týkající se „konečných příjemců“ obsažená v nařízení Evropského parlamentu a Rady (EU) 2021/241 ze dne 12. února 2021, kterým se zřizuje Nástroj pro oživení a odolnost</w:t>
            </w:r>
            <w:r>
              <w:rPr>
                <w:vertAlign w:val="superscript"/>
              </w:rPr>
              <w:t>3</w:t>
            </w:r>
            <w:r>
              <w:t xml:space="preserve"> (nařízení o nástroji RRF), a to revizí svých pokynů k RRP, aby komunikovala s členskými státy o správném uplatňování definice „konečných příjemců“ a poskytla orgánu příslušnému k udělení absolutoria úplný a smysluplný seznam konečných příjemců, s výjimkou pouhých zprostředkujících subjektů, jako jsou ministerstva nebo řídicí orgány;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Úř. věst. L 57, 18.2.2021, ELI: http://data.europa.eu/eli/reg/2021/241/oj.</w:t>
            </w:r>
          </w:p>
        </w:tc>
        <w:tc>
          <w:tcPr>
            <w:tcW w:w="4876" w:type="dxa"/>
            <w:tcBorders>
              <w:top w:val="nil"/>
              <w:left w:val="nil"/>
              <w:bottom w:val="nil"/>
              <w:right w:val="nil"/>
            </w:tcBorders>
          </w:tcPr>
          <w:p>
            <w:pPr>
              <w:pStyle w:val="Normal6a"/>
            </w:pPr>
            <w:r>
              <w:rPr>
                <w:vertAlign w:val="superscript"/>
              </w:rPr>
              <w:t>3</w:t>
            </w:r>
            <w:r>
              <w:t xml:space="preserve"> </w:t>
            </w:r>
            <w:r>
              <w:t>Úř. věst. L 57, 18.2.2021, ELI: http://data.europa.eu/eli/reg/2021/241/oj.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ii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iia)</w:t>
            </w:r>
            <w:r>
              <w:tab/>
            </w:r>
            <w:r>
              <w:rPr>
                <w:b/>
                <w:i/>
              </w:rPr>
              <w:t>zvážila uplatňování přísné zásady „žádná platba bez sledovatelnosti“ a zajistila, aby platby byly podmíněny systematickou dostupností údajů konečným příjemcům a dodavatelům;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iii)</w:t>
            </w:r>
            <w:r>
              <w:tab/>
            </w:r>
            <w:r>
              <w:t>zajistila plné dodržování pravidel Unie pro přístup k dokumentům</w:t>
            </w:r>
            <w:r>
              <w:rPr>
                <w:b/>
                <w:i/>
              </w:rPr>
              <w:t>, včetně textových zpráv a jiné elektronické</w:t>
            </w:r>
            <w:r>
              <w:t xml:space="preserve"> komunikace </w:t>
            </w:r>
            <w:r>
              <w:rPr>
                <w:b/>
                <w:i/>
              </w:rPr>
              <w:t>předsedy Komise a komisařů</w:t>
            </w:r>
            <w:r>
              <w:t>;</w:t>
            </w:r>
          </w:p>
        </w:tc>
        <w:tc>
          <w:tcPr>
            <w:tcW w:w="4876" w:type="dxa"/>
            <w:tcBorders>
              <w:top w:val="nil"/>
              <w:left w:val="nil"/>
              <w:bottom w:val="nil"/>
              <w:right w:val="nil"/>
            </w:tcBorders>
          </w:tcPr>
          <w:p>
            <w:pPr>
              <w:pStyle w:val="Normal6a"/>
            </w:pPr>
            <w:r>
              <w:t>iii)</w:t>
            </w:r>
            <w:r>
              <w:tab/>
            </w:r>
            <w:r>
              <w:t xml:space="preserve">zajistila plné dodržování pravidel Unie pro přístup k dokumentům </w:t>
            </w:r>
            <w:r>
              <w:rPr>
                <w:b/>
                <w:i/>
              </w:rPr>
              <w:t>a zároveň uznala, že institucionální</w:t>
            </w:r>
            <w:r>
              <w:t xml:space="preserve"> komunikace </w:t>
            </w:r>
            <w:r>
              <w:rPr>
                <w:b/>
                <w:i/>
              </w:rPr>
              <w:t>veřejného zájmu by měla být zpřístupněna přiměřeným způsobem a při dodržení právních a bezpečnostních požadavků, aby byl zajištěn demokratický dohled a odpovědnost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iii)</w:t>
            </w:r>
            <w:r>
              <w:tab/>
            </w:r>
            <w:r>
              <w:t>zajistila plné dodržování pravidel Unie pro přístup k dokumentům</w:t>
            </w:r>
            <w:r>
              <w:rPr>
                <w:b/>
                <w:i/>
              </w:rPr>
              <w:t>, včetně textových zpráv a jiné elektronické komunikace předsedy Komise a komisařů</w:t>
            </w:r>
            <w:r>
              <w:t>;</w:t>
            </w:r>
          </w:p>
        </w:tc>
        <w:tc>
          <w:tcPr>
            <w:tcW w:w="4876" w:type="dxa"/>
            <w:tcBorders>
              <w:top w:val="nil"/>
              <w:left w:val="nil"/>
              <w:bottom w:val="nil"/>
              <w:right w:val="nil"/>
            </w:tcBorders>
          </w:tcPr>
          <w:p>
            <w:pPr>
              <w:pStyle w:val="Normal6a"/>
            </w:pPr>
            <w:r>
              <w:t>iii)</w:t>
            </w:r>
            <w:r>
              <w:tab/>
            </w:r>
            <w:r>
              <w:t>zajistila plné dodržování pravidel Unie pro přístup k dokumentům;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Joachim Stanisław Brudziński, 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iii)</w:t>
            </w:r>
            <w:r>
              <w:tab/>
            </w:r>
            <w:r>
              <w:t>zajistila plné dodržování pravidel Unie pro přístup k dokumentům, včetně textových zpráv a jiné elektronické komunikace předsedy Komise a komisařů;</w:t>
            </w:r>
          </w:p>
        </w:tc>
        <w:tc>
          <w:tcPr>
            <w:tcW w:w="4876" w:type="dxa"/>
            <w:tcBorders>
              <w:top w:val="nil"/>
              <w:left w:val="nil"/>
              <w:bottom w:val="nil"/>
              <w:right w:val="nil"/>
            </w:tcBorders>
          </w:tcPr>
          <w:p>
            <w:pPr>
              <w:pStyle w:val="Normal6a"/>
            </w:pPr>
            <w:r>
              <w:t>iii)</w:t>
            </w:r>
            <w:r>
              <w:tab/>
            </w:r>
            <w:r>
              <w:rPr>
                <w:b/>
                <w:i/>
              </w:rPr>
              <w:t>naléhavě</w:t>
            </w:r>
            <w:r>
              <w:t xml:space="preserve"> zajistila plné dodržování pravidel Unie pro přístup k dokumentům, včetně textových zpráv a jiné elektronické komunikace předsedy Komise a komisařů;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iv)</w:t>
            </w:r>
            <w:r>
              <w:tab/>
            </w:r>
            <w:r>
              <w:rPr>
                <w:b/>
                <w:i/>
              </w:rPr>
              <w:t>zajistila, aby v případě, že zjištěný střet zájmů nebude prokazatelně a ověřitelně vyřešen, nebyly společnosti Agrofert ani jiným obchodním zájmům Andreje Babiše přímo ani nepřímo vypláceny žádné finanční prostředky Unie;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iv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iv)</w:t>
            </w:r>
            <w:r>
              <w:tab/>
            </w:r>
            <w:r>
              <w:t xml:space="preserve">zajistila, aby v </w:t>
            </w:r>
            <w:r>
              <w:rPr>
                <w:b/>
                <w:i/>
              </w:rPr>
              <w:t>případě, že zjištěný</w:t>
            </w:r>
            <w:r>
              <w:t xml:space="preserve"> střet zájmů </w:t>
            </w:r>
            <w:r>
              <w:rPr>
                <w:b/>
                <w:i/>
              </w:rPr>
              <w:t>nebude</w:t>
            </w:r>
            <w:r>
              <w:t xml:space="preserve"> prokazatelně a ověřitelně vyřešen</w:t>
            </w:r>
            <w:r>
              <w:rPr>
                <w:b/>
                <w:i/>
              </w:rPr>
              <w:t>, nebyly společnosti Agrofert ani jiným obchodním zájmům Andreje Babiše přímo ani nepřímo vypláceny žádné finanční prostředky Unie</w:t>
            </w:r>
            <w:r>
              <w:t>;</w:t>
            </w:r>
          </w:p>
        </w:tc>
        <w:tc>
          <w:tcPr>
            <w:tcW w:w="4876" w:type="dxa"/>
            <w:tcBorders>
              <w:top w:val="nil"/>
              <w:left w:val="nil"/>
              <w:bottom w:val="nil"/>
              <w:right w:val="nil"/>
            </w:tcBorders>
          </w:tcPr>
          <w:p>
            <w:pPr>
              <w:pStyle w:val="Normal6a"/>
            </w:pPr>
            <w:r>
              <w:t>iv)</w:t>
            </w:r>
            <w:r>
              <w:tab/>
            </w:r>
            <w:r>
              <w:t xml:space="preserve">zajistila, aby v </w:t>
            </w:r>
            <w:r>
              <w:rPr>
                <w:b/>
                <w:i/>
              </w:rPr>
              <w:t>souladu s platnými pravidly a zárukami Unie nebyly přímo ani nepřímo vyplaceny žádné finanční prostředky Unie příjemcům, u nichž byl zjištěn</w:t>
            </w:r>
            <w:r>
              <w:t xml:space="preserve"> střet zájmů </w:t>
            </w:r>
            <w:r>
              <w:rPr>
                <w:b/>
                <w:i/>
              </w:rPr>
              <w:t>a nebyl</w:t>
            </w:r>
            <w:r>
              <w:t xml:space="preserve"> prokazatelně a ověřitelně vyřešen;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w:t>
            </w:r>
            <w:r>
              <w:tab/>
            </w:r>
            <w:r>
              <w:rPr>
                <w:b/>
                <w:i/>
              </w:rPr>
              <w:t>vyzývá předsedkyni Komise, aby v souladu s čl. 17 odst. 6 SEU vyslovila nedůvěru komisaři Várhelyimu;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w:t>
            </w:r>
            <w:r>
              <w:tab/>
            </w:r>
            <w:r>
              <w:rPr>
                <w:b/>
                <w:i/>
              </w:rPr>
              <w:t>vyzývá předsedkyni Komise, aby v souladu s čl. 17 odst. 6 SEU vyslovila nedůvěru komisaři Várhelyimu;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w:t>
            </w:r>
            <w:r>
              <w:tab/>
            </w:r>
            <w:r>
              <w:t xml:space="preserve">vyzývá </w:t>
            </w:r>
            <w:r>
              <w:rPr>
                <w:b/>
                <w:i/>
              </w:rPr>
              <w:t>předsedkyni Komise, aby v</w:t>
            </w:r>
            <w:r>
              <w:t xml:space="preserve"> souladu s </w:t>
            </w:r>
            <w:r>
              <w:rPr>
                <w:b/>
                <w:i/>
              </w:rPr>
              <w:t>čl. 17 odst. 6 SEU vyslovila nedůvěru komisaři Várhelyimu</w:t>
            </w:r>
            <w:r>
              <w:t>;</w:t>
            </w:r>
          </w:p>
        </w:tc>
        <w:tc>
          <w:tcPr>
            <w:tcW w:w="4876" w:type="dxa"/>
            <w:tcBorders>
              <w:top w:val="nil"/>
              <w:left w:val="nil"/>
              <w:bottom w:val="nil"/>
              <w:right w:val="nil"/>
            </w:tcBorders>
          </w:tcPr>
          <w:p>
            <w:pPr>
              <w:pStyle w:val="Normal6a"/>
            </w:pPr>
            <w:r>
              <w:t>v)</w:t>
            </w:r>
            <w:r>
              <w:tab/>
            </w:r>
            <w:r>
              <w:t xml:space="preserve">vyzývá </w:t>
            </w:r>
            <w:r>
              <w:rPr>
                <w:b/>
                <w:i/>
              </w:rPr>
              <w:t>Komisi, aby zajistila, aby všichni komisaři a vyšší úředníci vykonávali své funkce v plném</w:t>
            </w:r>
            <w:r>
              <w:t xml:space="preserve"> souladu s </w:t>
            </w:r>
            <w:r>
              <w:rPr>
                <w:b/>
                <w:i/>
              </w:rPr>
              <w:t>pravidly Unie týkajícími se integrity, střetu zájmů a řádné správy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vi)</w:t>
            </w:r>
            <w:r>
              <w:tab/>
            </w:r>
            <w:r>
              <w:t xml:space="preserve">vyzývá Komisi, aby v souladu s doporučeními Účetního dvora </w:t>
            </w:r>
            <w:r>
              <w:rPr>
                <w:b/>
                <w:i/>
              </w:rPr>
              <w:t>posílila stávající kontrolní rámec prostřednictvím nezávislého předběžného ověřování koeficientů pro klima a biologickou rozmanitost, systematického zveřejňování údajů o klimatu na úrovni projektů a transparentního podávání zpráv o výdajích škodlivých pro životní prostředí</w:t>
            </w:r>
            <w:r>
              <w:t>;</w:t>
            </w:r>
          </w:p>
        </w:tc>
        <w:tc>
          <w:tcPr>
            <w:tcW w:w="4876" w:type="dxa"/>
            <w:tcBorders>
              <w:top w:val="nil"/>
              <w:left w:val="nil"/>
              <w:bottom w:val="nil"/>
              <w:right w:val="nil"/>
            </w:tcBorders>
          </w:tcPr>
          <w:p>
            <w:pPr>
              <w:pStyle w:val="Normal6a"/>
            </w:pPr>
            <w:r>
              <w:t>vi)</w:t>
            </w:r>
            <w:r>
              <w:tab/>
            </w:r>
            <w:r>
              <w:t xml:space="preserve">vyzývá Komisi, aby </w:t>
            </w:r>
            <w:r>
              <w:rPr>
                <w:b/>
                <w:i/>
              </w:rPr>
              <w:t>odpovídajícím způsobem uplatňovala kontrolní rámec pro výdaje Unie související s cíli v oblasti klimatu a biologické rozmanitosti, včetně přiměřeného ověřovacího mechanismu, včasného vykazování údajů o klimatu na úrovni projektů a transparentní komunikace o dopadech na životní prostředí,</w:t>
            </w:r>
            <w:r>
              <w:t xml:space="preserve"> v souladu s doporučeními Účetního dvora </w:t>
            </w:r>
            <w:r>
              <w:rPr>
                <w:b/>
                <w:i/>
              </w:rPr>
              <w:t>a s náležitým ohledem na provozní proveditelnost a hospodářskou konkurenceschopnost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vi)</w:t>
            </w:r>
            <w:r>
              <w:tab/>
            </w:r>
            <w:r>
              <w:t>vyzývá Komisi, aby v souladu s doporučeními Účetního dvora posílila stávající kontrolní rámec prostřednictvím nezávislého předběžného ověřování koeficientů pro klima a biologickou rozmanitost, systematického zveřejňování údajů o klimatu na úrovni projektů a transparentního podávání zpráv o výdajích škodlivých pro životní prostředí;</w:t>
            </w:r>
          </w:p>
        </w:tc>
        <w:tc>
          <w:tcPr>
            <w:tcW w:w="4876" w:type="dxa"/>
            <w:tcBorders>
              <w:top w:val="nil"/>
              <w:left w:val="nil"/>
              <w:bottom w:val="nil"/>
              <w:right w:val="nil"/>
            </w:tcBorders>
          </w:tcPr>
          <w:p>
            <w:pPr>
              <w:pStyle w:val="Normal6a"/>
            </w:pPr>
            <w:r>
              <w:t>vi)</w:t>
            </w:r>
            <w:r>
              <w:tab/>
            </w:r>
            <w:r>
              <w:t xml:space="preserve">vyzývá Komisi, aby v souladu s doporučeními Účetního dvora posílila stávající kontrolní rámec prostřednictvím nezávislého předběžného ověřování koeficientů pro klima a biologickou rozmanitost, systematického zveřejňování údajů o klimatu na úrovni projektů a transparentního podávání zpráv o výdajích škodlivých pro životní prostředí </w:t>
            </w:r>
            <w:r>
              <w:rPr>
                <w:b/>
                <w:i/>
              </w:rPr>
              <w:t>a aby zlepšila monitorování a vykazování výsledků nad rámec pouhých výdajových cílů s cílem maximalizovat dopad financování Unie v oblasti klimatu a biologické rozmanitosti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vi)</w:t>
            </w:r>
            <w:r>
              <w:tab/>
            </w:r>
            <w:r>
              <w:t xml:space="preserve">vyzývá Komisi, aby </w:t>
            </w:r>
            <w:r>
              <w:rPr>
                <w:b/>
                <w:i/>
              </w:rPr>
              <w:t>v souladu s doporučeními Účetního dvora</w:t>
            </w:r>
            <w:r>
              <w:t xml:space="preserve"> posílila stávající kontrolní rámec prostřednictvím nezávislého předběžného ověřování </w:t>
            </w:r>
            <w:r>
              <w:rPr>
                <w:b/>
                <w:i/>
              </w:rPr>
              <w:t>koeficientů pro klima a biologickou rozmanitost, systematického zveřejňování údajů o klimatu na úrovni projektů a transparentního podávání zpráv o výdajích škodlivých pro životní prostředí</w:t>
            </w:r>
            <w:r>
              <w:t>;</w:t>
            </w:r>
          </w:p>
        </w:tc>
        <w:tc>
          <w:tcPr>
            <w:tcW w:w="4876" w:type="dxa"/>
            <w:tcBorders>
              <w:top w:val="nil"/>
              <w:left w:val="nil"/>
              <w:bottom w:val="nil"/>
              <w:right w:val="nil"/>
            </w:tcBorders>
          </w:tcPr>
          <w:p>
            <w:pPr>
              <w:pStyle w:val="Normal6a"/>
            </w:pPr>
            <w:r>
              <w:t>vi)</w:t>
            </w:r>
            <w:r>
              <w:tab/>
            </w:r>
            <w:r>
              <w:t xml:space="preserve">vyzývá Komisi, aby posílila stávající kontrolní rámec prostřednictvím nezávislého předběžného ověřování </w:t>
            </w:r>
            <w:r>
              <w:rPr>
                <w:b/>
                <w:i/>
              </w:rPr>
              <w:t>dopadu svých politik na evropské společnosti a na kupní sílu evropských občanů</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vi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via)</w:t>
            </w:r>
            <w:r>
              <w:tab/>
            </w:r>
            <w:r>
              <w:rPr>
                <w:b/>
                <w:i/>
              </w:rPr>
              <w:t>zajistila, aby příjemci finančních prostředků Unie za žádných okolností nevyužívali finanční prostředky EU na zevrubné lobbistické činnosti zaměřené na orgány Unie, neboť daňoví poplatníci EU by neměli platit za lobbing související s úroky, což může poškodit pověst a ohrozit institucionální rovnováhu v Unii;</w:t>
            </w:r>
            <w:r>
              <w:t xml:space="preserve"> </w:t>
            </w:r>
            <w:r>
              <w:rPr>
                <w:b/>
                <w:i/>
              </w:rPr>
              <w:t>vítá nový přístup Komise a nové pokyny zveřejněné v květnu 2024 na ochranu rozpočtu EU;</w:t>
            </w:r>
            <w:r>
              <w:t xml:space="preserve"> </w:t>
            </w:r>
            <w:r>
              <w:rPr>
                <w:b/>
                <w:i/>
              </w:rPr>
              <w:t>konstatuje, že ačkoli je legitimní vyjadřovat zájmy, EU by neměla financovat rozvoj lobbistických kapacit nebo lobbování přímo u orgánů EU nebo vnitrostátních a regionálních parlamentů a vlád, ani přidělovat finanční prostředky na protekcionistická opatření nebo soudní řízení regionální nebo vnitrostátní povahy;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vi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via)</w:t>
            </w:r>
            <w:r>
              <w:tab/>
            </w:r>
            <w:r>
              <w:rPr>
                <w:b/>
                <w:i/>
              </w:rPr>
              <w:t>vyzývá k okamžitému pozastavení nebo zrušení grantových dohod uzavřených s nevládními organizacemi, pokud porušují finanční pravidla EU, a k doplnění pokynů Komise o konkrétní návrhy, které zajistí, aby rozpočet přidělený Komisi členskými státy a daňovými poplatníky nebyl využíván na lobbistické nebo komunikační činnosti ve prospěch Komise, zejména v období voleb;</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vi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via)</w:t>
            </w:r>
            <w:r>
              <w:tab/>
            </w:r>
            <w:r>
              <w:rPr>
                <w:b/>
                <w:i/>
              </w:rPr>
              <w:t>připomíná význam náležitého dohledu nad financováním Unie se zvláštním důrazem na dodržování základních hodnot Unie;</w:t>
            </w:r>
            <w:r>
              <w:t xml:space="preserve"> </w:t>
            </w:r>
            <w:r>
              <w:rPr>
                <w:b/>
                <w:i/>
              </w:rPr>
              <w:t>vyzývá Komisi, aby v souladu s finančním nařízením prověřila všechny potenciálně podvodné nebo neoprávněné příjemce;</w:t>
            </w:r>
            <w:r>
              <w:t xml:space="preserve"> </w:t>
            </w:r>
            <w:r>
              <w:rPr>
                <w:b/>
                <w:i/>
              </w:rPr>
              <w:t>a připomíná svou právní povinnost zajistit, aby příjemci tyto hodnoty dodržovali a zdrželi se profesního pochybení;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vi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vic)</w:t>
            </w:r>
            <w:r>
              <w:tab/>
            </w:r>
            <w:r>
              <w:rPr>
                <w:b/>
                <w:i/>
              </w:rPr>
              <w:t>vyzývá Komisi, aby zajistila, že úřad EPPO bude mít dostatečné zdroje na vyšetřování případů podvodů souvisejících s výdaji z nástroje RRF nebo finančních prostředků EU, a to vzhledem k rostoucímu počtu vyšetřování a vysokým odhadovaným škodám;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Joachim Stanisław Brudziński, 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vi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via)</w:t>
            </w:r>
            <w:r>
              <w:tab/>
            </w:r>
            <w:r>
              <w:rPr>
                <w:b/>
                <w:i/>
              </w:rPr>
              <w:t>vyzývá Komisi, aby zvýšila transparentnost svých opatření, dodržovala své vlastní pokyny týkající se právního státu a urychleně vyjasnila všechny nesrovnalosti;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Olivier Chastel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podbod vi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vib)</w:t>
            </w:r>
            <w:r>
              <w:tab/>
            </w:r>
            <w:r>
              <w:rPr>
                <w:b/>
                <w:i/>
              </w:rPr>
              <w:t>připomíná, že rovnost je základní hodnota Unie a je zakotvena v Listině základních práv Evropské unie;</w:t>
            </w:r>
            <w:r>
              <w:t xml:space="preserve"> </w:t>
            </w:r>
            <w:r>
              <w:rPr>
                <w:b/>
                <w:i/>
              </w:rPr>
              <w:t>připomíná závazek Unie začleňovat genderové hledisko do tvorby politik a vynakládání finančních prostředků Unie, včetně genderového rozpočtování;</w:t>
            </w:r>
            <w:r>
              <w:t xml:space="preserve"> </w:t>
            </w:r>
            <w:r>
              <w:rPr>
                <w:b/>
                <w:i/>
              </w:rPr>
              <w:t>vybízí Komisi, aby pokračovala v úsilí vyvíjeném při genderovém rozpočtování a při sledování dopadu rozpočtu Unie na podporu genderové rovnosti;</w:t>
            </w:r>
            <w:r>
              <w:t xml:space="preserve"> </w:t>
            </w:r>
            <w:r>
              <w:rPr>
                <w:b/>
                <w:i/>
              </w:rPr>
              <w:t>připomíná povinnost Komise připojit ke všem legislativním návrhům posouzení dopadů, pokud se předpokládá, že budou mít významný hospodářský, sociální a environmentální dopad, aby bylo mimo jiné zaručeno spravedlivé rozdělování finančních prostředků;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vyjadřuje hluboké politování nad záporným výrokem k legalitě a správnosti výdajů z rozpočtu Unie, které Účetní dvůr vydal již šestý rok v řadě; považuje tento stav za stále problematičtější a zdůrazňuje, že pokud by situace nadále přetrvávala, nebo se dokonce dále zhoršovala, nemůže orgán příslušný k udělení absolutoria nadále udělovat Komisi absolutorium;</w:t>
            </w:r>
          </w:p>
        </w:tc>
        <w:tc>
          <w:tcPr>
            <w:tcW w:w="4876" w:type="dxa"/>
            <w:tcBorders>
              <w:top w:val="nil"/>
              <w:left w:val="nil"/>
              <w:bottom w:val="nil"/>
              <w:right w:val="nil"/>
            </w:tcBorders>
          </w:tcPr>
          <w:p>
            <w:pPr>
              <w:pStyle w:val="Normal6a"/>
            </w:pPr>
            <w:r>
              <w:t>19.</w:t>
            </w:r>
            <w:r>
              <w:tab/>
            </w:r>
            <w:r>
              <w:t xml:space="preserve">vyjadřuje hluboké politování nad záporným výrokem k legalitě a správnosti výdajů z rozpočtu Unie, které Účetní dvůr vydal již šestý rok v řadě; považuje tento stav za stále problematičtější a zdůrazňuje, že pokud by situace nadále přetrvávala, nebo se dokonce dále zhoršovala, nemůže orgán příslušný k udělení absolutoria nadále udělovat Komisi absolutorium; </w:t>
            </w:r>
            <w:r>
              <w:rPr>
                <w:b/>
                <w:i/>
              </w:rPr>
              <w:t>zdůrazňuje, že je důležité posílit konečné řízení a kontrolní mechanismy Komise i členských států, které Účetní dvůr nepovažuje za spolehlivé, a ohrožuje tak spolehlivost výroční zprávy o řízení a výkonnosti;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vyjadřuje hluboké politování nad záporným výrokem k legalitě a správnosti výdajů z rozpočtu Unie, které Účetní dvůr vydal již šestý rok v řadě; považuje </w:t>
            </w:r>
            <w:r>
              <w:rPr>
                <w:b/>
                <w:i/>
              </w:rPr>
              <w:t>tento stav</w:t>
            </w:r>
            <w:r>
              <w:t xml:space="preserve"> za stále problematičtější </w:t>
            </w:r>
            <w:r>
              <w:rPr>
                <w:b/>
                <w:i/>
              </w:rPr>
              <w:t>a zdůrazňuje, že pokud by situace nadále přetrvávala, nebo se dokonce dále zhoršovala, nemůže orgán příslušný k udělení absolutoria nadále udělovat Komisi absolutorium</w:t>
            </w:r>
            <w:r>
              <w:t>;</w:t>
            </w:r>
          </w:p>
        </w:tc>
        <w:tc>
          <w:tcPr>
            <w:tcW w:w="4876" w:type="dxa"/>
            <w:tcBorders>
              <w:top w:val="nil"/>
              <w:left w:val="nil"/>
              <w:bottom w:val="nil"/>
              <w:right w:val="nil"/>
            </w:tcBorders>
          </w:tcPr>
          <w:p>
            <w:pPr>
              <w:pStyle w:val="Normal6a"/>
            </w:pPr>
            <w:r>
              <w:t>19.</w:t>
            </w:r>
            <w:r>
              <w:tab/>
            </w:r>
            <w:r>
              <w:t xml:space="preserve">vyjadřuje hluboké politování nad záporným výrokem k legalitě a správnosti výdajů z rozpočtu Unie, které Účetní dvůr vydal již šestý rok v řadě; považuje </w:t>
            </w:r>
            <w:r>
              <w:rPr>
                <w:b/>
                <w:i/>
              </w:rPr>
              <w:t>to</w:t>
            </w:r>
            <w:r>
              <w:t xml:space="preserve"> za stále problematičtější;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vyjadřuje </w:t>
            </w:r>
            <w:r>
              <w:rPr>
                <w:b/>
                <w:i/>
              </w:rPr>
              <w:t>hluboké</w:t>
            </w:r>
            <w:r>
              <w:t xml:space="preserve"> politování nad záporným výrokem k legalitě a správnosti výdajů z rozpočtu Unie, které Účetní dvůr vydal již šestý rok v řadě; považuje </w:t>
            </w:r>
            <w:r>
              <w:rPr>
                <w:b/>
                <w:i/>
              </w:rPr>
              <w:t>tento stav za stále problematičtější a</w:t>
            </w:r>
            <w:r>
              <w:t xml:space="preserve"> zdůrazňuje, že </w:t>
            </w:r>
            <w:r>
              <w:rPr>
                <w:b/>
                <w:i/>
              </w:rPr>
              <w:t>pokud by situace nadále přetrvávala, nebo se dokonce dále zhoršovala, nemůže orgán příslušný k udělení absolutoria nadále udělovat Komisi absolutorium</w:t>
            </w:r>
            <w:r>
              <w:t>;</w:t>
            </w:r>
          </w:p>
        </w:tc>
        <w:tc>
          <w:tcPr>
            <w:tcW w:w="4876" w:type="dxa"/>
            <w:tcBorders>
              <w:top w:val="nil"/>
              <w:left w:val="nil"/>
              <w:bottom w:val="nil"/>
              <w:right w:val="nil"/>
            </w:tcBorders>
          </w:tcPr>
          <w:p>
            <w:pPr>
              <w:pStyle w:val="Normal6a"/>
            </w:pPr>
            <w:r>
              <w:t>19.</w:t>
            </w:r>
            <w:r>
              <w:tab/>
            </w:r>
            <w:r>
              <w:t xml:space="preserve">vyjadřuje </w:t>
            </w:r>
            <w:r>
              <w:rPr>
                <w:b/>
                <w:i/>
              </w:rPr>
              <w:t>však</w:t>
            </w:r>
            <w:r>
              <w:t xml:space="preserve"> politování nad záporným výrokem k legalitě a správnosti výdajů z rozpočtu Unie, které Účetní dvůr vydal již šestý rok v řadě; považuje </w:t>
            </w:r>
            <w:r>
              <w:rPr>
                <w:b/>
                <w:i/>
              </w:rPr>
              <w:t>tuto záležitost za znepokojivou;</w:t>
            </w:r>
            <w:r>
              <w:t xml:space="preserve"> zdůrazňuje, že </w:t>
            </w:r>
            <w:r>
              <w:rPr>
                <w:b/>
                <w:i/>
              </w:rPr>
              <w:t>je důležité, aby Komise pokračovala v trvalém úsilí o řešení základních nedostatků zjištěných Účetním dvorem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konstatuje, že na rozdíl od Účetního dvora, který musí hlásit všechny chyby bez ohledu na to, zda je možné provést finanční opravu, Komise hlásí pouze nesrovnalosti, u nichž se domnívá, že je jejich vymáhání právně odůvodněné; připomíná, že definice „nesrovnalosti“ používaná Komisí vylučuje nesrovnalosti způsobené nedostatky ve vnitrostátních správních orgánech nebo v samotné Komisi, zatímco definice „chyby“ používaná Účetním dvorem zahrnuje všechny platby provedené za situace, kdy nebyly splněny uložené podmínky;</w:t>
            </w:r>
          </w:p>
        </w:tc>
        <w:tc>
          <w:tcPr>
            <w:tcW w:w="4876" w:type="dxa"/>
            <w:tcBorders>
              <w:top w:val="nil"/>
              <w:left w:val="nil"/>
              <w:bottom w:val="nil"/>
              <w:right w:val="nil"/>
            </w:tcBorders>
          </w:tcPr>
          <w:p>
            <w:pPr>
              <w:pStyle w:val="Normal6a"/>
            </w:pPr>
            <w:r>
              <w:t>22.</w:t>
            </w:r>
            <w:r>
              <w:tab/>
            </w:r>
            <w:r>
              <w:t xml:space="preserve">konstatuje, že na rozdíl od Účetního dvora, který musí hlásit všechny chyby bez ohledu na to, zda je možné provést finanční opravu, Komise hlásí pouze nesrovnalosti, u nichž se domnívá, že je jejich vymáhání právně odůvodněné; připomíná, že definice „nesrovnalosti“ používaná Komisí vylučuje nesrovnalosti způsobené nedostatky ve vnitrostátních správních orgánech nebo v samotné Komisi, zatímco definice „chyby“ používaná Účetním dvorem zahrnuje všechny platby provedené za situace, kdy nebyly splněny uložené podmínky; </w:t>
            </w:r>
            <w:r>
              <w:rPr>
                <w:b/>
                <w:i/>
              </w:rPr>
              <w:t>bere na vědomí obtíže, s nimiž se potýká orgán příslušný k udělení absolutoria, když Účetní dvůr a Komise používají odlišné právní a metodické definice vzhledem k jejich odlišným institucionálním úlohám;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opakuje, že podporuje nezávislý auditní přístup a metodiku Účetního dvora, a vyzývá Komisi, aby s Účetním dvorem spolupracovala na lepší harmonizaci a dosahování srovnatelnějších odhadů míry chyb;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22b.</w:t>
            </w:r>
            <w:r>
              <w:tab/>
            </w:r>
            <w:r>
              <w:rPr>
                <w:b/>
                <w:i/>
              </w:rPr>
              <w:t>zdůrazňuje, že je důležité zajistit, aby veřejné orgány účinně získávaly zpět příjmy ztracené v důsledku podvodů, daňových úniků a administrativní roztříštěnosti, a to v rámci vyváženého přístupu k ochraně veřejných financí a posílení důvěry daňových poplatníků;</w:t>
            </w:r>
            <w:r>
              <w:t xml:space="preserve"> </w:t>
            </w:r>
            <w:r>
              <w:rPr>
                <w:b/>
                <w:i/>
              </w:rPr>
              <w:t>vyzývá Komisi, aby každoročně zveřejňovala „srovnávací přehled zpětně získaných zdrojů“, který by shrnoval informace o zpětně získaných částkách, finančních opravách a konfiskacích souvisejících s výdaji Unie a spoluprací v oblasti prosazování práva, s cílem zvýšit transparentnost a odpovědnost;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22c.</w:t>
            </w:r>
            <w:r>
              <w:tab/>
            </w:r>
            <w:r>
              <w:rPr>
                <w:b/>
                <w:i/>
              </w:rPr>
              <w:t>je znepokojen tím, že Komise a Účetní dvůr pojem „míra chyb“ vykládají různě, což vede k nejasnostem;</w:t>
            </w:r>
            <w:r>
              <w:t xml:space="preserve"> </w:t>
            </w:r>
            <w:r>
              <w:rPr>
                <w:b/>
                <w:i/>
              </w:rPr>
              <w:t>vyjadřuje svou podporu koncepci a metodice auditu Účetního dvora a důrazně vyzývá oba orgány, aby zaujaly společný přístup;</w:t>
            </w:r>
            <w:r>
              <w:t xml:space="preserve"> </w:t>
            </w:r>
            <w:r>
              <w:rPr>
                <w:b/>
                <w:i/>
              </w:rPr>
              <w:t>je znepokojen tím, že Komise stávající míru chyb systematicky podceňuje, což by mohlo vést k neúčinné ochraně finančních zájmů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vyjadřuje své znepokojení ohledně připomínky Účetního dvora, že Komise při svém posuzování skutečnou úroveň rizika v několika oblastech pravděpodobně podhodnocuje; konstatuje, že </w:t>
            </w:r>
            <w:r>
              <w:rPr>
                <w:b/>
                <w:i/>
              </w:rPr>
              <w:t>opakované</w:t>
            </w:r>
            <w:r>
              <w:t xml:space="preserve"> nedostatky </w:t>
            </w:r>
            <w:r>
              <w:rPr>
                <w:b/>
                <w:i/>
              </w:rPr>
              <w:t>zjištěné v</w:t>
            </w:r>
            <w:r>
              <w:t xml:space="preserve"> řídicích a kontrolních systémech </w:t>
            </w:r>
            <w:r>
              <w:rPr>
                <w:b/>
                <w:i/>
              </w:rPr>
              <w:t>členských států nadále omezují míru důvěry v jejich práci</w:t>
            </w:r>
            <w:r>
              <w:t>; vítá záměr Účetního dvora ukončit od roku 2025 praxi výběru auditních vzorků z transakcí, které již byly přezkoumány Komisí nebo vnitrostátními kontrolními orgány, což je změna, která se stala nezbytnou, protože tento přístup, ačkoli se očekává, že odhalí jen málo chyb nebo žádné, se opakovaně ukázal jako nespolehlivý; zdůrazňuje, že tato změna vyvolává vážné pochybnosti o účinnosti kontrolních systémů Unie a posiluje dlouhodobé volání Parlamentu po spolehlivých mechanismech kontroly ve všech způsobech řízení;</w:t>
            </w:r>
          </w:p>
        </w:tc>
        <w:tc>
          <w:tcPr>
            <w:tcW w:w="4876" w:type="dxa"/>
            <w:tcBorders>
              <w:top w:val="nil"/>
              <w:left w:val="nil"/>
              <w:bottom w:val="nil"/>
              <w:right w:val="nil"/>
            </w:tcBorders>
          </w:tcPr>
          <w:p>
            <w:pPr>
              <w:pStyle w:val="Normal6a"/>
            </w:pPr>
            <w:r>
              <w:t>23.</w:t>
            </w:r>
            <w:r>
              <w:tab/>
            </w:r>
            <w:r>
              <w:t xml:space="preserve">vyjadřuje své znepokojení ohledně připomínky Účetního dvora, že Komise při svém posuzování skutečnou úroveň rizika v několika oblastech pravděpodobně podhodnocuje; konstatuje, že </w:t>
            </w:r>
            <w:r>
              <w:rPr>
                <w:b/>
                <w:i/>
              </w:rPr>
              <w:t>zjištěné</w:t>
            </w:r>
            <w:r>
              <w:t xml:space="preserve"> nedostatky </w:t>
            </w:r>
            <w:r>
              <w:rPr>
                <w:b/>
                <w:i/>
              </w:rPr>
              <w:t>v některých</w:t>
            </w:r>
            <w:r>
              <w:t xml:space="preserve"> řídicích a kontrolních systémech </w:t>
            </w:r>
            <w:r>
              <w:rPr>
                <w:b/>
                <w:i/>
              </w:rPr>
              <w:t>mohou ovlivnit celkovou spolehlivost závěrů auditu;</w:t>
            </w:r>
            <w:r>
              <w:t xml:space="preserve"> </w:t>
            </w:r>
            <w:r>
              <w:rPr>
                <w:b/>
                <w:i/>
              </w:rPr>
              <w:t>zdůrazňuje, že je třeba zajistit důkladný dohled nad všemi způsoby řízení</w:t>
            </w:r>
            <w:r>
              <w:t>; vítá záměr Účetního dvora ukončit od roku 2025 praxi výběru auditních vzorků z transakcí, které již byly přezkoumány Komisí nebo vnitrostátními kontrolními orgány, což je změna, která se stala nezbytnou, protože tento přístup, ačkoli se očekává, že odhalí jen málo chyb nebo žádné, se opakovaně ukázal jako nespolehlivý; zdůrazňuje, že tato změna vyvolává vážné pochybnosti o účinnosti kontrolních systémů Unie a posiluje dlouhodobé volání Parlamentu po spolehlivých mechanismech kontroly ve všech způsobech 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vyzývá Komisi, aby urychlila zavádění interoperabilních nástrojů pro boj proti podvodům a vytěžování dat napříč způsoby řízení, které umožní křížové kontroly skutečného vlastnictví, ukazatelů rizika v oblasti zadávání veřejných zakázek a signálů svědčících o dvojím financování; vyzývá Komisi, aby orgánu příslušnému k udělení absolutoria každoročně podávala zprávu o rozsahu a účinnosti těchto nástrojů, včetně jejich využívání řídicími orgány;</w:t>
            </w:r>
          </w:p>
        </w:tc>
        <w:tc>
          <w:tcPr>
            <w:tcW w:w="4876" w:type="dxa"/>
            <w:tcBorders>
              <w:top w:val="nil"/>
              <w:left w:val="nil"/>
              <w:bottom w:val="nil"/>
              <w:right w:val="nil"/>
            </w:tcBorders>
          </w:tcPr>
          <w:p>
            <w:pPr>
              <w:pStyle w:val="Normal6a"/>
            </w:pPr>
            <w:r>
              <w:t>24.</w:t>
            </w:r>
            <w:r>
              <w:tab/>
            </w:r>
            <w:r>
              <w:rPr>
                <w:b/>
                <w:i/>
              </w:rPr>
              <w:t>naléhavě</w:t>
            </w:r>
            <w:r>
              <w:t xml:space="preserve"> vyzývá Komisi, aby urychlila zavádění interoperabilních nástrojů pro boj proti podvodům a vytěžování dat napříč způsoby řízení, které umožní křížové kontroly skutečného vlastnictví, ukazatelů rizika v oblasti zadávání veřejných zakázek a signálů svědčících o dvojím financování; vyzývá Komisi, aby orgánu příslušnému k udělení absolutoria každoročně podávala zprávu o rozsahu a účinnosti těchto nástrojů, včetně jejich využívání řídicími orgány; </w:t>
            </w:r>
            <w:r>
              <w:rPr>
                <w:b/>
                <w:i/>
              </w:rPr>
              <w:t>opakuje, že je naléhavě nutné povinně využívat nástroje pro vytěžování dat a umělou inteligenci k účinnému boji proti podvodům a nesrovnalostem;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zdůrazňuje, že odhadovaná míra chyb ve výdajích Unie, která je uvedena v prohlášení Účetního dvora o věrohodnosti, odráží částky, které byly vyplaceny, aniž by byly splněny všechna platná pravidla a podmínky; domnívá se, že ačkoli to není ukazatel podvodu nebo korupce a neznamená to automaticky nehospodárné využívání zdrojů, poukazuje to na případy, kdy je třeba přijmout nápravná opatření a kdy je možné posílit ochranu finančních zájmů Unie; vyjadřuje politování nad tím, že přetrvávající míra chyb, které jsou často technického rázu, může přesto podkopávat důvěru veřejnosti v Unii a vystavovat Komisi reputačnímu riziku, pokud jde o schopnost zajistit řádné finanční řízení rozpočtu Unie;</w:t>
            </w:r>
          </w:p>
        </w:tc>
        <w:tc>
          <w:tcPr>
            <w:tcW w:w="4876" w:type="dxa"/>
            <w:tcBorders>
              <w:top w:val="nil"/>
              <w:left w:val="nil"/>
              <w:bottom w:val="nil"/>
              <w:right w:val="nil"/>
            </w:tcBorders>
          </w:tcPr>
          <w:p>
            <w:pPr>
              <w:pStyle w:val="Normal6a"/>
            </w:pPr>
            <w:r>
              <w:t>25.</w:t>
            </w:r>
            <w:r>
              <w:tab/>
            </w:r>
            <w:r>
              <w:t>zdůrazňuje, že odhadovaná míra chyb ve výdajích Unie, která je uvedena v prohlášení Účetního dvora o věrohodnosti, odráží částky, které byly vyplaceny, aniž by byly splněny všechna platná pravidla a podmínky; domnívá se, že ačkoli to není ukazatel podvodu nebo korupce a neznamená to automaticky nehospodárné využívání zdrojů, poukazuje to na případy, kdy je třeba přijmout nápravná opatření a kdy je možné posílit ochranu finančních zájmů Unie; vyjadřuje politování nad tím, že přetrvávající míra chyb, které jsou často technického rázu, může přesto podkopávat důvěru veřejnosti v Unii a vystavovat Komisi reputačnímu riziku, pokud jde o schopnost zajistit řádné finanční řízení rozpočtu Unie</w:t>
            </w:r>
            <w:r>
              <w:rPr>
                <w:b/>
                <w:i/>
              </w:rPr>
              <w:t> a účinně chránit finanční zájmy Unie, zejména s ohledem na nedostatky zjištěné Účetním dvorem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zdůrazňuje, že odhadovaná míra chyb ve výdajích Unie, </w:t>
            </w:r>
            <w:r>
              <w:rPr>
                <w:b/>
                <w:i/>
              </w:rPr>
              <w:t>která</w:t>
            </w:r>
            <w:r>
              <w:t xml:space="preserve"> je uvedena v prohlášení Účetního dvora o věrohodnosti, odráží </w:t>
            </w:r>
            <w:r>
              <w:rPr>
                <w:b/>
                <w:i/>
              </w:rPr>
              <w:t>částky</w:t>
            </w:r>
            <w:r>
              <w:t xml:space="preserve">, které </w:t>
            </w:r>
            <w:r>
              <w:rPr>
                <w:b/>
                <w:i/>
              </w:rPr>
              <w:t>byly vyplaceny, aniž by byly splněny všechna platná pravidla a podmínky</w:t>
            </w:r>
            <w:r>
              <w:t xml:space="preserve">; domnívá se, že ačkoli </w:t>
            </w:r>
            <w:r>
              <w:rPr>
                <w:b/>
                <w:i/>
              </w:rPr>
              <w:t>to není</w:t>
            </w:r>
            <w:r>
              <w:t xml:space="preserve"> ukazatel </w:t>
            </w:r>
            <w:r>
              <w:rPr>
                <w:b/>
                <w:i/>
              </w:rPr>
              <w:t>podvodu</w:t>
            </w:r>
            <w:r>
              <w:t xml:space="preserve"> nebo korupce a neznamená to automaticky </w:t>
            </w:r>
            <w:r>
              <w:rPr>
                <w:b/>
                <w:i/>
              </w:rPr>
              <w:t>nehospodárné využívání zdrojů, poukazuje</w:t>
            </w:r>
            <w:r>
              <w:t xml:space="preserve"> to na </w:t>
            </w:r>
            <w:r>
              <w:rPr>
                <w:b/>
                <w:i/>
              </w:rPr>
              <w:t>případy, kdy je třeba přijmout</w:t>
            </w:r>
            <w:r>
              <w:t xml:space="preserve"> nápravná opatření </w:t>
            </w:r>
            <w:r>
              <w:rPr>
                <w:b/>
                <w:i/>
              </w:rPr>
              <w:t>a kdy je možné</w:t>
            </w:r>
            <w:r>
              <w:t xml:space="preserve"> posílit ochranu finančních </w:t>
            </w:r>
            <w:r>
              <w:rPr>
                <w:b/>
                <w:i/>
              </w:rPr>
              <w:t>zájmů</w:t>
            </w:r>
            <w:r>
              <w:t xml:space="preserve"> Unie; vyjadřuje politování nad tím, že přetrvávající míra chyb, </w:t>
            </w:r>
            <w:r>
              <w:rPr>
                <w:b/>
                <w:i/>
              </w:rPr>
              <w:t>které jsou</w:t>
            </w:r>
            <w:r>
              <w:t xml:space="preserve"> často </w:t>
            </w:r>
            <w:r>
              <w:rPr>
                <w:b/>
                <w:i/>
              </w:rPr>
              <w:t>technického rázu, může přesto podkopávat</w:t>
            </w:r>
            <w:r>
              <w:t xml:space="preserve"> důvěru veřejnosti </w:t>
            </w:r>
            <w:r>
              <w:rPr>
                <w:b/>
                <w:i/>
              </w:rPr>
              <w:t>v Unii a vystavovat Komisi reputačnímu riziku, pokud jde o schopnost zajistit řádné finanční</w:t>
            </w:r>
            <w:r>
              <w:t xml:space="preserve"> řízení rozpočtu Unie;</w:t>
            </w:r>
          </w:p>
        </w:tc>
        <w:tc>
          <w:tcPr>
            <w:tcW w:w="4876" w:type="dxa"/>
            <w:tcBorders>
              <w:top w:val="nil"/>
              <w:left w:val="nil"/>
              <w:bottom w:val="nil"/>
              <w:right w:val="nil"/>
            </w:tcBorders>
          </w:tcPr>
          <w:p>
            <w:pPr>
              <w:pStyle w:val="Normal6a"/>
            </w:pPr>
            <w:r>
              <w:t>25.</w:t>
            </w:r>
            <w:r>
              <w:tab/>
            </w:r>
            <w:r>
              <w:t xml:space="preserve">zdůrazňuje, že odhadovaná míra chyb ve výdajích Unie, </w:t>
            </w:r>
            <w:r>
              <w:rPr>
                <w:b/>
                <w:i/>
              </w:rPr>
              <w:t>jak</w:t>
            </w:r>
            <w:r>
              <w:t xml:space="preserve"> je uvedena v prohlášení Účetního dvora o věrohodnosti, odráží </w:t>
            </w:r>
            <w:r>
              <w:rPr>
                <w:b/>
                <w:i/>
              </w:rPr>
              <w:t>platby</w:t>
            </w:r>
            <w:r>
              <w:t xml:space="preserve">, které </w:t>
            </w:r>
            <w:r>
              <w:rPr>
                <w:b/>
                <w:i/>
              </w:rPr>
              <w:t>podle hodnocení Účetního dvora nebyly plně v souladu s platnými pravidly a podmínkami</w:t>
            </w:r>
            <w:r>
              <w:t xml:space="preserve">; domnívá se, že ačkoli </w:t>
            </w:r>
            <w:r>
              <w:rPr>
                <w:b/>
                <w:i/>
              </w:rPr>
              <w:t>se nejedná o</w:t>
            </w:r>
            <w:r>
              <w:t xml:space="preserve"> ukazatel </w:t>
            </w:r>
            <w:r>
              <w:rPr>
                <w:b/>
                <w:i/>
              </w:rPr>
              <w:t>podvodů</w:t>
            </w:r>
            <w:r>
              <w:t xml:space="preserve"> nebo korupce a neznamená to automaticky </w:t>
            </w:r>
            <w:r>
              <w:rPr>
                <w:b/>
                <w:i/>
              </w:rPr>
              <w:t>plýtvání zdroji, upozorňuje</w:t>
            </w:r>
            <w:r>
              <w:t xml:space="preserve"> to na </w:t>
            </w:r>
            <w:r>
              <w:rPr>
                <w:b/>
                <w:i/>
              </w:rPr>
              <w:t>oblasti, v nichž mohou</w:t>
            </w:r>
            <w:r>
              <w:t xml:space="preserve"> nápravná opatření posílit </w:t>
            </w:r>
            <w:r>
              <w:rPr>
                <w:b/>
                <w:i/>
              </w:rPr>
              <w:t>řádné uplatňování pravidel a</w:t>
            </w:r>
            <w:r>
              <w:t xml:space="preserve"> ochranu finančních </w:t>
            </w:r>
            <w:r>
              <w:rPr>
                <w:b/>
                <w:i/>
              </w:rPr>
              <w:t>nástrojů</w:t>
            </w:r>
            <w:r>
              <w:t xml:space="preserve"> Unie; vyjadřuje politování nad tím, že přetrvávající míra chyb, </w:t>
            </w:r>
            <w:r>
              <w:rPr>
                <w:b/>
                <w:i/>
              </w:rPr>
              <w:t>i když</w:t>
            </w:r>
            <w:r>
              <w:t xml:space="preserve"> často </w:t>
            </w:r>
            <w:r>
              <w:rPr>
                <w:b/>
                <w:i/>
              </w:rPr>
              <w:t>technické povahy, může podkopat</w:t>
            </w:r>
            <w:r>
              <w:t xml:space="preserve"> důvěru veřejnosti</w:t>
            </w:r>
            <w:r>
              <w:rPr>
                <w:b/>
                <w:i/>
              </w:rPr>
              <w:t>, a zdůrazňuje význam trvalé obezřetnosti pro zajištění řádného finančního</w:t>
            </w:r>
            <w:r>
              <w:t xml:space="preserve"> řízení rozpočtu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připomíná, že Komise nese hlavní odpovědnost za předcházení podvodům poškozujícím finanční zájmy Unie a jejich odhalování; bere na vědomí, že Účetní dvůr musí v souladu se svým mandátem hlásit všechny případy nesrovnalostí zjištěné při své kontrolní činnosti; dále konstatuje, že Účetní dvůr předává Úřadu evropského veřejného žalobce (EPPO) podezření na trestné činy, které spadají do pravomoci tohoto úřadu, a podezření na podvody, korupci nebo jiné protiprávní činnosti Evropskému úřadu pro boj proti podvodům (OLAF); konstatuje, že v roce 2024 Účetní dvůr ohlásil úřadu OLAF 19 případů podezření z podvodu a souběžně také 7 z těchto případů úřadu EPPO, což doposud vedlo k šesti vyšetřováním úřadem OLAF a k sedmi vyšetřováním úřadem EPPO; chválí Účetní dvůr za systematické podávání zpráv úřadu OLAF a úřadu EPPO, zejména vzhledem k tomu, že informace pocházející z auditních činností mají vysokou míru spolehlivosti; zdůrazňuje, že všechny případy neoprávněných výdajů, které Účetní dvůr zjistí, by měly být oznámeny úřadu OLAF a úřadu EPPO, přičemž tyto příslušné orgány by měly posoudit, zda se jedná o podvodný záměr, který by vyžadoval další vyšetřování;</w:t>
            </w:r>
          </w:p>
        </w:tc>
        <w:tc>
          <w:tcPr>
            <w:tcW w:w="4876" w:type="dxa"/>
            <w:tcBorders>
              <w:top w:val="nil"/>
              <w:left w:val="nil"/>
              <w:bottom w:val="nil"/>
              <w:right w:val="nil"/>
            </w:tcBorders>
          </w:tcPr>
          <w:p>
            <w:pPr>
              <w:pStyle w:val="Normal6a"/>
            </w:pPr>
            <w:r>
              <w:t>27.</w:t>
            </w:r>
            <w:r>
              <w:tab/>
            </w:r>
            <w:r>
              <w:t xml:space="preserve">připomíná, že Komise nese hlavní odpovědnost za předcházení podvodům poškozujícím finanční zájmy Unie a jejich odhalování; bere na vědomí, že Účetní dvůr musí v souladu se svým mandátem hlásit všechny případy nesrovnalostí zjištěné při své kontrolní činnosti; dále konstatuje, že Účetní dvůr předává Úřadu evropského veřejného žalobce (EPPO) podezření na trestné činy, které spadají do pravomoci tohoto úřadu, a podezření na podvody, korupci nebo jiné protiprávní činnosti Evropskému úřadu pro boj proti podvodům (OLAF); konstatuje, že v roce 2024 Účetní dvůr ohlásil úřadu OLAF 19 případů podezření z podvodu a souběžně také 7 z těchto případů úřadu EPPO, což doposud vedlo k šesti vyšetřováním úřadem OLAF a k sedmi vyšetřováním úřadem EPPO; chválí Účetní dvůr za systematické podávání zpráv úřadu OLAF a úřadu EPPO, zejména vzhledem k tomu, že informace pocházející z auditních činností mají vysokou míru spolehlivosti; zdůrazňuje, že všechny případy neoprávněných výdajů, které Účetní dvůr zjistí, by měly být oznámeny úřadu OLAF a úřadu EPPO, přičemž tyto příslušné orgány by měly posoudit, zda se jedná o podvodný záměr, který by vyžadoval další vyšetřování; </w:t>
            </w:r>
            <w:r>
              <w:rPr>
                <w:b/>
                <w:i/>
              </w:rPr>
              <w:t>zdůrazňuje, že je důležité pokračovat v koordinaci mezi Komisí, úřadem OLAF, úřadem EPPO a Účetním dvorem s cílem zajistit včasná a účinná opatření v návaznosti na všechny oznámené případy v souladu s jejich příslušnými mandáty;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zdůrazňuje úlohu Evropského úřadu pro boj proti podvodům (OLAF) a Úřadu evropského veřejného žalobce (EPPO) při ochraně finančních zájmů Unie, obraně právního státu a zajišťování účinného plnění rozpočtu Unie v souladu se zásadami zakotvenými ve Smlouvách;</w:t>
            </w:r>
            <w:r>
              <w:t xml:space="preserve"> </w:t>
            </w:r>
            <w:r>
              <w:rPr>
                <w:b/>
                <w:i/>
              </w:rPr>
              <w:t>opakuje, že je třeba těmto orgánům poskytnout dostatečné zdroje, aby bylo zaručeno plné fungování přeshraničních vyšetřovacích a detekčních kapacit;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34a.</w:t>
            </w:r>
            <w:r>
              <w:tab/>
            </w:r>
            <w:r>
              <w:rPr>
                <w:b/>
                <w:i/>
              </w:rPr>
              <w:t>je znepokojen různými riziky pro rozpočet EU, která Účetní dvůr zjistil, včetně neuhrazených závazků, které mohou představovat budoucí dluhy, pokud nebudou zrušeny, rizikem zrušení závazků ve fondech politiky soudržnosti od roku 2027, což může ohrozit dosažení cílů EU,</w:t>
            </w:r>
            <w:r>
              <w:t xml:space="preserve"> </w:t>
            </w:r>
            <w:r>
              <w:rPr>
                <w:b/>
                <w:i/>
              </w:rPr>
              <w:t>a zvýšenou expozicí rozpočtu EU, přičemž je třeba, aby Komise jednala proaktivněji s cílem zajistit, aby její nástroj pro zmírňování rizik (jako je společný rezervní fond) měl dostatečnou kapacitu;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 xml:space="preserve">konstatuje, že nesplacené výpůjčky Unie se v roce 2024 zvýšily o více než 30,0 %, což odráží rozšířené využívání kapitálových trhů ze strany Komise k financování rozsáhlých programů, jako je Podpora na zmírnění rizik nezaměstnanosti v mimořádných situacích (SURE) a NGEU; konstatuje, že do roku 2027 by </w:t>
            </w:r>
            <w:r>
              <w:rPr>
                <w:b/>
                <w:i/>
              </w:rPr>
              <w:t>celková výše nesplacených půjček mohla přesáhnout 900,0 miliard</w:t>
            </w:r>
            <w:r>
              <w:t xml:space="preserve"> EUR, což je téměř desetinásobek úrovně zaznamenané v roce 2020 před </w:t>
            </w:r>
            <w:r>
              <w:rPr>
                <w:b/>
                <w:i/>
              </w:rPr>
              <w:t>začátkem provádění</w:t>
            </w:r>
            <w:r>
              <w:t xml:space="preserve"> nástroje NGEU; konstatuje, že od prosince 2022 </w:t>
            </w:r>
            <w:r>
              <w:rPr>
                <w:b/>
                <w:i/>
              </w:rPr>
              <w:t>Komise</w:t>
            </w:r>
            <w:r>
              <w:t xml:space="preserve"> uplatňuje strategii </w:t>
            </w:r>
            <w:r>
              <w:rPr>
                <w:b/>
                <w:i/>
              </w:rPr>
              <w:t>diverzifikovaného</w:t>
            </w:r>
            <w:r>
              <w:t xml:space="preserve"> financování jako standardní metodu získávání finančních prostředků na kapitálových trzích a že na konci roku 2024 činila nominální hodnota nesplacených výpůjček Unie 601,3 miliardy EUR, což </w:t>
            </w:r>
            <w:r>
              <w:rPr>
                <w:b/>
                <w:i/>
              </w:rPr>
              <w:t>je více než</w:t>
            </w:r>
            <w:r>
              <w:t xml:space="preserve"> 458,5 miliardy EUR v roce 2023;</w:t>
            </w:r>
          </w:p>
        </w:tc>
        <w:tc>
          <w:tcPr>
            <w:tcW w:w="4876" w:type="dxa"/>
            <w:tcBorders>
              <w:top w:val="nil"/>
              <w:left w:val="nil"/>
              <w:bottom w:val="nil"/>
              <w:right w:val="nil"/>
            </w:tcBorders>
          </w:tcPr>
          <w:p>
            <w:pPr>
              <w:pStyle w:val="Normal6a"/>
            </w:pPr>
            <w:r>
              <w:t>35.</w:t>
            </w:r>
            <w:r>
              <w:tab/>
            </w:r>
            <w:r>
              <w:t xml:space="preserve">konstatuje, že nesplacené výpůjčky Unie se v roce 2024 zvýšily o více než 30,0 %, což odráží rozšířené využívání kapitálových trhů ze strany Komise k financování rozsáhlých programů, jako je Podpora na zmírnění rizik nezaměstnanosti v mimořádných situacích (SURE) a NGEU; </w:t>
            </w:r>
            <w:r>
              <w:rPr>
                <w:b/>
                <w:i/>
              </w:rPr>
              <w:t>se znepokojením</w:t>
            </w:r>
            <w:r>
              <w:t xml:space="preserve"> konstatuje, že do roku 2027 by </w:t>
            </w:r>
            <w:r>
              <w:rPr>
                <w:b/>
                <w:i/>
              </w:rPr>
              <w:t>celkové nesplacené výpůjčky mohly překročit 900,0 miliardy</w:t>
            </w:r>
            <w:r>
              <w:t xml:space="preserve"> EUR, což je téměř desetinásobek úrovně zaznamenané v roce 2020 před </w:t>
            </w:r>
            <w:r>
              <w:rPr>
                <w:b/>
                <w:i/>
              </w:rPr>
              <w:t>zahájením</w:t>
            </w:r>
            <w:r>
              <w:t xml:space="preserve"> nástroje NGEU; konstatuje, že od prosince 2022 uplatňuje </w:t>
            </w:r>
            <w:r>
              <w:rPr>
                <w:b/>
                <w:i/>
              </w:rPr>
              <w:t>Komise diverzifikovanou</w:t>
            </w:r>
            <w:r>
              <w:t xml:space="preserve"> strategii financování jako standardní metodu </w:t>
            </w:r>
            <w:r>
              <w:rPr>
                <w:b/>
                <w:i/>
              </w:rPr>
              <w:t>pro</w:t>
            </w:r>
            <w:r>
              <w:t xml:space="preserve"> získávání finančních prostředků na kapitálových trzích a že na konci roku 2024 činila nominální hodnota nesplacených výpůjček Unie 601,3 miliardy EUR, což </w:t>
            </w:r>
            <w:r>
              <w:rPr>
                <w:b/>
                <w:i/>
              </w:rPr>
              <w:t>představuje nárůst oproti</w:t>
            </w:r>
            <w:r>
              <w:t xml:space="preserve"> 458,5 miliardy EUR v roce 2023; </w:t>
            </w:r>
            <w:r>
              <w:rPr>
                <w:b/>
                <w:i/>
              </w:rPr>
              <w:t>je znepokojen tím, že kvůli nové strategii bude rozpočet EU čelit vyšším úrokovým rizikům;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 xml:space="preserve">konstatuje, že nesplacené výpůjčky Unie </w:t>
            </w:r>
            <w:r>
              <w:rPr>
                <w:b/>
                <w:i/>
              </w:rPr>
              <w:t>se v roce 2024 zvýšily o více než 30,0 %</w:t>
            </w:r>
            <w:r>
              <w:t xml:space="preserve">, což odráží </w:t>
            </w:r>
            <w:r>
              <w:rPr>
                <w:b/>
                <w:i/>
              </w:rPr>
              <w:t>rozšířené využívání kapitálových trhů ze strany Komise k</w:t>
            </w:r>
            <w:r>
              <w:t xml:space="preserve"> financování </w:t>
            </w:r>
            <w:r>
              <w:rPr>
                <w:b/>
                <w:i/>
              </w:rPr>
              <w:t>rozsáhlých</w:t>
            </w:r>
            <w:r>
              <w:t xml:space="preserve"> programů, jako je Podpora na zmírnění rizik nezaměstnanosti v </w:t>
            </w:r>
            <w:r>
              <w:rPr>
                <w:b/>
                <w:i/>
              </w:rPr>
              <w:t>mimořádných situacích</w:t>
            </w:r>
            <w:r>
              <w:t xml:space="preserve"> (SURE) a NGEU; konstatuje, že do roku 2027 by </w:t>
            </w:r>
            <w:r>
              <w:rPr>
                <w:b/>
                <w:i/>
              </w:rPr>
              <w:t>celková výše nesplacených půjček mohla přesáhnout 900,0 miliard</w:t>
            </w:r>
            <w:r>
              <w:t xml:space="preserve"> EUR, což je téměř desetinásobek úrovně zaznamenané v roce 2020 před </w:t>
            </w:r>
            <w:r>
              <w:rPr>
                <w:b/>
                <w:i/>
              </w:rPr>
              <w:t>začátkem provádění</w:t>
            </w:r>
            <w:r>
              <w:t xml:space="preserve"> nástroje NGEU; konstatuje, že od prosince 2022 </w:t>
            </w:r>
            <w:r>
              <w:rPr>
                <w:b/>
                <w:i/>
              </w:rPr>
              <w:t>Komise</w:t>
            </w:r>
            <w:r>
              <w:t xml:space="preserve"> uplatňuje strategii </w:t>
            </w:r>
            <w:r>
              <w:rPr>
                <w:b/>
                <w:i/>
              </w:rPr>
              <w:t>diverzifikovaného</w:t>
            </w:r>
            <w:r>
              <w:t xml:space="preserve"> financování jako standardní metodu získávání finančních prostředků na kapitálových trzích </w:t>
            </w:r>
            <w:r>
              <w:rPr>
                <w:b/>
                <w:i/>
              </w:rPr>
              <w:t>a že na konci roku 2024 činila nominální hodnota nesplacených výpůjček Unie 601,3 miliardy EUR, což je více než 458,5 miliardy EUR v roce 2023</w:t>
            </w:r>
            <w:r>
              <w:t>;</w:t>
            </w:r>
          </w:p>
        </w:tc>
        <w:tc>
          <w:tcPr>
            <w:tcW w:w="4876" w:type="dxa"/>
            <w:tcBorders>
              <w:top w:val="nil"/>
              <w:left w:val="nil"/>
              <w:bottom w:val="nil"/>
              <w:right w:val="nil"/>
            </w:tcBorders>
          </w:tcPr>
          <w:p>
            <w:pPr>
              <w:pStyle w:val="Normal6a"/>
            </w:pPr>
            <w:r>
              <w:t>35.</w:t>
            </w:r>
            <w:r>
              <w:tab/>
            </w:r>
            <w:r>
              <w:t xml:space="preserve">konstatuje, že nesplacené výpůjčky Unie </w:t>
            </w:r>
            <w:r>
              <w:rPr>
                <w:b/>
                <w:i/>
              </w:rPr>
              <w:t>na konci roku 2024 dosáhly částky 601,3 miliardy EUR</w:t>
            </w:r>
            <w:r>
              <w:t xml:space="preserve">, což odráží financování </w:t>
            </w:r>
            <w:r>
              <w:rPr>
                <w:b/>
                <w:i/>
              </w:rPr>
              <w:t>dohodnutých</w:t>
            </w:r>
            <w:r>
              <w:t xml:space="preserve"> programů </w:t>
            </w:r>
            <w:r>
              <w:rPr>
                <w:b/>
                <w:i/>
              </w:rPr>
              <w:t>Unie, přičemž zahrnovaly programy</w:t>
            </w:r>
            <w:r>
              <w:t xml:space="preserve">, jako je podpora na zmírnění rizik nezaměstnanosti v </w:t>
            </w:r>
            <w:r>
              <w:rPr>
                <w:b/>
                <w:i/>
              </w:rPr>
              <w:t>mimořádné situaci</w:t>
            </w:r>
            <w:r>
              <w:t xml:space="preserve"> (SURE) a NGEU</w:t>
            </w:r>
            <w:r>
              <w:rPr>
                <w:b/>
                <w:i/>
              </w:rPr>
              <w:t>, v souladu s diverzifikovanou strategií Komise v oblasti financování</w:t>
            </w:r>
            <w:r>
              <w:t xml:space="preserve">; konstatuje, že do roku 2027 by </w:t>
            </w:r>
            <w:r>
              <w:rPr>
                <w:b/>
                <w:i/>
              </w:rPr>
              <w:t>celkové nesplacené výpůjčky mohly překročit 900,0 miliardy</w:t>
            </w:r>
            <w:r>
              <w:t xml:space="preserve"> EUR, což je téměř desetinásobek úrovně zaznamenané v roce 2020 před </w:t>
            </w:r>
            <w:r>
              <w:rPr>
                <w:b/>
                <w:i/>
              </w:rPr>
              <w:t>zahájením</w:t>
            </w:r>
            <w:r>
              <w:t xml:space="preserve"> nástroje NGEU; konstatuje, že od prosince 2022 uplatňuje </w:t>
            </w:r>
            <w:r>
              <w:rPr>
                <w:b/>
                <w:i/>
              </w:rPr>
              <w:t>Komise diverzifikovanou</w:t>
            </w:r>
            <w:r>
              <w:t xml:space="preserve"> strategii financování jako </w:t>
            </w:r>
            <w:r>
              <w:rPr>
                <w:b/>
                <w:i/>
              </w:rPr>
              <w:t>svou</w:t>
            </w:r>
            <w:r>
              <w:t xml:space="preserve"> standardní metodu </w:t>
            </w:r>
            <w:r>
              <w:rPr>
                <w:b/>
                <w:i/>
              </w:rPr>
              <w:t>pro</w:t>
            </w:r>
            <w:r>
              <w:t xml:space="preserve"> získávání finančních prostředků na kapitálových trzích</w:t>
            </w:r>
            <w:r>
              <w:rPr>
                <w:b/>
                <w:i/>
              </w:rPr>
              <w:t>, a zdůrazňuje význam transparentního podávání zpráv a řádného finančního řízení v souvislosti se zvýšenými výpůjčkami pro zachování fiskální udržitelnosti a odpovědnosti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rPr>
                <w:b/>
                <w:i/>
              </w:rPr>
              <w:t>konstatuje</w:t>
            </w:r>
            <w:r>
              <w:t xml:space="preserve">, že nesplacené výpůjčky Unie se v roce 2024 zvýšily o více než 30,0 %, což odráží rozšířené využívání kapitálových trhů </w:t>
            </w:r>
            <w:r>
              <w:rPr>
                <w:b/>
                <w:i/>
              </w:rPr>
              <w:t>ze strany Komise</w:t>
            </w:r>
            <w:r>
              <w:t xml:space="preserve"> k financování rozsáhlých programů, jako je Podpora na zmírnění rizik nezaměstnanosti v </w:t>
            </w:r>
            <w:r>
              <w:rPr>
                <w:b/>
                <w:i/>
              </w:rPr>
              <w:t>mimořádných situacích</w:t>
            </w:r>
            <w:r>
              <w:t xml:space="preserve"> (SURE) a NGEU; konstatuje, že do roku 2027 by </w:t>
            </w:r>
            <w:r>
              <w:rPr>
                <w:b/>
                <w:i/>
              </w:rPr>
              <w:t>celková výše nesplacených půjček mohla přesáhnout 900,0 miliard</w:t>
            </w:r>
            <w:r>
              <w:t xml:space="preserve"> EUR, což je téměř desetinásobek úrovně zaznamenané v roce 2020 před </w:t>
            </w:r>
            <w:r>
              <w:rPr>
                <w:b/>
                <w:i/>
              </w:rPr>
              <w:t>začátkem provádění</w:t>
            </w:r>
            <w:r>
              <w:t xml:space="preserve"> nástroje NGEU; konstatuje, že od prosince 2022 </w:t>
            </w:r>
            <w:r>
              <w:rPr>
                <w:b/>
                <w:i/>
              </w:rPr>
              <w:t>Komise</w:t>
            </w:r>
            <w:r>
              <w:t xml:space="preserve"> uplatňuje strategii </w:t>
            </w:r>
            <w:r>
              <w:rPr>
                <w:b/>
                <w:i/>
              </w:rPr>
              <w:t>diverzifikovaného</w:t>
            </w:r>
            <w:r>
              <w:t xml:space="preserve"> financování jako standardní metodu získávání finančních prostředků na kapitálových trzích a že na konci roku 2024 činila nominální hodnota nesplacených výpůjček Unie 601,3 miliardy EUR, což </w:t>
            </w:r>
            <w:r>
              <w:rPr>
                <w:b/>
                <w:i/>
              </w:rPr>
              <w:t>je více než</w:t>
            </w:r>
            <w:r>
              <w:t xml:space="preserve"> 458,5 miliardy EUR v roce 2023;</w:t>
            </w:r>
          </w:p>
        </w:tc>
        <w:tc>
          <w:tcPr>
            <w:tcW w:w="4876" w:type="dxa"/>
            <w:tcBorders>
              <w:top w:val="nil"/>
              <w:left w:val="nil"/>
              <w:bottom w:val="nil"/>
              <w:right w:val="nil"/>
            </w:tcBorders>
          </w:tcPr>
          <w:p>
            <w:pPr>
              <w:pStyle w:val="Normal6a"/>
            </w:pPr>
            <w:r>
              <w:t>35.</w:t>
            </w:r>
            <w:r>
              <w:tab/>
            </w:r>
            <w:r>
              <w:rPr>
                <w:b/>
                <w:i/>
              </w:rPr>
              <w:t>je znepokojen tím</w:t>
            </w:r>
            <w:r>
              <w:t xml:space="preserve">, že nesplacené výpůjčky Unie se v roce 2024 zvýšily o více než 30,0 %, což odráží rozšířené využívání kapitálových trhů </w:t>
            </w:r>
            <w:r>
              <w:rPr>
                <w:b/>
                <w:i/>
              </w:rPr>
              <w:t>Komisí</w:t>
            </w:r>
            <w:r>
              <w:t xml:space="preserve"> k financování rozsáhlých programů, jako je podpora na zmírnění rizik nezaměstnanosti v </w:t>
            </w:r>
            <w:r>
              <w:rPr>
                <w:b/>
                <w:i/>
              </w:rPr>
              <w:t>mimořádné situaci</w:t>
            </w:r>
            <w:r>
              <w:t xml:space="preserve"> (SURE) a NGEU; </w:t>
            </w:r>
            <w:r>
              <w:rPr>
                <w:b/>
                <w:i/>
              </w:rPr>
              <w:t>se znepokojením</w:t>
            </w:r>
            <w:r>
              <w:t xml:space="preserve"> konstatuje, že do roku 2027 by </w:t>
            </w:r>
            <w:r>
              <w:rPr>
                <w:b/>
                <w:i/>
              </w:rPr>
              <w:t>celkové nesplacené výpůjčky mohly překročit 900,0 miliardy</w:t>
            </w:r>
            <w:r>
              <w:t xml:space="preserve"> EUR, což je téměř desetinásobek úrovně zaznamenané v roce 2020 před </w:t>
            </w:r>
            <w:r>
              <w:rPr>
                <w:b/>
                <w:i/>
              </w:rPr>
              <w:t>zahájením</w:t>
            </w:r>
            <w:r>
              <w:t xml:space="preserve"> nástroje NGEU; konstatuje, že od prosince 2022 uplatňuje </w:t>
            </w:r>
            <w:r>
              <w:rPr>
                <w:b/>
                <w:i/>
              </w:rPr>
              <w:t>Komise diverzifikovanou</w:t>
            </w:r>
            <w:r>
              <w:t xml:space="preserve"> strategii financování jako standardní metodu </w:t>
            </w:r>
            <w:r>
              <w:rPr>
                <w:b/>
                <w:i/>
              </w:rPr>
              <w:t>pro</w:t>
            </w:r>
            <w:r>
              <w:t xml:space="preserve"> získávání finančních prostředků na kapitálových trzích a že na konci roku 2024 činila nominální hodnota nesplacených výpůjček Unie 601,3 miliardy EUR, což </w:t>
            </w:r>
            <w:r>
              <w:rPr>
                <w:b/>
                <w:i/>
              </w:rPr>
              <w:t>představuje nárůst oproti</w:t>
            </w:r>
            <w:r>
              <w:t xml:space="preserve"> 458,5 miliardy EUR v roce 2023;</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Dick Erixon, Şerban Dimitrie Sturdza, 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35a.</w:t>
            </w:r>
            <w:r>
              <w:tab/>
            </w:r>
            <w:r>
              <w:rPr>
                <w:b/>
                <w:i/>
              </w:rPr>
              <w:t>zdůrazňuje, že rostoucí dluhová zátěž Unie, kdy se předpokládá, že nesplacené dluhopisy dosáhnou do konce roku 2027 výše 900 miliard EUR, představuje bezprecedentní fiskální závazek, který se musí řídit zásadami řádného finančního řízení a fiskální odpovědnosti;</w:t>
            </w:r>
            <w:r>
              <w:t xml:space="preserve"> </w:t>
            </w:r>
            <w:r>
              <w:rPr>
                <w:b/>
                <w:i/>
              </w:rPr>
              <w:t>konstatuje, že související platby úroků a splátky jistiny výrazně omezí rozpočtový prostor, který bude k dispozici v rámci budoucích VFR;</w:t>
            </w:r>
            <w:r>
              <w:t xml:space="preserve"> </w:t>
            </w:r>
            <w:r>
              <w:rPr>
                <w:b/>
                <w:i/>
              </w:rPr>
              <w:t>domnívá se, že ve všech orgánech a programech Unie je třeba posílit kulturu fiskální kázně;</w:t>
            </w:r>
            <w:r>
              <w:t xml:space="preserve"> </w:t>
            </w:r>
            <w:r>
              <w:rPr>
                <w:b/>
                <w:i/>
              </w:rPr>
              <w:t>vyzývá Komisi, aby u všech výdajových programů uplatňovala systematické posuzování efektivnosti nákladů a aby určila oblasti, v nichž lze výdaje snížit nebo přerozdělit s cílem dosáhnout větší účinnosti a dopadu;</w:t>
            </w:r>
            <w:r>
              <w:t xml:space="preserve"> </w:t>
            </w:r>
            <w:r>
              <w:rPr>
                <w:b/>
                <w:i/>
              </w:rPr>
              <w:t>zdůrazňuje, že každé euro vynaložené z rozpočtu Unie představuje příspěvek daňových poplatníků v členských státech a musí se s ním podle toho zacházet;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36.</w:t>
            </w:r>
            <w:r>
              <w:tab/>
            </w:r>
            <w:r>
              <w:rPr>
                <w:b/>
                <w:i/>
              </w:rPr>
              <w:t>konstatuje, že</w:t>
            </w:r>
            <w:r>
              <w:t xml:space="preserve"> výdaje </w:t>
            </w:r>
            <w:r>
              <w:rPr>
                <w:b/>
                <w:i/>
              </w:rPr>
              <w:t>na úroky</w:t>
            </w:r>
            <w:r>
              <w:t xml:space="preserve"> spojené s financováním nevratné podpory </w:t>
            </w:r>
            <w:r>
              <w:rPr>
                <w:b/>
                <w:i/>
              </w:rPr>
              <w:t>v rámci nástroje</w:t>
            </w:r>
            <w:r>
              <w:t xml:space="preserve"> NGEU dosáhly v období 2021–2024 výše 5,4 miliardy EUR, </w:t>
            </w:r>
            <w:r>
              <w:rPr>
                <w:b/>
                <w:i/>
              </w:rPr>
              <w:t>z toho</w:t>
            </w:r>
            <w:r>
              <w:t xml:space="preserve"> 3,4 miliardy EUR </w:t>
            </w:r>
            <w:r>
              <w:rPr>
                <w:b/>
                <w:i/>
              </w:rPr>
              <w:t>v samotném</w:t>
            </w:r>
            <w:r>
              <w:t xml:space="preserve"> roce 2024, což je téměř o 50,0 % více než původní prognóza ve výši 3,7 miliardy EUR; konstatuje, že celkové výdaje </w:t>
            </w:r>
            <w:r>
              <w:rPr>
                <w:b/>
                <w:i/>
              </w:rPr>
              <w:t>na úroky v současném</w:t>
            </w:r>
            <w:r>
              <w:t xml:space="preserve"> VFR se mohou pohybovat mezi 29,0 a 30,4 miliardy EUR, což je přibližně dvojnásobek původního odhadu Komise ve výši 14,9 miliardy EUR; konstatuje, že v publikaci typu „Briefing“ z roku 2024 nazvané „Management of debt liabilities in the EU budget under the post-2027 MFF“ (Řízení dluhových závazků v rozpočtu EU v rámci VFR po roce 2027), kterou si </w:t>
            </w:r>
            <w:r>
              <w:rPr>
                <w:b/>
                <w:i/>
              </w:rPr>
              <w:t>vyžádaly Rozpočtové výbory</w:t>
            </w:r>
            <w:r>
              <w:rPr>
                <w:vertAlign w:val="superscript"/>
              </w:rPr>
              <w:t>5</w:t>
            </w:r>
            <w:r>
              <w:t xml:space="preserve">, se odhaduje, že úrokové platby za </w:t>
            </w:r>
            <w:r>
              <w:rPr>
                <w:b/>
                <w:i/>
              </w:rPr>
              <w:t>nenávratnou</w:t>
            </w:r>
            <w:r>
              <w:t xml:space="preserve"> podporu NGEU v příštím VFR by mohly činit 70,9 a 73,8 miliardy EUR, což </w:t>
            </w:r>
            <w:r>
              <w:rPr>
                <w:b/>
                <w:i/>
              </w:rPr>
              <w:t>podtrhuje</w:t>
            </w:r>
            <w:r>
              <w:t xml:space="preserve"> dlouhodobý </w:t>
            </w:r>
            <w:r>
              <w:rPr>
                <w:b/>
                <w:i/>
              </w:rPr>
              <w:t>rozpočtový</w:t>
            </w:r>
            <w:r>
              <w:t xml:space="preserve"> dopad </w:t>
            </w:r>
            <w:r>
              <w:rPr>
                <w:b/>
                <w:i/>
              </w:rPr>
              <w:t>půjček v rámci nástroje NGEU</w:t>
            </w:r>
            <w:r>
              <w:t>;</w:t>
            </w:r>
          </w:p>
        </w:tc>
        <w:tc>
          <w:tcPr>
            <w:tcW w:w="4876" w:type="dxa"/>
            <w:tcBorders>
              <w:top w:val="nil"/>
              <w:left w:val="nil"/>
              <w:bottom w:val="nil"/>
              <w:right w:val="nil"/>
            </w:tcBorders>
          </w:tcPr>
          <w:p>
            <w:pPr>
              <w:pStyle w:val="Normal6a"/>
            </w:pPr>
            <w:r>
              <w:t>36.</w:t>
            </w:r>
            <w:r>
              <w:tab/>
            </w:r>
            <w:r>
              <w:rPr>
                <w:b/>
                <w:i/>
              </w:rPr>
              <w:t>je znepokojen tím, že úrokové</w:t>
            </w:r>
            <w:r>
              <w:t xml:space="preserve"> výdaje spojené s financováním nevratné podpory NGEU dosáhly v období 2021–2024 výše 5,4 miliardy EUR, </w:t>
            </w:r>
            <w:r>
              <w:rPr>
                <w:b/>
                <w:i/>
              </w:rPr>
              <w:t>včetně</w:t>
            </w:r>
            <w:r>
              <w:t xml:space="preserve"> 3,4 miliardy EUR </w:t>
            </w:r>
            <w:r>
              <w:rPr>
                <w:b/>
                <w:i/>
              </w:rPr>
              <w:t>jen v</w:t>
            </w:r>
            <w:r>
              <w:t xml:space="preserve"> roce 2024, což je téměř o 50,0 % více než původní prognóza ve výši 3,7 miliardy EUR; konstatuje, že celkové </w:t>
            </w:r>
            <w:r>
              <w:rPr>
                <w:b/>
                <w:i/>
              </w:rPr>
              <w:t>úrokové</w:t>
            </w:r>
            <w:r>
              <w:t xml:space="preserve"> výdaje </w:t>
            </w:r>
            <w:r>
              <w:rPr>
                <w:b/>
                <w:i/>
              </w:rPr>
              <w:t>ve stávajícím</w:t>
            </w:r>
            <w:r>
              <w:t xml:space="preserve"> VFR se mohou pohybovat mezi 29,0 a 30,4 miliardy EUR, což je přibližně dvojnásobek původního odhadu Komise ve výši 14,9 miliardy EUR; konstatuje, že v publikaci typu „Briefing“ z roku 2024 nazvané „Management of debt liabilities in the EU budget under the post-2027 MFF“ (Řízení dluhových závazků v rozpočtu EU v rámci VFR po roce 2027), kterou si </w:t>
            </w:r>
            <w:r>
              <w:rPr>
                <w:b/>
                <w:i/>
              </w:rPr>
              <w:t>vyžádal Rozpočtový výbor</w:t>
            </w:r>
            <w:r>
              <w:rPr>
                <w:vertAlign w:val="superscript"/>
              </w:rPr>
              <w:t>5</w:t>
            </w:r>
            <w:r>
              <w:t xml:space="preserve">, se odhaduje, že úrokové platby za </w:t>
            </w:r>
            <w:r>
              <w:rPr>
                <w:b/>
                <w:i/>
              </w:rPr>
              <w:t>nevratnou</w:t>
            </w:r>
            <w:r>
              <w:t xml:space="preserve"> podporu NGEU v příštím VFR by mohly činit 70,9 </w:t>
            </w:r>
            <w:r>
              <w:rPr>
                <w:b/>
                <w:i/>
              </w:rPr>
              <w:t>miliardy EUR</w:t>
            </w:r>
            <w:r>
              <w:t xml:space="preserve"> a 73,8 miliardy EUR, což </w:t>
            </w:r>
            <w:r>
              <w:rPr>
                <w:b/>
                <w:i/>
              </w:rPr>
              <w:t>zdůrazňuje</w:t>
            </w:r>
            <w:r>
              <w:t xml:space="preserve"> dlouhodobý dopad </w:t>
            </w:r>
            <w:r>
              <w:rPr>
                <w:b/>
                <w:i/>
              </w:rPr>
              <w:t>výpůjček NGEU na rozpočet</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5</w:t>
            </w:r>
            <w:r>
              <w:t xml:space="preserve"> </w:t>
            </w:r>
            <w:r>
              <w:t>https://www.europarl.europa.eu/RegData/etudes/BRIE/2024/766173/IPOL_BRI(2024)766173_EN.pdf</w:t>
            </w:r>
            <w:r>
              <w:rPr>
                <w:b/>
                <w:i/>
              </w:rPr>
              <w:t>.</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Virginie Joron,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36a.</w:t>
            </w:r>
            <w:r>
              <w:tab/>
            </w:r>
            <w:r>
              <w:rPr>
                <w:b/>
                <w:i/>
              </w:rPr>
              <w:t>zdůrazňuje, že plán na podporu oživení Next Generation EU (NGEU) byl financován vydáním společných dluhopisů na trzích s proměnlivou úrokovou sazbou, což svědčí o určité míře amatérství.</w:t>
            </w:r>
            <w:r>
              <w:t xml:space="preserve"> </w:t>
            </w:r>
            <w:r>
              <w:rPr>
                <w:b/>
                <w:i/>
              </w:rPr>
              <w:t>Od roku 2028 bude Unie muset z těchto úvěrů platit úroky, které by mohly za celou dobu trvání systému výpůjček NGEU dosáhnout až 222 miliard EUR, tj. 0,6 % průměrného ročního HDP EU</w:t>
            </w:r>
            <w:r>
              <w:rPr>
                <w:b/>
                <w:i/>
                <w:vertAlign w:val="superscript"/>
              </w:rPr>
              <w:t>1b</w:t>
            </w:r>
            <w:r>
              <w:rPr>
                <w:b/>
                <w:i/>
              </w:rP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 xml:space="preserve">se znepokojením konstatuje, že expozice rozpočtu Unie se v roce 2024 nadále zvyšovala, což odráží rostoucí objem výpůjčních operací a souvisejících záruk; poukazuje na to, že celková expozice rozpočtu Unie dosáhla na konci roku 2024 výše 342,0 miliardy EUR, což představuje nárůst o 14,8 % ve srovnání s 298,0 miliardy EUR na konci roku 2023; </w:t>
            </w:r>
            <w:r>
              <w:rPr>
                <w:b/>
                <w:i/>
              </w:rPr>
              <w:t>zdůrazňuje, že tento trend podtrhuje význam robustního systému, který zajistí, že Unie bude za všech okolností schopna splácet své dluhové závazky;</w:t>
            </w:r>
            <w:r>
              <w:t xml:space="preserve"> </w:t>
            </w:r>
            <w:r>
              <w:rPr>
                <w:b/>
                <w:i/>
              </w:rPr>
              <w:t>zdůrazňuje, že v souvislosti s rostoucí výší dluhu je zásadní hledání skutečných nových vlastních zdrojů, mají-li být přes náklady na obsluhu dluhu uspokojeny priority stanovené v budoucích víceletých finančních rámcích;</w:t>
            </w:r>
          </w:p>
        </w:tc>
        <w:tc>
          <w:tcPr>
            <w:tcW w:w="4876" w:type="dxa"/>
            <w:tcBorders>
              <w:top w:val="nil"/>
              <w:left w:val="nil"/>
              <w:bottom w:val="nil"/>
              <w:right w:val="nil"/>
            </w:tcBorders>
          </w:tcPr>
          <w:p>
            <w:pPr>
              <w:pStyle w:val="Normal6a"/>
            </w:pPr>
            <w:r>
              <w:t>37.</w:t>
            </w:r>
            <w:r>
              <w:tab/>
            </w:r>
            <w:r>
              <w:t>se znepokojením konstatuje, že expozice rozpočtu Unie se v roce 2024 nadále zvyšovala, což odráží rostoucí objem výpůjčních operací a souvisejících záruk; poukazuje na to, že celková expozice rozpočtu Unie dosáhla na konci roku 2024 výše 342,0 miliardy EUR, což představuje nárůst o 14,8 % ve srovnání s 298,0 miliardy EUR na konci roku 2023;</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se znepokojením konstatuje, že expozice rozpočtu Unie se v roce 2024 nadále zvyšovala, což odráží rostoucí objem výpůjčních operací a souvisejících záruk; poukazuje na to, že celková expozice rozpočtu Unie dosáhla na konci roku 2024 výše 342,0 miliardy EUR, což představuje nárůst o 14,8 % ve srovnání s 298,0 miliardy EUR na konci roku 2023; zdůrazňuje, že tento trend podtrhuje význam robustního systému, který zajistí, že Unie bude za všech okolností schopna splácet své dluhové závazky; zdůrazňuje, že v souvislosti s rostoucí výší dluhu je zásadní hledání skutečných nových vlastních zdrojů, mají-li být přes náklady na obsluhu dluhu uspokojeny priority stanovené v budoucích víceletých finančních rámcích;</w:t>
            </w:r>
          </w:p>
        </w:tc>
        <w:tc>
          <w:tcPr>
            <w:tcW w:w="4876" w:type="dxa"/>
            <w:tcBorders>
              <w:top w:val="nil"/>
              <w:left w:val="nil"/>
              <w:bottom w:val="nil"/>
              <w:right w:val="nil"/>
            </w:tcBorders>
          </w:tcPr>
          <w:p>
            <w:pPr>
              <w:pStyle w:val="Normal6a"/>
            </w:pPr>
            <w:r>
              <w:t>37.</w:t>
            </w:r>
            <w:r>
              <w:tab/>
            </w:r>
            <w:r>
              <w:t xml:space="preserve">se znepokojením konstatuje, že expozice rozpočtu Unie se v roce 2024 nadále zvyšovala, což odráží rostoucí objem výpůjčních operací a souvisejících záruk; poukazuje na to, že celková expozice rozpočtu Unie dosáhla na konci roku 2024 výše 342,0 miliardy EUR, což představuje nárůst o 14,8 % ve srovnání s 298,0 miliardy EUR na konci roku 2023; zdůrazňuje, že tento trend podtrhuje význam robustního systému, který zajistí, že Unie bude za všech okolností schopna splácet své dluhové závazky; zdůrazňuje, že v souvislosti s rostoucí výší dluhu je zásadní hledání skutečných nových vlastních zdrojů, mají-li být přes náklady na obsluhu dluhu uspokojeny priority stanovené v budoucích víceletých finančních rámcích; </w:t>
            </w:r>
            <w:r>
              <w:rPr>
                <w:b/>
                <w:i/>
              </w:rPr>
              <w:t>podporuje doporučení Účetního dvora, aby Komise jednala proaktivněji s cílem zajistit, aby její nástroje na zmírnění rizik (jako je společný rezervní fond) měly dostatečnou kapacitu, a aby zajistila transparentnější podávání zpráv o celkové roční rozpočtové expozici a zveřejňovala svůj odhad;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Dick Erixon, 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 xml:space="preserve">se znepokojením konstatuje, že expozice rozpočtu Unie se v roce 2024 nadále zvyšovala, což odráží rostoucí objem výpůjčních operací a souvisejících záruk; poukazuje na to, že celková expozice rozpočtu Unie dosáhla na konci roku 2024 výše 342,0 miliardy EUR, což představuje nárůst o 14,8 % ve srovnání s 298,0 miliardy EUR na konci roku 2023; zdůrazňuje, že tento trend podtrhuje význam robustního systému, který zajistí, že Unie bude za všech okolností schopna splácet své dluhové závazky; zdůrazňuje, že v souvislosti s rostoucí </w:t>
            </w:r>
            <w:r>
              <w:rPr>
                <w:b/>
                <w:i/>
              </w:rPr>
              <w:t>výší dluhu je zásadní hledání skutečných</w:t>
            </w:r>
            <w:r>
              <w:t xml:space="preserve"> nových </w:t>
            </w:r>
            <w:r>
              <w:rPr>
                <w:b/>
                <w:i/>
              </w:rPr>
              <w:t>vlastních zdrojů, mají-li být přes náklady na obsluhu dluhu uspokojeny priority stanovené v budoucích víceletých finančních rámcích</w:t>
            </w:r>
            <w:r>
              <w:t>;</w:t>
            </w:r>
          </w:p>
        </w:tc>
        <w:tc>
          <w:tcPr>
            <w:tcW w:w="4876" w:type="dxa"/>
            <w:tcBorders>
              <w:top w:val="nil"/>
              <w:left w:val="nil"/>
              <w:bottom w:val="nil"/>
              <w:right w:val="nil"/>
            </w:tcBorders>
          </w:tcPr>
          <w:p>
            <w:pPr>
              <w:pStyle w:val="Normal6a"/>
            </w:pPr>
            <w:r>
              <w:t>37.</w:t>
            </w:r>
            <w:r>
              <w:tab/>
            </w:r>
            <w:r>
              <w:t xml:space="preserve">se znepokojením konstatuje, že expozice rozpočtu Unie se v roce 2024 nadále zvyšovala, což odráží rostoucí objem výpůjčních operací a souvisejících záruk; poukazuje na to, že celková expozice rozpočtu Unie dosáhla na konci roku 2024 výše 342,0 miliardy EUR, což představuje nárůst o 14,8 % ve srovnání s 298,0 miliardy EUR na konci roku 2023; zdůrazňuje, že tento trend podtrhuje význam robustního systému, který zajistí, že Unie bude za všech okolností schopna splácet své dluhové závazky; zdůrazňuje, že v souvislosti s rostoucí </w:t>
            </w:r>
            <w:r>
              <w:rPr>
                <w:b/>
                <w:i/>
              </w:rPr>
              <w:t>mírou zadlužení musí být primární reakcí výdajová kázeň, přerozdělení stávajících zdrojů a určení úspor ve všech výdajových programech, a nikoli vytváření</w:t>
            </w:r>
            <w:r>
              <w:t xml:space="preserve"> nových </w:t>
            </w:r>
            <w:r>
              <w:rPr>
                <w:b/>
                <w:i/>
              </w:rPr>
              <w:t>toků příjmů, které by mohly zvýšit fiskální zátěž občanů, kteří již nyní nesou vysoké zdanění na vnitrostátní úrovni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 xml:space="preserve">se znepokojením konstatuje, že expozice rozpočtu Unie se v roce 2024 nadále zvyšovala, což odráží rostoucí objem výpůjčních operací a souvisejících záruk; poukazuje na to, že celková expozice rozpočtu Unie dosáhla na konci roku 2024 výše 342,0 miliardy EUR, což představuje nárůst o 14,8 % ve srovnání s 298,0 miliardy EUR na konci roku 2023; zdůrazňuje, že tento trend podtrhuje význam robustního systému, který zajistí, že Unie bude za všech okolností schopna splácet své dluhové závazky; </w:t>
            </w:r>
            <w:r>
              <w:rPr>
                <w:b/>
                <w:i/>
              </w:rPr>
              <w:t>zdůrazňuje</w:t>
            </w:r>
            <w:r>
              <w:t xml:space="preserve">, že v souvislosti s rostoucí </w:t>
            </w:r>
            <w:r>
              <w:rPr>
                <w:b/>
                <w:i/>
              </w:rPr>
              <w:t>výší dluhu je zásadní hledání skutečných nových vlastních zdrojů, mají-li být přes náklady na obsluhu</w:t>
            </w:r>
            <w:r>
              <w:t xml:space="preserve"> dluhu </w:t>
            </w:r>
            <w:r>
              <w:rPr>
                <w:b/>
                <w:i/>
              </w:rPr>
              <w:t>uspokojeny priority stanovené v budoucích víceletých finančních rámcích</w:t>
            </w:r>
            <w:r>
              <w:t>;</w:t>
            </w:r>
          </w:p>
        </w:tc>
        <w:tc>
          <w:tcPr>
            <w:tcW w:w="4876" w:type="dxa"/>
            <w:tcBorders>
              <w:top w:val="nil"/>
              <w:left w:val="nil"/>
              <w:bottom w:val="nil"/>
              <w:right w:val="nil"/>
            </w:tcBorders>
          </w:tcPr>
          <w:p>
            <w:pPr>
              <w:pStyle w:val="Normal6a"/>
            </w:pPr>
            <w:r>
              <w:t>37.</w:t>
            </w:r>
            <w:r>
              <w:tab/>
            </w:r>
            <w:r>
              <w:t xml:space="preserve">se znepokojením konstatuje, že expozice rozpočtu Unie se v roce 2024 nadále zvyšovala, což odráží rostoucí objem výpůjčních operací a souvisejících záruk; poukazuje na to, že celková expozice rozpočtu Unie dosáhla na konci roku 2024 výše 342,0 miliardy EUR, což představuje nárůst o 14,8 % ve srovnání s 298,0 miliardy EUR na konci roku 2023; zdůrazňuje, že tento trend podtrhuje význam robustního systému, který zajistí, že Unie bude za všech okolností schopna splácet své dluhové závazky; </w:t>
            </w:r>
            <w:r>
              <w:rPr>
                <w:b/>
                <w:i/>
              </w:rPr>
              <w:t>poukazuje na to</w:t>
            </w:r>
            <w:r>
              <w:t xml:space="preserve">, že v souvislosti s rostoucí </w:t>
            </w:r>
            <w:r>
              <w:rPr>
                <w:b/>
                <w:i/>
              </w:rPr>
              <w:t>mírou zadlužení by se mělo v co největší míře zabránit vzniku nového</w:t>
            </w:r>
            <w:r>
              <w:t xml:space="preserve"> dluhu;</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rPr>
                <w:b/>
                <w:i/>
              </w:rPr>
              <w:t>se znepokojením</w:t>
            </w:r>
            <w:r>
              <w:t xml:space="preserve"> konstatuje, že expozice rozpočtu Unie se v roce 2024 nadále zvyšovala, což odráží rostoucí objem výpůjčních operací a souvisejících záruk; poukazuje na to, že celková expozice rozpočtu Unie dosáhla na konci roku 2024 výše 342,0 miliardy EUR, což představuje nárůst o 14,8 % ve srovnání s 298,0 miliardy EUR na konci roku 2023; zdůrazňuje, že tento trend podtrhuje význam robustního systému, který zajistí, že Unie bude za všech okolností schopna splácet své dluhové závazky; zdůrazňuje, že v souvislosti s rostoucí výší dluhu je zásadní hledání skutečných nových vlastních zdrojů, mají-li být přes náklady na obsluhu dluhu uspokojeny priority stanovené v budoucích víceletých finančních rámcích;</w:t>
            </w:r>
          </w:p>
        </w:tc>
        <w:tc>
          <w:tcPr>
            <w:tcW w:w="4876" w:type="dxa"/>
            <w:tcBorders>
              <w:top w:val="nil"/>
              <w:left w:val="nil"/>
              <w:bottom w:val="nil"/>
              <w:right w:val="nil"/>
            </w:tcBorders>
          </w:tcPr>
          <w:p>
            <w:pPr>
              <w:pStyle w:val="Normal6a"/>
            </w:pPr>
            <w:r>
              <w:t>37.</w:t>
            </w:r>
            <w:r>
              <w:tab/>
            </w:r>
            <w:r>
              <w:t>konstatuje, že expozice rozpočtu Unie se v roce 2024 nadále zvyšovala, což odráží rostoucí objem výpůjčních operací a souvisejících záruk; poukazuje na to, že celková expozice rozpočtu Unie dosáhla na konci roku 2024 výše 342,0 miliardy EUR, což představuje nárůst o 14,8 % ve srovnání s 298,0 miliardy EUR na konci roku 2023; zdůrazňuje, že tento trend podtrhuje význam robustního systému, který zajistí, že Unie bude za všech okolností schopna splácet své dluhové závazky; zdůrazňuje, že v souvislosti s rostoucí výší dluhu je zásadní hledání skutečných nových vlastních zdrojů, mají-li být přes náklady na obsluhu dluhu uspokojeny priority stanovené v budoucích víceletých finančních rámcích;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bodbod i </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posílila spolehlivost a transparentnost účetního výkaznictví, zejména zlepšením prezentace </w:t>
            </w:r>
            <w:r>
              <w:rPr>
                <w:b/>
                <w:i/>
              </w:rPr>
              <w:t>záporné čisté majetkové pozice</w:t>
            </w:r>
            <w:r>
              <w:t xml:space="preserve"> a výdajů příštích období a zajištěním toho, aby </w:t>
            </w:r>
            <w:r>
              <w:rPr>
                <w:b/>
                <w:i/>
              </w:rPr>
              <w:t>byly rozpočtovému orgánu jasně a systematicky sdělovány</w:t>
            </w:r>
            <w:r>
              <w:t xml:space="preserve"> dlouhodobé rozpočtové důsledky výpůjček </w:t>
            </w:r>
            <w:r>
              <w:rPr>
                <w:b/>
                <w:i/>
              </w:rPr>
              <w:t>v rámci</w:t>
            </w:r>
            <w:r>
              <w:t xml:space="preserve"> NGEU;</w:t>
            </w:r>
          </w:p>
        </w:tc>
        <w:tc>
          <w:tcPr>
            <w:tcW w:w="4876" w:type="dxa"/>
            <w:tcBorders>
              <w:top w:val="nil"/>
              <w:left w:val="nil"/>
              <w:bottom w:val="nil"/>
              <w:right w:val="nil"/>
            </w:tcBorders>
          </w:tcPr>
          <w:p>
            <w:pPr>
              <w:pStyle w:val="Normal6a"/>
            </w:pPr>
            <w:r>
              <w:t>i)</w:t>
            </w:r>
            <w:r>
              <w:tab/>
            </w:r>
            <w:r>
              <w:t xml:space="preserve">posílila spolehlivost a transparentnost účetního výkaznictví, zejména </w:t>
            </w:r>
            <w:r>
              <w:rPr>
                <w:b/>
                <w:i/>
              </w:rPr>
              <w:t>dalším</w:t>
            </w:r>
            <w:r>
              <w:t xml:space="preserve"> zlepšením </w:t>
            </w:r>
            <w:r>
              <w:rPr>
                <w:b/>
                <w:i/>
              </w:rPr>
              <w:t>jasnosti</w:t>
            </w:r>
            <w:r>
              <w:t xml:space="preserve"> prezentace </w:t>
            </w:r>
            <w:r>
              <w:rPr>
                <w:b/>
                <w:i/>
              </w:rPr>
              <w:t>záporných čistých aktiv</w:t>
            </w:r>
            <w:r>
              <w:t xml:space="preserve"> a výdajů příštích období a zajištěním toho, aby dlouhodobé rozpočtové důsledky výpůjček NGEU </w:t>
            </w:r>
            <w:r>
              <w:rPr>
                <w:b/>
                <w:i/>
              </w:rPr>
              <w:t>byly jasně a systematicky sdělovány rozpočtovému orgánu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podbod 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ii)</w:t>
            </w:r>
            <w:r>
              <w:tab/>
            </w:r>
            <w:r>
              <w:t xml:space="preserve">přijala veškerá nezbytná opatření k řešení přetrvávajících nedostatků v oblasti legality a správnosti výdajů, včetně zlepšení pokynů pro řídicí orgány a urychlení úsilí o nápravu opakujících se nedostatků u úhradových výdajů </w:t>
            </w:r>
            <w:r>
              <w:rPr>
                <w:b/>
                <w:i/>
              </w:rPr>
              <w:t>a důsledného uplatňování nařízení o podmíněnosti dodržováním zásad právního státu tam, kde rizika přetrvávají</w:t>
            </w:r>
            <w:r>
              <w:t>;</w:t>
            </w:r>
          </w:p>
        </w:tc>
        <w:tc>
          <w:tcPr>
            <w:tcW w:w="4876" w:type="dxa"/>
            <w:tcBorders>
              <w:top w:val="nil"/>
              <w:left w:val="nil"/>
              <w:bottom w:val="nil"/>
              <w:right w:val="nil"/>
            </w:tcBorders>
          </w:tcPr>
          <w:p>
            <w:pPr>
              <w:pStyle w:val="Normal6a"/>
            </w:pPr>
            <w:r>
              <w:t>ii)</w:t>
            </w:r>
            <w:r>
              <w:tab/>
            </w:r>
            <w:r>
              <w:t>přijala veškerá nezbytná opatření k řešení přetrvávajících nedostatků v oblasti legality a správnosti výdajů, včetně zlepšení pokynů pro řídicí orgány a urychlení úsilí o nápravu opakujících se nedostatků u úhradových výdajů;</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podbod 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ii)</w:t>
            </w:r>
            <w:r>
              <w:tab/>
            </w:r>
            <w:r>
              <w:t xml:space="preserve">přijala veškerá nezbytná opatření k řešení přetrvávajících nedostatků v </w:t>
            </w:r>
            <w:r>
              <w:rPr>
                <w:b/>
                <w:i/>
              </w:rPr>
              <w:t>oblasti legality</w:t>
            </w:r>
            <w:r>
              <w:t xml:space="preserve"> a správnosti výdajů, </w:t>
            </w:r>
            <w:r>
              <w:rPr>
                <w:b/>
                <w:i/>
              </w:rPr>
              <w:t>včetně zlepšení</w:t>
            </w:r>
            <w:r>
              <w:t xml:space="preserve"> pokynů pro řídicí orgány </w:t>
            </w:r>
            <w:r>
              <w:rPr>
                <w:b/>
                <w:i/>
              </w:rPr>
              <w:t>a urychlení úsilí o nápravu opakujících se</w:t>
            </w:r>
            <w:r>
              <w:t xml:space="preserve"> nedostatků </w:t>
            </w:r>
            <w:r>
              <w:rPr>
                <w:b/>
                <w:i/>
              </w:rPr>
              <w:t>u úhradových výdajů a důsledného</w:t>
            </w:r>
            <w:r>
              <w:t xml:space="preserve"> uplatňování nařízení o podmíněnosti dodržováním zásad právního státu </w:t>
            </w:r>
            <w:r>
              <w:rPr>
                <w:b/>
                <w:i/>
              </w:rPr>
              <w:t>tam, kde</w:t>
            </w:r>
            <w:r>
              <w:t xml:space="preserve"> rizika přetrvávají;</w:t>
            </w:r>
          </w:p>
        </w:tc>
        <w:tc>
          <w:tcPr>
            <w:tcW w:w="4876" w:type="dxa"/>
            <w:tcBorders>
              <w:top w:val="nil"/>
              <w:left w:val="nil"/>
              <w:bottom w:val="nil"/>
              <w:right w:val="nil"/>
            </w:tcBorders>
          </w:tcPr>
          <w:p>
            <w:pPr>
              <w:pStyle w:val="Normal6a"/>
            </w:pPr>
            <w:r>
              <w:t>ii)</w:t>
            </w:r>
            <w:r>
              <w:tab/>
            </w:r>
            <w:r>
              <w:t xml:space="preserve">přijala veškerá nezbytná opatření k řešení přetrvávajících nedostatků v </w:t>
            </w:r>
            <w:r>
              <w:rPr>
                <w:b/>
                <w:i/>
              </w:rPr>
              <w:t>legalitě</w:t>
            </w:r>
            <w:r>
              <w:t xml:space="preserve"> a správnosti výdajů, </w:t>
            </w:r>
            <w:r>
              <w:rPr>
                <w:b/>
                <w:i/>
              </w:rPr>
              <w:t>mimo jiné zlepšením jasných</w:t>
            </w:r>
            <w:r>
              <w:t xml:space="preserve"> pokynů pro řídicí orgány</w:t>
            </w:r>
            <w:r>
              <w:rPr>
                <w:b/>
                <w:i/>
              </w:rPr>
              <w:t>, pokračujícím úsilím o řešení zjištěných</w:t>
            </w:r>
            <w:r>
              <w:t xml:space="preserve"> nedostatků </w:t>
            </w:r>
            <w:r>
              <w:rPr>
                <w:b/>
                <w:i/>
              </w:rPr>
              <w:t>ve výdajích založených na úhradách a zajištěním jednotného</w:t>
            </w:r>
            <w:r>
              <w:t xml:space="preserve"> uplatňování nařízení o podmíněnosti dodržováním zásad právního státu </w:t>
            </w:r>
            <w:r>
              <w:rPr>
                <w:b/>
                <w:i/>
              </w:rPr>
              <w:t>v případech, kdy</w:t>
            </w:r>
            <w:r>
              <w:t xml:space="preserve"> rizika přetrvávají;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podbod ii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iia)</w:t>
            </w:r>
            <w:r>
              <w:tab/>
            </w:r>
            <w:r>
              <w:rPr>
                <w:b/>
                <w:i/>
              </w:rPr>
              <w:t>vyzývá k tomu, aby byla zaručena procesní práva dotčeného členského státu a aby veškeré postupy probíhaly v souladu se zásadami objektivity, nediskriminace a rovného zacházení s dotčeným členským státem a s nestranným přístupem založeným na důkazech;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podbod iv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iv)</w:t>
            </w:r>
            <w:r>
              <w:tab/>
            </w:r>
            <w:r>
              <w:t>posílila monitorování čerpání prostředků ve sdíleném řízení na období 2021–2027, včetně aktivnějšího sledování nízké míry čerpání, posílené administrativní podpory členským státům a systematické identifikace strukturálních překážek, které čerpání zpomalují;</w:t>
            </w:r>
          </w:p>
        </w:tc>
        <w:tc>
          <w:tcPr>
            <w:tcW w:w="4876" w:type="dxa"/>
            <w:tcBorders>
              <w:top w:val="nil"/>
              <w:left w:val="nil"/>
              <w:bottom w:val="nil"/>
              <w:right w:val="nil"/>
            </w:tcBorders>
          </w:tcPr>
          <w:p>
            <w:pPr>
              <w:pStyle w:val="Normal6a"/>
            </w:pPr>
            <w:r>
              <w:t>iv)</w:t>
            </w:r>
            <w:r>
              <w:tab/>
            </w:r>
            <w:r>
              <w:t>posílila monitorování čerpání prostředků ve sdíleném řízení na období 2021–2027</w:t>
            </w:r>
            <w:r>
              <w:rPr>
                <w:b/>
                <w:i/>
              </w:rPr>
              <w:t>;</w:t>
            </w:r>
            <w:r>
              <w:t xml:space="preserve"> </w:t>
            </w:r>
            <w:r>
              <w:rPr>
                <w:b/>
                <w:i/>
              </w:rPr>
              <w:t>vyzývá Komisi, aby zintenzivnila cílenou technickou pomoc členským státům</w:t>
            </w:r>
            <w:r>
              <w:t>, včetně aktivnějšího sledování nízké míry čerpání, posílené administrativní podpory členským státům a systematické identifikace strukturálních překážek, které čerpání zpomalují;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podbod vii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vii)</w:t>
            </w:r>
            <w:r>
              <w:tab/>
            </w:r>
            <w:r>
              <w:rPr>
                <w:b/>
                <w:i/>
              </w:rPr>
              <w:t>naléhavě vyzývá Komisi, aby přezkoumala a zjednodušila rámec</w:t>
            </w:r>
            <w:r>
              <w:t xml:space="preserve"> flexibility rozpočtu Unie </w:t>
            </w:r>
            <w:r>
              <w:rPr>
                <w:b/>
                <w:i/>
              </w:rPr>
              <w:t>pro příští</w:t>
            </w:r>
            <w:r>
              <w:t xml:space="preserve"> VFR, včetně stanovení </w:t>
            </w:r>
            <w:r>
              <w:rPr>
                <w:b/>
                <w:i/>
              </w:rPr>
              <w:t>jasného pořadí</w:t>
            </w:r>
            <w:r>
              <w:t xml:space="preserve"> pro mobilizaci </w:t>
            </w:r>
            <w:r>
              <w:rPr>
                <w:b/>
                <w:i/>
              </w:rPr>
              <w:t>rezerv</w:t>
            </w:r>
            <w:r>
              <w:t xml:space="preserve"> a zvláštních nástrojů, zamezení překrývání </w:t>
            </w:r>
            <w:r>
              <w:rPr>
                <w:b/>
                <w:i/>
              </w:rPr>
              <w:t>nástrojů</w:t>
            </w:r>
            <w:r>
              <w:t xml:space="preserve"> flexibility a zlepšení transparentnosti jejich využívání;</w:t>
            </w:r>
          </w:p>
        </w:tc>
        <w:tc>
          <w:tcPr>
            <w:tcW w:w="4876" w:type="dxa"/>
            <w:tcBorders>
              <w:top w:val="nil"/>
              <w:left w:val="nil"/>
              <w:bottom w:val="nil"/>
              <w:right w:val="nil"/>
            </w:tcBorders>
          </w:tcPr>
          <w:p>
            <w:pPr>
              <w:pStyle w:val="Normal6a"/>
            </w:pPr>
            <w:r>
              <w:t>vii)</w:t>
            </w:r>
            <w:r>
              <w:tab/>
            </w:r>
            <w:r>
              <w:rPr>
                <w:b/>
                <w:i/>
              </w:rPr>
              <w:t>podporuje zjednodušení architektury</w:t>
            </w:r>
            <w:r>
              <w:t xml:space="preserve"> flexibility rozpočtu Unie </w:t>
            </w:r>
            <w:r>
              <w:rPr>
                <w:b/>
                <w:i/>
              </w:rPr>
              <w:t>v příštím</w:t>
            </w:r>
            <w:r>
              <w:t xml:space="preserve"> VFR, včetně stanovení </w:t>
            </w:r>
            <w:r>
              <w:rPr>
                <w:b/>
                <w:i/>
              </w:rPr>
              <w:t>jasné posloupnosti</w:t>
            </w:r>
            <w:r>
              <w:t xml:space="preserve"> pro mobilizaci </w:t>
            </w:r>
            <w:r>
              <w:rPr>
                <w:b/>
                <w:i/>
              </w:rPr>
              <w:t>rozpětí</w:t>
            </w:r>
            <w:r>
              <w:t xml:space="preserve"> a zvláštních nástrojů, zamezení překrývání </w:t>
            </w:r>
            <w:r>
              <w:rPr>
                <w:b/>
                <w:i/>
              </w:rPr>
              <w:t>mezi nástroji</w:t>
            </w:r>
            <w:r>
              <w:t xml:space="preserve"> flexibility a zlepšení transparentnosti jejich využívání; </w:t>
            </w:r>
            <w:r>
              <w:rPr>
                <w:b/>
                <w:i/>
              </w:rPr>
              <w:t>zdůrazňuje, že tato flexibilita nemůže ohrozit předvídatelnost, transparentnost a demokratický dohled rozpočtového orgánu;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podbod vii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vii)</w:t>
            </w:r>
            <w:r>
              <w:tab/>
            </w:r>
            <w:r>
              <w:rPr>
                <w:b/>
                <w:i/>
              </w:rPr>
              <w:t>naléhavě vyzývá</w:t>
            </w:r>
            <w:r>
              <w:t xml:space="preserve"> Komisi, aby přezkoumala a </w:t>
            </w:r>
            <w:r>
              <w:rPr>
                <w:b/>
                <w:i/>
              </w:rPr>
              <w:t>zjednodušila</w:t>
            </w:r>
            <w:r>
              <w:t xml:space="preserve"> rámec flexibility rozpočtu Unie pro příští VFR, včetně stanovení jasného pořadí pro mobilizaci </w:t>
            </w:r>
            <w:r>
              <w:rPr>
                <w:b/>
                <w:i/>
              </w:rPr>
              <w:t>rezerv</w:t>
            </w:r>
            <w:r>
              <w:t xml:space="preserve"> a zvláštních nástrojů, </w:t>
            </w:r>
            <w:r>
              <w:rPr>
                <w:b/>
                <w:i/>
              </w:rPr>
              <w:t>zamezení překrývání nástrojů</w:t>
            </w:r>
            <w:r>
              <w:t xml:space="preserve"> flexibility a </w:t>
            </w:r>
            <w:r>
              <w:rPr>
                <w:b/>
                <w:i/>
              </w:rPr>
              <w:t>zlepšení</w:t>
            </w:r>
            <w:r>
              <w:t xml:space="preserve"> transparentnosti jejich využívání;</w:t>
            </w:r>
          </w:p>
        </w:tc>
        <w:tc>
          <w:tcPr>
            <w:tcW w:w="4876" w:type="dxa"/>
            <w:tcBorders>
              <w:top w:val="nil"/>
              <w:left w:val="nil"/>
              <w:bottom w:val="nil"/>
              <w:right w:val="nil"/>
            </w:tcBorders>
          </w:tcPr>
          <w:p>
            <w:pPr>
              <w:pStyle w:val="Normal6a"/>
            </w:pPr>
            <w:r>
              <w:t>vii)</w:t>
            </w:r>
            <w:r>
              <w:tab/>
            </w:r>
            <w:r>
              <w:rPr>
                <w:b/>
                <w:i/>
              </w:rPr>
              <w:t>vybízí</w:t>
            </w:r>
            <w:r>
              <w:t xml:space="preserve"> Komisi, aby přezkoumala a </w:t>
            </w:r>
            <w:r>
              <w:rPr>
                <w:b/>
                <w:i/>
              </w:rPr>
              <w:t>vyjasnila</w:t>
            </w:r>
            <w:r>
              <w:t xml:space="preserve"> rámec flexibility rozpočtu Unie pro příští VFR, včetně stanovení jasného pořadí pro mobilizaci </w:t>
            </w:r>
            <w:r>
              <w:rPr>
                <w:b/>
                <w:i/>
              </w:rPr>
              <w:t>rozpětí</w:t>
            </w:r>
            <w:r>
              <w:t xml:space="preserve"> a zvláštních nástrojů, </w:t>
            </w:r>
            <w:r>
              <w:rPr>
                <w:b/>
                <w:i/>
              </w:rPr>
              <w:t>zajištění doplňkovosti mezi nástroji</w:t>
            </w:r>
            <w:r>
              <w:t xml:space="preserve"> flexibility a </w:t>
            </w:r>
            <w:r>
              <w:rPr>
                <w:b/>
                <w:i/>
              </w:rPr>
              <w:t>větší</w:t>
            </w:r>
            <w:r>
              <w:t xml:space="preserve"> transparentnosti </w:t>
            </w:r>
            <w:r>
              <w:rPr>
                <w:b/>
                <w:i/>
              </w:rPr>
              <w:t>a předvídatelnosti při</w:t>
            </w:r>
            <w:r>
              <w:t xml:space="preserve"> jejich využívání;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podbod ix</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ix)</w:t>
            </w:r>
            <w:r>
              <w:tab/>
            </w:r>
            <w:r>
              <w:rPr>
                <w:b/>
                <w:i/>
              </w:rPr>
              <w:t>vyzývá</w:t>
            </w:r>
            <w:r>
              <w:t xml:space="preserve"> Komisi, aby </w:t>
            </w:r>
            <w:r>
              <w:rPr>
                <w:b/>
                <w:i/>
              </w:rPr>
              <w:t>i nadále zajišťovala solidní</w:t>
            </w:r>
            <w:r>
              <w:t xml:space="preserve"> spolupráci </w:t>
            </w:r>
            <w:r>
              <w:rPr>
                <w:b/>
                <w:i/>
              </w:rPr>
              <w:t>s úřadem OLAF a úřadem EPPO</w:t>
            </w:r>
            <w:r>
              <w:t>, včetně včasného předávání případů podezření z podvodu</w:t>
            </w:r>
            <w:r>
              <w:rPr>
                <w:b/>
                <w:i/>
              </w:rPr>
              <w:t>, a posílila</w:t>
            </w:r>
            <w:r>
              <w:t xml:space="preserve"> strategie předcházení podvodům, zejména v oblastech vysoce rizikových výdajů a finančních nástrojů spravujících velký objem prostředků;</w:t>
            </w:r>
          </w:p>
        </w:tc>
        <w:tc>
          <w:tcPr>
            <w:tcW w:w="4876" w:type="dxa"/>
            <w:tcBorders>
              <w:top w:val="nil"/>
              <w:left w:val="nil"/>
              <w:bottom w:val="nil"/>
              <w:right w:val="nil"/>
            </w:tcBorders>
          </w:tcPr>
          <w:p>
            <w:pPr>
              <w:pStyle w:val="Normal6a"/>
            </w:pPr>
            <w:r>
              <w:t>ix)</w:t>
            </w:r>
            <w:r>
              <w:tab/>
            </w:r>
            <w:r>
              <w:rPr>
                <w:b/>
                <w:i/>
              </w:rPr>
              <w:t>vybízí</w:t>
            </w:r>
            <w:r>
              <w:t xml:space="preserve"> Komisi, aby </w:t>
            </w:r>
            <w:r>
              <w:rPr>
                <w:b/>
                <w:i/>
              </w:rPr>
              <w:t>zajistila dostatečné finanční a lidské zdroje struktuře Unie pro boj proti podvodům, zejména úřadu OLAF a úřadu EPPO, usnadnila úzkou</w:t>
            </w:r>
            <w:r>
              <w:t xml:space="preserve"> spolupráci </w:t>
            </w:r>
            <w:r>
              <w:rPr>
                <w:b/>
                <w:i/>
              </w:rPr>
              <w:t>mezi nimi</w:t>
            </w:r>
            <w:r>
              <w:t xml:space="preserve">, včetně včasného předávání případů podezření z podvodu </w:t>
            </w:r>
            <w:r>
              <w:rPr>
                <w:b/>
                <w:i/>
              </w:rPr>
              <w:t>a</w:t>
            </w:r>
            <w:r>
              <w:t xml:space="preserve"> strategie předcházení podvodům, zejména v oblastech vysoce rizikových výdajů a finančních nástrojů spravujících velký objem prostředků;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podbod ix</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ix)</w:t>
            </w:r>
            <w:r>
              <w:tab/>
            </w:r>
            <w:r>
              <w:rPr>
                <w:b/>
                <w:i/>
              </w:rPr>
              <w:t>vyzývá Komisi, aby i nadále zajišťovala solidní spolupráci s</w:t>
            </w:r>
            <w:r>
              <w:t xml:space="preserve"> úřadem OLAF a úřadem EPPO, včetně včasného předávání případů podezření z podvodu</w:t>
            </w:r>
            <w:r>
              <w:rPr>
                <w:b/>
                <w:i/>
              </w:rPr>
              <w:t>, a posílila strategie</w:t>
            </w:r>
            <w:r>
              <w:t xml:space="preserve"> předcházení podvodům, zejména </w:t>
            </w:r>
            <w:r>
              <w:rPr>
                <w:b/>
                <w:i/>
              </w:rPr>
              <w:t>v oblastech</w:t>
            </w:r>
            <w:r>
              <w:t xml:space="preserve"> vysoce rizikových </w:t>
            </w:r>
            <w:r>
              <w:rPr>
                <w:b/>
                <w:i/>
              </w:rPr>
              <w:t>výdajů a</w:t>
            </w:r>
            <w:r>
              <w:t xml:space="preserve"> finančních </w:t>
            </w:r>
            <w:r>
              <w:rPr>
                <w:b/>
                <w:i/>
              </w:rPr>
              <w:t>nástrojů spravujících velký objem prostředků</w:t>
            </w:r>
            <w:r>
              <w:t>;</w:t>
            </w:r>
          </w:p>
        </w:tc>
        <w:tc>
          <w:tcPr>
            <w:tcW w:w="4876" w:type="dxa"/>
            <w:tcBorders>
              <w:top w:val="nil"/>
              <w:left w:val="nil"/>
              <w:bottom w:val="nil"/>
              <w:right w:val="nil"/>
            </w:tcBorders>
          </w:tcPr>
          <w:p>
            <w:pPr>
              <w:pStyle w:val="Normal6a"/>
            </w:pPr>
            <w:r>
              <w:t>ix)</w:t>
            </w:r>
            <w:r>
              <w:tab/>
            </w:r>
            <w:r>
              <w:rPr>
                <w:b/>
                <w:i/>
              </w:rPr>
              <w:t>připomíná význam silné a pevné spolupráce s Komisí,</w:t>
            </w:r>
            <w:r>
              <w:t xml:space="preserve"> úřadem OLAF a úřadem EPPO, včetně včasného předávání případů podezření z podvodu </w:t>
            </w:r>
            <w:r>
              <w:rPr>
                <w:b/>
                <w:i/>
              </w:rPr>
              <w:t>a posílených strategií</w:t>
            </w:r>
            <w:r>
              <w:t xml:space="preserve"> předcházení podvodům, zejména </w:t>
            </w:r>
            <w:r>
              <w:rPr>
                <w:b/>
                <w:i/>
              </w:rPr>
              <w:t>ve</w:t>
            </w:r>
            <w:r>
              <w:t xml:space="preserve"> vysoce rizikových </w:t>
            </w:r>
            <w:r>
              <w:rPr>
                <w:b/>
                <w:i/>
              </w:rPr>
              <w:t>výdajových oblastech a rozsáhlých</w:t>
            </w:r>
            <w:r>
              <w:t xml:space="preserve"> finančních </w:t>
            </w:r>
            <w:r>
              <w:rPr>
                <w:b/>
                <w:i/>
              </w:rPr>
              <w:t>nástrojích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podbod ix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ixa)</w:t>
            </w:r>
            <w:r>
              <w:tab/>
            </w:r>
            <w:r>
              <w:rPr>
                <w:b/>
                <w:i/>
              </w:rPr>
              <w:t>vyzývá k posouzení dopadu trvale vysoké inflace na rozpočet EU v průběhu několika let, včetně jejího vlivu na provádění programů, kupní sílu výdajů Unie, výpůjční náklady a reálnou hodnotu splátek;</w:t>
            </w:r>
            <w:r>
              <w:t xml:space="preserve"> </w:t>
            </w:r>
            <w:r>
              <w:rPr>
                <w:b/>
                <w:i/>
              </w:rPr>
              <w:t>zdůrazňuje, že Unie bude muset v nadcházejících letech splnit významné závazky týkající se splácení dluhu, zejména ty, které souvisejí s financováním NGEU;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podbod ix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ixb)</w:t>
            </w:r>
            <w:r>
              <w:tab/>
            </w:r>
            <w:r>
              <w:rPr>
                <w:b/>
                <w:i/>
              </w:rPr>
              <w:t>vyzývá Komisi, aby zveřejnila jasná a uživatelsky vstřícná shrnutí výkonnosti a výdajů, včetně jednostránkových a interaktivních přehledů se strojově čitelnými datovými soubory, v souladu s doporučeními OECD k posílení podávání zpráv o výkonnosti začleněním finančních informací a informací o výkonnosti (dokumenty OECD o sestavování rozpočtu, č. 2025/07);</w:t>
            </w:r>
            <w:r>
              <w:t xml:space="preserve"> </w:t>
            </w:r>
            <w:r>
              <w:rPr>
                <w:b/>
                <w:i/>
              </w:rPr>
              <w:t>zdůrazňuje, že přechod od podávání zpráv o vstupech a činnostech k podávání zpráv zaměřených na výsledky a dopady by měl rovněž snížit administrativní zátěž auditorů i příjemců tím, že se zaměří na významnost a proporcionalitu;</w:t>
            </w:r>
            <w:r>
              <w:t xml:space="preserve"> </w:t>
            </w:r>
            <w:r>
              <w:rPr>
                <w:b/>
                <w:i/>
              </w:rPr>
              <w:t>vyzývá Komisi, aby zjednodušila ukazatele a vzory, předcházela duplicitním žádostem o údaje a uplatňovala zásadu „pouze jednou“, aby příjemci mohli trávit více času orientací na výsledky a méně času formalitami souvisejícími s dodržováním pravidel;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podbod ix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ixa)</w:t>
            </w:r>
            <w:r>
              <w:tab/>
            </w:r>
            <w:r>
              <w:rPr>
                <w:b/>
                <w:i/>
              </w:rPr>
              <w:t>vyzývá k přesunutí důrazu na začleňování rozpočtu na horizontální priority od sledování založeného na výdajích k přístupu zaměřenému na výsledky ve všech projektech financovaných EU;</w:t>
            </w:r>
            <w:r>
              <w:t xml:space="preserve"> </w:t>
            </w:r>
            <w:r>
              <w:rPr>
                <w:b/>
                <w:i/>
              </w:rPr>
              <w:t>trvá na tom, že účinnost těchto priorit musí být měřena spíše konkrétními výsledky a prokazatelným dopadem než objemem přidělených zdrojů;</w:t>
            </w:r>
            <w:r>
              <w:t xml:space="preserve"> </w:t>
            </w:r>
            <w:r>
              <w:rPr>
                <w:b/>
                <w:i/>
              </w:rPr>
              <w:t>vyzývá k systematickému podávání zpráv o skutečné výkonnosti běžných výdajů a požaduje, aby Komise ukončila nebo zásadně přepracovala veškerá opatření, která neprokáží jasnou přidanou hodnotu a hmatatelné výsledky;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42.</w:t>
            </w:r>
            <w:r>
              <w:tab/>
            </w:r>
            <w:r>
              <w:t xml:space="preserve">s uspokojením konstatuje, že systémy příjmů, které Účetní dvůr </w:t>
            </w:r>
            <w:r>
              <w:rPr>
                <w:b/>
                <w:i/>
              </w:rPr>
              <w:t>zkoumal</w:t>
            </w:r>
            <w:r>
              <w:t xml:space="preserve">, byly obecně účinné; zároveň žádá Komisi, aby </w:t>
            </w:r>
            <w:r>
              <w:rPr>
                <w:b/>
                <w:i/>
              </w:rPr>
              <w:t>se zabývala zbývajícími nedostatky zjištěnými</w:t>
            </w:r>
            <w:r>
              <w:t xml:space="preserve"> Účetním dvorem, zejména </w:t>
            </w:r>
            <w:r>
              <w:rPr>
                <w:b/>
                <w:i/>
              </w:rPr>
              <w:t>těmi</w:t>
            </w:r>
            <w:r>
              <w:t xml:space="preserve">, které se týkají </w:t>
            </w:r>
            <w:r>
              <w:rPr>
                <w:b/>
                <w:i/>
              </w:rPr>
              <w:t>dlouhodobých</w:t>
            </w:r>
            <w:r>
              <w:t xml:space="preserve"> otázek </w:t>
            </w:r>
            <w:r>
              <w:rPr>
                <w:b/>
                <w:i/>
              </w:rPr>
              <w:t>ohledně</w:t>
            </w:r>
            <w:r>
              <w:t xml:space="preserve"> výhrad k DPH a otevřených </w:t>
            </w:r>
            <w:r>
              <w:rPr>
                <w:b/>
                <w:i/>
              </w:rPr>
              <w:t>bodů</w:t>
            </w:r>
            <w:r>
              <w:t xml:space="preserve"> týkajících se tradičních vlastních zdrojů </w:t>
            </w:r>
            <w:r>
              <w:rPr>
                <w:b/>
                <w:i/>
              </w:rPr>
              <w:t>(TVZ)</w:t>
            </w:r>
            <w:r>
              <w:t>;</w:t>
            </w:r>
          </w:p>
        </w:tc>
        <w:tc>
          <w:tcPr>
            <w:tcW w:w="4876" w:type="dxa"/>
            <w:tcBorders>
              <w:top w:val="nil"/>
              <w:left w:val="nil"/>
              <w:bottom w:val="nil"/>
              <w:right w:val="nil"/>
            </w:tcBorders>
          </w:tcPr>
          <w:p>
            <w:pPr>
              <w:pStyle w:val="Normal6a"/>
            </w:pPr>
            <w:r>
              <w:t>42.</w:t>
            </w:r>
            <w:r>
              <w:tab/>
            </w:r>
            <w:r>
              <w:rPr>
                <w:b/>
                <w:i/>
              </w:rPr>
              <w:t>zdůrazňuje, že je důležité, aby členské státy plnily své povinnosti při výběru daně z přidané hodnoty (DPH) a tradičních vlastních zdrojů (TVZ), neboť to slouží k ochraně finančních zájmů Unie a zároveň zaručuje, že zátěž spojená s financováním výdajů EU bude spravedlivě rozdělena mezi členské státy, a zajišťuje spravedlivé zdanění a spravedlivou hospodářskou soutěž na jednotném trhu;</w:t>
            </w:r>
            <w:r>
              <w:t xml:space="preserve"> s uspokojením konstatuje, že systémy příjmů, které Účetní dvůr </w:t>
            </w:r>
            <w:r>
              <w:rPr>
                <w:b/>
                <w:i/>
              </w:rPr>
              <w:t>prověřoval</w:t>
            </w:r>
            <w:r>
              <w:t xml:space="preserve">, byly obecně účinné; zároveň žádá Komisi, aby </w:t>
            </w:r>
            <w:r>
              <w:rPr>
                <w:b/>
                <w:i/>
              </w:rPr>
              <w:t>zintenzivnila úsilí o zlepšení výběru stávajících vlastních zdrojů, mimo jiné řešením zbývajících nedostatků zjištěných</w:t>
            </w:r>
            <w:r>
              <w:t xml:space="preserve"> Účetním dvorem, zejména </w:t>
            </w:r>
            <w:r>
              <w:rPr>
                <w:b/>
                <w:i/>
              </w:rPr>
              <w:t>těch</w:t>
            </w:r>
            <w:r>
              <w:t xml:space="preserve">, které se týkají </w:t>
            </w:r>
            <w:r>
              <w:rPr>
                <w:b/>
                <w:i/>
              </w:rPr>
              <w:t>dlouhodobě nevyřešených</w:t>
            </w:r>
            <w:r>
              <w:t xml:space="preserve"> otázek </w:t>
            </w:r>
            <w:r>
              <w:rPr>
                <w:b/>
                <w:i/>
              </w:rPr>
              <w:t>týkajících se</w:t>
            </w:r>
            <w:r>
              <w:t xml:space="preserve"> výhrad k DPH a otevřených </w:t>
            </w:r>
            <w:r>
              <w:rPr>
                <w:b/>
                <w:i/>
              </w:rPr>
              <w:t>případů</w:t>
            </w:r>
            <w:r>
              <w:t xml:space="preserve"> týkajících se tradičních vlastních zdrojů;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42.</w:t>
            </w:r>
            <w:r>
              <w:tab/>
            </w:r>
            <w:r>
              <w:t xml:space="preserve">s uspokojením konstatuje, že systémy příjmů, které Účetní dvůr zkoumal, byly obecně účinné; zároveň </w:t>
            </w:r>
            <w:r>
              <w:rPr>
                <w:b/>
                <w:i/>
              </w:rPr>
              <w:t>žádá</w:t>
            </w:r>
            <w:r>
              <w:t xml:space="preserve"> Komisi, aby se zabývala zbývajícími nedostatky zjištěnými Účetním dvorem, zejména těmi, které se týkají dlouhodobých otázek </w:t>
            </w:r>
            <w:r>
              <w:rPr>
                <w:b/>
                <w:i/>
              </w:rPr>
              <w:t>ohledně</w:t>
            </w:r>
            <w:r>
              <w:t xml:space="preserve"> výhrad k DPH a otevřených bodů týkajících se tradičních vlastních zdrojů (TVZ);</w:t>
            </w:r>
          </w:p>
        </w:tc>
        <w:tc>
          <w:tcPr>
            <w:tcW w:w="4876" w:type="dxa"/>
            <w:tcBorders>
              <w:top w:val="nil"/>
              <w:left w:val="nil"/>
              <w:bottom w:val="nil"/>
              <w:right w:val="nil"/>
            </w:tcBorders>
          </w:tcPr>
          <w:p>
            <w:pPr>
              <w:pStyle w:val="Normal6a"/>
            </w:pPr>
            <w:r>
              <w:t>42.</w:t>
            </w:r>
            <w:r>
              <w:tab/>
            </w:r>
            <w:r>
              <w:t xml:space="preserve">s uspokojením konstatuje, že systémy příjmů, které Účetní dvůr zkoumal, byly obecně účinné; zároveň </w:t>
            </w:r>
            <w:r>
              <w:rPr>
                <w:b/>
                <w:i/>
              </w:rPr>
              <w:t>naléhavě vyzývá</w:t>
            </w:r>
            <w:r>
              <w:t xml:space="preserve"> Komisi, aby se zabývala zbývajícími nedostatky zjištěnými Účetním dvorem, zejména těmi, které se týkají dlouhodobých otázek </w:t>
            </w:r>
            <w:r>
              <w:rPr>
                <w:b/>
                <w:i/>
              </w:rPr>
              <w:t>týkajících se</w:t>
            </w:r>
            <w:r>
              <w:t xml:space="preserve"> výhrad k DPH a otevřených bodů týkajících se tradičních vlastních zdrojů (TVZ);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42a.</w:t>
            </w:r>
            <w:r>
              <w:tab/>
            </w:r>
            <w:r>
              <w:rPr>
                <w:b/>
                <w:i/>
              </w:rPr>
              <w:t>konstatuje, že roztříštěnost daňových pravidel a správních postupů vede k měřitelným „nákladům vyplývajícím z neexistence společného evropského postupu“, včetně právní nejistoty, příležitostí k arbitráži, nerovné kapacity v oblasti prosazování a nadměrné zátěže spojené s dodržováním předpisů;</w:t>
            </w:r>
            <w:r>
              <w:t xml:space="preserve"> </w:t>
            </w:r>
            <w:r>
              <w:rPr>
                <w:b/>
                <w:i/>
              </w:rPr>
              <w:t>zdůrazňuje, že snížení těchto nákladů může uvolnit zdroje, aniž by to znamenalo další zátěž pro běžné občany;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42b.</w:t>
            </w:r>
            <w:r>
              <w:tab/>
            </w:r>
            <w:r>
              <w:rPr>
                <w:b/>
                <w:i/>
              </w:rPr>
              <w:t>zdůrazňuje, že nekoordinace podkopává jednotný trh a spravedlivou hospodářskou soutěž;</w:t>
            </w:r>
            <w:r>
              <w:t xml:space="preserve"> </w:t>
            </w:r>
            <w:r>
              <w:rPr>
                <w:b/>
                <w:i/>
              </w:rPr>
              <w:t>vyzývá k cílené koordinaci na úrovni EU zaměřené na definice, podávání zpráv a interoperabilitu při současném respektování pravomocí členských států v oblasti daňových sazeb;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43.</w:t>
            </w:r>
            <w:r>
              <w:tab/>
            </w:r>
            <w:r>
              <w:t xml:space="preserve">zdůrazňuje, že reforma celního systému Unie je i nadále </w:t>
            </w:r>
            <w:r>
              <w:rPr>
                <w:b/>
                <w:i/>
              </w:rPr>
              <w:t>problémem souvisejícím s vlastními zdroji, ale také s bojem</w:t>
            </w:r>
            <w:r>
              <w:t xml:space="preserve"> proti organizované trestné činnosti; </w:t>
            </w:r>
            <w:r>
              <w:rPr>
                <w:b/>
                <w:i/>
              </w:rPr>
              <w:t>vyjadřuje politování nad tím, že Účetní dvůr zjistil, že Komise nevypracovala podrobný plán</w:t>
            </w:r>
            <w:r>
              <w:t xml:space="preserve"> provádění </w:t>
            </w:r>
            <w:r>
              <w:rPr>
                <w:b/>
                <w:i/>
              </w:rPr>
              <w:t>návrhu celní reformy z května 2023</w:t>
            </w:r>
            <w:r>
              <w:t>;</w:t>
            </w:r>
          </w:p>
        </w:tc>
        <w:tc>
          <w:tcPr>
            <w:tcW w:w="4876" w:type="dxa"/>
            <w:tcBorders>
              <w:top w:val="nil"/>
              <w:left w:val="nil"/>
              <w:bottom w:val="nil"/>
              <w:right w:val="nil"/>
            </w:tcBorders>
          </w:tcPr>
          <w:p>
            <w:pPr>
              <w:pStyle w:val="Normal6a"/>
            </w:pPr>
            <w:r>
              <w:t>43.</w:t>
            </w:r>
            <w:r>
              <w:tab/>
            </w:r>
            <w:r>
              <w:t xml:space="preserve">zdůrazňuje, že reforma celního systému Unie je i nadále </w:t>
            </w:r>
            <w:r>
              <w:rPr>
                <w:b/>
                <w:i/>
              </w:rPr>
              <w:t>důležitá jak pro modernizaci vlastních zdrojů, tak pro účinný boj</w:t>
            </w:r>
            <w:r>
              <w:t xml:space="preserve"> proti organizované trestné činnosti; </w:t>
            </w:r>
            <w:r>
              <w:rPr>
                <w:b/>
                <w:i/>
              </w:rPr>
              <w:t>bere na vědomí připomínku Účetního dvora, že je třeba dále vyjasnit plánování</w:t>
            </w:r>
            <w:r>
              <w:t xml:space="preserve"> provádění</w:t>
            </w:r>
            <w:r>
              <w:rPr>
                <w:b/>
                <w:i/>
              </w:rPr>
              <w:t>;</w:t>
            </w:r>
            <w:r>
              <w:t xml:space="preserve"> </w:t>
            </w:r>
            <w:r>
              <w:rPr>
                <w:b/>
                <w:i/>
              </w:rPr>
              <w:t>zdůrazňuje, že je důležité plnit dohodnuté reformní prvky včas a koordinovaně</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43.</w:t>
            </w:r>
            <w:r>
              <w:tab/>
            </w:r>
            <w:r>
              <w:t>zdůrazňuje, že reforma celního systému Unie je i nadále problémem souvisejícím s vlastními zdroji, ale také s bojem proti organizované trestné činnosti; vyjadřuje politování nad tím, že Účetní dvůr zjistil, že Komise nevypracovala podrobný plán provádění návrhu celní reformy z května 2023;</w:t>
            </w:r>
          </w:p>
        </w:tc>
        <w:tc>
          <w:tcPr>
            <w:tcW w:w="4876" w:type="dxa"/>
            <w:tcBorders>
              <w:top w:val="nil"/>
              <w:left w:val="nil"/>
              <w:bottom w:val="nil"/>
              <w:right w:val="nil"/>
            </w:tcBorders>
          </w:tcPr>
          <w:p>
            <w:pPr>
              <w:pStyle w:val="Normal6a"/>
            </w:pPr>
            <w:r>
              <w:t>43.</w:t>
            </w:r>
            <w:r>
              <w:tab/>
            </w:r>
            <w:r>
              <w:t xml:space="preserve">zdůrazňuje, že reforma celního systému Unie je i nadále problémem souvisejícím s vlastními zdroji, ale také s bojem proti organizované trestné činnosti </w:t>
            </w:r>
            <w:r>
              <w:rPr>
                <w:b/>
                <w:i/>
              </w:rPr>
              <w:t>na evropské a vnitrostátní úrovni</w:t>
            </w:r>
            <w:r>
              <w:t>; vyjadřuje politování nad tím, že Účetní dvůr zjistil, že Komise nevypracovala podrobný plán provádění návrhu celní reformy z května 2023;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44.</w:t>
            </w:r>
            <w:r>
              <w:tab/>
            </w:r>
            <w:r>
              <w:t>zdůrazňuje, že rychlé přijetí a provedení všech prvků návrhu celní reformy musí zůstat absolutní prioritou; zdůrazňuje, že zřízení Celního úřadu EU a celního datového centra EU by mělo zajistit posuzování rizik v reálném čase, odhalování podvodů a jednotné uplatňování pravidel a nahradit roztříštěné vnitrostátní systémy v zájmu silnější a digitalizované celní unie a mělo by zajistit výrazné snížení výpadků cla, a proto by mělo být co nejvíce urychleno;</w:t>
            </w:r>
          </w:p>
        </w:tc>
        <w:tc>
          <w:tcPr>
            <w:tcW w:w="4876" w:type="dxa"/>
            <w:tcBorders>
              <w:top w:val="nil"/>
              <w:left w:val="nil"/>
              <w:bottom w:val="nil"/>
              <w:right w:val="nil"/>
            </w:tcBorders>
          </w:tcPr>
          <w:p>
            <w:pPr>
              <w:pStyle w:val="Normal6a"/>
            </w:pPr>
            <w:r>
              <w:t>44.</w:t>
            </w:r>
            <w:r>
              <w:tab/>
            </w:r>
            <w:r>
              <w:t xml:space="preserve">zdůrazňuje, že rychlé přijetí a provedení všech prvků návrhu celní reformy musí zůstat absolutní prioritou; zdůrazňuje, že zřízení Celního úřadu EU a celního datového centra EU by mělo zajistit posuzování rizik v reálném čase, odhalování podvodů a jednotné uplatňování pravidel a nahradit roztříštěné vnitrostátní systémy v zájmu silnější a digitalizované celní unie a mělo by zajistit výrazné snížení výpadků cla, a proto by mělo být co nejvíce urychleno; </w:t>
            </w:r>
            <w:r>
              <w:rPr>
                <w:b/>
                <w:i/>
              </w:rPr>
              <w:t>vyzývá Komisi, aby předložila jasný program provádění celní reformy, včetně zprovoznění Celního úřadu EU a celního datového centra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44.</w:t>
            </w:r>
            <w:r>
              <w:tab/>
            </w:r>
            <w:r>
              <w:t xml:space="preserve">zdůrazňuje, že rychlé přijetí a provedení všech prvků návrhu celní reformy </w:t>
            </w:r>
            <w:r>
              <w:rPr>
                <w:b/>
                <w:i/>
              </w:rPr>
              <w:t>musí</w:t>
            </w:r>
            <w:r>
              <w:t xml:space="preserve"> zůstat </w:t>
            </w:r>
            <w:r>
              <w:rPr>
                <w:b/>
                <w:i/>
              </w:rPr>
              <w:t>absolutní</w:t>
            </w:r>
            <w:r>
              <w:t xml:space="preserve"> prioritou; zdůrazňuje, že zřízení Celního úřadu EU a </w:t>
            </w:r>
            <w:r>
              <w:rPr>
                <w:b/>
                <w:i/>
              </w:rPr>
              <w:t>celního</w:t>
            </w:r>
            <w:r>
              <w:t xml:space="preserve"> datového centra EU by mělo </w:t>
            </w:r>
            <w:r>
              <w:rPr>
                <w:b/>
                <w:i/>
              </w:rPr>
              <w:t>zajistit</w:t>
            </w:r>
            <w:r>
              <w:t xml:space="preserve"> posuzování rizik </w:t>
            </w:r>
            <w:r>
              <w:rPr>
                <w:b/>
                <w:i/>
              </w:rPr>
              <w:t>v reálném čase</w:t>
            </w:r>
            <w:r>
              <w:t xml:space="preserve">, odhalování podvodů a </w:t>
            </w:r>
            <w:r>
              <w:rPr>
                <w:b/>
                <w:i/>
              </w:rPr>
              <w:t>jednotné</w:t>
            </w:r>
            <w:r>
              <w:t xml:space="preserve"> uplatňování </w:t>
            </w:r>
            <w:r>
              <w:rPr>
                <w:b/>
                <w:i/>
              </w:rPr>
              <w:t>pravidel</w:t>
            </w:r>
            <w:r>
              <w:t xml:space="preserve"> a nahradit roztříštěné vnitrostátní systémy </w:t>
            </w:r>
            <w:r>
              <w:rPr>
                <w:b/>
                <w:i/>
              </w:rPr>
              <w:t>v zájmu</w:t>
            </w:r>
            <w:r>
              <w:t xml:space="preserve"> silnější </w:t>
            </w:r>
            <w:r>
              <w:rPr>
                <w:b/>
                <w:i/>
              </w:rPr>
              <w:t>a digitalizované</w:t>
            </w:r>
            <w:r>
              <w:t xml:space="preserve"> celní </w:t>
            </w:r>
            <w:r>
              <w:rPr>
                <w:b/>
                <w:i/>
              </w:rPr>
              <w:t>unie a mělo by</w:t>
            </w:r>
            <w:r>
              <w:t xml:space="preserve"> zajistit </w:t>
            </w:r>
            <w:r>
              <w:rPr>
                <w:b/>
                <w:i/>
              </w:rPr>
              <w:t>výrazné</w:t>
            </w:r>
            <w:r>
              <w:t xml:space="preserve"> snížení </w:t>
            </w:r>
            <w:r>
              <w:rPr>
                <w:b/>
                <w:i/>
              </w:rPr>
              <w:t>výpadků cla, a proto by mělo být co nejvíce urychleno</w:t>
            </w:r>
            <w:r>
              <w:t>;</w:t>
            </w:r>
          </w:p>
        </w:tc>
        <w:tc>
          <w:tcPr>
            <w:tcW w:w="4876" w:type="dxa"/>
            <w:tcBorders>
              <w:top w:val="nil"/>
              <w:left w:val="nil"/>
              <w:bottom w:val="nil"/>
              <w:right w:val="nil"/>
            </w:tcBorders>
          </w:tcPr>
          <w:p>
            <w:pPr>
              <w:pStyle w:val="Normal6a"/>
            </w:pPr>
            <w:r>
              <w:t>44.</w:t>
            </w:r>
            <w:r>
              <w:tab/>
            </w:r>
            <w:r>
              <w:t xml:space="preserve">zdůrazňuje, že rychlé přijetí a provedení všech prvků návrhu celní reformy </w:t>
            </w:r>
            <w:r>
              <w:rPr>
                <w:b/>
                <w:i/>
              </w:rPr>
              <w:t>by mělo</w:t>
            </w:r>
            <w:r>
              <w:t xml:space="preserve"> zůstat </w:t>
            </w:r>
            <w:r>
              <w:rPr>
                <w:b/>
                <w:i/>
              </w:rPr>
              <w:t>klíčovou</w:t>
            </w:r>
            <w:r>
              <w:t xml:space="preserve"> prioritou </w:t>
            </w:r>
            <w:r>
              <w:rPr>
                <w:b/>
                <w:i/>
              </w:rPr>
              <w:t>pro posílení celní unie</w:t>
            </w:r>
            <w:r>
              <w:t xml:space="preserve">; zdůrazňuje, že zřízení Celního úřadu EU a datového centra EU by mělo </w:t>
            </w:r>
            <w:r>
              <w:rPr>
                <w:b/>
                <w:i/>
              </w:rPr>
              <w:t>přispět k</w:t>
            </w:r>
            <w:r>
              <w:t xml:space="preserve"> posuzování rizik, odhalování podvodů a </w:t>
            </w:r>
            <w:r>
              <w:rPr>
                <w:b/>
                <w:i/>
              </w:rPr>
              <w:t>jednotnému</w:t>
            </w:r>
            <w:r>
              <w:t xml:space="preserve"> uplatňování </w:t>
            </w:r>
            <w:r>
              <w:rPr>
                <w:b/>
                <w:i/>
              </w:rPr>
              <w:t>celních předpisů v reálném čase</w:t>
            </w:r>
            <w:r>
              <w:t xml:space="preserve"> a nahradit roztříštěné vnitrostátní systémy </w:t>
            </w:r>
            <w:r>
              <w:rPr>
                <w:b/>
                <w:i/>
              </w:rPr>
              <w:t>pro</w:t>
            </w:r>
            <w:r>
              <w:t xml:space="preserve"> silnější </w:t>
            </w:r>
            <w:r>
              <w:rPr>
                <w:b/>
                <w:i/>
              </w:rPr>
              <w:t>digitalizovanou</w:t>
            </w:r>
            <w:r>
              <w:t xml:space="preserve"> celní </w:t>
            </w:r>
            <w:r>
              <w:rPr>
                <w:b/>
                <w:i/>
              </w:rPr>
              <w:t>unii;</w:t>
            </w:r>
            <w:r>
              <w:t xml:space="preserve"> </w:t>
            </w:r>
            <w:r>
              <w:rPr>
                <w:b/>
                <w:i/>
              </w:rPr>
              <w:t>zdůrazňuje, že je důležité</w:t>
            </w:r>
            <w:r>
              <w:t xml:space="preserve"> zajistit</w:t>
            </w:r>
            <w:r>
              <w:rPr>
                <w:b/>
                <w:i/>
              </w:rPr>
              <w:t>, aby reforma vedla k výraznému</w:t>
            </w:r>
            <w:r>
              <w:t xml:space="preserve"> snížení </w:t>
            </w:r>
            <w:r>
              <w:rPr>
                <w:b/>
                <w:i/>
              </w:rPr>
              <w:t>výpadku cel a zvýšila účinnost celních kontrol EU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45.</w:t>
            </w:r>
            <w:r>
              <w:tab/>
            </w:r>
            <w:r>
              <w:t>oceňuje úsilí úřadů EPPO a OLAF v boji proti organizovanému zneužívání současných nedostatků v celních kontrolách Unie;</w:t>
            </w:r>
          </w:p>
        </w:tc>
        <w:tc>
          <w:tcPr>
            <w:tcW w:w="4876" w:type="dxa"/>
            <w:tcBorders>
              <w:top w:val="nil"/>
              <w:left w:val="nil"/>
              <w:bottom w:val="nil"/>
              <w:right w:val="nil"/>
            </w:tcBorders>
          </w:tcPr>
          <w:p>
            <w:pPr>
              <w:pStyle w:val="Normal6a"/>
            </w:pPr>
            <w:r>
              <w:t>45.</w:t>
            </w:r>
            <w:r>
              <w:tab/>
            </w:r>
            <w:r>
              <w:t xml:space="preserve">oceňuje úsilí úřadů EPPO a OLAF v boji proti organizovanému zneužívání současných nedostatků v celních kontrolách Unie; </w:t>
            </w:r>
            <w:r>
              <w:rPr>
                <w:b/>
                <w:i/>
              </w:rPr>
              <w:t>vybízí k posílení provozní kapacity a odborných znalostí úřadu EPPO o vzorcích organizované trestné činnosti, které mají dopad na příjmy a výdaje Unie, a to i prostřednictvím specializovaných společných úkolů a analýzy rizik založené na zpravodajských informacích;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45a.</w:t>
            </w:r>
            <w:r>
              <w:tab/>
            </w:r>
            <w:r>
              <w:rPr>
                <w:b/>
                <w:i/>
              </w:rPr>
              <w:t>zdůrazňuje význam preventivních opatření v souvislosti s bojem proti podvodům v oblasti DPH;</w:t>
            </w:r>
            <w:r>
              <w:t xml:space="preserve"> </w:t>
            </w:r>
            <w:r>
              <w:rPr>
                <w:b/>
                <w:i/>
              </w:rPr>
              <w:t>v této souvislosti vybízí k prozkoumání nových přístupů, jako je výběr vzorků a statistická extrapolace výsledků omezeného počtu kontrol na celkový soubor dotčených transakcí nebo preventivní blokování čísel DPH, u nichž existuje podezření, že budou použita pro účely podvodu;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46.</w:t>
            </w:r>
            <w:r>
              <w:tab/>
            </w:r>
            <w:r>
              <w:t>vítá návrhy na nové vlastní zdroje předložené Komisí, a to i v rámci balíčku návrhů pro příští VFR, které by měly být schopny pokrýt přinejmenším výdaje spojené s úroky a splátkami výpůjček v rámci nástroje RRF, aby se zajistilo, že se kvůli těmto výdajům neomezí prostředky Unie dostupné pro běžné výdajové programy Unie;</w:t>
            </w:r>
          </w:p>
        </w:tc>
        <w:tc>
          <w:tcPr>
            <w:tcW w:w="4876" w:type="dxa"/>
            <w:tcBorders>
              <w:top w:val="nil"/>
              <w:left w:val="nil"/>
              <w:bottom w:val="nil"/>
              <w:right w:val="nil"/>
            </w:tcBorders>
          </w:tcPr>
          <w:p>
            <w:pPr>
              <w:pStyle w:val="Normal6a"/>
            </w:pPr>
            <w:r>
              <w:t>46.</w:t>
            </w:r>
            <w:r>
              <w:tab/>
            </w:r>
            <w:r>
              <w:t xml:space="preserve">vítá návrhy na nové vlastní zdroje předložené Komisí, a to i v rámci balíčku návrhů pro příští VFR, které by měly být schopny pokrýt přinejmenším výdaje spojené s úroky a splátkami výpůjček v rámci nástroje RRF, aby se zajistilo, že se kvůli těmto výdajům neomezí prostředky Unie dostupné pro běžné výdajové programy Unie; </w:t>
            </w:r>
            <w:r>
              <w:rPr>
                <w:b/>
                <w:i/>
              </w:rPr>
              <w:t>zároveň uznává, že pokud by se stávající návrhy neuskutečnily, mohly by být zváženy i jiné zdroje příjmů;</w:t>
            </w:r>
            <w:r>
              <w:t xml:space="preserve"> </w:t>
            </w:r>
            <w:r>
              <w:rPr>
                <w:b/>
                <w:i/>
              </w:rPr>
              <w:t>domnívá se, že jako možná řešení by měl být prozkoumán příjmový potenciál daně z digitálních služeb a daně z finančních transakcí;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Dick Erixon, 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46.</w:t>
            </w:r>
            <w:r>
              <w:tab/>
            </w:r>
            <w:r>
              <w:rPr>
                <w:b/>
                <w:i/>
              </w:rPr>
              <w:t>vítá</w:t>
            </w:r>
            <w:r>
              <w:t xml:space="preserve"> návrhy </w:t>
            </w:r>
            <w:r>
              <w:rPr>
                <w:b/>
                <w:i/>
              </w:rPr>
              <w:t>na nové vlastní zdroje</w:t>
            </w:r>
            <w:r>
              <w:t xml:space="preserve"> předložené Komisí, a to i </w:t>
            </w:r>
            <w:r>
              <w:rPr>
                <w:b/>
                <w:i/>
              </w:rPr>
              <w:t>v rámci</w:t>
            </w:r>
            <w:r>
              <w:t xml:space="preserve"> balíčku návrhů pro příští VFR</w:t>
            </w:r>
            <w:r>
              <w:rPr>
                <w:b/>
                <w:i/>
              </w:rPr>
              <w:t>, které by měly být schopny pokrýt přinejmenším výdaje spojené s úroky a splátkami výpůjček v rámci nástroje RRF, aby se zajistilo, že se kvůli těmto výdajům neomezí prostředky Unie dostupné pro běžné výdajové programy Unie</w:t>
            </w:r>
            <w:r>
              <w:t>;</w:t>
            </w:r>
          </w:p>
        </w:tc>
        <w:tc>
          <w:tcPr>
            <w:tcW w:w="4876" w:type="dxa"/>
            <w:tcBorders>
              <w:top w:val="nil"/>
              <w:left w:val="nil"/>
              <w:bottom w:val="nil"/>
              <w:right w:val="nil"/>
            </w:tcBorders>
          </w:tcPr>
          <w:p>
            <w:pPr>
              <w:pStyle w:val="Normal6a"/>
            </w:pPr>
            <w:r>
              <w:t>46.</w:t>
            </w:r>
            <w:r>
              <w:tab/>
            </w:r>
            <w:r>
              <w:rPr>
                <w:b/>
                <w:i/>
              </w:rPr>
              <w:t>odmítá</w:t>
            </w:r>
            <w:r>
              <w:t xml:space="preserve"> návrhy </w:t>
            </w:r>
            <w:r>
              <w:rPr>
                <w:b/>
                <w:i/>
              </w:rPr>
              <w:t>nových vlastních zdrojů</w:t>
            </w:r>
            <w:r>
              <w:t xml:space="preserve"> předložené Komisí, a to i </w:t>
            </w:r>
            <w:r>
              <w:rPr>
                <w:b/>
                <w:i/>
              </w:rPr>
              <w:t>jako součást</w:t>
            </w:r>
            <w:r>
              <w:t xml:space="preserve"> balíčku návrhů pro příští VFR</w:t>
            </w:r>
            <w:r>
              <w:rPr>
                <w:b/>
                <w:i/>
              </w:rPr>
              <w:t>;</w:t>
            </w:r>
            <w:r>
              <w:t xml:space="preserve"> </w:t>
            </w:r>
            <w:r>
              <w:rPr>
                <w:b/>
                <w:i/>
              </w:rPr>
              <w:t>zdůrazňuje, že veškeré nové vlastní zdroje musí být posuzovány z hlediska rizika dvojího zdanění pro občany, kteří již nesou vysokou daňovou zátěž na vnitrostátní úrovni, možného dopadu na konkurenceschopnost Unie a přemístění podniků a dodatečných administrativních nákladů na výběr a dodržování předpisů</w:t>
            </w:r>
            <w:r>
              <w:t xml:space="preserve">; </w:t>
            </w:r>
            <w:r>
              <w:rPr>
                <w:b/>
                <w:i/>
              </w:rPr>
              <w:t>zdůrazňuje, že primární reakcí na povinnosti dluhové služby by měla být výdajová kázeň a přerozdělení stávajících zdrojů, a nikoli automatické vytváření nových toků příjmů;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47 – podbod i </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posílila opatření k zajištění co nejrychlejšího provedení celní reformy, včetně zřízení a počátečního fungování Celního úřadu EU a rozvoje, zavedení a údržby celního datového centra EU;</w:t>
            </w:r>
          </w:p>
        </w:tc>
        <w:tc>
          <w:tcPr>
            <w:tcW w:w="4876" w:type="dxa"/>
            <w:tcBorders>
              <w:top w:val="nil"/>
              <w:left w:val="nil"/>
              <w:bottom w:val="nil"/>
              <w:right w:val="nil"/>
            </w:tcBorders>
          </w:tcPr>
          <w:p>
            <w:pPr>
              <w:pStyle w:val="Normal6a"/>
            </w:pPr>
            <w:r>
              <w:t>i)</w:t>
            </w:r>
            <w:r>
              <w:tab/>
            </w:r>
            <w:r>
              <w:t>posílila opatření k zajištění co nejrychlejšího provedení celní reformy, včetně zřízení a počátečního fungování Celního úřadu EU a rozvoje, zavedení a údržby celního datového centra EU</w:t>
            </w:r>
            <w:r>
              <w:rPr>
                <w:b/>
                <w:i/>
              </w:rPr>
              <w:t> s jasným harmonogramem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47 – podbod i </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rPr>
                <w:b/>
                <w:i/>
              </w:rPr>
              <w:t>posílila opatření k zajištění co nejrychlejšího provedení</w:t>
            </w:r>
            <w:r>
              <w:t xml:space="preserve"> celní reformy, včetně zřízení a počátečního fungování Celního úřadu EU a rozvoje, zavedení a údržby celního datového centra EU;</w:t>
            </w:r>
          </w:p>
        </w:tc>
        <w:tc>
          <w:tcPr>
            <w:tcW w:w="4876" w:type="dxa"/>
            <w:tcBorders>
              <w:top w:val="nil"/>
              <w:left w:val="nil"/>
              <w:bottom w:val="nil"/>
              <w:right w:val="nil"/>
            </w:tcBorders>
          </w:tcPr>
          <w:p>
            <w:pPr>
              <w:pStyle w:val="Normal6a"/>
            </w:pPr>
            <w:r>
              <w:t>i)</w:t>
            </w:r>
            <w:r>
              <w:tab/>
            </w:r>
            <w:r>
              <w:rPr>
                <w:b/>
                <w:i/>
              </w:rPr>
              <w:t>podnikla nezbytné kroky na podporu včasného a účinného provádění</w:t>
            </w:r>
            <w:r>
              <w:t xml:space="preserve"> celní reformy, včetně zřízení a počátečního fungování Celního úřadu EU a rozvoje, zavedení a údržby celního datového centra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47 – podbod iii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iii)</w:t>
            </w:r>
            <w:r>
              <w:tab/>
            </w:r>
            <w:r>
              <w:rPr>
                <w:b/>
                <w:i/>
              </w:rPr>
              <w:t>zabývala se zbývajícími nedostatky zjištěnými</w:t>
            </w:r>
            <w:r>
              <w:t xml:space="preserve"> Účetním dvorem, zejména </w:t>
            </w:r>
            <w:r>
              <w:rPr>
                <w:b/>
                <w:i/>
              </w:rPr>
              <w:t>těmi</w:t>
            </w:r>
            <w:r>
              <w:t>, které se týkají dlouhodobých otázek ohledně výhrad k DPH a otevřených bodů týkajících se tradičních vlastních zdrojů (TVZ);</w:t>
            </w:r>
          </w:p>
        </w:tc>
        <w:tc>
          <w:tcPr>
            <w:tcW w:w="4876" w:type="dxa"/>
            <w:tcBorders>
              <w:top w:val="nil"/>
              <w:left w:val="nil"/>
              <w:bottom w:val="nil"/>
              <w:right w:val="nil"/>
            </w:tcBorders>
          </w:tcPr>
          <w:p>
            <w:pPr>
              <w:pStyle w:val="Normal6a"/>
            </w:pPr>
            <w:r>
              <w:t>iii)</w:t>
            </w:r>
            <w:r>
              <w:tab/>
            </w:r>
            <w:r>
              <w:rPr>
                <w:b/>
                <w:i/>
              </w:rPr>
              <w:t>zintenzivnila úsilí o zlepšení výběru stávajících zdrojů příjmů Unie, mimo jiné řešením zbývajících nedostatků zjištěných</w:t>
            </w:r>
            <w:r>
              <w:t xml:space="preserve"> Účetním dvorem, zejména </w:t>
            </w:r>
            <w:r>
              <w:rPr>
                <w:b/>
                <w:i/>
              </w:rPr>
              <w:t>těch</w:t>
            </w:r>
            <w:r>
              <w:t>, které se týkají dlouhodobých otázek ohledně výhrad k DPH a otevřených bodů týkajících se tradičních vlastních zdrojů (TVZ);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Dick Erixon, 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47 – podbod iv</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iv)</w:t>
            </w:r>
            <w:r>
              <w:tab/>
            </w:r>
            <w:r>
              <w:rPr>
                <w:b/>
                <w:i/>
              </w:rPr>
              <w:t>pokračovala ve snaze o zavádění dodatečných nových vlastních zdrojů;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47 – podbod iv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iva)</w:t>
            </w:r>
            <w:r>
              <w:tab/>
            </w:r>
            <w:r>
              <w:rPr>
                <w:b/>
                <w:i/>
              </w:rPr>
              <w:t>zdůrazňuje, že rychlý rozmach elektronického obchodu představuje pro celní orgány i nadále velkou výzvu a významně přispívá k výpadku cel;</w:t>
            </w:r>
            <w:r>
              <w:t xml:space="preserve"> </w:t>
            </w:r>
            <w:r>
              <w:rPr>
                <w:b/>
                <w:i/>
              </w:rPr>
              <w:t>vyzývá k posílení kontrol platforem elektronického obchodu;</w:t>
            </w:r>
            <w:r>
              <w:t xml:space="preserve"> </w:t>
            </w:r>
            <w:r>
              <w:rPr>
                <w:b/>
                <w:i/>
              </w:rPr>
              <w:t>zdůrazňuje, že účinné celní kontroly vyžadují odpovídající lidské, technické a finanční zdroje jak na úrovni Unie, tak na vnitrostátní úrovni;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47 – podbod iv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iva)</w:t>
            </w:r>
            <w:r>
              <w:tab/>
            </w:r>
            <w:r>
              <w:rPr>
                <w:b/>
                <w:i/>
              </w:rPr>
              <w:t>vyzývá Komisi, aby lépe bojovala proti podvodům týkajícím se finančních prostředků EU a posílila svůj mechanismus vymáhání namísto toho, aby zvažovala vytvoření nových daní EU;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51.</w:t>
            </w:r>
            <w:r>
              <w:tab/>
            </w:r>
            <w:r>
              <w:t xml:space="preserve">se znepokojením bere na vědomí připomínku Účetního dvora, že </w:t>
            </w:r>
            <w:r>
              <w:rPr>
                <w:b/>
                <w:i/>
              </w:rPr>
              <w:t>nejvíce jsou chybami ovlivněny výdaje na</w:t>
            </w:r>
            <w:r>
              <w:t xml:space="preserve"> výzkum </w:t>
            </w:r>
            <w:r>
              <w:rPr>
                <w:b/>
                <w:i/>
              </w:rPr>
              <w:t>a inovace, a to</w:t>
            </w:r>
            <w:r>
              <w:t xml:space="preserve"> zejména </w:t>
            </w:r>
            <w:r>
              <w:rPr>
                <w:b/>
                <w:i/>
              </w:rPr>
              <w:t>osobní náklady</w:t>
            </w:r>
            <w:r>
              <w:t>; konstatuje, že Účetní dvůr zjistil vyčíslitelné chyby u 26 z 99 výzkumných a inovačních transakcí, které vybral do vzorku;</w:t>
            </w:r>
          </w:p>
        </w:tc>
        <w:tc>
          <w:tcPr>
            <w:tcW w:w="4876" w:type="dxa"/>
            <w:tcBorders>
              <w:top w:val="nil"/>
              <w:left w:val="nil"/>
              <w:bottom w:val="nil"/>
              <w:right w:val="nil"/>
            </w:tcBorders>
          </w:tcPr>
          <w:p>
            <w:pPr>
              <w:pStyle w:val="Normal6a"/>
            </w:pPr>
            <w:r>
              <w:t>51.</w:t>
            </w:r>
            <w:r>
              <w:tab/>
            </w:r>
            <w:r>
              <w:t xml:space="preserve">se znepokojením bere na vědomí připomínku Účetního dvora, že výzkum </w:t>
            </w:r>
            <w:r>
              <w:rPr>
                <w:b/>
                <w:i/>
              </w:rPr>
              <w:t>je i nadále vysoce rizikovou výdajovou oblastí,</w:t>
            </w:r>
            <w:r>
              <w:t xml:space="preserve"> zejména </w:t>
            </w:r>
            <w:r>
              <w:rPr>
                <w:b/>
                <w:i/>
              </w:rPr>
              <w:t>v oblasti osobních nákladů</w:t>
            </w:r>
            <w:r>
              <w:t xml:space="preserve">; konstatuje, že Účetní dvůr zjistil vyčíslitelné chyby u 26 z 99 výzkumných a inovačních transakcí, které vybral do vzorku; </w:t>
            </w:r>
            <w:r>
              <w:rPr>
                <w:b/>
                <w:i/>
              </w:rPr>
              <w:t>uznává, že způsob, jakým jsou finanční prostředky vypláceny, má přímý dopad na riziko chyb a na složitá pravidla spojená s úhradovým financováním obecně používaným v oblasti výzkumu;</w:t>
            </w:r>
            <w:r>
              <w:t xml:space="preserve"> </w:t>
            </w:r>
            <w:r>
              <w:rPr>
                <w:b/>
                <w:i/>
              </w:rPr>
              <w:t>v této souvislosti zdůrazňuje, že je třeba zjednodušit pravidla, jimiž se řídí výzkumné a inovační programy EU, s cílem snížit riziko chyb a zároveň usnadnit přístup příjemců, zejména malých a středních podniků, k finančním prostředkům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53.</w:t>
            </w:r>
            <w:r>
              <w:tab/>
            </w:r>
            <w:r>
              <w:rPr>
                <w:b/>
                <w:i/>
              </w:rPr>
              <w:t>je znepokojen tím</w:t>
            </w:r>
            <w:r>
              <w:t xml:space="preserve">, že Účetní dvůr zjistil </w:t>
            </w:r>
            <w:r>
              <w:rPr>
                <w:b/>
                <w:i/>
              </w:rPr>
              <w:t>nedostatky ve sledovatelnosti vykázaných</w:t>
            </w:r>
            <w:r>
              <w:t xml:space="preserve"> výsledků, zejména </w:t>
            </w:r>
            <w:r>
              <w:rPr>
                <w:b/>
                <w:i/>
              </w:rPr>
              <w:t>v případě</w:t>
            </w:r>
            <w:r>
              <w:t xml:space="preserve"> programu Horizont 2020; </w:t>
            </w:r>
            <w:r>
              <w:rPr>
                <w:b/>
                <w:i/>
              </w:rPr>
              <w:t>domnívá se</w:t>
            </w:r>
            <w:r>
              <w:t xml:space="preserve">, že je </w:t>
            </w:r>
            <w:r>
              <w:rPr>
                <w:b/>
                <w:i/>
              </w:rPr>
              <w:t>naprosto nezbytné</w:t>
            </w:r>
            <w:r>
              <w:t xml:space="preserve"> ověřovat </w:t>
            </w:r>
            <w:r>
              <w:rPr>
                <w:b/>
                <w:i/>
              </w:rPr>
              <w:t>údaje, které se používají</w:t>
            </w:r>
            <w:r>
              <w:t xml:space="preserve"> ke stanovení ukazatelů výkonnosti</w:t>
            </w:r>
            <w:r>
              <w:rPr>
                <w:b/>
                <w:i/>
              </w:rPr>
              <w:t>, a zajišťovat jejich sledovatelnost a spolehlivost</w:t>
            </w:r>
            <w:r>
              <w:t xml:space="preserve">; </w:t>
            </w:r>
            <w:r>
              <w:rPr>
                <w:b/>
                <w:i/>
              </w:rPr>
              <w:t>se znepokojením</w:t>
            </w:r>
            <w:r>
              <w:t xml:space="preserve"> konstatuje, že </w:t>
            </w:r>
            <w:r>
              <w:rPr>
                <w:b/>
                <w:i/>
              </w:rPr>
              <w:t>v důsledku zavádění a rostoucího</w:t>
            </w:r>
            <w:r>
              <w:t xml:space="preserve"> využívání zjednodušeného vykazování nákladů a modelů </w:t>
            </w:r>
            <w:r>
              <w:rPr>
                <w:b/>
                <w:i/>
              </w:rPr>
              <w:t>provádění založených na</w:t>
            </w:r>
            <w:r>
              <w:t xml:space="preserve"> financování, které </w:t>
            </w:r>
            <w:r>
              <w:rPr>
                <w:b/>
                <w:i/>
              </w:rPr>
              <w:t>není spojeno</w:t>
            </w:r>
            <w:r>
              <w:t xml:space="preserve"> s náklady, </w:t>
            </w:r>
            <w:r>
              <w:rPr>
                <w:b/>
                <w:i/>
              </w:rPr>
              <w:t>mohou</w:t>
            </w:r>
            <w:r>
              <w:t xml:space="preserve"> nedostatky ve sledovatelnosti a spolehlivosti údajů o výkonnosti </w:t>
            </w:r>
            <w:r>
              <w:rPr>
                <w:b/>
                <w:i/>
              </w:rPr>
              <w:t>nepříznivě ovlivnit</w:t>
            </w:r>
            <w:r>
              <w:t xml:space="preserve"> finanční zájmy Unie;</w:t>
            </w:r>
          </w:p>
        </w:tc>
        <w:tc>
          <w:tcPr>
            <w:tcW w:w="4876" w:type="dxa"/>
            <w:tcBorders>
              <w:top w:val="nil"/>
              <w:left w:val="nil"/>
              <w:bottom w:val="nil"/>
              <w:right w:val="nil"/>
            </w:tcBorders>
          </w:tcPr>
          <w:p>
            <w:pPr>
              <w:pStyle w:val="Normal6a"/>
            </w:pPr>
            <w:r>
              <w:t>53.</w:t>
            </w:r>
            <w:r>
              <w:tab/>
            </w:r>
            <w:r>
              <w:rPr>
                <w:b/>
                <w:i/>
              </w:rPr>
              <w:t>konstatuje</w:t>
            </w:r>
            <w:r>
              <w:t xml:space="preserve">, že Účetní dvůr zjistil </w:t>
            </w:r>
            <w:r>
              <w:rPr>
                <w:b/>
                <w:i/>
              </w:rPr>
              <w:t>oblasti, v nichž by bylo možné zlepšit sledovatelnost vykazovaných</w:t>
            </w:r>
            <w:r>
              <w:t xml:space="preserve"> výsledků, zejména </w:t>
            </w:r>
            <w:r>
              <w:rPr>
                <w:b/>
                <w:i/>
              </w:rPr>
              <w:t>u</w:t>
            </w:r>
            <w:r>
              <w:t xml:space="preserve"> programu Horizont 2020; </w:t>
            </w:r>
            <w:r>
              <w:rPr>
                <w:b/>
                <w:i/>
              </w:rPr>
              <w:t>zdůrazňuje</w:t>
            </w:r>
            <w:r>
              <w:t xml:space="preserve">, že je </w:t>
            </w:r>
            <w:r>
              <w:rPr>
                <w:b/>
                <w:i/>
              </w:rPr>
              <w:t>důležité</w:t>
            </w:r>
            <w:r>
              <w:t xml:space="preserve"> ověřovat </w:t>
            </w:r>
            <w:r>
              <w:rPr>
                <w:b/>
                <w:i/>
              </w:rPr>
              <w:t>a zajišťovat sledovatelnost a spolehlivost údajů používaných</w:t>
            </w:r>
            <w:r>
              <w:t xml:space="preserve"> ke stanovení ukazatelů výkonnosti; konstatuje, že </w:t>
            </w:r>
            <w:r>
              <w:rPr>
                <w:b/>
                <w:i/>
              </w:rPr>
              <w:t>vzhledem k zavedení a rostoucímu</w:t>
            </w:r>
            <w:r>
              <w:t xml:space="preserve"> využívání zjednodušeného vykazování nákladů a modelů financování, které </w:t>
            </w:r>
            <w:r>
              <w:rPr>
                <w:b/>
                <w:i/>
              </w:rPr>
              <w:t>nejsou spojeny</w:t>
            </w:r>
            <w:r>
              <w:t xml:space="preserve"> s náklady, </w:t>
            </w:r>
            <w:r>
              <w:rPr>
                <w:b/>
                <w:i/>
              </w:rPr>
              <w:t>je třeba řešit</w:t>
            </w:r>
            <w:r>
              <w:t xml:space="preserve"> nedostatky ve sledovatelnosti a spolehlivosti údajů o výkonnosti</w:t>
            </w:r>
            <w:r>
              <w:rPr>
                <w:b/>
                <w:i/>
              </w:rPr>
              <w:t>, aby byly chráněny</w:t>
            </w:r>
            <w:r>
              <w:t xml:space="preserve"> finanční zájmy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54.</w:t>
            </w:r>
            <w:r>
              <w:tab/>
            </w:r>
            <w:r>
              <w:t>se znepokojením bere na vědomí zjištění Účetního dvora, že Komise nemohla poskytnout informace na úrovni projektu InvestEU, protože je prováděn prostřednictvím nepřímého řízení doplněného monitorovacími návštěvami; vyjadřuje politování nad odpovědí Komise, že záruční dohody ani nařízení o programu InvestEU nevyžadují, aby prováděcí partneři programu InvestEU vykazovali klíčové ukazatele výkonnosti (KPI) na úrovni projektů; domnívá se, že základem lepšího vykazování výkonnosti finančních nástrojů prováděných v rámci nepřímého řízení, jako je program InvestEU, by měly být údaje o projektech;</w:t>
            </w:r>
          </w:p>
        </w:tc>
        <w:tc>
          <w:tcPr>
            <w:tcW w:w="4876" w:type="dxa"/>
            <w:tcBorders>
              <w:top w:val="nil"/>
              <w:left w:val="nil"/>
              <w:bottom w:val="nil"/>
              <w:right w:val="nil"/>
            </w:tcBorders>
          </w:tcPr>
          <w:p>
            <w:pPr>
              <w:pStyle w:val="Normal6a"/>
            </w:pPr>
            <w:r>
              <w:t>54.</w:t>
            </w:r>
            <w:r>
              <w:tab/>
            </w:r>
            <w:r>
              <w:t xml:space="preserve">se znepokojením bere na vědomí zjištění Účetního dvora, že Komise nemohla poskytnout informace na úrovni projektu InvestEU, protože je prováděn prostřednictvím nepřímého řízení doplněného monitorovacími návštěvami; vyjadřuje politování nad odpovědí Komise, že záruční dohody ani nařízení o programu InvestEU nevyžadují, aby prováděcí partneři programu InvestEU vykazovali klíčové ukazatele výkonnosti (KPI) na úrovni projektů; domnívá se, že základem lepšího vykazování výkonnosti finančních nástrojů prováděných v rámci nepřímého řízení, jako je program InvestEU, by měly být údaje o projektech; </w:t>
            </w:r>
            <w:r>
              <w:rPr>
                <w:b/>
                <w:i/>
              </w:rPr>
              <w:t>zdůrazňuje, že Evropská investiční banka jako hlavní prováděcí partner programu InvestEU musí dodržovat nejvyšší standardy transparentnosti a odpovědnosti, které by odpovídaly rozsahu záruk zajištěných z peněz daňových poplatníků, které spravuje;</w:t>
            </w:r>
            <w:r>
              <w:t xml:space="preserve"> </w:t>
            </w:r>
            <w:r>
              <w:rPr>
                <w:b/>
                <w:i/>
              </w:rPr>
              <w:t>vyzývá Komisi, aby využila svého pákového efektu jako ručitele a požadovala, aby EIB poskytovala údaje o klíčových ukazatelích výkonnosti na úrovni projektů a aby tyto údaje včas poskytla orgánu příslušnému k udělení absolutoria ve strojově čitelném formátu;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56.</w:t>
            </w:r>
            <w:r>
              <w:tab/>
            </w:r>
            <w:r>
              <w:t>připomíná význam programů Unie určených k financování výzkumu a inovací pro vědecký, společenský, hospodářský a technologický rozvoj Unie, snižování nerovností, dosažení ekologické a digitální transformace a snížení energetické závislosti Unie na Rusku; zdůrazňuje, že pro zvýšení konkurenceschopnosti Unie a odstranění rozdílů v oblasti inovací je třeba zvýšit financování výzkumu a inovací, a to i s ohledem na příslušná doporučení Draghiho zprávy;</w:t>
            </w:r>
          </w:p>
        </w:tc>
        <w:tc>
          <w:tcPr>
            <w:tcW w:w="4876" w:type="dxa"/>
            <w:tcBorders>
              <w:top w:val="nil"/>
              <w:left w:val="nil"/>
              <w:bottom w:val="nil"/>
              <w:right w:val="nil"/>
            </w:tcBorders>
          </w:tcPr>
          <w:p>
            <w:pPr>
              <w:pStyle w:val="Normal6a"/>
            </w:pPr>
            <w:r>
              <w:t>56.</w:t>
            </w:r>
            <w:r>
              <w:tab/>
            </w:r>
            <w:r>
              <w:t xml:space="preserve">připomíná význam programů Unie určených k financování výzkumu a inovací pro vědecký, společenský, hospodářský a technologický rozvoj Unie, snižování nerovností, dosažení ekologické a digitální transformace a snížení energetické závislosti Unie na Rusku; zdůrazňuje, že pro zvýšení konkurenceschopnosti Unie a odstranění rozdílů v oblasti inovací je třeba zvýšit financování výzkumu a inovací, a to i s ohledem na příslušná doporučení Draghiho zprávy; </w:t>
            </w:r>
            <w:r>
              <w:rPr>
                <w:b/>
                <w:i/>
              </w:rPr>
              <w:t>připomíná, že se ve Draghiho zprávě zdůrazňuje, že z hlediska konkurenceschopnosti EU je velmi důležité dosahovat vynikajících výsledků v oblasti výzkumu a inovací a že v rámci systému EU pro výzkum a inovace, mj. programu Horizont Evropa, by mělo existovat jediné výběrové kritérium, totiž dosahování takových výsledků;</w:t>
            </w:r>
            <w:r>
              <w:t xml:space="preserve"> </w:t>
            </w:r>
            <w:r>
              <w:rPr>
                <w:b/>
                <w:i/>
              </w:rPr>
              <w:t>v této souvislosti opakuje svůj postoj, že financování výzkumu a inovací by se mělo i nadále řídit zásadou dosahování vynikajících výsledků a mělo by být založeno na zásluhách;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56.</w:t>
            </w:r>
            <w:r>
              <w:tab/>
            </w:r>
            <w:r>
              <w:t xml:space="preserve">připomíná význam programů Unie určených k financování výzkumu a inovací pro vědecký, společenský, hospodářský a technologický rozvoj Unie, snižování nerovností, dosažení ekologické a digitální transformace a snížení energetické závislosti Unie na Rusku; zdůrazňuje, že </w:t>
            </w:r>
            <w:r>
              <w:rPr>
                <w:b/>
                <w:i/>
              </w:rPr>
              <w:t>pro</w:t>
            </w:r>
            <w:r>
              <w:t xml:space="preserve"> zvýšení konkurenceschopnosti Unie a odstranění rozdílů v oblasti inovací je třeba </w:t>
            </w:r>
            <w:r>
              <w:rPr>
                <w:b/>
                <w:i/>
              </w:rPr>
              <w:t>zvýšit</w:t>
            </w:r>
            <w:r>
              <w:t xml:space="preserve"> financování výzkumu a inovací, a to i s ohledem na příslušná doporučení Draghiho zprávy;</w:t>
            </w:r>
          </w:p>
        </w:tc>
        <w:tc>
          <w:tcPr>
            <w:tcW w:w="4876" w:type="dxa"/>
            <w:tcBorders>
              <w:top w:val="nil"/>
              <w:left w:val="nil"/>
              <w:bottom w:val="nil"/>
              <w:right w:val="nil"/>
            </w:tcBorders>
          </w:tcPr>
          <w:p>
            <w:pPr>
              <w:pStyle w:val="Normal6a"/>
            </w:pPr>
            <w:r>
              <w:t>56.</w:t>
            </w:r>
            <w:r>
              <w:tab/>
            </w:r>
            <w:r>
              <w:t xml:space="preserve">připomíná význam programů Unie určených k financování výzkumu a inovací pro vědecký, společenský, hospodářský a technologický rozvoj Unie, snižování nerovností, dosažení ekologické a digitální transformace a snížení energetické závislosti Unie na Rusku; zdůrazňuje, že </w:t>
            </w:r>
            <w:r>
              <w:rPr>
                <w:b/>
                <w:i/>
              </w:rPr>
              <w:t>v zájmu</w:t>
            </w:r>
            <w:r>
              <w:t xml:space="preserve"> zvýšení konkurenceschopnosti Unie a odstranění rozdílů v oblasti inovací je třeba </w:t>
            </w:r>
            <w:r>
              <w:rPr>
                <w:b/>
                <w:i/>
              </w:rPr>
              <w:t>zlepšit účinné přidělování a řízení stávajícího</w:t>
            </w:r>
            <w:r>
              <w:t xml:space="preserve"> financování výzkumu a inovací</w:t>
            </w:r>
            <w:r>
              <w:rPr>
                <w:b/>
                <w:i/>
              </w:rPr>
              <w:t>, mimo jiné snížením administrativní zátěže žadatelů a zajištěním toho, aby se rozhodování o financování zakládalo na vynikající vědecké práci a hospodářském dopadu</w:t>
            </w:r>
            <w:r>
              <w:t>, a to i s ohledem na příslušná doporučení Draghiho zprávy;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56.</w:t>
            </w:r>
            <w:r>
              <w:tab/>
            </w:r>
            <w:r>
              <w:t xml:space="preserve">připomíná význam programů Unie určených k financování výzkumu a inovací </w:t>
            </w:r>
            <w:r>
              <w:rPr>
                <w:b/>
                <w:i/>
              </w:rPr>
              <w:t>pro vědecký, společenský, hospodářský a technologický rozvoj Unie</w:t>
            </w:r>
            <w:r>
              <w:t>, snižování nerovností, dosažení ekologické a digitální transformace a snížení energetické závislosti Unie na Rusku; zdůrazňuje, že pro zvýšení konkurenceschopnosti Unie a odstranění rozdílů v oblasti inovací je třeba zvýšit financování výzkumu a inovací, a to i s ohledem na příslušná doporučení Draghiho zprávy;</w:t>
            </w:r>
          </w:p>
        </w:tc>
        <w:tc>
          <w:tcPr>
            <w:tcW w:w="4876" w:type="dxa"/>
            <w:tcBorders>
              <w:top w:val="nil"/>
              <w:left w:val="nil"/>
              <w:bottom w:val="nil"/>
              <w:right w:val="nil"/>
            </w:tcBorders>
          </w:tcPr>
          <w:p>
            <w:pPr>
              <w:pStyle w:val="Normal6a"/>
            </w:pPr>
            <w:r>
              <w:t>56.</w:t>
            </w:r>
            <w:r>
              <w:tab/>
            </w:r>
            <w:r>
              <w:t xml:space="preserve">připomíná význam programů Unie určených k financování výzkumu a inovací </w:t>
            </w:r>
            <w:r>
              <w:rPr>
                <w:b/>
                <w:i/>
              </w:rPr>
              <w:t>z hlediska vědeckého, společenského, hospodářského a technického rozvoje Unie, přiměřené reakce na nové priority a výzvy</w:t>
            </w:r>
            <w:r>
              <w:t>, snižování nerovností, dosažení ekologické a digitální transformace a snížení energetické závislosti Unie na Rusku; zdůrazňuje, že pro zvýšení konkurenceschopnosti Unie a odstranění rozdílů v oblasti inovací je třeba zvýšit financování výzkumu a inovací, a to i s ohledem na příslušná doporučení Draghiho zprávy;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56.</w:t>
            </w:r>
            <w:r>
              <w:tab/>
            </w:r>
            <w:r>
              <w:t xml:space="preserve">připomíná význam programů Unie určených k financování výzkumu a inovací pro vědecký, společenský, hospodářský a technologický rozvoj Unie, snižování nerovností, dosažení ekologické a digitální transformace a snížení energetické závislosti Unie na Rusku; zdůrazňuje, že </w:t>
            </w:r>
            <w:r>
              <w:rPr>
                <w:b/>
                <w:i/>
              </w:rPr>
              <w:t>pro</w:t>
            </w:r>
            <w:r>
              <w:t xml:space="preserve"> zvýšení konkurenceschopnosti Unie a odstranění rozdílů v oblasti inovací je třeba zvýšit financování výzkumu a inovací</w:t>
            </w:r>
            <w:r>
              <w:rPr>
                <w:b/>
                <w:i/>
              </w:rPr>
              <w:t>, a to i s ohledem na příslušná doporučení Draghiho zprávy</w:t>
            </w:r>
            <w:r>
              <w:t>;</w:t>
            </w:r>
          </w:p>
        </w:tc>
        <w:tc>
          <w:tcPr>
            <w:tcW w:w="4876" w:type="dxa"/>
            <w:tcBorders>
              <w:top w:val="nil"/>
              <w:left w:val="nil"/>
              <w:bottom w:val="nil"/>
              <w:right w:val="nil"/>
            </w:tcBorders>
          </w:tcPr>
          <w:p>
            <w:pPr>
              <w:pStyle w:val="Normal6a"/>
            </w:pPr>
            <w:r>
              <w:t>56.</w:t>
            </w:r>
            <w:r>
              <w:tab/>
            </w:r>
            <w:r>
              <w:t xml:space="preserve">připomíná význam programů Unie určených k financování výzkumu a inovací pro vědecký, společenský, hospodářský a technologický rozvoj Unie, snižování nerovností, dosažení ekologické a digitální transformace a snížení energetické závislosti Unie na Rusku; zdůrazňuje, že </w:t>
            </w:r>
            <w:r>
              <w:rPr>
                <w:b/>
                <w:i/>
              </w:rPr>
              <w:t>v zájmu</w:t>
            </w:r>
            <w:r>
              <w:t xml:space="preserve"> zvýšení konkurenceschopnosti Unie a odstranění rozdílů v oblasti inovací je třeba zvýšit financování výzkumu a inovací;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56.</w:t>
            </w:r>
            <w:r>
              <w:tab/>
            </w:r>
            <w:r>
              <w:rPr>
                <w:b/>
                <w:i/>
              </w:rPr>
              <w:t>připomíná význam programů Unie určených k financování výzkumu a inovací pro vědecký, společenský, hospodářský a technologický rozvoj Unie, snižování nerovností, dosažení ekologické a digitální transformace a snížení energetické závislosti Unie na Rusku;</w:t>
            </w:r>
            <w:r>
              <w:t xml:space="preserve"> zdůrazňuje, že </w:t>
            </w:r>
            <w:r>
              <w:rPr>
                <w:b/>
                <w:i/>
              </w:rPr>
              <w:t>pro zvýšení</w:t>
            </w:r>
            <w:r>
              <w:t xml:space="preserve"> konkurenceschopnosti Unie a odstranění rozdílů v </w:t>
            </w:r>
            <w:r>
              <w:rPr>
                <w:b/>
                <w:i/>
              </w:rPr>
              <w:t>oblasti inovací je třeba</w:t>
            </w:r>
            <w:r>
              <w:t xml:space="preserve"> zvýšit financování výzkumu a inovací, a to i s ohledem na příslušná doporučení Draghiho </w:t>
            </w:r>
            <w:r>
              <w:rPr>
                <w:b/>
                <w:i/>
              </w:rPr>
              <w:t>zprávy</w:t>
            </w:r>
            <w:r>
              <w:t>;</w:t>
            </w:r>
          </w:p>
        </w:tc>
        <w:tc>
          <w:tcPr>
            <w:tcW w:w="4876" w:type="dxa"/>
            <w:tcBorders>
              <w:top w:val="nil"/>
              <w:left w:val="nil"/>
              <w:bottom w:val="nil"/>
              <w:right w:val="nil"/>
            </w:tcBorders>
          </w:tcPr>
          <w:p>
            <w:pPr>
              <w:pStyle w:val="Normal6a"/>
            </w:pPr>
            <w:r>
              <w:t>56.</w:t>
            </w:r>
            <w:r>
              <w:tab/>
            </w:r>
            <w:r>
              <w:t xml:space="preserve">zdůrazňuje, že </w:t>
            </w:r>
            <w:r>
              <w:rPr>
                <w:b/>
                <w:i/>
              </w:rPr>
              <w:t>v zájmu posílení</w:t>
            </w:r>
            <w:r>
              <w:t xml:space="preserve"> konkurenceschopnosti</w:t>
            </w:r>
            <w:r>
              <w:rPr>
                <w:b/>
                <w:i/>
              </w:rPr>
              <w:t>, vedoucího postavení v oblasti technologií a strategické autonomie</w:t>
            </w:r>
            <w:r>
              <w:t xml:space="preserve"> Unie a </w:t>
            </w:r>
            <w:r>
              <w:rPr>
                <w:b/>
                <w:i/>
              </w:rPr>
              <w:t>v zájmu</w:t>
            </w:r>
            <w:r>
              <w:t xml:space="preserve"> odstranění rozdílů v </w:t>
            </w:r>
            <w:r>
              <w:rPr>
                <w:b/>
                <w:i/>
              </w:rPr>
              <w:t>inovacích oproti globálním konkurentům je naprosto nezbytné</w:t>
            </w:r>
            <w:r>
              <w:t xml:space="preserve"> zvýšit financování výzkumu a inovací </w:t>
            </w:r>
            <w:r>
              <w:rPr>
                <w:b/>
                <w:i/>
              </w:rPr>
              <w:t>a vyvinout větší a cílenější investiční úsilí v této oblasti v kombinaci se zjednodušením právních předpisů a lepší mobilizací soukromého kapitálu</w:t>
            </w:r>
            <w:r>
              <w:t xml:space="preserve">, a to i s ohledem na příslušná doporučení </w:t>
            </w:r>
            <w:r>
              <w:rPr>
                <w:b/>
                <w:i/>
              </w:rPr>
              <w:t>uvedená v </w:t>
            </w:r>
            <w:r>
              <w:t xml:space="preserve">Draghiho </w:t>
            </w:r>
            <w:r>
              <w:rPr>
                <w:b/>
                <w:i/>
              </w:rPr>
              <w:t>zprávě</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57.</w:t>
            </w:r>
            <w:r>
              <w:tab/>
            </w:r>
            <w:r>
              <w:t>konstatuje, že podle následného hodnocení programu Horizont 2020 každé euro nákladů spojených s programem přinese společnosti do roku 2040 přínosy v hodnotě pěti eur; vyjadřuje hluboké politování nad tím, že 74 % návrhů, které nezávislí odborníci vyhodnotili jako kvalitní, nemohlo být financováno z důvodu rozpočtových omezení; konstatuje, že na financování všech kvalitních návrhů by bylo zapotřebí dalších 159 miliard EUR; zdůrazňuje, že je důležité zajistit dostatečné financování výzkumu a inovací v Unii, aby se zvýšila udržitelná prosperita a konkurenceschopnost Unie;</w:t>
            </w:r>
          </w:p>
        </w:tc>
        <w:tc>
          <w:tcPr>
            <w:tcW w:w="4876" w:type="dxa"/>
            <w:tcBorders>
              <w:top w:val="nil"/>
              <w:left w:val="nil"/>
              <w:bottom w:val="nil"/>
              <w:right w:val="nil"/>
            </w:tcBorders>
          </w:tcPr>
          <w:p>
            <w:pPr>
              <w:pStyle w:val="Normal6a"/>
            </w:pPr>
            <w:r>
              <w:t>57.</w:t>
            </w:r>
            <w:r>
              <w:tab/>
            </w:r>
            <w:r>
              <w:t xml:space="preserve">konstatuje, že podle následného hodnocení programu Horizont 2020 každé euro nákladů spojených s programem přinese společnosti do roku 2040 přínosy v hodnotě pěti eur; vyjadřuje hluboké politování nad tím, že 74 % návrhů, které nezávislí odborníci vyhodnotili jako kvalitní, nemohlo být financováno z důvodu rozpočtových omezení; konstatuje, že na financování všech kvalitních návrhů by bylo zapotřebí dalších 159 miliard EUR; zdůrazňuje, že je důležité </w:t>
            </w:r>
            <w:r>
              <w:rPr>
                <w:b/>
                <w:i/>
              </w:rPr>
              <w:t>plně využívat pečeť excelence a další doplňkové unijní a vnitrostátní nástroje financování, včetně nástrojů v rámci politiky soudržnosti, na podporu kvalitních výzkumných a inovačních projektů, kterým chybí finanční prostředky, a na posílení regionálních inovačních ekosystémů v celé Unii;</w:t>
            </w:r>
            <w:r>
              <w:t xml:space="preserve"> </w:t>
            </w:r>
            <w:r>
              <w:rPr>
                <w:b/>
                <w:i/>
              </w:rPr>
              <w:t>zdůrazňuje, že je důležité</w:t>
            </w:r>
            <w:r>
              <w:t xml:space="preserve"> zajistit dostatečné financování výzkumu a inovací v Unii, aby se zvýšila udržitelná prosperita a konkurenceschopnost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Şerban Dimitrie Sturdza, 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58.</w:t>
            </w:r>
            <w:r>
              <w:tab/>
            </w:r>
            <w:r>
              <w:t xml:space="preserve">zdůrazňuje, že </w:t>
            </w:r>
            <w:r>
              <w:rPr>
                <w:b/>
                <w:i/>
              </w:rPr>
              <w:t>je důležité zjednodušit pravidla a postupy, jimiž se řídí financování</w:t>
            </w:r>
            <w:r>
              <w:t xml:space="preserve"> výzkumu a inovací </w:t>
            </w:r>
            <w:r>
              <w:rPr>
                <w:b/>
                <w:i/>
              </w:rPr>
              <w:t>v Unii, aby se příjemcům usnadnil přístup k financování a provádění programů</w:t>
            </w:r>
            <w:r>
              <w:t>; je znepokojen zjištěním Účetního dvora, že navzdory zjednodušením zavedeným v rámci programu Horizont Evropa s cílem usnadnit příjemcům vykazování nákladů Účetní dvůr neshledal mezi programy Horizont 2020 a Horizont Evropa žádné významné rozdíly, pokud jde o správnost výdajů;</w:t>
            </w:r>
          </w:p>
        </w:tc>
        <w:tc>
          <w:tcPr>
            <w:tcW w:w="4876" w:type="dxa"/>
            <w:tcBorders>
              <w:top w:val="nil"/>
              <w:left w:val="nil"/>
              <w:bottom w:val="nil"/>
              <w:right w:val="nil"/>
            </w:tcBorders>
          </w:tcPr>
          <w:p>
            <w:pPr>
              <w:pStyle w:val="Normal6a"/>
            </w:pPr>
            <w:r>
              <w:t>58.</w:t>
            </w:r>
            <w:r>
              <w:tab/>
            </w:r>
            <w:r>
              <w:t xml:space="preserve">zdůrazňuje, že </w:t>
            </w:r>
            <w:r>
              <w:rPr>
                <w:b/>
                <w:i/>
              </w:rPr>
              <w:t>v důsledku přílišné administrativní složitosti dochází nepoměrně častěji k vyloučení těch aktérů a regionů, které mají méně zdrojů, a proto je zjednodušení klíčovým předpokladem pro spravedlivý přístup k programu, aby se stal konkurenceschopnějším v oblasti</w:t>
            </w:r>
            <w:r>
              <w:t xml:space="preserve"> výzkumu a inovací </w:t>
            </w:r>
            <w:r>
              <w:rPr>
                <w:b/>
                <w:i/>
              </w:rPr>
              <w:t>širší okruh aktérů v celé Unii;</w:t>
            </w:r>
            <w:r>
              <w:t xml:space="preserve"> </w:t>
            </w:r>
            <w:r>
              <w:rPr>
                <w:b/>
                <w:i/>
              </w:rPr>
              <w:t>poukazuje na to, že zjednodušující opatření by měla být navržena tak, aby z nich měli prospěch žadatelé žádající o podporu poprvé, malé a střední podniky a regionální univerzity, a zároveň by měla podporovat menší a flexibilnější konsorcia, modulární projektové struktury a vícefázovou účast s cílem usnadnit širší účast a účinné začlenění na všech územích Unie</w:t>
            </w:r>
            <w:r>
              <w:t>; je znepokojen zjištěním Účetního dvora, že navzdory zjednodušením zavedeným v rámci programu Horizont Evropa s cílem usnadnit příjemcům vykazování nákladů Účetní dvůr neshledal mezi programy Horizont 2020 a Horizont Evropa žádné významné rozdíly, pokud jde o správnost výdajů;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60.</w:t>
            </w:r>
            <w:r>
              <w:tab/>
            </w:r>
            <w:r>
              <w:t>konstatuje, že v roce 2024 Komise pokračovala v zavádění zjednodušeného vykazování nákladů, jako jsou paušální částky a jednotkové náklady v programu Horizont Evropa, přičemž v pracovních programech na rok 2024 představují paušální částky 27 % celkového rozpočtu výzvy; připomíná objasnění Účetního dvora, že při udělování grantů v podobě jednorázových částek je příjemcům vyplácena předem stanovená paušální částka za každý dokončený pracovní balíček bez ohledu na skutečně vzniklé náklady; dále bere na vědomí, že cílem Komise je do roku 2027 poskytnout alespoň 50 % rozpočtu výzvy ve zveřejněných pracovních programech ve formě jednorázových částek; obává se, že z důvodů vysvětlených v rámečku 5.4 své výroční zprávy Účetní dvůr nemohl posoudit, zda bylo zařazení konkrétní položky vybavení do návrhu rozpočtu nezbytné a odůvodněné v případě jednorázové platby grantu, který kontroloval;</w:t>
            </w:r>
          </w:p>
        </w:tc>
        <w:tc>
          <w:tcPr>
            <w:tcW w:w="4876" w:type="dxa"/>
            <w:tcBorders>
              <w:top w:val="nil"/>
              <w:left w:val="nil"/>
              <w:bottom w:val="nil"/>
              <w:right w:val="nil"/>
            </w:tcBorders>
          </w:tcPr>
          <w:p>
            <w:pPr>
              <w:pStyle w:val="Normal6a"/>
            </w:pPr>
            <w:r>
              <w:t>60.</w:t>
            </w:r>
            <w:r>
              <w:tab/>
            </w:r>
            <w:r>
              <w:t xml:space="preserve">konstatuje, že v roce 2024 Komise pokračovala v zavádění zjednodušeného vykazování nákladů, jako jsou paušální částky a jednotkové náklady v programu Horizont Evropa, přičemž v pracovních programech na rok 2024 představují paušální částky 27 % celkového rozpočtu výzvy; připomíná objasnění Účetního dvora, že při udělování grantů v podobě jednorázových částek je příjemcům vyplácena předem stanovená paušální částka za každý dokončený pracovní balíček bez ohledu na skutečně vzniklé náklady; dále bere na vědomí, že cílem Komise je do roku 2027 poskytnout alespoň 50 % rozpočtu výzvy ve zveřejněných pracovních programech ve formě jednorázových částek; obává se, že z důvodů vysvětlených v rámečku 5.4 své výroční zprávy Účetní dvůr nemohl posoudit, zda bylo zařazení konkrétní položky vybavení do návrhu rozpočtu nezbytné a odůvodněné v případě jednorázové platby grantu, který kontroloval; </w:t>
            </w:r>
            <w:r>
              <w:rPr>
                <w:b/>
                <w:i/>
              </w:rPr>
              <w:t>vyzývá Komisi, aby v souladu s připomínkami Účetního dvora zajistila, aby budoucí nástroje financování obsahovaly záruky, které by zabránily vyplácení nadměrných náhrad za vybavení, které nebylo ve skutečnosti zakoupeno, ačkoli bylo zahrnuto do paušálního rozpočtu;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61.</w:t>
            </w:r>
            <w:r>
              <w:tab/>
            </w:r>
            <w:r>
              <w:t>bere na vědomí, že podle průběžného hodnocení programu Horizont Evropa jednorázové částky příjemcům skutečně zjednodušily situaci, neboť odhadované úspory se pohybují mezi 14 % a 30 % jejich administrativních nákladů; bere na vědomí závěry hodnocení Komise týkajícího se jednorázového financování v programech Horizont 2020 a Horizont Evropa na období 2018–2024, včetně toho, že příjemci rovněž Komisi sdělili, že by uvítali větší jasnost ohledně způsobu kontroly grantů v podobě jednorázových částek; oceňuje, že Komise v roce 2024 zavedla strategii následné kontroly grantů programu Horizont Evropa, včetně metodiky odborných přezkumů ex post u grantů v podobě jednorázových částek; konstatuje, že Komise ve čtvrtém čtvrtletí roku 2024 zahájila prvních 30 odborných přezkumů programu Horizont Evropa ex post;</w:t>
            </w:r>
          </w:p>
        </w:tc>
        <w:tc>
          <w:tcPr>
            <w:tcW w:w="4876" w:type="dxa"/>
            <w:tcBorders>
              <w:top w:val="nil"/>
              <w:left w:val="nil"/>
              <w:bottom w:val="nil"/>
              <w:right w:val="nil"/>
            </w:tcBorders>
          </w:tcPr>
          <w:p>
            <w:pPr>
              <w:pStyle w:val="Normal6a"/>
            </w:pPr>
            <w:r>
              <w:t>61.</w:t>
            </w:r>
            <w:r>
              <w:tab/>
            </w:r>
            <w:r>
              <w:t xml:space="preserve">bere na vědomí, že podle průběžného hodnocení programu Horizont Evropa jednorázové částky příjemcům skutečně zjednodušily situaci, neboť odhadované úspory se pohybují mezi 14 % a 30 % jejich administrativních nákladů; bere na vědomí závěry hodnocení Komise týkajícího se jednorázového financování v programech Horizont 2020 a Horizont Evropa na období 2018–2024, včetně toho, že příjemci rovněž Komisi sdělili, že by uvítali větší jasnost ohledně způsobu kontroly grantů v podobě jednorázových částek; oceňuje, že Komise v roce 2024 zavedla strategii následné kontroly grantů programu Horizont Evropa, včetně metodiky odborných přezkumů ex post u grantů v podobě jednorázových částek; konstatuje, že Komise ve čtvrtém čtvrtletí roku 2024 zahájila prvních 30 odborných přezkumů programu Horizont Evropa ex post; </w:t>
            </w:r>
            <w:r>
              <w:rPr>
                <w:b/>
                <w:i/>
              </w:rPr>
              <w:t>zároveň bere na vědomí připomínku Účetního dvora, že ačkoli jsou jednorázové částky vhodné pro jasně vymezené pracovní balíčky, v situacích, kdy dochází ke zpoždění pracovních balíčků, kdy jsou dokončeny jen částečně nebo jsou nahrazeny jinou činností, by vznikly při realizaci těchto programů obtíže;</w:t>
            </w:r>
            <w:r>
              <w:t xml:space="preserve"> </w:t>
            </w:r>
            <w:r>
              <w:rPr>
                <w:b/>
                <w:i/>
              </w:rPr>
              <w:t>vyzývá proto Komisi, aby před dalším rozšířením využívání jednorázových grantů v rámci budoucích nástrojů financování přezkoumala reprezentativní vzorek jednorázových grantů a analyzovala zkušenosti získané při jejich poskytování a metody použité ke stanovení finanční podpory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62a.</w:t>
            </w:r>
            <w:r>
              <w:tab/>
            </w:r>
            <w:r>
              <w:rPr>
                <w:b/>
                <w:i/>
              </w:rPr>
              <w:t>vyzývá k okamžitému zrušení svého diskriminační rozhodnutí o vyloučení maďarských univerzit z programu Horizont Evropa;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63.</w:t>
            </w:r>
            <w:r>
              <w:tab/>
            </w:r>
            <w:r>
              <w:t xml:space="preserve">konstatuje, že výzkumné a inovační programy </w:t>
            </w:r>
            <w:r>
              <w:rPr>
                <w:b/>
                <w:i/>
              </w:rPr>
              <w:t>Unie, včetně programu Horizont Evropa, podporují vývoj vyspělých technologií pro civilní použití, ale uznává, že některé technologie mohou být spojeny s riziky</w:t>
            </w:r>
            <w:r>
              <w:t xml:space="preserve"> dvojího užití; </w:t>
            </w:r>
            <w:r>
              <w:rPr>
                <w:b/>
                <w:i/>
              </w:rPr>
              <w:t>bere na vědomí odpověď Komise, že v současné době po skončení projektu nesleduje, zda jsou výsledky projektů výzkumu a inovací financovaných Unií využívány pro dvojí užití, vojenské nebo obranné účely;</w:t>
            </w:r>
            <w:r>
              <w:t xml:space="preserve"> </w:t>
            </w:r>
            <w:r>
              <w:rPr>
                <w:b/>
                <w:i/>
              </w:rPr>
              <w:t>zdůrazňuje, že je důležité zajistit, aby financování Unie bylo plně v souladu s hodnotami a závazky Unie podle mezinárodního práva;</w:t>
            </w:r>
            <w:r>
              <w:t xml:space="preserve"> </w:t>
            </w:r>
            <w:r>
              <w:rPr>
                <w:b/>
                <w:i/>
              </w:rPr>
              <w:t>zároveň</w:t>
            </w:r>
            <w:r>
              <w:t xml:space="preserve"> zdůrazňuje, že je třeba</w:t>
            </w:r>
            <w:r>
              <w:rPr>
                <w:b/>
                <w:i/>
              </w:rPr>
              <w:t>, aby Komise posílila následnou kontrolu výsledků výzkumu financovaného Unií, včetně jejich přechodu na komerční využití, aby se maximalizoval společenský</w:t>
            </w:r>
            <w:r>
              <w:t xml:space="preserve"> dopad </w:t>
            </w:r>
            <w:r>
              <w:rPr>
                <w:b/>
                <w:i/>
              </w:rPr>
              <w:t>a zajistila přiměřená návratnost</w:t>
            </w:r>
            <w:r>
              <w:t xml:space="preserve"> investic </w:t>
            </w:r>
            <w:r>
              <w:rPr>
                <w:b/>
                <w:i/>
              </w:rPr>
              <w:t>pro daňové poplatníky</w:t>
            </w:r>
            <w:r>
              <w:t>;</w:t>
            </w:r>
          </w:p>
        </w:tc>
        <w:tc>
          <w:tcPr>
            <w:tcW w:w="4876" w:type="dxa"/>
            <w:tcBorders>
              <w:top w:val="nil"/>
              <w:left w:val="nil"/>
              <w:bottom w:val="nil"/>
              <w:right w:val="nil"/>
            </w:tcBorders>
          </w:tcPr>
          <w:p>
            <w:pPr>
              <w:pStyle w:val="Normal6a"/>
            </w:pPr>
            <w:r>
              <w:t>63.</w:t>
            </w:r>
            <w:r>
              <w:tab/>
            </w:r>
            <w:r>
              <w:t xml:space="preserve">konstatuje, že </w:t>
            </w:r>
            <w:r>
              <w:rPr>
                <w:b/>
                <w:i/>
              </w:rPr>
              <w:t>upevnění evropské obrany vyžaduje větší podporu výzkumu a inovací v rámci programu Horizont Evropa;</w:t>
            </w:r>
            <w:r>
              <w:t xml:space="preserve"> </w:t>
            </w:r>
            <w:r>
              <w:rPr>
                <w:b/>
                <w:i/>
              </w:rPr>
              <w:t>poukazuje na to, že vznikající technologie, zejména v oblastech, jako je umělá inteligence, kybernetická bezpečnost a kvantová výpočetní technika, mají značný potenciál přispět k bezpečnosti a odolnosti Unie;</w:t>
            </w:r>
            <w:r>
              <w:t xml:space="preserve"> </w:t>
            </w:r>
            <w:r>
              <w:rPr>
                <w:b/>
                <w:i/>
              </w:rPr>
              <w:t>domnívá se, že je proto nutné náležitě podporovat civilní</w:t>
            </w:r>
            <w:r>
              <w:t xml:space="preserve"> výzkumné a inovační programy </w:t>
            </w:r>
            <w:r>
              <w:rPr>
                <w:b/>
                <w:i/>
              </w:rPr>
              <w:t>a zajistit jejich strategický soulad, případně i tím, že by se s cílem pomoci při zajišťování obranných schopností EU umožnilo využívání jejich výsledků pro účely</w:t>
            </w:r>
            <w:r>
              <w:t xml:space="preserve"> dvojího užití; zdůrazňuje, že je třeba </w:t>
            </w:r>
            <w:r>
              <w:rPr>
                <w:b/>
                <w:i/>
              </w:rPr>
              <w:t>zabránit vysokým nákladům vyplývajícím z roztříštěných vnitrostátních řešení a zdvojování úsilí;</w:t>
            </w:r>
            <w:r>
              <w:t xml:space="preserve"> </w:t>
            </w:r>
            <w:r>
              <w:rPr>
                <w:b/>
                <w:i/>
              </w:rPr>
              <w:t>poukazuje na to, že společné projekty na úrovni EU jsou nákladově efektivnější, vytvářejí jasnou evropskou přidanou hodnotu a posilují interoperabilitu;</w:t>
            </w:r>
            <w:r>
              <w:t xml:space="preserve"> </w:t>
            </w:r>
            <w:r>
              <w:rPr>
                <w:b/>
                <w:i/>
              </w:rPr>
              <w:t>zdůrazňuje, že by měla být dále podporována součinnost mezi členskými státy s cílem zajistit účinné a hospodárné využívání rozpočtu Unie a maximalizovat</w:t>
            </w:r>
            <w:r>
              <w:t xml:space="preserve"> dopad </w:t>
            </w:r>
            <w:r>
              <w:rPr>
                <w:b/>
                <w:i/>
              </w:rPr>
              <w:t>veřejných</w:t>
            </w:r>
            <w:r>
              <w:t xml:space="preserve"> investic;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Virginie Joron,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63.</w:t>
            </w:r>
            <w:r>
              <w:tab/>
            </w:r>
            <w:r>
              <w:t>konstatuje, že výzkumné a inovační programy Unie, včetně programu Horizont Evropa, podporují vývoj vyspělých technologií pro civilní použití, ale uznává, že některé technologie mohou být spojeny s riziky dvojího užití; bere na vědomí odpověď Komise, že v současné době po skončení projektu nesleduje, zda jsou výsledky projektů výzkumu a inovací financovaných Unií využívány pro dvojí užití, vojenské nebo obranné účely; zdůrazňuje, že je důležité zajistit, aby financování Unie bylo plně v souladu s hodnotami a závazky Unie podle mezinárodního práva; zároveň zdůrazňuje, že je třeba, aby Komise posílila následnou kontrolu výsledků výzkumu financovaného Unií, včetně jejich přechodu na komerční využití, aby se maximalizoval společenský dopad a zajistila přiměřená návratnost investic pro daňové poplatníky;</w:t>
            </w:r>
          </w:p>
        </w:tc>
        <w:tc>
          <w:tcPr>
            <w:tcW w:w="4876" w:type="dxa"/>
            <w:tcBorders>
              <w:top w:val="nil"/>
              <w:left w:val="nil"/>
              <w:bottom w:val="nil"/>
              <w:right w:val="nil"/>
            </w:tcBorders>
          </w:tcPr>
          <w:p>
            <w:pPr>
              <w:pStyle w:val="Normal6a"/>
            </w:pPr>
            <w:r>
              <w:t>63.</w:t>
            </w:r>
            <w:r>
              <w:tab/>
            </w:r>
            <w:r>
              <w:t xml:space="preserve">konstatuje, že výzkumné a inovační programy Unie, včetně programu Horizont Evropa, podporují vývoj vyspělých technologií pro civilní použití, ale uznává, že některé technologie mohou být spojeny s riziky dvojího užití; bere na vědomí odpověď Komise, že v současné době po skončení projektu nesleduje, zda jsou výsledky projektů výzkumu a inovací financovaných Unií využívány pro dvojí užití, vojenské nebo obranné účely; zdůrazňuje, že je důležité zajistit, aby financování Unie bylo plně v souladu s hodnotami a závazky Unie podle mezinárodního práva; zároveň zdůrazňuje, že je třeba, aby Komise posílila následnou kontrolu výsledků výzkumu financovaného Unií, včetně jejich přechodu na komerční využití, aby se maximalizoval společenský dopad a zajistila přiměřená návratnost investic pro </w:t>
            </w:r>
            <w:r>
              <w:rPr>
                <w:b/>
                <w:i/>
              </w:rPr>
              <w:t>evropské</w:t>
            </w:r>
            <w:r>
              <w:t xml:space="preserve"> daňové poplatníky </w:t>
            </w:r>
            <w:r>
              <w:rPr>
                <w:b/>
                <w:i/>
              </w:rPr>
              <w:t>a evropské podniky</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63.</w:t>
            </w:r>
            <w:r>
              <w:tab/>
            </w:r>
            <w:r>
              <w:t>konstatuje, že výzkumné a inovační programy Unie, včetně programu Horizont Evropa, podporují vývoj vyspělých technologií pro civilní použití, ale uznává, že některé technologie mohou být spojeny s riziky dvojího užití; bere na vědomí odpověď Komise, že v současné době po skončení projektu nesleduje, zda jsou výsledky projektů výzkumu a inovací financovaných Unií využívány pro dvojí užití, vojenské nebo obranné účely; zdůrazňuje, že je důležité zajistit, aby financování Unie bylo plně v souladu s hodnotami a závazky Unie podle mezinárodního práva; zároveň zdůrazňuje, že je třeba, aby Komise posílila následnou kontrolu výsledků výzkumu financovaného Unií, včetně jejich přechodu na komerční využití, aby se maximalizoval společenský dopad a zajistila přiměřená návratnost investic pro daňové poplatníky;</w:t>
            </w:r>
          </w:p>
        </w:tc>
        <w:tc>
          <w:tcPr>
            <w:tcW w:w="4876" w:type="dxa"/>
            <w:tcBorders>
              <w:top w:val="nil"/>
              <w:left w:val="nil"/>
              <w:bottom w:val="nil"/>
              <w:right w:val="nil"/>
            </w:tcBorders>
          </w:tcPr>
          <w:p>
            <w:pPr>
              <w:pStyle w:val="Normal6a"/>
            </w:pPr>
            <w:r>
              <w:t>63.</w:t>
            </w:r>
            <w:r>
              <w:tab/>
            </w:r>
            <w:r>
              <w:t xml:space="preserve">konstatuje, že výzkumné a inovační programy Unie, včetně programu Horizont Evropa, podporují vývoj vyspělých technologií pro civilní použití, ale uznává, že některé technologie mohou být spojeny s riziky dvojího užití; </w:t>
            </w:r>
            <w:r>
              <w:rPr>
                <w:b/>
                <w:i/>
              </w:rPr>
              <w:t>se znepokojením</w:t>
            </w:r>
            <w:r>
              <w:t xml:space="preserve"> bere na vědomí odpověď Komise, že v současné době po skončení projektu nesleduje, zda jsou výsledky projektů výzkumu a inovací financovaných Unií využívány pro dvojí užití, vojenské nebo obranné účely; zdůrazňuje, že je důležité zajistit, aby financování Unie bylo plně v souladu s hodnotami a závazky Unie podle mezinárodního práva; zároveň zdůrazňuje, že je třeba, aby Komise posílila následnou kontrolu výsledků výzkumu financovaného Unií, včetně jejich přechodu na komerční využití, aby se maximalizoval společenský dopad a zajistila přiměřená návratnost investic pro daňové poplatníky;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63.</w:t>
            </w:r>
            <w:r>
              <w:tab/>
            </w:r>
            <w:r>
              <w:t xml:space="preserve">konstatuje, že výzkumné a inovační programy Unie, včetně programu Horizont Evropa, podporují vývoj vyspělých technologií pro civilní použití, ale uznává, že některé technologie mohou být spojeny s riziky dvojího užití; </w:t>
            </w:r>
            <w:r>
              <w:rPr>
                <w:b/>
                <w:i/>
              </w:rPr>
              <w:t>bere na vědomí odpověď Komise, že v současné době po skončení projektu nesleduje, zda jsou výsledky</w:t>
            </w:r>
            <w:r>
              <w:t xml:space="preserve"> projektů výzkumu a inovací financovaných Unií </w:t>
            </w:r>
            <w:r>
              <w:rPr>
                <w:b/>
                <w:i/>
              </w:rPr>
              <w:t>využívány pro dvojí užití, vojenské nebo obranné účely</w:t>
            </w:r>
            <w:r>
              <w:t>; zdůrazňuje, že je důležité zajistit, aby financování Unie bylo plně v souladu s hodnotami a závazky Unie podle mezinárodního práva; zároveň zdůrazňuje, že je třeba, aby Komise posílila následnou kontrolu výsledků výzkumu financovaného Unií, včetně jejich přechodu na komerční využití, aby se maximalizoval společenský dopad a zajistila přiměřená návratnost investic pro daňové poplatníky;</w:t>
            </w:r>
          </w:p>
        </w:tc>
        <w:tc>
          <w:tcPr>
            <w:tcW w:w="4876" w:type="dxa"/>
            <w:tcBorders>
              <w:top w:val="nil"/>
              <w:left w:val="nil"/>
              <w:bottom w:val="nil"/>
              <w:right w:val="nil"/>
            </w:tcBorders>
          </w:tcPr>
          <w:p>
            <w:pPr>
              <w:pStyle w:val="Normal6a"/>
            </w:pPr>
            <w:r>
              <w:t>63.</w:t>
            </w:r>
            <w:r>
              <w:tab/>
            </w:r>
            <w:r>
              <w:t xml:space="preserve">konstatuje, že výzkumné a inovační programy Unie, včetně programu Horizont Evropa, podporují vývoj vyspělých technologií pro civilní použití, ale uznává, že některé technologie mohou být spojeny s riziky dvojího užití; </w:t>
            </w:r>
            <w:r>
              <w:rPr>
                <w:b/>
                <w:i/>
              </w:rPr>
              <w:t>vyzývá Komisi, aby v souladu s požadavky EU zajistila náležité monitorování následných opatření u</w:t>
            </w:r>
            <w:r>
              <w:t xml:space="preserve"> projektů </w:t>
            </w:r>
            <w:r>
              <w:rPr>
                <w:b/>
                <w:i/>
              </w:rPr>
              <w:t>v oblasti</w:t>
            </w:r>
            <w:r>
              <w:t xml:space="preserve"> výzkumu a inovací financovaných Unií </w:t>
            </w:r>
            <w:r>
              <w:rPr>
                <w:b/>
                <w:i/>
              </w:rPr>
              <w:t>s potenciálním dvojím užitím, vojenskými nebo obrannými aplikacemi</w:t>
            </w:r>
            <w:r>
              <w:t>; zdůrazňuje, že je důležité zajistit, aby financování Unie bylo plně v souladu s hodnotami a závazky Unie podle mezinárodního práva; zároveň zdůrazňuje, že je třeba, aby Komise posílila následnou kontrolu výsledků výzkumu financovaného Unií, včetně jejich přechodu na komerční využití, aby se maximalizoval společenský dopad a zajistila přiměřená návratnost investic pro daňové poplatníky;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Dick Erixon,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63a.</w:t>
            </w:r>
            <w:r>
              <w:tab/>
            </w:r>
            <w:r>
              <w:rPr>
                <w:b/>
                <w:i/>
              </w:rPr>
              <w:t>vyzývá Komisi, aby naléhala na Evropskou investiční banku, aby posílila mechanismy předcházení střetům zájmů, včetně přísnějšího přechodného období po odchodu viceprezidentů EIB z funkce a jasnějších pravidel upravujících jejich účast na rozhodování týkajícím se jejich země původu;</w:t>
            </w:r>
            <w:r>
              <w:t xml:space="preserve"> </w:t>
            </w:r>
            <w:r>
              <w:rPr>
                <w:b/>
                <w:i/>
              </w:rPr>
              <w:t>zdůrazňuje, že důvěra veřejnosti v řádnou správu úvěrů zajištěných z peněz daňových poplatníků závisí na nejvyšších standardech institucionální integrity;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63b.</w:t>
            </w:r>
            <w:r>
              <w:tab/>
            </w:r>
            <w:r>
              <w:rPr>
                <w:b/>
                <w:i/>
              </w:rPr>
              <w:t>vyjadřuje znepokojení nad úpadkem společnosti Northvolt AB, přestože jí EIB poskytla úvěr ve výši 942,6 milionu EUR;</w:t>
            </w:r>
            <w:r>
              <w:t xml:space="preserve"> </w:t>
            </w:r>
            <w:r>
              <w:rPr>
                <w:b/>
                <w:i/>
              </w:rPr>
              <w:t>konstatuje, že podobné rizikové profily zřejmě existují i u dalších významných investic EIB;</w:t>
            </w:r>
            <w:r>
              <w:t xml:space="preserve"> </w:t>
            </w:r>
            <w:r>
              <w:rPr>
                <w:b/>
                <w:i/>
              </w:rPr>
              <w:t>připomíná, že úvěry EIB jsou v konečném důsledku zajištěny upsaným kapitálem ve výši 248,8 miliardy EUR, což představuje závazky daňových poplatníků;</w:t>
            </w:r>
            <w:r>
              <w:t xml:space="preserve"> </w:t>
            </w:r>
            <w:r>
              <w:rPr>
                <w:b/>
                <w:i/>
              </w:rPr>
              <w:t>vyzývá Komisi, aby spolupracovala s EIB s cílem zajistit, aby profily posuzování rizik u rozsáhlých investic podléhaly nezávislému přezkumu a aby EIB zveřejňovala zkušenosti získané s případy, kdy významné úvěry nebyly splaceny;</w:t>
            </w:r>
            <w:r>
              <w:t xml:space="preserve"> </w:t>
            </w:r>
            <w:r>
              <w:rPr>
                <w:b/>
                <w:i/>
              </w:rPr>
              <w:t>zdůrazňuje, že aby mohl orgán příslušný k udělení absolutoria plnit své povinnosti v oblasti dohledu, vyžaduje komplexní informace o postupech EIB v oblasti řízení rizik;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Dick Erixon,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63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63c.</w:t>
            </w:r>
            <w:r>
              <w:tab/>
            </w:r>
            <w:r>
              <w:rPr>
                <w:b/>
                <w:i/>
              </w:rPr>
              <w:t>podporuje zjištění uvedená v prohlášení kontaktního výboru CC 1/2025, podle nichž se v auditu ve vztahu k Evropské investiční bance objevily kritické nedostatky;</w:t>
            </w:r>
            <w:r>
              <w:t xml:space="preserve"> </w:t>
            </w:r>
            <w:r>
              <w:rPr>
                <w:b/>
                <w:i/>
              </w:rPr>
              <w:t>konstatuje, že zatímco dochází k neustálému rozšiřování mandátu EIB, pravomoci externího auditu zůstávají paradoxně stále omezeny;</w:t>
            </w:r>
            <w:r>
              <w:t xml:space="preserve"> </w:t>
            </w:r>
            <w:r>
              <w:rPr>
                <w:b/>
                <w:i/>
              </w:rPr>
              <w:t>vyzývá Komisi, aby aktivně podporovala myšlenku neomezeného přístupu Evropského účetního dvora k auditu EIB, a to i prostřednictvím nezbytných změn Smlouvy;</w:t>
            </w:r>
            <w:r>
              <w:t xml:space="preserve"> </w:t>
            </w:r>
            <w:r>
              <w:rPr>
                <w:b/>
                <w:i/>
              </w:rPr>
              <w:t>zdůrazňuje, že podrozvahová povaha půjček EIB, které se neobjevují ve vnitrostátních statistikách dluhu, činí přísný externí audit nejen žádoucím, ale z hlediska řádného finančního řízení a demokratické odpovědnosti také nezbytným;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63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63d.</w:t>
            </w:r>
            <w:r>
              <w:tab/>
            </w:r>
            <w:r>
              <w:rPr>
                <w:b/>
                <w:i/>
              </w:rPr>
              <w:t>konstatuje, že v roce 2024 došlo ke ztrojnásobení části plateb EIB, které byly po splatnosti více než 90 dnů a které dosáhly celkem 281,3 milionu EUR (0,06 % celkového úvěrového portfolia) ve srovnání s 82,4 milionu EUR (0,02 %) na konci roku 2023;</w:t>
            </w:r>
            <w:r>
              <w:t xml:space="preserve"> </w:t>
            </w:r>
            <w:r>
              <w:rPr>
                <w:b/>
                <w:i/>
              </w:rPr>
              <w:t>zdůrazňuje, že tento nárůst nevýkonných expozic a plateb po splatnosti výrazně převyšuje 2% nárůst celkového úvěrového portfolia;</w:t>
            </w:r>
            <w:r>
              <w:t xml:space="preserve"> </w:t>
            </w:r>
            <w:r>
              <w:rPr>
                <w:b/>
                <w:i/>
              </w:rPr>
              <w:t>vyzývá Komisi, aby si od EIB vyžádala podrobnou analýzu příčin zhoršování kvality portfolia a aby orgán příslušný k udělení absolutoria informovala o opatřeních přijatých ke zvrácení tohoto trendu;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64.</w:t>
            </w:r>
            <w:r>
              <w:tab/>
            </w:r>
            <w:r>
              <w:t>připomíná, že dne 10. března 2022 Evropský parlament rozhodl o zřízení výboru PEGA, který má vyšetřovat údajné porušení nebo nesprávný úřední postup při uplatňování práva Unie v souvislosti s používáním softwaru Pegasus a rovnocenného sledovacího softwaru, a doporučení Evropského parlamentu ze dne 15. června 2023 Radě a Komisi přijaté v návaznosti na činnost výboru PEGA</w:t>
            </w:r>
            <w:r>
              <w:rPr>
                <w:b/>
                <w:i/>
                <w:vertAlign w:val="superscript"/>
              </w:rPr>
              <w:t>6</w:t>
            </w:r>
            <w:r>
              <w:rPr>
                <w:b/>
                <w:i/>
              </w:rPr>
              <w:t>;</w:t>
            </w:r>
            <w:r>
              <w:t xml:space="preserve"> </w:t>
            </w:r>
            <w:r>
              <w:rPr>
                <w:b/>
                <w:i/>
              </w:rPr>
              <w:t>vyjadřuje hluboké znepokojení nad zprávami ve</w:t>
            </w:r>
            <w:r>
              <w:t xml:space="preserve"> sdělovacích </w:t>
            </w:r>
            <w:r>
              <w:rPr>
                <w:b/>
                <w:i/>
              </w:rPr>
              <w:t>prostředcích</w:t>
            </w:r>
            <w:r>
              <w:rPr>
                <w:b/>
                <w:i/>
                <w:vertAlign w:val="superscript"/>
              </w:rPr>
              <w:t>7</w:t>
            </w:r>
            <w:r>
              <w:rPr>
                <w:b/>
                <w:i/>
              </w:rPr>
              <w:t>, podle nichž byly z finančních</w:t>
            </w:r>
            <w:r>
              <w:t xml:space="preserve"> prostředků Unie </w:t>
            </w:r>
            <w:r>
              <w:rPr>
                <w:b/>
                <w:i/>
              </w:rPr>
              <w:t>přímo podporovány společnosti zapojené do vývoje, zavádění a vývozu špionážního softwaru ze strany subjektů, jejichž</w:t>
            </w:r>
            <w:r>
              <w:t xml:space="preserve"> technologie </w:t>
            </w:r>
            <w:r>
              <w:rPr>
                <w:b/>
                <w:i/>
              </w:rPr>
              <w:t>byly spojeny s nezákonným sledováním novinářů, obránců lidských práv a politických činitelů v Unii a ve třetích zemích</w:t>
            </w:r>
            <w:r>
              <w:t xml:space="preserve">; bere na vědomí odpověď Komise, že řádné využívání finančních prostředků Unie je zajištěno různými smluvními ustanoveními </w:t>
            </w:r>
            <w:r>
              <w:rPr>
                <w:b/>
                <w:i/>
              </w:rPr>
              <w:t>týkajícími se například povinnosti dodržovat při provádění akce nejvyšší etické normy a platné právní předpisy a povinnosti zajistit</w:t>
            </w:r>
            <w:r>
              <w:t xml:space="preserve"> dodržování </w:t>
            </w:r>
            <w:r>
              <w:rPr>
                <w:b/>
                <w:i/>
              </w:rPr>
              <w:t>základních</w:t>
            </w:r>
            <w:r>
              <w:t xml:space="preserve"> hodnot Unie a že nedodržení těchto povinností může vést k různým smluvním opatřením, včetně pozastavení platnosti smlouvy nebo plateb a vypovězení smlouvy; bere rovněž na vědomí písemnou odpověď Komise, která se domnívá, že zavedla několik opatření k řešení rizika, že se spyware dostane do nesprávných rukou, a ke zvýšení ochrany potenciálních obětí spywaru, včetně evropského aktu o svobodě médií, směrnice o soukromí a elektronických komunikacích, aktu o kybernetické odolnosti a nařízení o dvojím užití, a že ve svých výročních zprávách o právním státě se zabývá také vývojem v oblasti údajného protiprávního používání spywaru;</w:t>
            </w:r>
          </w:p>
        </w:tc>
        <w:tc>
          <w:tcPr>
            <w:tcW w:w="4876" w:type="dxa"/>
            <w:tcBorders>
              <w:top w:val="nil"/>
              <w:left w:val="nil"/>
              <w:bottom w:val="nil"/>
              <w:right w:val="nil"/>
            </w:tcBorders>
          </w:tcPr>
          <w:p>
            <w:pPr>
              <w:pStyle w:val="Normal6a"/>
            </w:pPr>
            <w:r>
              <w:t>64.</w:t>
            </w:r>
            <w:r>
              <w:tab/>
            </w:r>
            <w:r>
              <w:t xml:space="preserve">připomíná, že dne 10. března 2022 Evropský parlament rozhodl o zřízení výboru PEGA, který má vyšetřovat údajné porušení nebo nesprávný úřední postup při uplatňování práva Unie v souvislosti s používáním softwaru Pegasus a rovnocenného sledovacího softwaru, a doporučení Evropského parlamentu ze dne 15. června 2023 Radě a Komisi přijaté v návaznosti na činnost výboru PEGA </w:t>
            </w:r>
            <w:r>
              <w:rPr>
                <w:b/>
                <w:i/>
              </w:rPr>
              <w:t>[6];</w:t>
            </w:r>
            <w:r>
              <w:t xml:space="preserve"> </w:t>
            </w:r>
            <w:r>
              <w:rPr>
                <w:b/>
                <w:i/>
              </w:rPr>
              <w:t>bere na vědomí zprávy</w:t>
            </w:r>
            <w:r>
              <w:t xml:space="preserve"> sdělovacích </w:t>
            </w:r>
            <w:r>
              <w:rPr>
                <w:b/>
                <w:i/>
              </w:rPr>
              <w:t>prostředků o možných rizicích, že financování z</w:t>
            </w:r>
            <w:r>
              <w:t xml:space="preserve"> prostředků Unie </w:t>
            </w:r>
            <w:r>
              <w:rPr>
                <w:b/>
                <w:i/>
              </w:rPr>
              <w:t>by mohlo být nepřímo spojeno se společnostmi, které vyvíjejí sledovací</w:t>
            </w:r>
            <w:r>
              <w:t xml:space="preserve"> technologie</w:t>
            </w:r>
            <w:r>
              <w:rPr>
                <w:b/>
                <w:i/>
              </w:rPr>
              <w:t>, zdůrazňuje však, že bez ověřených důkazů nelze vyvozovat žádné závěry týkající se nezákonného jednání</w:t>
            </w:r>
            <w:r>
              <w:t>; bere na vědomí odpověď Komise, že řádné využívání finančních prostředků Unie je zajištěno různými smluvními ustanoveními</w:t>
            </w:r>
            <w:r>
              <w:rPr>
                <w:b/>
                <w:i/>
              </w:rPr>
              <w:t>, která vyžadují</w:t>
            </w:r>
            <w:r>
              <w:t xml:space="preserve"> dodržování </w:t>
            </w:r>
            <w:r>
              <w:rPr>
                <w:b/>
                <w:i/>
              </w:rPr>
              <w:t>platných právních předpisů a</w:t>
            </w:r>
            <w:r>
              <w:t> hodnot Unie</w:t>
            </w:r>
            <w:r>
              <w:rPr>
                <w:b/>
                <w:i/>
              </w:rPr>
              <w:t>,</w:t>
            </w:r>
            <w:r>
              <w:t xml:space="preserve"> a že nedodržení těchto povinností může vést k různým smluvním opatřením, včetně pozastavení platnosti smlouvy nebo plateb a vypovězení smlouvy; bere rovněž na vědomí písemnou odpověď Komise, která se domnívá, že zavedla několik opatření k řešení rizika, že se spyware dostane do nesprávných rukou, a ke zvýšení ochrany potenciálních obětí spywaru, včetně evropského aktu o svobodě médií, směrnice o soukromí a elektronických komunikacích, aktu o kybernetické odolnosti a nařízení o dvojím užití, a že ve svých výročních zprávách o právním státě se zabývá také vývojem v oblasti údajného protiprávního používání spywaru;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6</w:t>
            </w:r>
            <w:r>
              <w:t xml:space="preserve"> </w:t>
            </w:r>
            <w:r>
              <w:rPr>
                <w:b/>
                <w:i/>
              </w:rPr>
              <w:t>Přijaté texty:</w:t>
            </w:r>
            <w:r>
              <w:t xml:space="preserve"> </w:t>
            </w:r>
            <w:r>
              <w:rPr>
                <w:b/>
                <w:i/>
              </w:rPr>
              <w:t>P9_TA(2023)0244. https://www.europarl.europa.eu/doceo/document/TA-9-2023-0244_CS.html.</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7</w:t>
            </w:r>
            <w:r>
              <w:t xml:space="preserve"> </w:t>
            </w:r>
            <w:r>
              <w:rPr>
                <w:b/>
                <w:i/>
              </w:rPr>
              <w:t>https://www.ftm.eu/articles/spyware-industry-eu-subsidies-surveillance-concers.</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65.</w:t>
            </w:r>
            <w:r>
              <w:tab/>
            </w:r>
            <w:r>
              <w:t xml:space="preserve">bere na vědomí odpověď Komise výboru CONT, že dotčené společnosti obdržely z rozpočtu Unie od roku 2021 celkem 12,77 milionu EUR; lituje, že </w:t>
            </w:r>
            <w:r>
              <w:rPr>
                <w:b/>
                <w:i/>
              </w:rPr>
              <w:t>navzdory opakovaným žádostem zpravodaje zprávy o udělení absolutoria</w:t>
            </w:r>
            <w:r>
              <w:t xml:space="preserve"> Komise poskytla výboru CONT pouze částečné informace o celkové výši finančních prostředků Unie přidělených firmám vyrábějícím spyware nebo software pro sledování narušující soukromí, neboť odpověď, kterou poskytla, se omezuje na informace, které jsou již veřejně dostupné v systému pro finanční transparentnost (FTS), který v současné době zveřejňuje pouze informace o příjemcích a dodavatelích v rámci přímého řízení a o prováděcích partnerech v rámci nepřímého řízení; </w:t>
            </w:r>
            <w:r>
              <w:rPr>
                <w:b/>
                <w:i/>
              </w:rPr>
              <w:t>domnívá se, že na základě zpráv ze sdělovacích prostředků nelze vyloučit, že dotyčné společnosti mohly rovněž obdržet finanční prostředky Unie z programů v rámci sdíleného řízení a že další společnosti zabývající se špionážním softwarem mohly mít prospěch z financování Unie;</w:t>
            </w:r>
            <w:r>
              <w:t xml:space="preserve"> vyjadřuje politování nad tím, že orgán příslušný k udělení absolutoria obdržel na svou žádost neúplnou odpověď;</w:t>
            </w:r>
          </w:p>
        </w:tc>
        <w:tc>
          <w:tcPr>
            <w:tcW w:w="4876" w:type="dxa"/>
            <w:tcBorders>
              <w:top w:val="nil"/>
              <w:left w:val="nil"/>
              <w:bottom w:val="nil"/>
              <w:right w:val="nil"/>
            </w:tcBorders>
          </w:tcPr>
          <w:p>
            <w:pPr>
              <w:pStyle w:val="Normal6a"/>
            </w:pPr>
            <w:r>
              <w:t>65.</w:t>
            </w:r>
            <w:r>
              <w:tab/>
            </w:r>
            <w:r>
              <w:t>bere na vědomí odpověď Komise výboru CONT, že dotčené společnosti obdržely z rozpočtu Unie od roku 2021 celkem 12,77 milionu EUR; lituje, že Komise poskytla výboru CONT pouze částečné informace o celkové výši finančních prostředků Unie přidělených firmám vyrábějícím spyware nebo software pro sledování narušující soukromí, neboť odpověď, kterou poskytla, se omezuje na informace, které jsou již veřejně dostupné v systému pro finanční transparentnost (FTS), který v současné době zveřejňuje pouze informace o příjemcích a dodavatelích v rámci přímého řízení a o prováděcích partnerech v rámci nepřímého řízení; vyjadřuje politování nad tím, že orgán příslušný k udělení absolutoria obdržel na svou žádost neúplnou odpověď;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Eero Heinäluoma, Jens Geier, José Cepeda, 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65.</w:t>
            </w:r>
            <w:r>
              <w:tab/>
            </w:r>
            <w:r>
              <w:t>bere na vědomí odpověď Komise výboru CONT, že dotčené společnosti obdržely z rozpočtu Unie od roku 2021 celkem 12,77 milionu EUR; lituje, že navzdory opakovaným žádostem zpravodaje zprávy o udělení absolutoria Komise poskytla výboru CONT pouze částečné informace o celkové výši finančních prostředků Unie přidělených firmám vyrábějícím spyware nebo software pro sledování narušující soukromí, neboť odpověď, kterou poskytla, se omezuje na informace, které jsou již veřejně dostupné v systému pro finanční transparentnost (FTS), který v současné době zveřejňuje pouze informace o příjemcích a dodavatelích v rámci přímého řízení a o prováděcích partnerech v rámci nepřímého řízení; domnívá se, že na základě zpráv ze sdělovacích prostředků nelze vyloučit, že dotyčné společnosti mohly rovněž obdržet finanční prostředky Unie z programů v rámci sdíleného řízení a že další společnosti zabývající se špionážním softwarem mohly mít prospěch z financování Unie; vyjadřuje politování nad tím, že orgán příslušný k udělení absolutoria obdržel na svou žádost neúplnou odpověď;</w:t>
            </w:r>
          </w:p>
        </w:tc>
        <w:tc>
          <w:tcPr>
            <w:tcW w:w="4876" w:type="dxa"/>
            <w:tcBorders>
              <w:top w:val="nil"/>
              <w:left w:val="nil"/>
              <w:bottom w:val="nil"/>
              <w:right w:val="nil"/>
            </w:tcBorders>
          </w:tcPr>
          <w:p>
            <w:pPr>
              <w:pStyle w:val="Normal6a"/>
            </w:pPr>
            <w:r>
              <w:t>65.</w:t>
            </w:r>
            <w:r>
              <w:tab/>
            </w:r>
            <w:r>
              <w:t xml:space="preserve">bere na vědomí odpověď Komise výboru CONT, že dotčené společnosti obdržely z rozpočtu Unie od roku 2021 celkem 12,77 milionu EUR; lituje, že navzdory opakovaným žádostem zpravodaje zprávy o udělení absolutoria Komise poskytla výboru CONT pouze částečné informace o celkové výši finančních prostředků Unie přidělených firmám vyrábějícím spyware nebo software pro sledování narušující soukromí, neboť odpověď, kterou poskytla, se omezuje na informace, které jsou již veřejně dostupné v systému pro finanční transparentnost (FTS), který v současné době zveřejňuje pouze informace o příjemcích a dodavatelích v rámci přímého řízení a o prováděcích partnerech v rámci nepřímého řízení; domnívá se, že na základě zpráv ze sdělovacích prostředků nelze vyloučit, že dotyčné společnosti mohly rovněž obdržet finanční prostředky Unie z programů v rámci sdíleného řízení a že další společnosti zabývající se špionážním softwarem mohly mít prospěch z financování Unie; vyjadřuje politování nad tím, že orgán příslušný k udělení absolutoria obdržel na svou žádost neúplnou odpověď; </w:t>
            </w:r>
            <w:r>
              <w:rPr>
                <w:b/>
                <w:i/>
              </w:rPr>
              <w:t>vyzývá Komisi, aby předložila akční plán s cílem zabránit zneužívání špionážního softwaru v 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65.</w:t>
            </w:r>
            <w:r>
              <w:tab/>
            </w:r>
            <w:r>
              <w:t xml:space="preserve">bere na vědomí </w:t>
            </w:r>
            <w:r>
              <w:rPr>
                <w:b/>
                <w:i/>
              </w:rPr>
              <w:t>odpověď Komise výboru CONT, že dotčené společnosti obdržely z rozpočtu Unie od roku 2021 celkem 12,77 milionu EUR;</w:t>
            </w:r>
            <w:r>
              <w:t xml:space="preserve"> </w:t>
            </w:r>
            <w:r>
              <w:rPr>
                <w:b/>
                <w:i/>
              </w:rPr>
              <w:t>lituje, že navzdory opakovaným žádostem zpravodaje zprávy o udělení absolutoria Komise poskytla výboru CONT pouze částečné informace o celkové výši finančních prostředků Unie přidělených firmám vyrábějícím spyware nebo software pro sledování narušující soukromí, neboť odpověď, kterou poskytla, se omezuje na</w:t>
            </w:r>
            <w:r>
              <w:t xml:space="preserve"> informace, které </w:t>
            </w:r>
            <w:r>
              <w:rPr>
                <w:b/>
                <w:i/>
              </w:rPr>
              <w:t>jsou již veřejně dostupné v systému pro finanční transparentnost (FTS), který v současné době zveřejňuje pouze informace o příjemcích a dodavatelích v rámci přímého řízení a o prováděcích partnerech v rámci nepřímého řízení;</w:t>
            </w:r>
            <w:r>
              <w:t xml:space="preserve"> </w:t>
            </w:r>
            <w:r>
              <w:rPr>
                <w:b/>
                <w:i/>
              </w:rPr>
              <w:t>domnívá se, že na základě zpráv ze sdělovacích prostředků nelze vyloučit, že dotyčné společnosti mohly rovněž obdržet finanční prostředky Unie z programů v rámci sdíleného řízení a že další společnosti zabývající se špionážním softwarem mohly mít prospěch z financování Unie</w:t>
            </w:r>
            <w:r>
              <w:t xml:space="preserve">; </w:t>
            </w:r>
            <w:r>
              <w:rPr>
                <w:b/>
                <w:i/>
              </w:rPr>
              <w:t>vyjadřuje politování nad tím, že orgán příslušný k udělení absolutoria obdržel na svou žádost neúplnou odpověď;</w:t>
            </w:r>
          </w:p>
        </w:tc>
        <w:tc>
          <w:tcPr>
            <w:tcW w:w="4876" w:type="dxa"/>
            <w:tcBorders>
              <w:top w:val="nil"/>
              <w:left w:val="nil"/>
              <w:bottom w:val="nil"/>
              <w:right w:val="nil"/>
            </w:tcBorders>
          </w:tcPr>
          <w:p>
            <w:pPr>
              <w:pStyle w:val="Normal6a"/>
            </w:pPr>
            <w:r>
              <w:t>65.</w:t>
            </w:r>
            <w:r>
              <w:tab/>
            </w:r>
            <w:r>
              <w:t xml:space="preserve">bere na vědomí </w:t>
            </w:r>
            <w:r>
              <w:rPr>
                <w:b/>
                <w:i/>
              </w:rPr>
              <w:t>strategický význam výzkumu v oblasti obrany z hlediska větší bezpečnosti a dlouhodobé odolnosti Unie;</w:t>
            </w:r>
            <w:r>
              <w:t xml:space="preserve"> </w:t>
            </w:r>
            <w:r>
              <w:rPr>
                <w:b/>
                <w:i/>
              </w:rPr>
              <w:t>zdůrazňuje, že výzkum v oblasti obrany a bezpečnosti vyžaduje úzkou, na důvěře založenou spolupráci mezi členskými státy s cílem zajistit lepší, úsporné a účinnější využívání peněz daňových poplatníků EU, zabránit zbytečnému zdvojování a podpořit součinnost;</w:t>
            </w:r>
            <w:r>
              <w:t xml:space="preserve"> </w:t>
            </w:r>
            <w:r>
              <w:rPr>
                <w:b/>
                <w:i/>
              </w:rPr>
              <w:t>poukazuje na to, že výzkumná činnost v této oblasti nutně zahrnuje velmi citlivé údaje, technologie a</w:t>
            </w:r>
            <w:r>
              <w:t xml:space="preserve"> informace, které </w:t>
            </w:r>
            <w:r>
              <w:rPr>
                <w:b/>
                <w:i/>
              </w:rPr>
              <w:t>musejí podléhat nejvyšším standardům ochrany před vnějším vměšováním nebo nepřátelskou manipulací;</w:t>
            </w:r>
            <w:r>
              <w:t xml:space="preserve"> </w:t>
            </w:r>
            <w:r>
              <w:rPr>
                <w:b/>
                <w:i/>
              </w:rPr>
              <w:t>zdůrazňuje v této souvislosti, že je naléhavě nutné vytvořit na evropské úrovni společnou spolehlivou ochrannou strukturu s cílem bojovat proti hybridním hrozbám a chránit kritické znalosti, infrastrukturu a inovační ekosystémy;</w:t>
            </w:r>
            <w:r>
              <w:t xml:space="preserve"> </w:t>
            </w:r>
            <w:r>
              <w:rPr>
                <w:b/>
                <w:i/>
              </w:rPr>
              <w:t>poukazuje na to, že evropský výzkum a inovace jsou nákladově efektivnější než samostatná výzkumná činnost členských států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67.</w:t>
            </w:r>
            <w:r>
              <w:tab/>
            </w:r>
            <w:r>
              <w:t xml:space="preserve">připomíná, že k naplnění ambice Unie dosáhnout do roku 2050 klimatické neutrality musí Unie transformovat svou energetickou soustavu; bere na vědomí písemnou odpověď Komise, že od roku 2021 bylo na výrobu vodíku z obnovitelných zdrojů a související infrastrukturu vynaloženo 12,63 milionu EUR z nástroje CEF Obnovitelná energie a 187,21 milionu EUR z CEF Doprava na čerpací stanice; dále konstatuje, že Komise v letech 2021–2024 vyčlenila na projekty v oblasti e-paliv v rámci Inovačního fondu 791,13 milionu EUR; </w:t>
            </w:r>
            <w:r>
              <w:rPr>
                <w:b/>
                <w:i/>
              </w:rPr>
              <w:t>vyzývá k obezřetnosti při přidělování finančních prostředků Unie na technologie s nejistou nebo omezenou dlouhodobou úlohou na cestě k dekarbonizaci, jako jsou např. e-paliva, aby se zajistilo, že omezené veřejné zdroje budou přednostně použity na</w:t>
            </w:r>
            <w:r>
              <w:t xml:space="preserve"> řešení </w:t>
            </w:r>
            <w:r>
              <w:rPr>
                <w:b/>
                <w:i/>
              </w:rPr>
              <w:t>s největším dopadem na klima a s největší škálovatelností</w:t>
            </w:r>
            <w:r>
              <w:t>;</w:t>
            </w:r>
          </w:p>
        </w:tc>
        <w:tc>
          <w:tcPr>
            <w:tcW w:w="4876" w:type="dxa"/>
            <w:tcBorders>
              <w:top w:val="nil"/>
              <w:left w:val="nil"/>
              <w:bottom w:val="nil"/>
              <w:right w:val="nil"/>
            </w:tcBorders>
          </w:tcPr>
          <w:p>
            <w:pPr>
              <w:pStyle w:val="Normal6a"/>
            </w:pPr>
            <w:r>
              <w:t>67.</w:t>
            </w:r>
            <w:r>
              <w:tab/>
            </w:r>
            <w:r>
              <w:t xml:space="preserve">připomíná, že k naplnění ambice Unie dosáhnout do roku 2050 klimatické neutrality musí Unie transformovat svou energetickou soustavu; bere na vědomí písemnou odpověď Komise, že od roku 2021 bylo na výrobu vodíku z obnovitelných zdrojů a související infrastrukturu vynaloženo 12,63 milionu EUR z nástroje CEF Obnovitelná energie a 187,21 milionu EUR z CEF Doprava na čerpací stanice; dále konstatuje, že Komise v letech 2021–2024 vyčlenila na projekty v oblasti e-paliv v rámci Inovačního fondu 791,13 milionu EUR; </w:t>
            </w:r>
            <w:r>
              <w:rPr>
                <w:b/>
                <w:i/>
              </w:rPr>
              <w:t>zdůrazňuje, že Nástroj pro propojení Evropy musí přispět také k</w:t>
            </w:r>
            <w:r>
              <w:t xml:space="preserve"> řešení </w:t>
            </w:r>
            <w:r>
              <w:rPr>
                <w:b/>
                <w:i/>
              </w:rPr>
              <w:t>klíčových výzev souvisejících s elektrifikací konečných uživatelů, kybernetickými hrozbami a změnou klimatu, a to podporou inteligentních sítí, dobíjecí infrastruktury, propojení a obecněji odolnosti a bezpečnosti evropského energetického systému, a zároveň snížit závislost na fosilních palivech, zmírnit kolísání cen a umožnit Unii splnit do roku 2030 a 2050 její cíle v oblasti dekarbonizace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67.</w:t>
            </w:r>
            <w:r>
              <w:tab/>
            </w:r>
            <w:r>
              <w:rPr>
                <w:b/>
                <w:i/>
              </w:rPr>
              <w:t>připomíná, že k naplnění ambice Unie dosáhnout do roku 2050 klimatické neutrality musí Unie transformovat svou energetickou soustavu;</w:t>
            </w:r>
            <w:r>
              <w:t xml:space="preserve"> bere na vědomí písemnou odpověď Komise, že od roku 2021 bylo na výrobu vodíku z obnovitelných zdrojů a související infrastrukturu vynaloženo 12,63 milionu EUR z nástroje CEF Obnovitelná energie a 187,21 milionu EUR z CEF Doprava na čerpací stanice; dále konstatuje, že Komise v letech 2021–2024 vyčlenila na projekty v oblasti e-paliv v rámci Inovačního fondu 791,13 milionu EUR; vyzývá k obezřetnosti při přidělování finančních prostředků Unie na technologie s nejistou nebo omezenou dlouhodobou úlohou na cestě k dekarbonizaci, jako jsou např. e-paliva, aby se zajistilo, že omezené veřejné zdroje budou přednostně použity na řešení </w:t>
            </w:r>
            <w:r>
              <w:rPr>
                <w:b/>
                <w:i/>
              </w:rPr>
              <w:t>s největším dopadem na klima a s největší škálovatelností</w:t>
            </w:r>
            <w:r>
              <w:t>;</w:t>
            </w:r>
          </w:p>
        </w:tc>
        <w:tc>
          <w:tcPr>
            <w:tcW w:w="4876" w:type="dxa"/>
            <w:tcBorders>
              <w:top w:val="nil"/>
              <w:left w:val="nil"/>
              <w:bottom w:val="nil"/>
              <w:right w:val="nil"/>
            </w:tcBorders>
          </w:tcPr>
          <w:p>
            <w:pPr>
              <w:pStyle w:val="Normal6a"/>
            </w:pPr>
            <w:r>
              <w:t>67.</w:t>
            </w:r>
            <w:r>
              <w:tab/>
            </w:r>
            <w:r>
              <w:t xml:space="preserve">bere na vědomí písemnou odpověď Komise, že od roku 2021 bylo na výrobu vodíku z obnovitelných zdrojů a související infrastrukturu vynaloženo 12,63 milionu EUR z nástroje CEF Obnovitelná energie a 187,21 milionu EUR z CEF Doprava na čerpací stanice; dále konstatuje, že Komise v letech 2021–2024 vyčlenila na projekty v oblasti e-paliv v rámci Inovačního fondu 791,13 milionu EUR; vyzývá k obezřetnosti při přidělování finančních prostředků Unie na technologie s nejistou nebo omezenou dlouhodobou úlohou na cestě k dekarbonizaci, jako jsou např. e-paliva, aby se zajistilo, že omezené veřejné zdroje budou přednostně použity na </w:t>
            </w:r>
            <w:r>
              <w:rPr>
                <w:b/>
                <w:i/>
              </w:rPr>
              <w:t>nejužitečnější</w:t>
            </w:r>
            <w:r>
              <w:t xml:space="preserve"> řešení;</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Dick Erixon,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67.</w:t>
            </w:r>
            <w:r>
              <w:tab/>
            </w:r>
            <w:r>
              <w:t xml:space="preserve">připomíná, že k naplnění ambice Unie dosáhnout do roku 2050 klimatické neutrality musí Unie transformovat svou energetickou soustavu; bere na vědomí písemnou odpověď Komise, že od roku 2021 bylo na výrobu vodíku z obnovitelných zdrojů a související infrastrukturu vynaloženo 12,63 milionu EUR z nástroje CEF Obnovitelná energie a 187,21 milionu EUR z CEF Doprava na čerpací stanice; dále konstatuje, že Komise v letech 2021–2024 vyčlenila na projekty v oblasti e-paliv v rámci Inovačního fondu 791,13 milionu EUR; </w:t>
            </w:r>
            <w:r>
              <w:rPr>
                <w:b/>
                <w:i/>
              </w:rPr>
              <w:t>vyzývá k obezřetnosti při přidělování finančních prostředků Unie na technologie s nejistou nebo omezenou dlouhodobou úlohou na cestě</w:t>
            </w:r>
            <w:r>
              <w:t xml:space="preserve"> k dekarbonizaci</w:t>
            </w:r>
            <w:r>
              <w:rPr>
                <w:b/>
                <w:i/>
              </w:rPr>
              <w:t>, jako jsou např. e-paliva, aby se zajistilo, že omezené veřejné zdroje</w:t>
            </w:r>
            <w:r>
              <w:t xml:space="preserve"> budou </w:t>
            </w:r>
            <w:r>
              <w:rPr>
                <w:b/>
                <w:i/>
              </w:rPr>
              <w:t>přednostně použity na řešení s největším dopadem na klima a s největší škálovatelností</w:t>
            </w:r>
            <w:r>
              <w:t>;</w:t>
            </w:r>
          </w:p>
        </w:tc>
        <w:tc>
          <w:tcPr>
            <w:tcW w:w="4876" w:type="dxa"/>
            <w:tcBorders>
              <w:top w:val="nil"/>
              <w:left w:val="nil"/>
              <w:bottom w:val="nil"/>
              <w:right w:val="nil"/>
            </w:tcBorders>
          </w:tcPr>
          <w:p>
            <w:pPr>
              <w:pStyle w:val="Normal6a"/>
            </w:pPr>
            <w:r>
              <w:t>67.</w:t>
            </w:r>
            <w:r>
              <w:tab/>
            </w:r>
            <w:r>
              <w:t xml:space="preserve">připomíná, že k naplnění ambice Unie dosáhnout do roku 2050 klimatické neutrality musí Unie transformovat svou energetickou soustavu; bere na vědomí písemnou odpověď Komise, že od roku 2021 bylo na výrobu vodíku z obnovitelných zdrojů a související infrastrukturu vynaloženo 12,63 milionu EUR z nástroje CEF Obnovitelná energie a 187,21 milionu EUR z CEF Doprava na čerpací stanice; dále konstatuje, že Komise v letech 2021–2024 vyčlenila na projekty v oblasti e-paliv v rámci Inovačního fondu 791,13 milionu EUR; </w:t>
            </w:r>
            <w:r>
              <w:rPr>
                <w:b/>
                <w:i/>
              </w:rPr>
              <w:t>poukazuje na to, že financování ze strany Unie by mělo být v souladu se zásadou technologické neutrality a umožnit trhu určit nákladově nejefektivnější cesty</w:t>
            </w:r>
            <w:r>
              <w:t xml:space="preserve"> k dekarbonizaci</w:t>
            </w:r>
            <w:r>
              <w:rPr>
                <w:b/>
                <w:i/>
              </w:rPr>
              <w:t>;</w:t>
            </w:r>
            <w:r>
              <w:t xml:space="preserve"> </w:t>
            </w:r>
            <w:r>
              <w:rPr>
                <w:b/>
                <w:i/>
              </w:rPr>
              <w:t>zdůrazňuje, že předjímání toho, které technologie</w:t>
            </w:r>
            <w:r>
              <w:t xml:space="preserve"> budou </w:t>
            </w:r>
            <w:r>
              <w:rPr>
                <w:b/>
                <w:i/>
              </w:rPr>
              <w:t>úspěšné, může vést k nesprávnému přidělování omezených veřejných zdrojů a k podkopání inovací;</w:t>
            </w:r>
            <w:r>
              <w:t xml:space="preserve"> </w:t>
            </w:r>
            <w:r>
              <w:rPr>
                <w:b/>
                <w:i/>
              </w:rPr>
              <w:t>vyzývá Komisi, aby zajistila, aby byla kritéria financování založena spíše na měřitelných výsledcích snižování emisí než na normativních technologických preferencích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67.</w:t>
            </w:r>
            <w:r>
              <w:tab/>
            </w:r>
            <w:r>
              <w:t xml:space="preserve">připomíná, že k naplnění ambice Unie dosáhnout do roku 2050 klimatické neutrality musí Unie transformovat svou energetickou soustavu; bere na vědomí písemnou odpověď Komise, že od roku 2021 bylo na výrobu vodíku z obnovitelných zdrojů a související infrastrukturu vynaloženo 12,63 milionu EUR z nástroje CEF Obnovitelná energie a 187,21 milionu EUR z CEF Doprava na čerpací stanice; dále konstatuje, že Komise v letech 2021–2024 vyčlenila na projekty v oblasti e-paliv v rámci Inovačního fondu 791,13 milionu EUR; </w:t>
            </w:r>
            <w:r>
              <w:rPr>
                <w:b/>
                <w:i/>
              </w:rPr>
              <w:t>vyzývá k obezřetnosti při přidělování finančních prostředků</w:t>
            </w:r>
            <w:r>
              <w:t xml:space="preserve"> Unie na </w:t>
            </w:r>
            <w:r>
              <w:rPr>
                <w:b/>
                <w:i/>
              </w:rPr>
              <w:t>technologie s nejistou nebo omezenou</w:t>
            </w:r>
            <w:r>
              <w:t xml:space="preserve"> dlouhodobou </w:t>
            </w:r>
            <w:r>
              <w:rPr>
                <w:b/>
                <w:i/>
              </w:rPr>
              <w:t>úlohou na cestě k</w:t>
            </w:r>
            <w:r>
              <w:t xml:space="preserve"> dekarbonizaci</w:t>
            </w:r>
            <w:r>
              <w:rPr>
                <w:b/>
                <w:i/>
              </w:rPr>
              <w:t>, jako jsou např. e-paliva</w:t>
            </w:r>
            <w:r>
              <w:t xml:space="preserve">, aby se </w:t>
            </w:r>
            <w:r>
              <w:rPr>
                <w:b/>
                <w:i/>
              </w:rPr>
              <w:t>zajistilo, že omezené veřejné zdroje budou přednostně použity na řešení s největším dopadem</w:t>
            </w:r>
            <w:r>
              <w:t xml:space="preserve"> na klima </w:t>
            </w:r>
            <w:r>
              <w:rPr>
                <w:b/>
                <w:i/>
              </w:rPr>
              <w:t>a s největší škálovatelností</w:t>
            </w:r>
            <w:r>
              <w:t>;</w:t>
            </w:r>
          </w:p>
        </w:tc>
        <w:tc>
          <w:tcPr>
            <w:tcW w:w="4876" w:type="dxa"/>
            <w:tcBorders>
              <w:top w:val="nil"/>
              <w:left w:val="nil"/>
              <w:bottom w:val="nil"/>
              <w:right w:val="nil"/>
            </w:tcBorders>
          </w:tcPr>
          <w:p>
            <w:pPr>
              <w:pStyle w:val="Normal6a"/>
            </w:pPr>
            <w:r>
              <w:t>67.</w:t>
            </w:r>
            <w:r>
              <w:tab/>
            </w:r>
            <w:r>
              <w:t xml:space="preserve">připomíná, že k naplnění ambice Unie dosáhnout do roku 2050 klimatické neutrality musí Unie transformovat svou energetickou soustavu; bere na vědomí písemnou odpověď Komise, že od roku 2021 bylo na výrobu vodíku z obnovitelných zdrojů a související infrastrukturu vynaloženo 12,63 milionu EUR z nástroje CEF Obnovitelná energie a 187,21 milionu EUR z CEF Doprava na čerpací stanice; dále konstatuje, že Komise v letech 2021–2024 vyčlenila na projekty v oblasti e-paliv v rámci Inovačního fondu 791,13 milionu EUR; </w:t>
            </w:r>
            <w:r>
              <w:rPr>
                <w:b/>
                <w:i/>
              </w:rPr>
              <w:t>zdůrazňuje, že je důležité vyčlenit finanční prostředky</w:t>
            </w:r>
            <w:r>
              <w:t xml:space="preserve"> Unie na </w:t>
            </w:r>
            <w:r>
              <w:rPr>
                <w:b/>
                <w:i/>
              </w:rPr>
              <w:t>podporu řešení, která mají potenciál zajistit</w:t>
            </w:r>
            <w:r>
              <w:t xml:space="preserve"> dlouhodobou dekarbonizaci </w:t>
            </w:r>
            <w:r>
              <w:rPr>
                <w:b/>
                <w:i/>
              </w:rPr>
              <w:t>a škálovatelnost, a zároveň přistupovat k novým řešením s ohledem na důkazy</w:t>
            </w:r>
            <w:r>
              <w:t xml:space="preserve">, </w:t>
            </w:r>
            <w:r>
              <w:rPr>
                <w:b/>
                <w:i/>
              </w:rPr>
              <w:t>aby bylo zajištěno účinné využívání veřejných zdrojů a</w:t>
            </w:r>
            <w:r>
              <w:t xml:space="preserve"> aby se </w:t>
            </w:r>
            <w:r>
              <w:rPr>
                <w:b/>
                <w:i/>
              </w:rPr>
              <w:t>maximalizoval jejich dopad</w:t>
            </w:r>
            <w:r>
              <w:t xml:space="preserve"> na klima;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67.</w:t>
            </w:r>
            <w:r>
              <w:tab/>
            </w:r>
            <w:r>
              <w:rPr>
                <w:b/>
                <w:i/>
              </w:rPr>
              <w:t>připomíná, že k naplnění ambice Unie dosáhnout do roku 2050</w:t>
            </w:r>
            <w:r>
              <w:t xml:space="preserve"> klimatické neutrality </w:t>
            </w:r>
            <w:r>
              <w:rPr>
                <w:b/>
                <w:i/>
              </w:rPr>
              <w:t>musí Unie transformovat svou energetickou soustavu;</w:t>
            </w:r>
            <w:r>
              <w:t xml:space="preserve"> </w:t>
            </w:r>
            <w:r>
              <w:rPr>
                <w:b/>
                <w:i/>
              </w:rPr>
              <w:t>bere na vědomí písemnou odpověď Komise, že od roku 2021 bylo na výrobu vodíku z obnovitelných zdrojů a související infrastrukturu vynaloženo 12,63 milionu EUR z nástroje CEF Obnovitelná</w:t>
            </w:r>
            <w:r>
              <w:t xml:space="preserve"> energie </w:t>
            </w:r>
            <w:r>
              <w:rPr>
                <w:b/>
                <w:i/>
              </w:rPr>
              <w:t>a 187,21 milionu EUR z CEF Doprava na čerpací stanice;</w:t>
            </w:r>
            <w:r>
              <w:t xml:space="preserve"> </w:t>
            </w:r>
            <w:r>
              <w:rPr>
                <w:b/>
                <w:i/>
              </w:rPr>
              <w:t>dále</w:t>
            </w:r>
            <w:r>
              <w:t xml:space="preserve"> konstatuje, že Komise </w:t>
            </w:r>
            <w:r>
              <w:rPr>
                <w:b/>
                <w:i/>
              </w:rPr>
              <w:t>v letech 2021–2024 vyčlenila na projekty</w:t>
            </w:r>
            <w:r>
              <w:t xml:space="preserve"> v oblasti </w:t>
            </w:r>
            <w:r>
              <w:rPr>
                <w:b/>
                <w:i/>
              </w:rPr>
              <w:t>e-paliv v rámci Inovačního fondu 791,13 milionu EUR;</w:t>
            </w:r>
            <w:r>
              <w:t xml:space="preserve"> </w:t>
            </w:r>
            <w:r>
              <w:rPr>
                <w:b/>
                <w:i/>
              </w:rPr>
              <w:t>vyzývá k obezřetnosti při přidělování</w:t>
            </w:r>
            <w:r>
              <w:t xml:space="preserve"> finančních prostředků </w:t>
            </w:r>
            <w:r>
              <w:rPr>
                <w:b/>
                <w:i/>
              </w:rPr>
              <w:t>Unie na</w:t>
            </w:r>
            <w:r>
              <w:t xml:space="preserve"> technologie </w:t>
            </w:r>
            <w:r>
              <w:rPr>
                <w:b/>
                <w:i/>
              </w:rPr>
              <w:t>s nejistou nebo omezenou dlouhodobou úlohou na cestě</w:t>
            </w:r>
            <w:r>
              <w:t xml:space="preserve"> k dekarbonizaci, </w:t>
            </w:r>
            <w:r>
              <w:rPr>
                <w:b/>
                <w:i/>
              </w:rPr>
              <w:t>jako jsou např. e-paliva, aby se zajistilo, že omezené</w:t>
            </w:r>
            <w:r>
              <w:t xml:space="preserve"> veřejné zdroje </w:t>
            </w:r>
            <w:r>
              <w:rPr>
                <w:b/>
                <w:i/>
              </w:rPr>
              <w:t>budou přednostně použity na řešení s největším dopadem na klima a s největší škálovatelností</w:t>
            </w:r>
            <w:r>
              <w:t>;</w:t>
            </w:r>
          </w:p>
        </w:tc>
        <w:tc>
          <w:tcPr>
            <w:tcW w:w="4876" w:type="dxa"/>
            <w:tcBorders>
              <w:top w:val="nil"/>
              <w:left w:val="nil"/>
              <w:bottom w:val="nil"/>
              <w:right w:val="nil"/>
            </w:tcBorders>
          </w:tcPr>
          <w:p>
            <w:pPr>
              <w:pStyle w:val="Normal6a"/>
            </w:pPr>
            <w:r>
              <w:t>67.</w:t>
            </w:r>
            <w:r>
              <w:tab/>
            </w:r>
            <w:r>
              <w:rPr>
                <w:b/>
                <w:i/>
              </w:rPr>
              <w:t>zdůrazňuje, že dosažení</w:t>
            </w:r>
            <w:r>
              <w:t xml:space="preserve"> klimatické neutrality </w:t>
            </w:r>
            <w:r>
              <w:rPr>
                <w:b/>
                <w:i/>
              </w:rPr>
              <w:t>do roku 2050 má zásadní význam;</w:t>
            </w:r>
            <w:r>
              <w:t xml:space="preserve"> </w:t>
            </w:r>
            <w:r>
              <w:rPr>
                <w:b/>
                <w:i/>
              </w:rPr>
              <w:t>poukazuje na to, že je třeba zajistit spolehlivé, cenově dostupné a odolné evropské dodávky</w:t>
            </w:r>
            <w:r>
              <w:t xml:space="preserve"> energie</w:t>
            </w:r>
            <w:r>
              <w:rPr>
                <w:b/>
                <w:i/>
              </w:rPr>
              <w:t>;</w:t>
            </w:r>
            <w:r>
              <w:t xml:space="preserve"> </w:t>
            </w:r>
            <w:r>
              <w:rPr>
                <w:b/>
                <w:i/>
              </w:rPr>
              <w:t>v této souvislosti</w:t>
            </w:r>
            <w:r>
              <w:t xml:space="preserve"> konstatuje, že Komise </w:t>
            </w:r>
            <w:r>
              <w:rPr>
                <w:b/>
                <w:i/>
              </w:rPr>
              <w:t>by měla podporovat technologicky neutrální přístup k výzkumu a inovacím;</w:t>
            </w:r>
            <w:r>
              <w:t xml:space="preserve"> </w:t>
            </w:r>
            <w:r>
              <w:rPr>
                <w:b/>
                <w:i/>
              </w:rPr>
              <w:t>vyzývá zejména k podpoře přeshraničních projektů s cílem podpořit skutečně evropská řešení</w:t>
            </w:r>
            <w:r>
              <w:t xml:space="preserve"> v oblasti </w:t>
            </w:r>
            <w:r>
              <w:rPr>
                <w:b/>
                <w:i/>
              </w:rPr>
              <w:t>dodávek energie, zaručit nákladově efektivní využívání</w:t>
            </w:r>
            <w:r>
              <w:t xml:space="preserve"> finančních prostředků </w:t>
            </w:r>
            <w:r>
              <w:rPr>
                <w:b/>
                <w:i/>
              </w:rPr>
              <w:t>EU, posílit řešení v oblasti vnitřního trhu a vytvořit evropskou přidanou hodnotu;</w:t>
            </w:r>
            <w:r>
              <w:t xml:space="preserve"> </w:t>
            </w:r>
            <w:r>
              <w:rPr>
                <w:b/>
                <w:i/>
              </w:rPr>
              <w:t>zdůrazňuje, že je nutné důkladně prozkoumat všechny</w:t>
            </w:r>
            <w:r>
              <w:t xml:space="preserve"> technologie</w:t>
            </w:r>
            <w:r>
              <w:rPr>
                <w:b/>
                <w:i/>
              </w:rPr>
              <w:t>, které mohou přispět</w:t>
            </w:r>
            <w:r>
              <w:t xml:space="preserve"> k dekarbonizaci, </w:t>
            </w:r>
            <w:r>
              <w:rPr>
                <w:b/>
                <w:i/>
              </w:rPr>
              <w:t>s cílem posoudit jejich účinnost a škálovatelnost, a zároveň zajistit, aby byly</w:t>
            </w:r>
            <w:r>
              <w:t xml:space="preserve"> veřejné zdroje </w:t>
            </w:r>
            <w:r>
              <w:rPr>
                <w:b/>
                <w:i/>
              </w:rPr>
              <w:t>využívány účinně a přinášely měřitelnou přidanou hodnotu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Dick Erixon,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68.</w:t>
            </w:r>
            <w:r>
              <w:tab/>
            </w:r>
            <w:r>
              <w:rPr>
                <w:b/>
                <w:i/>
              </w:rPr>
              <w:t>připomíná, že cílem nařízení o digitálních trzích (DMA) je zajistit spravedlivé a inovativní digitální trhy v Evropě a zabránit tomu, aby na nich dominoval jediný subjekt na úkor spotřebitelů, konkurentů nebo demokratického dohledu;</w:t>
            </w:r>
            <w:r>
              <w:t xml:space="preserve"> </w:t>
            </w:r>
            <w:r>
              <w:rPr>
                <w:b/>
                <w:i/>
              </w:rPr>
              <w:t>konstatuje, že v roce 2024 se Generální ředitelství pro hospodářskou soutěž (GŘ COMP) potýkalo s vážným nedostatkem zaměstnanců, jak se uvádí v jeho výroční zprávě o činnosti (AAR) za rok 2024;</w:t>
            </w:r>
            <w:r>
              <w:t xml:space="preserve"> </w:t>
            </w:r>
            <w:r>
              <w:rPr>
                <w:b/>
                <w:i/>
              </w:rPr>
              <w:t>konstatuje, že GŘ COMP přesunulo zaměstnance do oddělení odpovědných za prosazování nařízení DMA, což způsobilo nedostatek zaměstnanců v jiných odděleních;</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68.</w:t>
            </w:r>
            <w:r>
              <w:tab/>
            </w:r>
            <w:r>
              <w:t>připomíná, že cílem nařízení o digitálních trzích (DMA) je zajistit spravedlivé a inovativní digitální trhy v Evropě a zabránit tomu, aby na nich dominoval jediný subjekt na úkor spotřebitelů, konkurentů nebo demokratického dohledu; konstatuje, že v roce 2024 se Generální ředitelství pro hospodářskou soutěž (GŘ COMP) potýkalo s vážným nedostatkem zaměstnanců, jak se uvádí v jeho výroční zprávě o činnosti (AAR) za rok 2024; konstatuje, že GŘ COMP přesunulo zaměstnance do oddělení odpovědných za prosazování nařízení DMA, což způsobilo nedostatek zaměstnanců v jiných odděleních;</w:t>
            </w:r>
          </w:p>
        </w:tc>
        <w:tc>
          <w:tcPr>
            <w:tcW w:w="4876" w:type="dxa"/>
            <w:tcBorders>
              <w:top w:val="nil"/>
              <w:left w:val="nil"/>
              <w:bottom w:val="nil"/>
              <w:right w:val="nil"/>
            </w:tcBorders>
          </w:tcPr>
          <w:p>
            <w:pPr>
              <w:pStyle w:val="Normal6a"/>
            </w:pPr>
            <w:r>
              <w:t>68.</w:t>
            </w:r>
            <w:r>
              <w:tab/>
            </w:r>
            <w:r>
              <w:t>připomíná, že cílem nařízení o digitálních trzích (DMA) je zajistit spravedlivé a inovativní digitální trhy v Evropě a zabránit tomu, aby na nich dominoval jediný subjekt na úkor spotřebitelů, konkurentů nebo demokratického dohledu</w:t>
            </w:r>
            <w:r>
              <w:rPr>
                <w:b/>
                <w:i/>
              </w:rPr>
              <w:t>;</w:t>
            </w:r>
            <w:r>
              <w:t xml:space="preserve"> </w:t>
            </w:r>
            <w:r>
              <w:rPr>
                <w:b/>
                <w:i/>
              </w:rPr>
              <w:t>poukazuje na významné negativní dopady, které má dominantní postavení na digitálním trhu na kulturu, sdělovací prostředky, demokracii a základní práva, mj. na ztrátu pracovních míst, narušení trhu a šíření manipulace s informacemi a dezinformací</w:t>
            </w:r>
            <w:r>
              <w:t>; konstatuje, že v roce 2024 se Generální ředitelství pro hospodářskou soutěž (GŘ COMP) potýkalo s vážným nedostatkem zaměstnanců, jak se uvádí v jeho výroční zprávě o činnosti (AAR) za rok 2024; konstatuje, že GŘ COMP přesunulo zaměstnance do oddělení odpovědných za prosazování nařízení DMA, což způsobilo nedostatek zaměstnanců v jiných odděleních;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68a.</w:t>
            </w:r>
            <w:r>
              <w:tab/>
            </w:r>
            <w:r>
              <w:rPr>
                <w:b/>
                <w:i/>
              </w:rPr>
              <w:t>poukazuje na to, že se ve zprávě Kongresu USA zveřejněné dne 3. února 2026</w:t>
            </w:r>
            <w:r>
              <w:rPr>
                <w:b/>
                <w:i/>
                <w:vertAlign w:val="superscript"/>
              </w:rPr>
              <w:t>9a</w:t>
            </w:r>
            <w:r>
              <w:t xml:space="preserve"> </w:t>
            </w:r>
            <w:r>
              <w:rPr>
                <w:b/>
                <w:i/>
              </w:rPr>
              <w:t>uvádí, že na více než 90 zasedáních uspořádaných podle kodexu boje proti dezinformacím v letech 2022 až 2024 Komise údajně lobbovala za to, aby platformy změnily svá celková pravidla moderování obsahu a cenzurovaly větší množství obsahu;</w:t>
            </w:r>
            <w:r>
              <w:t xml:space="preserve"> </w:t>
            </w:r>
            <w:r>
              <w:rPr>
                <w:b/>
                <w:i/>
              </w:rPr>
              <w:t>konstatuje, že po zasedání s Komisí před slovenskými volbami se po TikToku požadovalo, aby zakázal určitý obsah s uvedením, že „musíme ukončit sexualizaci dětí“; zjišťuje, že Komise v průběhu voleb v několika členských státech zasáhla u několika digitálních platforem a vyvíjela na ně tlak; vyzývá Komisi, aby okamžitě ujasnila, jaké zdroje si to vyžádalo z rozpočtu na rok 2024, a aby předstoupila před Parlament a zodpověděla otázky týkající se závažných obvinění uvedených ve zprávě;</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9a</w:t>
            </w:r>
            <w:r>
              <w:t xml:space="preserve"> </w:t>
            </w:r>
            <w:r>
              <w:rPr>
                <w:b/>
                <w:i/>
              </w:rPr>
              <w:t>https://judiciary.house.gov/sites/evo-subsites/republicans-judiciary.house.gov/files/2026-02/THE-FOREIGN-CENSORSHIP-THREAT-PART-II-2-3-26.pdf.</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69a.</w:t>
            </w:r>
            <w:r>
              <w:tab/>
            </w:r>
            <w:r>
              <w:rPr>
                <w:b/>
                <w:i/>
              </w:rPr>
              <w:t>zajistit poskytování výrazně vyšších finančních prostředků Unie na výzkum a inovace v souladu se zásadou excelence a zásluh;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40 – podbod 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ii)</w:t>
            </w:r>
            <w:r>
              <w:tab/>
            </w:r>
            <w:r>
              <w:t>zavedla požadavky na prováděcí partnery, aby podávali zprávy o výkonnosti založené na údajích na úrovni projektu</w:t>
            </w:r>
            <w:r>
              <w:rPr>
                <w:b/>
                <w:i/>
              </w:rPr>
              <w:t>, a to i pro finanční nástroje prováděné</w:t>
            </w:r>
            <w:r>
              <w:t xml:space="preserve"> v rámci nepřímého řízení, jako je InvestEU;</w:t>
            </w:r>
          </w:p>
        </w:tc>
        <w:tc>
          <w:tcPr>
            <w:tcW w:w="4876" w:type="dxa"/>
            <w:tcBorders>
              <w:top w:val="nil"/>
              <w:left w:val="nil"/>
              <w:bottom w:val="nil"/>
              <w:right w:val="nil"/>
            </w:tcBorders>
          </w:tcPr>
          <w:p>
            <w:pPr>
              <w:pStyle w:val="Normal6a"/>
            </w:pPr>
            <w:r>
              <w:t>ii)</w:t>
            </w:r>
            <w:r>
              <w:tab/>
            </w:r>
            <w:r>
              <w:t xml:space="preserve">zavedla </w:t>
            </w:r>
            <w:r>
              <w:rPr>
                <w:b/>
                <w:i/>
              </w:rPr>
              <w:t>závazné</w:t>
            </w:r>
            <w:r>
              <w:t xml:space="preserve"> požadavky na prováděcí partnery</w:t>
            </w:r>
            <w:r>
              <w:rPr>
                <w:b/>
                <w:i/>
              </w:rPr>
              <w:t>, zejména na Evropskou investiční banku</w:t>
            </w:r>
            <w:r>
              <w:t xml:space="preserve">, aby podávali zprávy o výkonnosti založené na údajích na úrovni projektu </w:t>
            </w:r>
            <w:r>
              <w:rPr>
                <w:b/>
                <w:i/>
              </w:rPr>
              <w:t>u všech finančních nástrojů používaných</w:t>
            </w:r>
            <w:r>
              <w:t xml:space="preserve"> v rámci nepřímého řízení, jako je InvestEU; </w:t>
            </w:r>
            <w:r>
              <w:rPr>
                <w:b/>
                <w:i/>
              </w:rPr>
              <w:t>požaduje, aby tyto zprávy zahrnovaly ukazatele zaměřené na výsledky, které by měřily skutečnou návratnost investic pro občany a umožnily orgánu příslušnému k udělení absolutoria posoudit, zda investice podporované Unií přinášejí skutečnou, měřitelnou ekonomickou hodnotu, a nezvyšují jen použité objemy;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69 – podbod iii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iii)</w:t>
            </w:r>
            <w:r>
              <w:tab/>
            </w:r>
            <w:r>
              <w:t>provedla přezkum zjednodušujících opatření zavedených pro program Horizont Evropa s cílem posoudit, zda příjemcům a žadatelům v rámci projektů skutečně přinášejí zjednodušení;</w:t>
            </w:r>
          </w:p>
        </w:tc>
        <w:tc>
          <w:tcPr>
            <w:tcW w:w="4876" w:type="dxa"/>
            <w:tcBorders>
              <w:top w:val="nil"/>
              <w:left w:val="nil"/>
              <w:bottom w:val="nil"/>
              <w:right w:val="nil"/>
            </w:tcBorders>
          </w:tcPr>
          <w:p>
            <w:pPr>
              <w:pStyle w:val="Normal6a"/>
            </w:pPr>
            <w:r>
              <w:t>iii)</w:t>
            </w:r>
            <w:r>
              <w:tab/>
            </w:r>
            <w:r>
              <w:t>provedla přezkum zjednodušujících opatření zavedených pro program Horizont Evropa s cílem posoudit, zda příjemcům a žadatelům v rámci projektů skutečně přinášejí zjednodušení</w:t>
            </w:r>
            <w:r>
              <w:rPr>
                <w:b/>
                <w:i/>
              </w:rPr>
              <w:t>, mj. posoudit jejich dopad na míru účasti, zeměpisnou vyváženost a přístup nových žadatelů, zejména z regionů s horšími výsledky</w:t>
            </w:r>
            <w:r>
              <w:t xml:space="preserve">; </w:t>
            </w:r>
            <w:r>
              <w:rPr>
                <w:b/>
                <w:i/>
              </w:rPr>
              <w:t>zdůrazňuje, že je třeba zajistit, aby zjednodušení vedlo k účinnému snížení administrativní zátěže a k rozšíření přístupu k financování a aby zajistilo součinnost s dalšími nástroji Unie, mj. s politikou soudržnosti a pečetí excelence, s cílem podpořit kvalitní projekty a posílit regionální inovační ekosystémy v celé 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69 – podbod 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vi)</w:t>
            </w:r>
            <w:r>
              <w:tab/>
            </w:r>
            <w:r>
              <w:rPr>
                <w:b/>
                <w:i/>
              </w:rPr>
              <w:t>provedla komplexní přezkum financování vývoje, zavádění a vývozu spywaru nebo softwaru pro sledování narušující soukromí ze strany Unie ve všech způsobech řízení od roku 2021 a předložila jej orgánu příslušnému k udělení absolutoria</w:t>
            </w:r>
            <w:r>
              <w:t>;</w:t>
            </w:r>
          </w:p>
        </w:tc>
        <w:tc>
          <w:tcPr>
            <w:tcW w:w="4876" w:type="dxa"/>
            <w:tcBorders>
              <w:top w:val="nil"/>
              <w:left w:val="nil"/>
              <w:bottom w:val="nil"/>
              <w:right w:val="nil"/>
            </w:tcBorders>
          </w:tcPr>
          <w:p>
            <w:pPr>
              <w:pStyle w:val="Normal6a"/>
            </w:pPr>
            <w:r>
              <w:t>vi)</w:t>
            </w:r>
            <w:r>
              <w:tab/>
            </w:r>
            <w:r>
              <w:rPr>
                <w:b/>
                <w:i/>
              </w:rPr>
              <w:t>uplatňovala technologicky neutrální přístup k výzkumu a inovacím, mimo jiné podporou přeshraničních projektů, s cílem podpořit dosažení klimatické neutrality do roku 2050 a rozšířit odolné evropské dodávky energie při současném zaručení nákladové efektivnosti, urychlení pokroku při plnění evropských cílů v oblasti klimatu a zvýšení konkurenceschopnosti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Eero Heinäluoma, Jens Geier, José Cepeda, 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69 – podbod 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vi)</w:t>
            </w:r>
            <w:r>
              <w:tab/>
            </w:r>
            <w:r>
              <w:t xml:space="preserve">provedla komplexní přezkum financování vývoje, zavádění a vývozu spywaru nebo softwaru pro sledování </w:t>
            </w:r>
            <w:r>
              <w:rPr>
                <w:b/>
                <w:i/>
              </w:rPr>
              <w:t>narušující</w:t>
            </w:r>
            <w:r>
              <w:t xml:space="preserve"> soukromí ze strany Unie ve všech způsobech řízení od roku 2021 a předložila </w:t>
            </w:r>
            <w:r>
              <w:rPr>
                <w:b/>
                <w:i/>
              </w:rPr>
              <w:t>jej</w:t>
            </w:r>
            <w:r>
              <w:t xml:space="preserve"> orgánu příslušnému k udělení absolutoria;</w:t>
            </w:r>
          </w:p>
        </w:tc>
        <w:tc>
          <w:tcPr>
            <w:tcW w:w="4876" w:type="dxa"/>
            <w:tcBorders>
              <w:top w:val="nil"/>
              <w:left w:val="nil"/>
              <w:bottom w:val="nil"/>
              <w:right w:val="nil"/>
            </w:tcBorders>
          </w:tcPr>
          <w:p>
            <w:pPr>
              <w:pStyle w:val="Normal6a"/>
            </w:pPr>
            <w:r>
              <w:t>vi)</w:t>
            </w:r>
            <w:r>
              <w:tab/>
            </w:r>
            <w:r>
              <w:t xml:space="preserve">provedla komplexní přezkum financování vývoje, zavádění a vývozu spywaru nebo softwaru pro sledování </w:t>
            </w:r>
            <w:r>
              <w:rPr>
                <w:b/>
                <w:i/>
              </w:rPr>
              <w:t>narušujícího</w:t>
            </w:r>
            <w:r>
              <w:t xml:space="preserve"> soukromí ze strany Unie ve všech způsobech řízení od roku 2021</w:t>
            </w:r>
            <w:r>
              <w:rPr>
                <w:b/>
                <w:i/>
              </w:rPr>
              <w:t>, vypracovala akční plán, který by zabránil zneužívání spywaru v Unii,</w:t>
            </w:r>
            <w:r>
              <w:t xml:space="preserve"> a předložila </w:t>
            </w:r>
            <w:r>
              <w:rPr>
                <w:b/>
                <w:i/>
              </w:rPr>
              <w:t>je</w:t>
            </w:r>
            <w:r>
              <w:t xml:space="preserve"> orgánu příslušnému k udělení absolutoria;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Olivier Chastel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69 – podbod vii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vii)</w:t>
            </w:r>
            <w:r>
              <w:tab/>
            </w:r>
            <w:r>
              <w:rPr>
                <w:b/>
                <w:i/>
              </w:rPr>
              <w:t>zajistila, aby financování výzkumu ze strany Unie, včetně financování z programu Horizont Evropa a prostřednictvím dohod s partnery mimo EU, nepřispívalo k vývoji spywaru nebo rovnocenných technologií sledování narušujících soukromí v souladu s příslušnými doporučeními Parlamentu přijatými dne 15. června 2023</w:t>
            </w:r>
            <w:r>
              <w:rPr>
                <w:b/>
                <w:i/>
                <w:vertAlign w:val="superscript"/>
              </w:rPr>
              <w:t>8</w:t>
            </w:r>
            <w:r>
              <w:rPr>
                <w:b/>
                <w:i/>
              </w:rPr>
              <w:t>;</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8</w:t>
            </w:r>
            <w:r>
              <w:t xml:space="preserve"> </w:t>
            </w:r>
            <w:r>
              <w:rPr>
                <w:b/>
                <w:i/>
              </w:rPr>
              <w:t>Přijaté texty:</w:t>
            </w:r>
            <w:r>
              <w:t xml:space="preserve"> </w:t>
            </w:r>
            <w:r>
              <w:rPr>
                <w:b/>
                <w:i/>
              </w:rPr>
              <w:t>P9_TA(2023)0244, bod 112. https://www.europarl.europa.eu/doceo/document/TA-9-2023-0244_CS.html,</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69 – podbod vii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vii)</w:t>
            </w:r>
            <w:r>
              <w:tab/>
            </w:r>
            <w:r>
              <w:rPr>
                <w:b/>
                <w:i/>
              </w:rPr>
              <w:t>zajistila, aby financování</w:t>
            </w:r>
            <w:r>
              <w:t xml:space="preserve"> výzkumu </w:t>
            </w:r>
            <w:r>
              <w:rPr>
                <w:b/>
                <w:i/>
              </w:rPr>
              <w:t>ze strany Unie, včetně financování z programu Horizont Evropa a</w:t>
            </w:r>
            <w:r>
              <w:t xml:space="preserve"> prostřednictvím </w:t>
            </w:r>
            <w:r>
              <w:rPr>
                <w:b/>
                <w:i/>
              </w:rPr>
              <w:t>dohod s partnery mimo EU, nepřispívalo k vývoji spywaru nebo rovnocenných</w:t>
            </w:r>
            <w:r>
              <w:t xml:space="preserve"> technologií </w:t>
            </w:r>
            <w:r>
              <w:rPr>
                <w:b/>
                <w:i/>
              </w:rPr>
              <w:t>sledování narušujících soukromí v souladu s příslušnými doporučeními Parlamentu přijatými dne 15. června 2023</w:t>
            </w:r>
            <w:r>
              <w:rPr>
                <w:b/>
                <w:i/>
                <w:vertAlign w:val="superscript"/>
              </w:rPr>
              <w:t>8</w:t>
            </w:r>
            <w:r>
              <w:t>;</w:t>
            </w:r>
          </w:p>
        </w:tc>
        <w:tc>
          <w:tcPr>
            <w:tcW w:w="4876" w:type="dxa"/>
            <w:tcBorders>
              <w:top w:val="nil"/>
              <w:left w:val="nil"/>
              <w:bottom w:val="nil"/>
              <w:right w:val="nil"/>
            </w:tcBorders>
          </w:tcPr>
          <w:p>
            <w:pPr>
              <w:pStyle w:val="Normal6a"/>
            </w:pPr>
            <w:r>
              <w:t>vii)</w:t>
            </w:r>
            <w:r>
              <w:tab/>
            </w:r>
            <w:r>
              <w:rPr>
                <w:b/>
                <w:i/>
              </w:rPr>
              <w:t>prohloubila spolupráci mezi členskými státy v oblasti</w:t>
            </w:r>
            <w:r>
              <w:t xml:space="preserve"> výzkumu </w:t>
            </w:r>
            <w:r>
              <w:rPr>
                <w:b/>
                <w:i/>
              </w:rPr>
              <w:t>souvisejícího s obranou a bezpečností</w:t>
            </w:r>
            <w:r>
              <w:t xml:space="preserve"> prostřednictvím </w:t>
            </w:r>
            <w:r>
              <w:rPr>
                <w:b/>
                <w:i/>
              </w:rPr>
              <w:t>evropských programů, a podpořila tak společné výdaje, s cílem zajistit harmonizovanou důkladnou ochranu citlivých údajů a</w:t>
            </w:r>
            <w:r>
              <w:t xml:space="preserve"> technologií </w:t>
            </w:r>
            <w:r>
              <w:rPr>
                <w:b/>
                <w:i/>
              </w:rPr>
              <w:t>před zahraničním vměšováním a hybridními hrozbami a případně umožnit odpovědné využívání výsledků výzkumu pro účely dvojího užití s cílem podpořit odolnost, obranné schopnosti a strategickou nezávislost Unie</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8</w:t>
            </w:r>
            <w:r>
              <w:t xml:space="preserve"> </w:t>
            </w:r>
            <w:r>
              <w:rPr>
                <w:b/>
                <w:i/>
              </w:rPr>
              <w:t>Přijaté texty:</w:t>
            </w:r>
            <w:r>
              <w:t xml:space="preserve"> </w:t>
            </w:r>
            <w:r>
              <w:rPr>
                <w:b/>
                <w:i/>
              </w:rPr>
              <w:t>P9_TA(2023)0244, bod 112. https://www.europarl.europa.eu/doceo/document/TA-9-2023-0244_CS.html,</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69 – podbod vii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vii)</w:t>
            </w:r>
            <w:r>
              <w:tab/>
            </w:r>
            <w:r>
              <w:t xml:space="preserve">zajistila, aby financování výzkumu ze strany Unie, včetně financování z programu Horizont Evropa a prostřednictvím dohod s partnery mimo EU, nepřispívalo k </w:t>
            </w:r>
            <w:r>
              <w:rPr>
                <w:b/>
                <w:i/>
              </w:rPr>
              <w:t>vývoji</w:t>
            </w:r>
            <w:r>
              <w:t xml:space="preserve"> spywaru nebo </w:t>
            </w:r>
            <w:r>
              <w:rPr>
                <w:b/>
                <w:i/>
              </w:rPr>
              <w:t>rovnocenných</w:t>
            </w:r>
            <w:r>
              <w:t xml:space="preserve"> technologií sledování narušujících soukromí v souladu s příslušnými doporučeními Parlamentu přijatými dne 15. června 2023</w:t>
            </w:r>
            <w:r>
              <w:rPr>
                <w:vertAlign w:val="superscript"/>
              </w:rPr>
              <w:t>8</w:t>
            </w:r>
            <w:r>
              <w:t>;</w:t>
            </w:r>
          </w:p>
        </w:tc>
        <w:tc>
          <w:tcPr>
            <w:tcW w:w="4876" w:type="dxa"/>
            <w:tcBorders>
              <w:top w:val="nil"/>
              <w:left w:val="nil"/>
              <w:bottom w:val="nil"/>
              <w:right w:val="nil"/>
            </w:tcBorders>
          </w:tcPr>
          <w:p>
            <w:pPr>
              <w:pStyle w:val="Normal6a"/>
            </w:pPr>
            <w:r>
              <w:t>vii)</w:t>
            </w:r>
            <w:r>
              <w:tab/>
            </w:r>
            <w:r>
              <w:t xml:space="preserve">zajistila, aby financování výzkumu ze strany Unie, včetně financování z programu Horizont Evropa a prostřednictvím dohod s partnery mimo EU, </w:t>
            </w:r>
            <w:r>
              <w:rPr>
                <w:b/>
                <w:i/>
              </w:rPr>
              <w:t>bylo poskytováno v souladu s hodnotami Unie a </w:t>
            </w:r>
            <w:r>
              <w:t xml:space="preserve">nepřispívalo k </w:t>
            </w:r>
            <w:r>
              <w:rPr>
                <w:b/>
                <w:i/>
              </w:rPr>
              <w:t>podpoře</w:t>
            </w:r>
            <w:r>
              <w:t xml:space="preserve"> spywaru nebo technologií sledování narušujících soukromí v souladu s příslušnými doporučeními Parlamentu přijatými dne 15. června 2023</w:t>
            </w:r>
            <w:r>
              <w:rPr>
                <w:vertAlign w:val="superscript"/>
              </w:rPr>
              <w:t>8</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Přijaté texty: P9_TA(2023)0244, bod 112. https://www.europarl.europa.eu/doceo/document/TA-9-2023-0244_CS.html</w:t>
            </w:r>
            <w:r>
              <w:rPr>
                <w:b/>
                <w:i/>
              </w:rPr>
              <w:t>,</w:t>
            </w:r>
          </w:p>
        </w:tc>
        <w:tc>
          <w:tcPr>
            <w:tcW w:w="4876" w:type="dxa"/>
            <w:tcBorders>
              <w:top w:val="nil"/>
              <w:left w:val="nil"/>
              <w:bottom w:val="nil"/>
              <w:right w:val="nil"/>
            </w:tcBorders>
          </w:tcPr>
          <w:p>
            <w:pPr>
              <w:pStyle w:val="Normal6a"/>
            </w:pPr>
            <w:r>
              <w:rPr>
                <w:vertAlign w:val="superscript"/>
              </w:rPr>
              <w:t>8</w:t>
            </w:r>
            <w:r>
              <w:t xml:space="preserve"> </w:t>
            </w:r>
            <w:r>
              <w:t>Přijaté texty: P9_TA(2023)0244, bod 112. https://www.europarl.europa.eu/doceo/document/TA-9-2023-0244_CS.html</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70.</w:t>
            </w:r>
            <w:r>
              <w:tab/>
            </w:r>
            <w:r>
              <w:t>konstatuje, že rozpočet na programy v rámci okruhu 2 VFR „Soudržnost, odolnost a hodnoty“ činil 61,4 miliardy EUR (32,1 % rozpočtu Unie) a byl rozdělen takto: 47,7 % pro Evropský fond pro regionální rozvoj (EFRR) a další regionální operace, 16,4 % pro Evropský sociální fond (ESF), 6,7 % pro Fond soudržnosti (FS), 6,6 % pro Erasmus+, 2,2 % pro CEF Doprava, 3,6 % pro Nástroj EU na podporu oživení a 3,1 % pro ostatní programy;</w:t>
            </w:r>
          </w:p>
        </w:tc>
        <w:tc>
          <w:tcPr>
            <w:tcW w:w="4876" w:type="dxa"/>
            <w:tcBorders>
              <w:top w:val="nil"/>
              <w:left w:val="nil"/>
              <w:bottom w:val="nil"/>
              <w:right w:val="nil"/>
            </w:tcBorders>
          </w:tcPr>
          <w:p>
            <w:pPr>
              <w:pStyle w:val="Normal6a"/>
            </w:pPr>
            <w:r>
              <w:t>70.</w:t>
            </w:r>
            <w:r>
              <w:tab/>
            </w:r>
            <w:r>
              <w:rPr>
                <w:b/>
                <w:i/>
              </w:rPr>
              <w:t>poukazuje na úlohu politiky soudržnosti Unie při snižování hospodářských, sociálních a územních rozdílů v rámci EU, jak je stanoveno ve Smlouvách, a při podpoře uplatňování evropského pilíře sociálních práv;</w:t>
            </w:r>
            <w:r>
              <w:t xml:space="preserve"> </w:t>
            </w:r>
            <w:r>
              <w:rPr>
                <w:b/>
                <w:i/>
              </w:rPr>
              <w:t>trvá na tom, aby byla ve víceletém finančním rámci na období po roce 2027 i nadále podporována soudržnost v souladu se zásadami partnerství a víceúrovňové správy a se zapojením místních a regionálních orgánů a příslušných zúčastněných stran;</w:t>
            </w:r>
            <w:r>
              <w:t xml:space="preserve"> konstatuje, že rozpočet na programy v rámci okruhu 2 VFR „Soudržnost, odolnost a hodnoty“ činil 61,4 miliardy EUR (32,1 % rozpočtu Unie) a byl rozdělen takto: 47,7 % pro Evropský fond pro regionální rozvoj (EFRR) a další regionální operace, 16,4 % pro Evropský sociální fond (ESF), 6,7 % pro Fond soudržnosti (FS), 6,6 % pro Erasmus+, 2,2 % pro CEF Doprava, 3,6 % pro Nástroj EU na podporu oživení a 3,1 % pro ostatní programy;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Şerban Dimitrie Sturdza, 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77.</w:t>
            </w:r>
            <w:r>
              <w:tab/>
            </w:r>
            <w:r>
              <w:t>konstatuje, že Účetní dvůr ve svém přezkumu 04/2025 „Budoucnost politiky soudržnosti EU: Poučení z minulosti“ připomněl dlouhodobý problém související se složitostí právního rámce a skutečnost, že navzdory snahám o zjednodušení pravidel a postupů složitost unijní regulace a souběh vnitrostátních a regionálních požadavků nadále představují značnou administrativní zátěž a přispívají k vysoké míře chyb; konstatuje, že ačkoli bylo zavedeno zjednodušené vykazování nákladů, které má snížit oznamovací povinnosti, jejich využití zůstává omezené, zejména u EFRR; zdůrazňuje, že přetrvávající nedostatky v řídících a kontrolních systémech členských států musí být odstraněny před zavedením jakéhokoli budoucího modelu výdajů v rámci příštího VFR, který zvyšuje závislost na vnitrostátních kontrolách;</w:t>
            </w:r>
          </w:p>
        </w:tc>
        <w:tc>
          <w:tcPr>
            <w:tcW w:w="4876" w:type="dxa"/>
            <w:tcBorders>
              <w:top w:val="nil"/>
              <w:left w:val="nil"/>
              <w:bottom w:val="nil"/>
              <w:right w:val="nil"/>
            </w:tcBorders>
          </w:tcPr>
          <w:p>
            <w:pPr>
              <w:pStyle w:val="Normal6a"/>
            </w:pPr>
            <w:r>
              <w:t>77.</w:t>
            </w:r>
            <w:r>
              <w:tab/>
            </w:r>
            <w:r>
              <w:t xml:space="preserve">konstatuje, že Účetní dvůr ve svém přezkumu 04/2025 „Budoucnost politiky soudržnosti EU: Poučení z minulosti“ připomněl dlouhodobý problém související se složitostí právního rámce a skutečnost, že navzdory snahám o zjednodušení pravidel a postupů složitost unijní regulace a souběh vnitrostátních a regionálních požadavků nadále představují značnou administrativní zátěž a přispívají k vysoké míře chyb; </w:t>
            </w:r>
            <w:r>
              <w:rPr>
                <w:b/>
                <w:i/>
              </w:rPr>
              <w:t>připomíná však, že politika soudržnosti hrála v posledních desetiletích důležitou úlohu při snižování hospodářských, sociálních a územních rozdílů mezi regiony, podporovala strukturální reformy, konkurenceschopnost a investice a přispívala ke konvergenci a stabilitě v celé Unii, čímž evropským daňovým poplatníkům ukázala, že výdaje vynaložené na zajištění soudržnosti mají svůj přínos;</w:t>
            </w:r>
            <w:r>
              <w:t xml:space="preserve"> konstatuje, že ačkoli bylo zavedeno zjednodušené vykazování nákladů, které má snížit oznamovací povinnosti, jejich využití zůstává omezené, zejména u EFRR; zdůrazňuje, že přetrvávající nedostatky v řídících a kontrolních systémech členských států musí být odstraněny před zavedením jakéhokoli budoucího modelu výdajů v rámci příštího VFR, který zvyšuje závislost na vnitrostátních kontrolách</w:t>
            </w:r>
            <w:r>
              <w:rPr>
                <w:b/>
                <w:i/>
              </w:rPr>
              <w:t>, tak aby bylo zajištěno, že politika soudržnosti přináší i nadále měřitelné výsledky, je účelná a z hlediska peněz daňových poplatníků účinná</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Eero Heinäluoma,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77.</w:t>
            </w:r>
            <w:r>
              <w:tab/>
            </w:r>
            <w:r>
              <w:t>konstatuje, že Účetní dvůr ve svém přezkumu 04/2025 „Budoucnost politiky soudržnosti EU: Poučení z minulosti“ připomněl dlouhodobý problém související se složitostí právního rámce a skutečnost, že navzdory snahám o zjednodušení pravidel a postupů složitost unijní regulace a souběh vnitrostátních a regionálních požadavků nadále představují značnou administrativní zátěž a přispívají k vysoké míře chyb; konstatuje, že ačkoli bylo zavedeno zjednodušené vykazování nákladů, které má snížit oznamovací povinnosti, jejich využití zůstává omezené, zejména u EFRR; zdůrazňuje, že přetrvávající nedostatky v řídících a kontrolních systémech členských států musí být odstraněny před zavedením jakéhokoli budoucího modelu výdajů v rámci příštího VFR, který zvyšuje závislost na vnitrostátních kontrolách;</w:t>
            </w:r>
          </w:p>
        </w:tc>
        <w:tc>
          <w:tcPr>
            <w:tcW w:w="4876" w:type="dxa"/>
            <w:tcBorders>
              <w:top w:val="nil"/>
              <w:left w:val="nil"/>
              <w:bottom w:val="nil"/>
              <w:right w:val="nil"/>
            </w:tcBorders>
          </w:tcPr>
          <w:p>
            <w:pPr>
              <w:pStyle w:val="Normal6a"/>
            </w:pPr>
            <w:r>
              <w:t>77.</w:t>
            </w:r>
            <w:r>
              <w:tab/>
            </w:r>
            <w:r>
              <w:t xml:space="preserve">konstatuje, že Účetní dvůr ve svém přezkumu 04/2025 „Budoucnost politiky soudržnosti EU: Poučení z minulosti“ připomněl dlouhodobý problém související se složitostí právního rámce a skutečnost, že navzdory snahám o zjednodušení pravidel a postupů složitost unijní regulace a souběh vnitrostátních a regionálních požadavků nadále představují značnou administrativní zátěž a přispívají k vysoké míře chyb; konstatuje, že ačkoli bylo zavedeno zjednodušené vykazování nákladů, které má snížit oznamovací povinnosti, jejich využití zůstává omezené, zejména u EFRR; zdůrazňuje, že přetrvávající nedostatky v řídících a kontrolních systémech členských států musí být odstraněny před zavedením jakéhokoli budoucího modelu výdajů v rámci příštího VFR, který zvyšuje závislost na vnitrostátních kontrolách; </w:t>
            </w:r>
            <w:r>
              <w:rPr>
                <w:b/>
                <w:i/>
              </w:rPr>
              <w:t>poukazuje na to, že před jeho zavedením je nutné definovat jasné a závazné úkoly Komise a členských států v oblasti dohledu a kontroly; domnívá se, že Komise by se neměla spoléhat pouze na kontrolní systémy členských států, ale měla by definovat podobné minimální požadavky a mechanismy ověřování jako v případě sdíleného řízení, aby se zabránilo veškerému porušování předpisů členských států a EU, jak požaduje Účetní dvůr;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77a.</w:t>
            </w:r>
            <w:r>
              <w:tab/>
            </w:r>
            <w:r>
              <w:rPr>
                <w:b/>
                <w:i/>
              </w:rPr>
              <w:t>vzhledem k nedostatkům v řídicích a kontrolních systémech členských států a nedostatkům ve vlastní auditní činnosti Komise podporuje výsledky hodnocení Účetního dvora, že míra chyb odhadovaná Komisí ve výroční zprávě o řízení a výkonnosti za rok 2024 a ve výroční zprávě o činnosti za rok 2024 není spolehlivá;</w:t>
            </w:r>
            <w:r>
              <w:t xml:space="preserve"> </w:t>
            </w:r>
            <w:r>
              <w:rPr>
                <w:b/>
                <w:i/>
              </w:rPr>
              <w:t>připomíná, že míra chyb, kterou uvádí Účetní dvůr, zahrnuje zejména chyby, které členské státy a Komise neodhalily, a prokazuje, že míra chyb, kterou uvádí Komise, je podhodnocena;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77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77b.</w:t>
            </w:r>
            <w:r>
              <w:tab/>
            </w:r>
            <w:r>
              <w:rPr>
                <w:b/>
                <w:i/>
              </w:rPr>
              <w:t>připomíná, že v rámci sdíleného řízení je povinností Komise ujistit se, že členské státy zavedly systémy řízení a kontroly, které během realizace programů účinně fungují;</w:t>
            </w:r>
            <w:r>
              <w:t xml:space="preserve"> </w:t>
            </w:r>
            <w:r>
              <w:rPr>
                <w:b/>
                <w:i/>
              </w:rPr>
              <w:t>je znepokojen tím, že Komise i Účetní dvůr zjistily, že ne všechny řídicí a kontrolní systémy členských států fungují účinně, což má negativní vliv na spolehlivost míry chyb, kterou uvádí Komise, protože ta se spoléhá na tyto neúčinně fungující vnitrostátní systémy;</w:t>
            </w:r>
            <w:r>
              <w:t xml:space="preserve"> </w:t>
            </w:r>
            <w:r>
              <w:rPr>
                <w:b/>
                <w:i/>
              </w:rPr>
              <w:t>táže se, zda je vhodné, aby se Komise i nadále spoléhala na vnitrostátní systémy;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79.</w:t>
            </w:r>
            <w:r>
              <w:tab/>
            </w:r>
            <w:r>
              <w:rPr>
                <w:b/>
                <w:i/>
              </w:rPr>
              <w:t>bere na vědomí, že orgán příslušný k udělení absolutoria zvažuje zavedení přijatelné míry chyb v politice soudržnosti, při jejímž překročení by bylo každoroční udělení absolutoria odloženo;</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79.</w:t>
            </w:r>
            <w:r>
              <w:tab/>
            </w:r>
            <w:r>
              <w:rPr>
                <w:b/>
                <w:i/>
              </w:rPr>
              <w:t>bere na vědomí, že orgán příslušný k udělení absolutoria zvažuje zavedení přijatelné míry chyb v politice soudržnosti, při jejímž překročení by bylo každoroční udělení absolutoria odloženo;</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81.</w:t>
            </w:r>
            <w:r>
              <w:tab/>
            </w:r>
            <w:r>
              <w:t xml:space="preserve">připomíná, že v návaznosti na žádost o přístup k dokumentům související s udělením absolutoria, která se týkala smluv s 30 hospodářskými subjekty, musela Komise kvůli omezením ve svých interních datových systémech provést rozsáhlou identifikaci náročnou na zdroje, jejímž výsledkem byla identifikace stovek subjektů s podobnými nebo souvisejícími názvy; oceňuje úsilí útvarů Komise o rychlou a transparentní reakci; dále připomíná, že od příštího VFR bude Komise povinna využívat údaje uložené v nástroji pro vytěžování dat a hodnocení rizik Arachne, ze kterého bude čerpat údaje centralizovaná transparentní internetová stránka, přičemž členské státy budou povinny zajistit automatizovaný přístup k příslušným údajům, což je povinnost, která bude platit od roku 2027 a na níž Komise již zahájila přípravné práce; </w:t>
            </w:r>
            <w:r>
              <w:rPr>
                <w:b/>
                <w:i/>
              </w:rPr>
              <w:t>zdůrazňuje však, že Komise by měla před zavedením</w:t>
            </w:r>
            <w:r>
              <w:t xml:space="preserve"> nového </w:t>
            </w:r>
            <w:r>
              <w:rPr>
                <w:b/>
                <w:i/>
              </w:rPr>
              <w:t>povinného systému posoudit, zda by nebylo možné zavést účinnější prozatímní řešení, která by umožnila rychlou a spolehlivou identifikaci smluvních vztahů s konkrétními hospodářskými subjekty, přinejmenším v rámci přímého a nepřímého řízení v případě, že to nezávisí na údajích od členských států</w:t>
            </w:r>
            <w:r>
              <w:t>;</w:t>
            </w:r>
          </w:p>
        </w:tc>
        <w:tc>
          <w:tcPr>
            <w:tcW w:w="4876" w:type="dxa"/>
            <w:tcBorders>
              <w:top w:val="nil"/>
              <w:left w:val="nil"/>
              <w:bottom w:val="nil"/>
              <w:right w:val="nil"/>
            </w:tcBorders>
          </w:tcPr>
          <w:p>
            <w:pPr>
              <w:pStyle w:val="Normal6a"/>
            </w:pPr>
            <w:r>
              <w:t>81.</w:t>
            </w:r>
            <w:r>
              <w:tab/>
            </w:r>
            <w:r>
              <w:t xml:space="preserve">připomíná, že v návaznosti na žádost o přístup k dokumentům související s udělením absolutoria, která se týkala smluv s 30 hospodářskými subjekty, musela Komise kvůli omezením ve svých interních datových systémech provést rozsáhlou identifikaci náročnou na zdroje, jejímž výsledkem byla identifikace stovek subjektů s podobnými nebo souvisejícími názvy; oceňuje úsilí útvarů Komise o rychlou a transparentní reakci; dále připomíná, že od příštího VFR bude Komise povinna využívat údaje uložené v nástroji pro vytěžování dat a hodnocení rizik Arachne, ze kterého bude čerpat údaje centralizovaná transparentní internetová stránka, přičemž členské státy budou povinny zajistit automatizovaný přístup k příslušným údajům, což je povinnost, která bude platit od roku 2027 a na níž Komise již zahájila přípravné práce; </w:t>
            </w:r>
            <w:r>
              <w:rPr>
                <w:b/>
                <w:i/>
              </w:rPr>
              <w:t>naléhavě vyzývá Komisi, aby zavedla interoperabilní systém, který by od začátku platnosti</w:t>
            </w:r>
            <w:r>
              <w:t xml:space="preserve"> nového </w:t>
            </w:r>
            <w:r>
              <w:rPr>
                <w:b/>
                <w:i/>
              </w:rPr>
              <w:t>VFR umožnil evropské sledování finančních prostředků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82.</w:t>
            </w:r>
            <w:r>
              <w:tab/>
            </w:r>
            <w:r>
              <w:t>konstatuje, že Účetní dvůr ve své zvláštní zprávě 24/2025 „Finanční nástroje v politice soudržnosti: Revolvingové použití finančních prostředků bylo realizováno částečně“ konstatoval, že ačkoli jednou z výhod finančních nástrojů v politice soudržnosti oproti grantům je, že vrácené prostředky mohou být opětovně použity na podporu dalších konečných příjemců, což vede k efektivnějšímu využívání veřejných financí, během období způsobilosti se použití prostředků vracených zpět do finančních nástrojů uskutečňuje pouze v omezené míře, částečně z přijatelných důvodů, jako je dlouhodobá povaha investic; poznamenává, že po uplynutí období způsobilosti se prostředky vracené zpět do finančních nástrojů obecně znovu používají pro účely soudržnosti, ale s omezeními; lituje, že právní rámec pro povinnost opětovného použití prostředků není dostatečně jasný a jednoznačný a že Komise nemá dostatečný dohled, což vede k rozdílným postupům řídicích orgánů členských států;</w:t>
            </w:r>
          </w:p>
        </w:tc>
        <w:tc>
          <w:tcPr>
            <w:tcW w:w="4876" w:type="dxa"/>
            <w:tcBorders>
              <w:top w:val="nil"/>
              <w:left w:val="nil"/>
              <w:bottom w:val="nil"/>
              <w:right w:val="nil"/>
            </w:tcBorders>
          </w:tcPr>
          <w:p>
            <w:pPr>
              <w:pStyle w:val="Normal6a"/>
            </w:pPr>
            <w:r>
              <w:t>82.</w:t>
            </w:r>
            <w:r>
              <w:tab/>
            </w:r>
            <w:r>
              <w:t xml:space="preserve">konstatuje, že Účetní dvůr ve své zvláštní zprávě 24/2025 „Finanční nástroje v politice soudržnosti: Revolvingové použití finančních prostředků bylo realizováno částečně“ konstatoval, že ačkoli jednou z výhod finančních nástrojů v politice soudržnosti oproti grantům je, že vrácené prostředky mohou být opětovně použity na podporu dalších konečných příjemců, což vede k efektivnějšímu využívání veřejných financí, během období způsobilosti se použití prostředků vracených zpět do finančních nástrojů uskutečňuje pouze v omezené míře, částečně z přijatelných důvodů, jako je dlouhodobá povaha investic; poznamenává, že po uplynutí období způsobilosti se prostředky vracené zpět do finančních nástrojů obecně znovu používají pro účely soudržnosti, ale s omezeními;lituje, že právní rámec pro povinnost opětovného použití prostředků není dostatečně jasný a jednoznačný a že Komise nemá dostatečný dohled, což vede k rozdílným postupům řídicích orgánů členských států; </w:t>
            </w:r>
            <w:r>
              <w:rPr>
                <w:b/>
                <w:i/>
              </w:rPr>
              <w:t>vyzývá Komisi, aby dále posílila pokyny, koordinaci a monitorování s cílem zajistit větší právní jistotu a účinnější opětovné použití prostředků získaných z dřívějších operací ve všech členských státech, aby se maximalizoval dlouhodobý dopad financování soudržnosti na příjemce a daňové poplatníky;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82a.</w:t>
            </w:r>
            <w:r>
              <w:tab/>
            </w:r>
            <w:r>
              <w:rPr>
                <w:b/>
                <w:i/>
              </w:rPr>
              <w:t>je znepokojen zjištěním Účetního dvora, že řídicí orgány upřednostňují rychlé vynakládání původních přídělů, aby se zabránilo ztrátě finančních prostředků EU, spíše než aby se zaměřovaly na kvalitu výdajů a opětovné použití vrácených finančních prostředků;</w:t>
            </w:r>
            <w:r>
              <w:t xml:space="preserve"> </w:t>
            </w:r>
            <w:r>
              <w:rPr>
                <w:b/>
                <w:i/>
              </w:rPr>
              <w:t>konstatuje, že Účetní dvůr potvrdil, že Komise nemonitoruje, neověřuje ani neaudituje skutečné využívání starších finančních prostředků z finančních nástrojů a že auditní dokumentace týkající se povinnosti opětovného použití byla omezená a zahrnovala pouze 3 % celkového počtu finančních nástrojů;</w:t>
            </w:r>
            <w:r>
              <w:t xml:space="preserve"> </w:t>
            </w:r>
            <w:r>
              <w:rPr>
                <w:b/>
                <w:i/>
              </w:rPr>
              <w:t>zdůrazňuje, že bez řádného dohledu ze strany Komise nejsou členské státy dostatečně motivovány k tomu, aby upřednostňovaly opětovné použití prostředků získaných z dřívějších operací před čerpáním nových přídělů;</w:t>
            </w:r>
            <w:r>
              <w:t xml:space="preserve"> </w:t>
            </w:r>
            <w:r>
              <w:rPr>
                <w:b/>
                <w:i/>
              </w:rPr>
              <w:t>vyzývá Komisi, aby zavedla strukturální osvědčené postupy pro opětovné použití prostředků získaných z dřívějších operací a aby orgán příslušný k udělení absolutoria pravidelně informovala o jejich provádění;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83.</w:t>
            </w:r>
            <w:r>
              <w:tab/>
            </w:r>
            <w:r>
              <w:t>je znepokojen připomínkami Účetního dvora, že čerpání fondů politiky soudržnosti (EFRR, FS, ESF+), které představují více než 90 % prostředků v rámci sdíleného řízení podle nařízení o společných ustanoveních na období 2021–2027, zůstává nízké; zdůrazňuje, že když Účetní dvůr porovnal jejich provádění (předběžné financování a průběžné platby) s předchozím programovým obdobím, celková míra čerpání těchto tří fondů byla na konci roku 2024 pouze 5 % oproti 14 % v odpovídajícím okamžiku předchozího VFR (konec roku 2017); se znepokojením konstatuje, že jelikož konec období způsobilosti souvisejících výdajů</w:t>
            </w:r>
            <w:r>
              <w:rPr>
                <w:vertAlign w:val="superscript"/>
              </w:rPr>
              <w:t>9</w:t>
            </w:r>
            <w:r>
              <w:t>a lhůta pro výplatu konečného zůstatku jsou pro VFR na období 2021–2027 stanoveny o jeden rok dříve než v předchozím programovém období, tlak na čerpání finančních prostředků Unie se ještě zvýší;</w:t>
            </w:r>
          </w:p>
        </w:tc>
        <w:tc>
          <w:tcPr>
            <w:tcW w:w="4876" w:type="dxa"/>
            <w:tcBorders>
              <w:top w:val="nil"/>
              <w:left w:val="nil"/>
              <w:bottom w:val="nil"/>
              <w:right w:val="nil"/>
            </w:tcBorders>
          </w:tcPr>
          <w:p>
            <w:pPr>
              <w:pStyle w:val="Normal6a"/>
            </w:pPr>
            <w:r>
              <w:t>83.</w:t>
            </w:r>
            <w:r>
              <w:tab/>
            </w:r>
            <w:r>
              <w:t xml:space="preserve">je znepokojen připomínkami Účetního dvora, že čerpání fondů politiky soudržnosti (EFRR, FS, ESF+), které představují více než 90 % prostředků v rámci sdíleného řízení podle nařízení o společných ustanoveních na období 2021–2027, zůstává nízké; zdůrazňuje, že když Účetní dvůr porovnal jejich provádění (předběžné financování a průběžné platby) s předchozím programovým obdobím, celková míra čerpání těchto tří fondů byla na konci roku 2024 pouze 5 % oproti 14 % v odpovídajícím okamžiku předchozího VFR (konec roku 2017); </w:t>
            </w:r>
            <w:r>
              <w:rPr>
                <w:b/>
                <w:i/>
              </w:rPr>
              <w:t>zdůrazňuje, že současné programové období bylo prováděno ve výjimečně náročném kontextu poznamenaném po sobě jdoucími krizemi, inflačními tlaky, narušeními dodavatelského řetězce a vyvíjejícími se geopolitickými a hospodářskými podmínkami, které ovlivnily tempo provádění v mnoha členských státech;</w:t>
            </w:r>
            <w:r>
              <w:t xml:space="preserve"> se znepokojením konstatuje, že jelikož konec období způsobilosti souvisejících výdajů</w:t>
            </w:r>
            <w:r>
              <w:rPr>
                <w:vertAlign w:val="superscript"/>
              </w:rPr>
              <w:t>9</w:t>
            </w:r>
            <w:r>
              <w:t xml:space="preserve"> a lhůta pro výplatu konečného zůstatku jsou pro VFR na období 2021–2027 stanoveny o jeden rok dříve než v předchozím programovém období, tlak na čerpání finančních prostředků Unie se ještě zvýší; </w:t>
            </w:r>
            <w:r>
              <w:rPr>
                <w:b/>
                <w:i/>
              </w:rPr>
              <w:t>vyzývá Komisi, aby úzce spolupracovala s členskými státy, zejména s těmi, které čelí strukturálním nebo kapacitním omezením, a poskytla jim technickou pomoc, zjednodušení administrativy a dostatečnou flexibilitu při provádění s cílem zajistit plné a účinné čerpání fondů soudržnosti a maximalizovat jejich dopad na hospodářskou konvergenci a regionální rozvoj;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9</w:t>
            </w:r>
            <w:r>
              <w:t xml:space="preserve"> </w:t>
            </w:r>
            <w:r>
              <w:t>Čl. 63 odst. 2 nařízení (EU) 2021/1060.</w:t>
            </w:r>
          </w:p>
        </w:tc>
        <w:tc>
          <w:tcPr>
            <w:tcW w:w="4876" w:type="dxa"/>
            <w:tcBorders>
              <w:top w:val="nil"/>
              <w:left w:val="nil"/>
              <w:bottom w:val="nil"/>
              <w:right w:val="nil"/>
            </w:tcBorders>
          </w:tcPr>
          <w:p>
            <w:pPr>
              <w:pStyle w:val="Normal6a"/>
            </w:pPr>
            <w:r>
              <w:rPr>
                <w:vertAlign w:val="superscript"/>
              </w:rPr>
              <w:t>9</w:t>
            </w:r>
            <w:r>
              <w:t xml:space="preserve"> </w:t>
            </w:r>
            <w:r>
              <w:t>Čl. 63 odst. 2 nařízení (EU) 2021/1060.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83.</w:t>
            </w:r>
            <w:r>
              <w:tab/>
            </w:r>
            <w:r>
              <w:t xml:space="preserve">je znepokojen připomínkami Účetního dvora, že čerpání fondů politiky soudržnosti (EFRR, FS, ESF+), které představují více než 90 % prostředků v rámci sdíleného řízení podle nařízení o společných ustanoveních na období 2021–2027, zůstává nízké; </w:t>
            </w:r>
            <w:r>
              <w:rPr>
                <w:b/>
                <w:i/>
              </w:rPr>
              <w:t>zdůrazňuje</w:t>
            </w:r>
            <w:r>
              <w:t>, že když Účetní dvůr porovnal jejich provádění (předběžné financování a průběžné platby) s předchozím programovým obdobím, celková míra čerpání těchto tří fondů byla na konci roku 2024 pouze 5 % oproti 14 % v odpovídajícím okamžiku předchozího VFR (konec roku 2017); se znepokojením konstatuje, že jelikož konec období způsobilosti souvisejících výdajů</w:t>
            </w:r>
            <w:r>
              <w:rPr>
                <w:vertAlign w:val="superscript"/>
              </w:rPr>
              <w:t>9</w:t>
            </w:r>
            <w:r>
              <w:t>a lhůta pro výplatu konečného zůstatku jsou pro VFR na období 2021–2027 stanoveny o jeden rok dříve než v předchozím programovém období, tlak na čerpání finančních prostředků Unie se ještě zvýší;</w:t>
            </w:r>
          </w:p>
        </w:tc>
        <w:tc>
          <w:tcPr>
            <w:tcW w:w="4876" w:type="dxa"/>
            <w:tcBorders>
              <w:top w:val="nil"/>
              <w:left w:val="nil"/>
              <w:bottom w:val="nil"/>
              <w:right w:val="nil"/>
            </w:tcBorders>
          </w:tcPr>
          <w:p>
            <w:pPr>
              <w:pStyle w:val="Normal6a"/>
            </w:pPr>
            <w:r>
              <w:t>83.</w:t>
            </w:r>
            <w:r>
              <w:tab/>
            </w:r>
            <w:r>
              <w:t xml:space="preserve">je znepokojen připomínkami Účetního dvora, že čerpání fondů politiky soudržnosti (EFRR, FS, ESF+), které představují více než 90 % prostředků v rámci sdíleného řízení podle nařízení o společných ustanoveních na období 2021–2027, zůstává nízké; </w:t>
            </w:r>
            <w:r>
              <w:rPr>
                <w:b/>
                <w:i/>
              </w:rPr>
              <w:t>konstatuje</w:t>
            </w:r>
            <w:r>
              <w:t xml:space="preserve">, že když Účetní dvůr porovnal jejich provádění (předběžné financování a průběžné platby) s předchozím programovým obdobím, celková míra čerpání těchto tří fondů byla na konci roku 2024 pouze 5 % oproti 14 % v odpovídajícím okamžiku předchozího VFR (konec roku 2017); </w:t>
            </w:r>
            <w:r>
              <w:rPr>
                <w:b/>
                <w:i/>
              </w:rPr>
              <w:t>zároveň bere na vědomí, že programy na období 2021–2027 byly přijaty o sedm měsíců později než programy v programovém období 2014–2020 a že míry předběžného financování v rámci programů na období 2014–2020 byly vyšší a zúčtovány v jiném okamžiku než v rámci stávajícího VFR;</w:t>
            </w:r>
            <w:r>
              <w:t xml:space="preserve"> </w:t>
            </w:r>
            <w:r>
              <w:rPr>
                <w:b/>
                <w:i/>
              </w:rPr>
              <w:t>v této souvislosti konstatuje, že míra čerpání ve srovnatelné fázi provádění činila na konci června 2017 u Evropského fondu pro regionální rozvoj (EFRR), Fondu soudržnosti (FS) a Evropského sociálního fondu plus (ESF+) 3,49 %, což je srovnatelné s mírou na konci roku 2024;</w:t>
            </w:r>
            <w:r>
              <w:t xml:space="preserve"> se znepokojením konstatuje, že jelikož konec období způsobilosti souvisejících výdajů</w:t>
            </w:r>
            <w:r>
              <w:rPr>
                <w:vertAlign w:val="superscript"/>
              </w:rPr>
              <w:t>9</w:t>
            </w:r>
            <w:r>
              <w:t xml:space="preserve"> a lhůta pro výplatu konečného zůstatku jsou pro VFR na období 2021–2027 stanoveny o jeden rok dříve než v předchozím programovém období, tlak na čerpání finančních prostředků Unie se ještě zvýší;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9</w:t>
            </w:r>
            <w:r>
              <w:t xml:space="preserve"> </w:t>
            </w:r>
            <w:r>
              <w:t>Čl. 63 odst. 2 nařízení (EU) 2021/1060.</w:t>
            </w:r>
          </w:p>
        </w:tc>
        <w:tc>
          <w:tcPr>
            <w:tcW w:w="4876" w:type="dxa"/>
            <w:tcBorders>
              <w:top w:val="nil"/>
              <w:left w:val="nil"/>
              <w:bottom w:val="nil"/>
              <w:right w:val="nil"/>
            </w:tcBorders>
          </w:tcPr>
          <w:p>
            <w:pPr>
              <w:pStyle w:val="Normal6a"/>
            </w:pPr>
            <w:r>
              <w:rPr>
                <w:vertAlign w:val="superscript"/>
              </w:rPr>
              <w:t>9</w:t>
            </w:r>
            <w:r>
              <w:t xml:space="preserve"> </w:t>
            </w:r>
            <w:r>
              <w:t>Čl. 63 odst. 2 nařízení (EU) 2021/1060.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83a.</w:t>
            </w:r>
            <w:r>
              <w:tab/>
            </w:r>
            <w:r>
              <w:rPr>
                <w:b/>
                <w:i/>
              </w:rPr>
              <w:t>připomíná, že v roce 2024 vstoupilo v platnost několik změn rámce politiky soudržnosti, konkrétně STEP a RESTORE;</w:t>
            </w:r>
            <w:r>
              <w:t xml:space="preserve"> </w:t>
            </w:r>
            <w:r>
              <w:rPr>
                <w:b/>
                <w:i/>
              </w:rPr>
              <w:t>zdůrazňuje význam těchto nástrojů pro posílení konkurenceschopnosti EU a řešení důsledků přírodních katastrof;</w:t>
            </w:r>
            <w:r>
              <w:t xml:space="preserve"> </w:t>
            </w:r>
            <w:r>
              <w:rPr>
                <w:b/>
                <w:i/>
              </w:rPr>
              <w:t>opakuje však, že neustálé změny rámce politiky soudržnosti vedou k právní nejistotě a nestabilitě a hrozí ohrožením dlouhodobých strukturálních cílů politiky soudržnosti, kterými je snižování rozdílů v celé EU;</w:t>
            </w:r>
            <w:r>
              <w:t xml:space="preserve"> </w:t>
            </w:r>
            <w:r>
              <w:rPr>
                <w:b/>
                <w:i/>
              </w:rPr>
              <w:t>zdůrazňuje, že politika soudržnosti potřebuje stabilní regulační rámec, aby byla pro příjemce předvídatelná;</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83b.</w:t>
            </w:r>
            <w:r>
              <w:tab/>
            </w:r>
            <w:r>
              <w:rPr>
                <w:b/>
                <w:i/>
              </w:rPr>
              <w:t>znovu vyjadřuje hluboké znepokojení nad nepřiměřeným dopadem, který má ruská útočná válka proti Ukrajině i nadále na východní regiony Unie sousedící s Ruskem a/nebo Běloruskem;</w:t>
            </w:r>
            <w:r>
              <w:t xml:space="preserve"> </w:t>
            </w:r>
            <w:r>
              <w:rPr>
                <w:b/>
                <w:i/>
              </w:rPr>
              <w:t>upozorňuje na náklady, které tyto regiony nesou v důsledku společné hranice s nepřátelskými sousedními zeměmi, zejména na to, že příslušné členské státy musí směřovat veřejné prostředky do bezpečnosti, obrany a připravenosti, přičemž se potýkají s dramatickým snížením zdrojů v důsledku narušení hospodářských činností, přeshraničního obchodu a dalších výměn;</w:t>
            </w:r>
            <w:r>
              <w:t xml:space="preserve"> </w:t>
            </w:r>
            <w:r>
              <w:rPr>
                <w:b/>
                <w:i/>
              </w:rPr>
              <w:t>dále je znepokojen ztrátou finanční podpory EU, kterou utrpěly některé příhraniční regiony v důsledku změn fondů soudržnosti v rámci stávajícího programového období, zejména fondů EFRR původně určených na přeshraniční spolupráci s Ruskem a Běloruskem a finančních prostředků přerozdělených v souvislosti s přezkumem soudržnosti v polovině období v roce 2025;</w:t>
            </w:r>
            <w:r>
              <w:t xml:space="preserve"> </w:t>
            </w:r>
            <w:r>
              <w:rPr>
                <w:b/>
                <w:i/>
              </w:rPr>
              <w:t>vyzývá Komisi, aby provedla následné hodnocení finančního dopadu těchto změn na východní příhraniční regiony, které by se zabývalo tím, do jaké míry v nich finanční prostředky Unie původně určené pro regiony, které mají společnou hranici s Ruskem a/nebo Běloruskem, nakonec zůstaly nebo naopak směřovaly jinam, a aby své hodnocení sdílela s orgánem příslušným k udělení absolutoria;</w:t>
            </w:r>
            <w:r>
              <w:t xml:space="preserve"> </w:t>
            </w:r>
            <w:r>
              <w:rPr>
                <w:b/>
                <w:i/>
              </w:rPr>
              <w:t>dále vyzývá Komisi, aby urychleně navrhla cílenou finanční podporu pro východní příhraniční regiony s cílem čelit nepřiměřenému dopadu ruské útočné války, včetně nápravy případných finančních ztrát, které tyto regiony utrpěly v důsledku změn fondů politiky soudržnosti v současném programovém období;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83a.</w:t>
            </w:r>
            <w:r>
              <w:tab/>
            </w:r>
            <w:r>
              <w:rPr>
                <w:b/>
                <w:i/>
              </w:rPr>
              <w:t>zdůrazňuje, že územní soudržnost vyžaduje posílení místní hospodářské odolnosti prostřednictvím udržitelného cestovního ruchu, ochrany kulturních statků, zaměstnanosti mladých lidí a rozvoje odborných dovedností, včetně zelené obnovy, energetické účinnosti a služeb civilní ochrany;</w:t>
            </w:r>
            <w:r>
              <w:t xml:space="preserve"> </w:t>
            </w:r>
            <w:r>
              <w:rPr>
                <w:b/>
                <w:i/>
              </w:rPr>
              <w:t>zdůrazňuje, že ve venkovských a odlehlých oblastech je třeba zajistit přístup k základním službám, a vyzývá Komisi, aby posoudila, zda výdaje Unie účinně přispívají ke snížení tlaku vylidňování;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83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83d.</w:t>
            </w:r>
            <w:r>
              <w:tab/>
            </w:r>
            <w:r>
              <w:rPr>
                <w:b/>
                <w:i/>
              </w:rPr>
              <w:t>zdůrazňuje význam politiky soudržnosti Unie pro hospodářskou a územní konvergenci a rozvoj v regionech Unie, jakož i pro podporu provádění evropského pilíře sociálních 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83b.</w:t>
            </w:r>
            <w:r>
              <w:tab/>
            </w:r>
            <w:r>
              <w:rPr>
                <w:b/>
                <w:i/>
              </w:rPr>
              <w:t>zdůrazňuje, že některé regiony, včetně středomořských pobřežních a vnitrozemských území, jsou stále více vystaveny rizikům souvisejícím s klimatem, jako jsou bouře, povodně a eroze pobřeží;</w:t>
            </w:r>
            <w:r>
              <w:t xml:space="preserve"> </w:t>
            </w:r>
            <w:r>
              <w:rPr>
                <w:b/>
                <w:i/>
              </w:rPr>
              <w:t>zdůrazňuje, že preventivní a adaptační opatření jsou nákladově efektivnější než obnova po katastrofě;</w:t>
            </w:r>
            <w:r>
              <w:t xml:space="preserve"> </w:t>
            </w:r>
            <w:r>
              <w:rPr>
                <w:b/>
                <w:i/>
              </w:rPr>
              <w:t>vyzývá Komisi a členské státy, aby předem investovaly do prevence rizik, hydraulické bezpečnosti, stability svahů a přírodě blízkých řešení s cílem zajistit rychlé a měřitelné výsledky v oblasti odolnosti a zajistit účinnost výdajů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83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83c.</w:t>
            </w:r>
            <w:r>
              <w:tab/>
            </w:r>
            <w:r>
              <w:rPr>
                <w:b/>
                <w:i/>
              </w:rPr>
              <w:t>zdůrazňuje význam odolného plánování infrastruktury pro řešení strukturálních překážek ovlivňujících provádění politiky soudržnosti, včetně udržitelných přístavů, intermodální logistiky, železničního propojení a vodohospodářských systémů odolných vůči změně klimatu;</w:t>
            </w:r>
            <w:r>
              <w:t xml:space="preserve"> </w:t>
            </w:r>
            <w:r>
              <w:rPr>
                <w:b/>
                <w:i/>
              </w:rPr>
              <w:t>konstatuje, že regiony vystavené suchu a povodňovým rizikům vyžadují urychlené investice do vodohospodářské infrastruktury, snižování úniků, odolného zavlažování a inteligentního hospodaření s vodou s cílem posílit územní odolnost a snížit rizika provádění;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86a.</w:t>
            </w:r>
            <w:r>
              <w:tab/>
            </w:r>
            <w:r>
              <w:rPr>
                <w:b/>
                <w:i/>
              </w:rPr>
              <w:t>odmítá začlenění politických programů, jako je Zelená dohoda pro Evropu a tzv. woke ideologie, do finančního rámce EU a považuje je za vnucování neúspěšných levicových konceptů, které podkopávají hospodářský pragmatismus, sociální soudržnost a svrchovanost členských států;</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86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86b.</w:t>
            </w:r>
            <w:r>
              <w:tab/>
            </w:r>
            <w:r>
              <w:rPr>
                <w:b/>
                <w:i/>
              </w:rPr>
              <w:t>vyjadřuje znepokojení nad tisíci případy využívání konzultačních firem ročně, což představuje celkem stovky milionů eur, které nelze s jistotou vyčíslit, za služby, které nejsou podrobně popsány nebo nejsou uvedeny v systému finanční transparentnosti Komise;</w:t>
            </w:r>
            <w:r>
              <w:t xml:space="preserve"> </w:t>
            </w:r>
            <w:r>
              <w:rPr>
                <w:b/>
                <w:i/>
              </w:rPr>
              <w:t>připomíná případ McKinsey ve Francii a související podezření na střet zájmů;</w:t>
            </w:r>
            <w:r>
              <w:t xml:space="preserve"> </w:t>
            </w:r>
            <w:r>
              <w:rPr>
                <w:b/>
                <w:i/>
              </w:rPr>
              <w:t>obává se v této souvislosti odhalení nového skandálu;</w:t>
            </w:r>
            <w:r>
              <w:t xml:space="preserve"> </w:t>
            </w:r>
            <w:r>
              <w:rPr>
                <w:b/>
                <w:i/>
              </w:rPr>
              <w:t>všímá si například nejasného konzultačního úkolu v hodnotě 3,2 milionu EUR</w:t>
            </w:r>
            <w:r>
              <w:rPr>
                <w:b/>
                <w:i/>
                <w:vertAlign w:val="superscript"/>
              </w:rPr>
              <w:t>6b</w:t>
            </w:r>
            <w:r>
              <w:t xml:space="preserve"> </w:t>
            </w:r>
            <w:r>
              <w:rPr>
                <w:b/>
                <w:i/>
              </w:rPr>
              <w:t>zadaného společnosti PWC na „budování znalostí a výměnu zkušeností: podporu regionům při řešení rozdílů v talentech a zmírňování problémů souvisejících s poklesem počtu absolventů terciárního vzdělávání“; je znepokojen tím, že administrativní úkoly veřejného zájmu jsou svěřovány soukromým společnostem, jak dokazuje výběr nebo filtrování projektů Bauhaus pro příslušné orgány, které GŘ REGIO v roce 2026 svěřilo jiné firmě za 4 miliony eur[2]</w:t>
            </w:r>
            <w:r>
              <w:rPr>
                <w:b/>
                <w:i/>
                <w:vertAlign w:val="superscript"/>
              </w:rPr>
              <w:t>6a</w:t>
            </w:r>
            <w:r>
              <w:t xml:space="preserve"> </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6a</w:t>
            </w:r>
            <w:r>
              <w:t xml:space="preserve"> </w:t>
            </w:r>
            <w:r>
              <w:rPr>
                <w:b/>
                <w:i/>
              </w:rPr>
              <w:t>https://ted.europa.eu/cs/notice/-/detail/715301-2025</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6b</w:t>
            </w:r>
            <w:r>
              <w:t xml:space="preserve"> </w:t>
            </w:r>
            <w:r>
              <w:rPr>
                <w:b/>
                <w:i/>
              </w:rPr>
              <w:t>33 230 011,2 EUR podle údajů uvedených v systému pro finanční transparentnost (https://ec.europa.eu/budget/financial-transparency-system/index.html)</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87.</w:t>
            </w:r>
            <w:r>
              <w:tab/>
            </w:r>
            <w:r>
              <w:rPr>
                <w:b/>
                <w:i/>
              </w:rPr>
              <w:t>vyjadřuje hluboké znepokojení nad zjištěními uvedenými ve zprávě o právním státu za rok 2025, která se týkají situace v oblasti právního státu v Maďarsku, zejména přetrvávajících a systémových problémů v oblasti soudnictví a sdělovacích prostředků;</w:t>
            </w:r>
            <w:r>
              <w:t xml:space="preserve"> </w:t>
            </w:r>
            <w:r>
              <w:rPr>
                <w:b/>
                <w:i/>
              </w:rPr>
              <w:t>se znepokojením konstatuje, že se nezlepšila transparentnost přidělování případů u soudů nižších stupňů a že v rámci soudnictví přetrvává nepřiměřený tlak na některé soudce, zejména v souvislosti s interními diskusemi o klíčových otázkách souvisejících s nezávislostí soudců;</w:t>
            </w:r>
            <w:r>
              <w:t xml:space="preserve"> </w:t>
            </w:r>
            <w:r>
              <w:rPr>
                <w:b/>
                <w:i/>
              </w:rPr>
              <w:t>se znepokojením konstatuje, že provádění národní protikorupční strategie na období 2024–2025 zaostává, přičemž počet odsouzených za korupční trestné činy klesá, nebylo dosaženo žádného pokroku při vedení spolehlivých záznamů o korupci na vysoké úrovni a maďarský Úřad pro bezúhonnost neustále informuje o překážkách, jimž čelí při účinném plnění svých úkolů v oblasti dohledu;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87a.</w:t>
            </w:r>
            <w:r>
              <w:tab/>
            </w:r>
            <w:r>
              <w:rPr>
                <w:b/>
                <w:i/>
              </w:rPr>
              <w:t>je znepokojen represivní a protidemokratickou spirálou, v níž Komise útočí na vlády různých evropských zemí, které byly demokraticky zvoleny na základě programu, který tyto destruktivní ideologie odmítá;</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Eero Heinäluoma, Jens Geier, José Cepeda, 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87a.</w:t>
            </w:r>
            <w:r>
              <w:tab/>
            </w:r>
            <w:r>
              <w:rPr>
                <w:b/>
                <w:i/>
              </w:rPr>
              <w:t>znovu vyjadřuje vážné znepokojení nad rozhodnutím Komise ze dne 13. prosince 2023, v němž dospěla k závěru, že maďarská vláda splnila požadavky Listiny týkající se nezávislosti soudnictví, a zrušila pozastavení vyplácení finančních prostředků na související programy, v důsledku čehož Maďarsko získalo nárok na přibližně 10,2 miliardy EUR z různých fondů, na něž se vztahuje nařízení o společných ustanoveních;</w:t>
            </w:r>
            <w:r>
              <w:t xml:space="preserve"> </w:t>
            </w:r>
            <w:r>
              <w:rPr>
                <w:b/>
                <w:i/>
              </w:rPr>
              <w:t>připomíná, že dne 25. března 2024 podal Evropský parlament žalobu k Soudnímu dvoru s cílem přezkoumat zákonnost rozhodnutí Komise a poskytnout právní jistotu při uplatňování mechanismu právního státu;</w:t>
            </w:r>
            <w:r>
              <w:t xml:space="preserve"> </w:t>
            </w:r>
            <w:r>
              <w:rPr>
                <w:b/>
                <w:i/>
              </w:rPr>
              <w:t>konstatuje, že ačkoli rozsudek Soudního dvora EU dosud nebyl vynesen, generální advokát dne 12. února 2026 navrhl, aby Soudní dvůr zrušil rozhodnutí Komise o zrušení pozastavení vyplácení finančních prostředků Maďarsku;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88.</w:t>
            </w:r>
            <w:r>
              <w:tab/>
            </w:r>
            <w:r>
              <w:t xml:space="preserve">konstatuje, že z 20,9 miliardy EUR, které byly původně zablokovány podle nařízení o společných ustanoveních z důvodu obav týkajících se dodržování základních práv, zůstává v lednu 2026 maďarské vládě zablokováno pouze 8,6 miliardy EUR; dále konstatuje, že z částky 6,3 miliardy EUR původně blokované v rámci nařízení o podmíněnosti dodržováním zásad právního státu z důvodu obav o dodržování zásad právního státu a korupce byla na konci roku 2024 zrušena 1 miliarda EUR a na konci roku 2025 1,1 miliardy EUR; vyjadřuje hluboké znepokojení nad </w:t>
            </w:r>
            <w:r>
              <w:rPr>
                <w:b/>
                <w:i/>
              </w:rPr>
              <w:t>tím, že zatímco se v Maďarsku stále zhoršuje právní stát a korupce vzkvétá prostřednictvím zakořeněných oligarchických sítí, objem</w:t>
            </w:r>
            <w:r>
              <w:t xml:space="preserve"> finančních prostředků Unie, které zůstávají zmrazeny </w:t>
            </w:r>
            <w:r>
              <w:rPr>
                <w:b/>
                <w:i/>
              </w:rPr>
              <w:t>z důvodu obav týkajících se právního státu a korupce, se snižuje, a v důsledku toho se neustále snižuje tlak</w:t>
            </w:r>
            <w:r>
              <w:t xml:space="preserve"> Komise na maďarskou vládu</w:t>
            </w:r>
            <w:r>
              <w:rPr>
                <w:b/>
                <w:i/>
              </w:rPr>
              <w:t>, aby provedla reformy</w:t>
            </w:r>
            <w:r>
              <w:t>;</w:t>
            </w:r>
          </w:p>
        </w:tc>
        <w:tc>
          <w:tcPr>
            <w:tcW w:w="4876" w:type="dxa"/>
            <w:tcBorders>
              <w:top w:val="nil"/>
              <w:left w:val="nil"/>
              <w:bottom w:val="nil"/>
              <w:right w:val="nil"/>
            </w:tcBorders>
          </w:tcPr>
          <w:p>
            <w:pPr>
              <w:pStyle w:val="Normal6a"/>
            </w:pPr>
            <w:r>
              <w:t>88.</w:t>
            </w:r>
            <w:r>
              <w:tab/>
            </w:r>
            <w:r>
              <w:t xml:space="preserve">konstatuje, že z 20,9 miliardy EUR, které byly původně zablokovány podle nařízení o společných ustanoveních z důvodu obav týkajících se dodržování základních práv, zůstává v lednu 2026 maďarské vládě zablokováno pouze 8,6 miliardy EUR; dále konstatuje, že z částky 6,3 miliardy EUR původně blokované v rámci nařízení o podmíněnosti dodržováním zásad právního státu z důvodu obav o dodržování zásad právního státu a korupce byla na konci roku 2024 zrušena 1 miliarda EUR a na konci roku 2025 1,1 miliardy EUR; vyjadřuje hluboké znepokojení nad </w:t>
            </w:r>
            <w:r>
              <w:rPr>
                <w:b/>
                <w:i/>
              </w:rPr>
              <w:t>objemem</w:t>
            </w:r>
            <w:r>
              <w:t xml:space="preserve"> finančních prostředků Unie, které zůstávají zmrazeny</w:t>
            </w:r>
            <w:r>
              <w:rPr>
                <w:b/>
                <w:i/>
              </w:rPr>
              <w:t>, a nad tlakem, který</w:t>
            </w:r>
            <w:r>
              <w:t xml:space="preserve"> Komise </w:t>
            </w:r>
            <w:r>
              <w:rPr>
                <w:b/>
                <w:i/>
              </w:rPr>
              <w:t>vyvíjí</w:t>
            </w:r>
            <w:r>
              <w:t xml:space="preserve"> na maďarskou vládu;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88a.</w:t>
            </w:r>
            <w:r>
              <w:tab/>
            </w:r>
            <w:r>
              <w:rPr>
                <w:b/>
                <w:i/>
              </w:rPr>
              <w:t>vyzývá Komisi, aby okamžitě zrušila své diskriminační rozhodnutí o vyloučení maďarských univerzit, studentů, učitelů a výzkumných pracovníků z programů mobility Erasmus+;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Eero Heinäluoma, Jens Geier, José Cepeda, 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88a.</w:t>
            </w:r>
            <w:r>
              <w:tab/>
            </w:r>
            <w:r>
              <w:rPr>
                <w:b/>
                <w:i/>
              </w:rPr>
              <w:t>bere na vědomí žádost maďarské vlády ze dne 28. a 29. března 2025 o převod 545 milionů EUR ze dvou programů soudržnosti na nové priority v rámci Platformy strategických technologií pro Evropu (STEP), z toho 395 milionů EUR z finančních prostředků zmrazených z důvodu nesplnění horizontální základní podmínky podle Listiny základních práv;</w:t>
            </w:r>
            <w:r>
              <w:t xml:space="preserve"> </w:t>
            </w:r>
            <w:r>
              <w:rPr>
                <w:b/>
                <w:i/>
              </w:rPr>
              <w:t>vyjadřuje hluboké politování nad tím, že Komise dne 25. září 2025 schválila změny, které navzdory opětovnému zablokování úhrad za nové priority platformy STEP z důvodu nedodržení požadavků Listiny umožnily maďarské vládě přístup k předběžnému financování ve výši 317,3 milionu EUR;</w:t>
            </w:r>
            <w:r>
              <w:t xml:space="preserve"> </w:t>
            </w:r>
            <w:r>
              <w:rPr>
                <w:b/>
                <w:i/>
              </w:rPr>
              <w:t>znovu potvrzuje, že přerozdělení nebo přesunutí zmrazených prostředků na jiné programy nebo cíle by vládám, které nedodržují hodnoty Unie a své povinnosti chránit finanční zájmy Unie, naznačilo, že ztráty lze kompenzovat jinde;</w:t>
            </w:r>
            <w:r>
              <w:t xml:space="preserve"> </w:t>
            </w:r>
            <w:r>
              <w:rPr>
                <w:b/>
                <w:i/>
              </w:rPr>
              <w:t>připomíná svůj postoj, že finanční prostředky pozastavené na základě nařízení o podmíněnosti nebo z důvodu nesplnění horizontálních základních podmínek, by nemělo být možné použít v případě upravených programů nebo k převodu na jiné programy;</w:t>
            </w:r>
            <w:r>
              <w:t xml:space="preserve"> </w:t>
            </w:r>
            <w:r>
              <w:rPr>
                <w:b/>
                <w:i/>
              </w:rPr>
              <w:t>vyzývá proto Komisi, aby využila svého práva iniciativy a navrhla opatření k odstranění veškerých stávajících mezer v legislativním rámci Unie, které mohou vládám umožnit převádět finanční prostředky pozastavené z důvodu porušení jejich povinností v oblasti právního státu nebo Listiny základních práv, a aby zajistila, že veškeré budoucí nástroje financování budou chráněny před obcházením;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89.</w:t>
            </w:r>
            <w:r>
              <w:tab/>
            </w:r>
            <w:r>
              <w:rPr>
                <w:b/>
                <w:i/>
              </w:rPr>
              <w:t>konstatuje, že maďarský petrochemický konglomerát MOL, který je veřejně obchodován na burze, je fakticky kontrolován prostřednictvím tří takzvaných veřejně prospěšných fundací, které jsou spojeny s maďarskou vládou a z nichž každá vlastní 10 % akcií;</w:t>
            </w:r>
            <w:r>
              <w:t xml:space="preserve"> </w:t>
            </w:r>
            <w:r>
              <w:rPr>
                <w:b/>
                <w:i/>
              </w:rPr>
              <w:t>připomíná, že prováděcí rozhodnutí Rady (EU) 2022/2506 ze dne 15. prosince 2022 zakazuje Komisi uzavírat nové právní závazky v rámci přímého nebo nepřímého řízení s maďarskými veřejně prospěšnými fundacemi a subjekty jimi spravovanými při plnění rozpočtu Unie;</w:t>
            </w:r>
            <w:r>
              <w:t xml:space="preserve"> </w:t>
            </w:r>
            <w:r>
              <w:rPr>
                <w:b/>
                <w:i/>
              </w:rPr>
              <w:t>se znepokojením konstatuje, že po přijetí uvedeného rozhodnutí byla mezi Komisí a společností MOL zřejmě uzavřena přinejmenším jedna dohoda o financování;</w:t>
            </w:r>
            <w:r>
              <w:t xml:space="preserve"> </w:t>
            </w:r>
            <w:r>
              <w:rPr>
                <w:b/>
                <w:i/>
              </w:rPr>
              <w:t>bere na vědomí odpověď Komise, že tuto záležitost prošetřuje, a očekává, že Komise orgánu příslušnému k udělení absolutoria neprodleně poskytne jasné vysvětlení, jak mohl být takový závazek podepsán;</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90.</w:t>
            </w:r>
            <w:r>
              <w:tab/>
            </w:r>
            <w:r>
              <w:rPr>
                <w:b/>
                <w:i/>
              </w:rPr>
              <w:t>konstatuje, že maďarská vláda má obdržet třetí největší příděl v rámci nástroje SAFE ve výši 16,2 miliardy EUR, který je určen na podporu velkých investic do obranného průmyslu;</w:t>
            </w:r>
            <w:r>
              <w:t xml:space="preserve"> </w:t>
            </w:r>
            <w:r>
              <w:rPr>
                <w:b/>
                <w:i/>
              </w:rPr>
              <w:t>připomíná, že Komise má pravomoc neschválit investiční plány v oblasti národní obrany v rámci programu SAFE, pokud existují obavy týkající se ochrany finančních zájmů Unie;</w:t>
            </w:r>
            <w:r>
              <w:t xml:space="preserve"> </w:t>
            </w:r>
            <w:r>
              <w:rPr>
                <w:b/>
                <w:i/>
              </w:rPr>
              <w:t>připomíná, že maďarská vláda nedávno prodala kontrolní podíl 75 %+1 ve svém státním podniku působícím v obranném průmyslu společnosti 4iG, která je obecně považována za blízkou vládě;</w:t>
            </w:r>
            <w:r>
              <w:t xml:space="preserve"> </w:t>
            </w:r>
            <w:r>
              <w:rPr>
                <w:b/>
                <w:i/>
              </w:rPr>
              <w:t>důrazně upozorňuje, že vzhledem k pokračujícímu zhoršování stavu právního státu, přetrvávajícím korupčním rizikům a systémovým nedostatkům v oblasti dohledu, jak je popsáno výše, nelze považovat finanční zájmy Unie za dostatečně chráněné, pokud by finanční prostředky z programu SAFE byly Maďarsku vyplaceny přinejmenším bez stanovení přísných podmínek, které musí být splněny před jakýmkoli vyplacením finančních prostředků;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90.</w:t>
            </w:r>
            <w:r>
              <w:tab/>
            </w:r>
            <w:r>
              <w:t>konstatuje, že maďarská vláda má obdržet třetí největší příděl v rámci nástroje SAFE ve výši 16,2 miliardy EUR, který je určen na podporu velkých investic do obranného průmyslu; připomíná, že Komise má pravomoc neschválit investiční plány v oblasti národní obrany v rámci programu SAFE, pokud existují obavy týkající se ochrany finančních zájmů Unie; připomíná, že maďarská vláda nedávno prodala kontrolní podíl 75 %+1 ve svém státním podniku působícím v obranném průmyslu společnosti 4iG</w:t>
            </w:r>
            <w:r>
              <w:rPr>
                <w:b/>
                <w:i/>
              </w:rPr>
              <w:t>, která je obecně považována za blízkou vládě</w:t>
            </w:r>
            <w:r>
              <w:t xml:space="preserve">; </w:t>
            </w:r>
            <w:r>
              <w:rPr>
                <w:b/>
                <w:i/>
              </w:rPr>
              <w:t>důrazně upozorňuje, že vzhledem k pokračujícímu zhoršování stavu právního státu, přetrvávajícím korupčním rizikům a systémovým nedostatkům v oblasti dohledu, jak je popsáno výše, nelze považovat finanční zájmy Unie za dostatečně chráněné, pokud by finanční prostředky z programu SAFE byly Maďarsku vyplaceny přinejmenším bez stanovení přísných podmínek, které musí být splněny před jakýmkoli vyplacením finančních prostředků;</w:t>
            </w:r>
          </w:p>
        </w:tc>
        <w:tc>
          <w:tcPr>
            <w:tcW w:w="4876" w:type="dxa"/>
            <w:tcBorders>
              <w:top w:val="nil"/>
              <w:left w:val="nil"/>
              <w:bottom w:val="nil"/>
              <w:right w:val="nil"/>
            </w:tcBorders>
          </w:tcPr>
          <w:p>
            <w:pPr>
              <w:pStyle w:val="Normal6a"/>
            </w:pPr>
            <w:r>
              <w:t>90.</w:t>
            </w:r>
            <w:r>
              <w:tab/>
            </w:r>
            <w:r>
              <w:t>konstatuje, že maďarská vláda má obdržet třetí největší příděl v rámci nástroje SAFE ve výši 16,2 miliardy EUR, který je určen na podporu velkých investic do obranného průmyslu; připomíná, že Komise má pravomoc neschválit investiční plány v oblasti národní obrany v rámci programu SAFE, pokud existují obavy týkající se ochrany finančních zájmů Unie; připomíná, že maďarská vláda nedávno prodala kontrolní podíl 75 %+1 ve svém státním podniku působícím v obranném průmyslu společnosti 4iG;</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Csaba Molnár, 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90.</w:t>
            </w:r>
            <w:r>
              <w:tab/>
            </w:r>
            <w:r>
              <w:t xml:space="preserve">konstatuje, že maďarská vláda má obdržet třetí největší příděl v rámci nástroje SAFE ve výši 16,2 miliardy EUR, který je určen na podporu velkých investic do obranného průmyslu; připomíná, že Komise má pravomoc neschválit investiční plány v oblasti národní obrany v rámci programu SAFE, pokud existují obavy týkající se ochrany finančních zájmů Unie; připomíná, že maďarská vláda nedávno prodala kontrolní podíl 75 %+1 ve svém státním podniku působícím v obranném průmyslu společnosti 4iG, která je obecně považována za blízkou vládě; důrazně upozorňuje, že vzhledem k pokračujícímu zhoršování stavu právního státu, přetrvávajícím korupčním rizikům a systémovým nedostatkům v oblasti dohledu, jak je popsáno výše, nelze považovat finanční zájmy Unie za dostatečně chráněné, pokud by finanční prostředky z programu SAFE byly </w:t>
            </w:r>
            <w:r>
              <w:rPr>
                <w:b/>
                <w:i/>
              </w:rPr>
              <w:t>Maďarsku</w:t>
            </w:r>
            <w:r>
              <w:t xml:space="preserve"> vyplaceny přinejmenším bez stanovení přísných podmínek, které musí být splněny před jakýmkoli vyplacením finančních prostředků;</w:t>
            </w:r>
          </w:p>
        </w:tc>
        <w:tc>
          <w:tcPr>
            <w:tcW w:w="4876" w:type="dxa"/>
            <w:tcBorders>
              <w:top w:val="nil"/>
              <w:left w:val="nil"/>
              <w:bottom w:val="nil"/>
              <w:right w:val="nil"/>
            </w:tcBorders>
          </w:tcPr>
          <w:p>
            <w:pPr>
              <w:pStyle w:val="Normal6a"/>
            </w:pPr>
            <w:r>
              <w:t>90.</w:t>
            </w:r>
            <w:r>
              <w:tab/>
            </w:r>
            <w:r>
              <w:t xml:space="preserve">konstatuje, že maďarská vláda má obdržet třetí největší příděl v rámci nástroje SAFE ve výši 16,2 miliardy EUR, který je určen na podporu velkých investic do obranného průmyslu; připomíná, že Komise má pravomoc neschválit investiční plány v oblasti národní obrany v rámci programu SAFE, pokud existují obavy týkající se ochrany finančních zájmů Unie; připomíná, že maďarská vláda nedávno prodala kontrolní podíl 75 %+1 ve svém státním podniku působícím v obranném průmyslu společnosti 4iG, která je obecně považována za blízkou vládě; důrazně upozorňuje, že vzhledem k pokračujícímu zhoršování stavu právního státu, přetrvávajícím korupčním rizikům a systémovým nedostatkům v oblasti dohledu, jak je popsáno výše, nelze považovat finanční zájmy Unie za dostatečně chráněné, pokud by finanční prostředky z programu SAFE byly </w:t>
            </w:r>
            <w:r>
              <w:rPr>
                <w:b/>
                <w:i/>
              </w:rPr>
              <w:t>maďarské vládě</w:t>
            </w:r>
            <w:r>
              <w:t xml:space="preserve"> vyplaceny přinejmenším bez stanovení přísných podmínek, které musí být splněny před jakýmkoli vyplacením finančních prostředků;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91.</w:t>
            </w:r>
            <w:r>
              <w:tab/>
            </w:r>
            <w:r>
              <w:rPr>
                <w:b/>
                <w:i/>
              </w:rPr>
              <w:t>se znepokojením zdůrazňuje, že od vydání zprávy o právním státu v roce 2024 Slovensko přijalo řadu novel trestního zákona, které byly schváleny v druhé polovině roku 2024, včetně zrušení specializovaných protikorupčních subjektů, Národní kriminální agentury a Úřadu speciální prokuratury, což vedlo k průtahům ve vyšetřováních předaných jiným orgánům a k výraznému poklesu počtu případů korupce;</w:t>
            </w:r>
            <w:r>
              <w:t xml:space="preserve"> </w:t>
            </w:r>
            <w:r>
              <w:rPr>
                <w:b/>
                <w:i/>
              </w:rPr>
              <w:t>se znepokojením bere na vědomí plán slovenské vlády nahradit současný úřad pro oznamovatele institucí, jejíž předseda by byl jmenován přímo předsedou parlamentu, což představuje riziko politizace úřadu, sladění jeho činnosti s vládními prioritami, omezení ochrany oznamovatelů a oslabení kontroly toho, jak vláda nakládá s unijními prostředky;</w:t>
            </w:r>
            <w:r>
              <w:t xml:space="preserve"> </w:t>
            </w:r>
            <w:r>
              <w:rPr>
                <w:b/>
                <w:i/>
              </w:rPr>
              <w:t>zdůrazňuje, že tento vývoj představuje zvýšené a značné riziko pro řádné finanční řízení rozpočtu Unie;</w:t>
            </w:r>
            <w:r>
              <w:t xml:space="preserve"> </w:t>
            </w:r>
            <w:r>
              <w:rPr>
                <w:b/>
                <w:i/>
              </w:rPr>
              <w:t>zdůrazňuje, že nařízení o podmíněnosti dodržováním zásad právního státu se neomezuje pouze na opatření poslední instance, ale umožňuje také včasná opatření s částečným pozastavením, pokud jsou zjištěna porušení zásad právního státu, která představují vážné riziko pro řádné finanční řízení rozpočtu Unie;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91.</w:t>
            </w:r>
            <w:r>
              <w:tab/>
            </w:r>
            <w:r>
              <w:t>se znepokojením zdůrazňuje, že od vydání zprávy o právním státu v roce 2024 Slovensko přijalo řadu novel trestního zákona, které byly schváleny v druhé polovině roku 2024, včetně zrušení specializovaných protikorupčních subjektů, Národní kriminální agentury a Úřadu speciální prokuratury, což vedlo k průtahům ve vyšetřováních předaných jiným orgánům a k výraznému poklesu počtu případů korupce; se znepokojením bere na vědomí plán slovenské vlády nahradit současný úřad pro oznamovatele institucí, jejíž předseda by byl jmenován přímo předsedou parlamentu, což představuje riziko politizace úřadu, sladění jeho činnosti s vládními prioritami, omezení ochrany oznamovatelů a oslabení kontroly toho, jak vláda nakládá s unijními prostředky; zdůrazňuje, že tento vývoj představuje zvýšené a značné riziko pro řádné finanční řízení rozpočtu Unie; zdůrazňuje, že nařízení o podmíněnosti dodržováním zásad právního státu se neomezuje pouze na opatření poslední instance, ale umožňuje také včasná opatření s částečným pozastavením, pokud jsou zjištěna porušení zásad právního státu, která představují vážné riziko pro řádné finanční řízení rozpočtu Unie;</w:t>
            </w:r>
          </w:p>
        </w:tc>
        <w:tc>
          <w:tcPr>
            <w:tcW w:w="4876" w:type="dxa"/>
            <w:tcBorders>
              <w:top w:val="nil"/>
              <w:left w:val="nil"/>
              <w:bottom w:val="nil"/>
              <w:right w:val="nil"/>
            </w:tcBorders>
          </w:tcPr>
          <w:p>
            <w:pPr>
              <w:pStyle w:val="Normal6a"/>
            </w:pPr>
            <w:r>
              <w:t>91.</w:t>
            </w:r>
            <w:r>
              <w:tab/>
            </w:r>
            <w:r>
              <w:t xml:space="preserve">se znepokojením zdůrazňuje, že od vydání zprávy o právním státu v roce 2024 Slovensko přijalo řadu novel trestního zákona, které byly schváleny v druhé polovině roku 2024, včetně zrušení specializovaných protikorupčních subjektů, Národní kriminální agentury a Úřadu speciální prokuratury, což vedlo k průtahům ve vyšetřováních předaných jiným orgánům a k výraznému poklesu počtu případů korupce; se znepokojením bere na vědomí plán slovenské vlády nahradit současný úřad pro oznamovatele institucí, jejíž předseda by byl jmenován přímo předsedou parlamentu, což představuje riziko politizace úřadu, sladění jeho činnosti s vládními prioritami, omezení ochrany oznamovatelů a oslabení kontroly toho, jak vláda nakládá s unijními prostředky; zdůrazňuje, že tento vývoj představuje zvýšené a značné riziko pro řádné finanční řízení rozpočtu Unie; zdůrazňuje, že nařízení o podmíněnosti dodržováním zásad právního státu se neomezuje pouze na opatření poslední instance, ale umožňuje také včasná opatření s částečným pozastavením, pokud jsou zjištěna porušení zásad právního státu, která představují vážné riziko pro řádné finanční řízení rozpočtu Unie; </w:t>
            </w:r>
            <w:r>
              <w:rPr>
                <w:b/>
                <w:i/>
              </w:rPr>
              <w:t>plně podporuje rozhodnutí Komise a vyzývá Komisi, aby zahájila první krok mechanismu podmíněnosti a zahájila v této věci řízení o nesplnění povinnosti;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92a.</w:t>
            </w:r>
            <w:r>
              <w:tab/>
            </w:r>
            <w:r>
              <w:rPr>
                <w:b/>
                <w:i/>
              </w:rPr>
              <w:t>konstatuje, že jednostranné právní a finanční pronásledování, které Komise zahájila proti některým členským státům z politických důvodů, poškozuje vztah vzájemné důvěry a vytváří atmosféru napětí, která poškozuje spolupráci mezi evropskými zeměmi;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Eero Heinäluoma, Jens Geier, José Cepeda, 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93.</w:t>
            </w:r>
            <w:r>
              <w:tab/>
            </w:r>
            <w:r>
              <w:t>vyjadřuje politování nad tím, že podle analýz, s nimiž přicházejí organizace občanské společnosti, se naprostá většina doporučení ze zprávy o právním státu opakuje z předchozích ročníků; domnívá se, že to vyvolává obavy, zda členské státy berou doporučení dostatečně vážně a zda Komise vyvíjí dostatečný tlak, aby zajistila jejich účinné provádění; zdůrazňuje, že mnohé z nedostatků uvedených ve zprávě o právním státu mají přímý dopad na řádné finanční řízení rozpočtu Unie, a proto považuje z hlediska rozpočtové kontroly za zásadní, aby tato činnost přinášela hmatatelné a měřitelné výsledky;</w:t>
            </w:r>
          </w:p>
        </w:tc>
        <w:tc>
          <w:tcPr>
            <w:tcW w:w="4876" w:type="dxa"/>
            <w:tcBorders>
              <w:top w:val="nil"/>
              <w:left w:val="nil"/>
              <w:bottom w:val="nil"/>
              <w:right w:val="nil"/>
            </w:tcBorders>
          </w:tcPr>
          <w:p>
            <w:pPr>
              <w:pStyle w:val="Normal6a"/>
            </w:pPr>
            <w:r>
              <w:t>93.</w:t>
            </w:r>
            <w:r>
              <w:tab/>
            </w:r>
            <w:r>
              <w:t xml:space="preserve">vyjadřuje politování nad tím, že podle analýz, s nimiž přicházejí organizace občanské společnosti, se naprostá většina doporučení ze zprávy o právním státu opakuje z předchozích ročníků; domnívá se, že to vyvolává obavy, zda členské státy berou doporučení dostatečně vážně a zda Komise vyvíjí dostatečný tlak, aby zajistila jejich účinné provádění; zdůrazňuje, že mnohé z nedostatků uvedených ve zprávě o právním státu mají přímý dopad na řádné finanční řízení rozpočtu Unie, a proto považuje z hlediska rozpočtové kontroly za zásadní, aby tato činnost přinášela hmatatelné a měřitelné výsledky; </w:t>
            </w:r>
            <w:r>
              <w:rPr>
                <w:b/>
                <w:i/>
              </w:rPr>
              <w:t>vyzývá proto Komisi, aby doporučení pro jednotlivé země obsažená v jejích výročních zprávách o právním státu proměnila v konkrétní milníky, kterými by se členské státy měly systematicky řídit, a aby aktivovala nařízení o podmíněnosti v případech, kdy systematické porušování zásad právního státu zjištěné v rámci pilířů zprávy má dostatečně přímou souvislost s ochranou rozpočtu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93.</w:t>
            </w:r>
            <w:r>
              <w:tab/>
            </w:r>
            <w:r>
              <w:t xml:space="preserve">vyjadřuje politování nad tím, že podle analýz, s nimiž přicházejí organizace občanské společnosti, se naprostá většina doporučení ze zprávy o právním státu opakuje z předchozích ročníků; domnívá se, že to vyvolává obavy, zda </w:t>
            </w:r>
            <w:r>
              <w:rPr>
                <w:b/>
                <w:i/>
              </w:rPr>
              <w:t>členské státy berou</w:t>
            </w:r>
            <w:r>
              <w:t xml:space="preserve"> doporučení dostatečně </w:t>
            </w:r>
            <w:r>
              <w:rPr>
                <w:b/>
                <w:i/>
              </w:rPr>
              <w:t>vážně a zda Komise vyvíjí dostatečný tlak, aby zajistila jejich účinné provádění</w:t>
            </w:r>
            <w:r>
              <w:t xml:space="preserve">; </w:t>
            </w:r>
            <w:r>
              <w:rPr>
                <w:b/>
                <w:i/>
              </w:rPr>
              <w:t>zdůrazňuje, že mnohé z nedostatků uvedených ve zprávě o právním státu mají přímý dopad na řádné finanční řízení rozpočtu Unie, a proto považuje z hlediska rozpočtové kontroly za zásadní, aby tato činnost přinášela hmatatelné a měřitelné výsledky;</w:t>
            </w:r>
          </w:p>
        </w:tc>
        <w:tc>
          <w:tcPr>
            <w:tcW w:w="4876" w:type="dxa"/>
            <w:tcBorders>
              <w:top w:val="nil"/>
              <w:left w:val="nil"/>
              <w:bottom w:val="nil"/>
              <w:right w:val="nil"/>
            </w:tcBorders>
          </w:tcPr>
          <w:p>
            <w:pPr>
              <w:pStyle w:val="Normal6a"/>
            </w:pPr>
            <w:r>
              <w:t>93.</w:t>
            </w:r>
            <w:r>
              <w:tab/>
            </w:r>
            <w:r>
              <w:t xml:space="preserve">vyjadřuje politování nad tím, že podle analýz, s nimiž přicházejí organizace občanské společnosti, se naprostá většina doporučení ze zprávy o právním státu opakuje z předchozích ročníků; domnívá se, že to vyvolává obavy, zda </w:t>
            </w:r>
            <w:r>
              <w:rPr>
                <w:b/>
                <w:i/>
              </w:rPr>
              <w:t>jsou</w:t>
            </w:r>
            <w:r>
              <w:t xml:space="preserve"> doporučení dostatečně </w:t>
            </w:r>
            <w:r>
              <w:rPr>
                <w:b/>
                <w:i/>
              </w:rPr>
              <w:t>závažná</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94.</w:t>
            </w:r>
            <w:r>
              <w:tab/>
            </w:r>
            <w:r>
              <w:t xml:space="preserve">bere na vědomí odpověď Komise, že generální sekretariát koordinuje používání tří různých nástrojů nařízení o podmíněnosti, zprávy o právním státu a RRF a horizontálních základních podmínek nařízení o společných ustanoveních, tak aby byla zajištěn jednotný postup ve všech programech, nástrojích a členských státech, a že v rámci každého nástroje existuje jeden hlavní útvar pověřený prováděním a do této práce se zapojují i příslušné související útvary; dále bere na vědomí, že Generální ředitelství pro spravedlnost a spotřebitele (GŘ JUST) a generální sekretariát stojí společně v čele úsilí při přípravě zprávy o právním státu, GŘ EMPL vede práci na horizontální základní podmínce spojené s Listinou, GŘ REFORM společně s Generálním ředitelstvím pro hospodářské a finanční záležitosti (GŘ ECFIN) práci na RRF a Generální ředitelství pro rozpočet (GŘ BUDG) práci na nařízení o podmíněnosti; </w:t>
            </w:r>
            <w:r>
              <w:rPr>
                <w:b/>
                <w:i/>
              </w:rPr>
              <w:t>lituje však, že je stále nejasné, jakou úlohu hraje při při rozhodování o zmrazených finančních prostředcích předsedkyně Komise;</w:t>
            </w:r>
            <w:r>
              <w:t xml:space="preserve"> </w:t>
            </w:r>
            <w:r>
              <w:rPr>
                <w:b/>
                <w:i/>
              </w:rPr>
              <w:t>konstatuje</w:t>
            </w:r>
            <w:r>
              <w:t xml:space="preserve">, že ačkoli na papíře existuje pevný rámec, </w:t>
            </w:r>
            <w:r>
              <w:rPr>
                <w:b/>
                <w:i/>
              </w:rPr>
              <w:t>rozhodovací proces není v praxi dostatečně transparentní;</w:t>
            </w:r>
            <w:r>
              <w:t xml:space="preserve"> </w:t>
            </w:r>
            <w:r>
              <w:rPr>
                <w:b/>
                <w:i/>
              </w:rPr>
              <w:t>lituje, že Komise v minulosti poskytla pouze minimum informací bez klíčových podrobností a že úplnou dokumentaci nedodala ani poté, co ji o to Parlament požádal;</w:t>
            </w:r>
            <w:r>
              <w:t xml:space="preserve"> </w:t>
            </w:r>
            <w:r>
              <w:rPr>
                <w:b/>
                <w:i/>
              </w:rPr>
              <w:t>zdůrazňuje, že jasné a transparentní rozhodovací struktury mají zásadní význam pro to, aby se předešlo dojmu, že se o zmrazení finančních prostředků rozhoduje na základě politických úvah</w:t>
            </w:r>
            <w:r>
              <w:t>;</w:t>
            </w:r>
          </w:p>
        </w:tc>
        <w:tc>
          <w:tcPr>
            <w:tcW w:w="4876" w:type="dxa"/>
            <w:tcBorders>
              <w:top w:val="nil"/>
              <w:left w:val="nil"/>
              <w:bottom w:val="nil"/>
              <w:right w:val="nil"/>
            </w:tcBorders>
          </w:tcPr>
          <w:p>
            <w:pPr>
              <w:pStyle w:val="Normal6a"/>
            </w:pPr>
            <w:r>
              <w:t>94.</w:t>
            </w:r>
            <w:r>
              <w:tab/>
            </w:r>
            <w:r>
              <w:t xml:space="preserve">bere na vědomí odpověď Komise, že generální sekretariát koordinuje používání tří různých nástrojů nařízení o podmíněnosti, zprávy o právním státu a RRF a horizontálních základních podmínek nařízení o společných ustanoveních, tak aby byla zajištěn jednotný postup ve všech programech, nástrojích a členských státech, a že v rámci každého nástroje existuje jeden hlavní útvar pověřený prováděním a do této práce se zapojují i příslušné související útvary; dále bere na vědomí, že Generální ředitelství pro spravedlnost a spotřebitele (GŘ JUST) a generální sekretariát stojí společně v čele úsilí při přípravě zprávy o právním státu, GŘ EMPL vede práci na horizontální základní podmínce spojené s Listinou, GŘ REFORM společně s Generálním ředitelstvím pro hospodářské a finanční záležitosti (GŘ ECFIN) práci na RRF a Generální ředitelství pro rozpočet (GŘ BUDG) práci na nařízení o podmíněnosti; </w:t>
            </w:r>
            <w:r>
              <w:rPr>
                <w:b/>
                <w:i/>
              </w:rPr>
              <w:t>zdůrazňuje</w:t>
            </w:r>
            <w:r>
              <w:t xml:space="preserve">, že ačkoli na papíře existuje pevný rámec, </w:t>
            </w:r>
            <w:r>
              <w:rPr>
                <w:b/>
                <w:i/>
              </w:rPr>
              <w:t>praktické uplatňování postupů by mohlo být dále posíleno;</w:t>
            </w:r>
            <w:r>
              <w:t xml:space="preserve"> </w:t>
            </w:r>
            <w:r>
              <w:rPr>
                <w:b/>
                <w:i/>
              </w:rPr>
              <w:t>vybízí Komisi, aby orgánu příslušnému k udělení absolutoria poskytovala včasné a dostatečné informace s cílem zachovat důvěru v řádné a nestranné provádění rozhodnutí o financování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95a.</w:t>
            </w:r>
            <w:r>
              <w:tab/>
            </w:r>
            <w:r>
              <w:rPr>
                <w:b/>
                <w:i/>
              </w:rPr>
              <w:t>vyjadřuje politování nad rozhodnutím Komise odstranit z pracovního programu EU4Health 2025 granty na provozní náklady pro občanskou společnost – nevládní organizace v oblasti zdraví –, které zastupují tisíce pacientů, zdravotnických pracovníků a komunit, a požaduje jejich obnovení;</w:t>
            </w:r>
            <w:r>
              <w:t xml:space="preserve"> </w:t>
            </w:r>
            <w:r>
              <w:rPr>
                <w:b/>
                <w:i/>
              </w:rPr>
              <w:t>zdůrazňuje, že tyto granty činily v roce 2024 jen málo přes 1 % rozpočtu programu EU4Health;</w:t>
            </w:r>
            <w:r>
              <w:t xml:space="preserve"> </w:t>
            </w:r>
            <w:r>
              <w:rPr>
                <w:b/>
                <w:i/>
              </w:rPr>
              <w:t>se znepokojením konstatuje, že jejich odstranění vedlo ke snížení počtu zaměstnanců, zastavení projektů, zrušení výměn a ztrátě kontinuity příspěvku občanské společnosti k evropským cílům v oblasti veřejného zdraví, což oslabilo podporu pacientů a demokratickou účast;</w:t>
            </w:r>
            <w:r>
              <w:t xml:space="preserve"> </w:t>
            </w:r>
            <w:r>
              <w:rPr>
                <w:b/>
                <w:i/>
              </w:rPr>
              <w:t>zdůrazňuje potřebu předvídatelných a stabilních podpůrných mechanismů pro zdravotnické organizace občanské společnosti;</w:t>
            </w:r>
            <w:r>
              <w:t xml:space="preserve"> </w:t>
            </w:r>
            <w:r>
              <w:rPr>
                <w:b/>
                <w:i/>
              </w:rPr>
              <w:t>domnívá se, že jakékoli budoucí financování by mělo být založeno na jasných kritériích evropské přidané hodnoty, transparentnosti, politické neutrality a měřitelného dopadu, aby se zajistilo, že zdroje budou směrovány tam, kde přinášejí největší prospěch pacientům a systémům zdravotní péče;</w:t>
            </w:r>
            <w:r>
              <w:t xml:space="preserve"> </w:t>
            </w:r>
            <w:r>
              <w:rPr>
                <w:b/>
                <w:i/>
              </w:rPr>
              <w:t>zdůrazňuje, že je důležité zajistit stabilní a předvídatelnou podporu pro subjekty občanské společnosti zastupující pacienty, zdravotnické pracovníky a postižené komunity, aby byla zachována jejich schopnost přispívat k cílům a provádění zdravotní politiky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95a.</w:t>
            </w:r>
            <w:r>
              <w:tab/>
            </w:r>
            <w:r>
              <w:rPr>
                <w:b/>
                <w:i/>
              </w:rPr>
              <w:t>bere na vědomí špatné plnění rozpočtu programu EU4Health;</w:t>
            </w:r>
            <w:r>
              <w:t xml:space="preserve"> </w:t>
            </w:r>
            <w:r>
              <w:rPr>
                <w:b/>
                <w:i/>
              </w:rPr>
              <w:t>odráží to neschopnost Komise řádně dohlížet na finanční prostředky ve zdravotnictví a spravovat je;</w:t>
            </w:r>
            <w:r>
              <w:t xml:space="preserve"> </w:t>
            </w:r>
            <w:r>
              <w:rPr>
                <w:b/>
                <w:i/>
              </w:rPr>
              <w:t>domnívá se, že peníze daňových poplatníků by byly lépe využívány na místní úrovni a přímo v nemocnicích a zdravotnických systémech členských států;</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95b.</w:t>
            </w:r>
            <w:r>
              <w:tab/>
            </w:r>
            <w:r>
              <w:rPr>
                <w:b/>
                <w:i/>
              </w:rPr>
              <w:t>je znepokojen zrychlujícími se pokusy o potlačení svobody projevu, které Komise provádí již několik let, a dotacemi pro pseudoověřovatele faktů nebo jednoznačně proevropská média;</w:t>
            </w:r>
            <w:r>
              <w:t xml:space="preserve"> </w:t>
            </w:r>
            <w:r>
              <w:rPr>
                <w:b/>
                <w:i/>
              </w:rPr>
              <w:t>bere na vědomí explozi plýtvání rozpočty v této oblasti, přičemž na období 2028–2034 je plánováno 9 miliard EUR (program AgoraEU);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95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95c.</w:t>
            </w:r>
            <w:r>
              <w:tab/>
            </w:r>
            <w:r>
              <w:rPr>
                <w:b/>
                <w:i/>
              </w:rPr>
              <w:t>připomíná, že mnoho sdělovacích prostředků je dotováno z veřejných nebo soukromých fondů a pořádá konference o evropských politikách;</w:t>
            </w:r>
            <w:r>
              <w:t xml:space="preserve"> </w:t>
            </w:r>
            <w:r>
              <w:rPr>
                <w:b/>
                <w:i/>
              </w:rPr>
              <w:t>konstatuje, že Komise v letech 2021 až 2027 investovala 210 milionů EUR do různých médií,</w:t>
            </w:r>
            <w:r>
              <w:t xml:space="preserve"> </w:t>
            </w:r>
            <w:r>
              <w:rPr>
                <w:b/>
                <w:i/>
              </w:rPr>
              <w:t>například, Euractiv měl za 10 let obdržet 40 milionů EUR; vyzývá Komisi, aby ověřila, zda všichni tito příjemci finančních prostředků zveřejňují obdrženou částku na domovské stránce svých webových stránek</w:t>
            </w:r>
            <w:r>
              <w:rPr>
                <w:b/>
                <w:i/>
                <w:vertAlign w:val="superscript"/>
              </w:rPr>
              <w:t>7a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7a</w:t>
            </w:r>
            <w:r>
              <w:t xml:space="preserve"> </w:t>
            </w:r>
            <w:r>
              <w:rPr>
                <w:b/>
                <w:i/>
              </w:rPr>
              <w:t>https://www.europarl.europa.eu/doceo/document/E-10-2025-004549-ASW_CS.html</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Dick Erixon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95a.</w:t>
            </w:r>
            <w:r>
              <w:tab/>
            </w:r>
            <w:r>
              <w:rPr>
                <w:b/>
                <w:i/>
              </w:rPr>
              <w:t>se znepokojením konstatuje, že Komise vyčlenila na výzvy k předkládání návrhů na tvorbu obsahu o záležitostech EU konsorcii zpravodajských mediálních organizací 8 milionů EUR v roce 2024 a 20,9 milionu EUR v roce 2025, což představuje nárůst o 160 %;</w:t>
            </w:r>
            <w:r>
              <w:t xml:space="preserve"> </w:t>
            </w:r>
            <w:r>
              <w:rPr>
                <w:b/>
                <w:i/>
              </w:rPr>
              <w:t>konstatuje, že v současné době dostávají finanční prostředky EU tři mediální konsorcia;</w:t>
            </w:r>
            <w:r>
              <w:t xml:space="preserve"> </w:t>
            </w:r>
            <w:r>
              <w:rPr>
                <w:b/>
                <w:i/>
              </w:rPr>
              <w:t>zdůrazňuje, že takové financování může vytvořit strukturální finanční závislost mezi mediálními organizacemi, které by měly sloužit jako nezávislí strážci, a institucemi, kterým věnují pozornost;</w:t>
            </w:r>
            <w:r>
              <w:t xml:space="preserve"> </w:t>
            </w:r>
            <w:r>
              <w:rPr>
                <w:b/>
                <w:i/>
              </w:rPr>
              <w:t>zdůrazňuje, že svobodný a nezávislý tisk je základním kamenem demokratické odpovědnosti a že důvěra veřejnosti ve sdělovací prostředky i orgány EU je oslabena, pokud novináři, kteří informují o záležitostech EU, dostávají od těchto orgánů přímé nebo nepřímé finanční prostředky;</w:t>
            </w:r>
            <w:r>
              <w:t xml:space="preserve"> </w:t>
            </w:r>
            <w:r>
              <w:rPr>
                <w:b/>
                <w:i/>
              </w:rPr>
              <w:t>vyzývá Komisi, aby zveřejnila komplexní přehled veškeré finanční podpory, včetně grantů, smluv a nepřímého financování, poskytované mediálním organizacím a aby zajistila, že tyto informace budou přístupné prostřednictvím jednotného interinstitucionálního portálu pro transparentnost sdělovacích prostředků;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97 – podbod iii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iii)</w:t>
            </w:r>
            <w:r>
              <w:tab/>
            </w:r>
            <w:r>
              <w:rPr>
                <w:b/>
                <w:i/>
              </w:rPr>
              <w:t>propojila doporučení ze zprávy o právním státu s prováděním konkrétních opatření ze strany dotčeného členského státu, aby měla silnější dopad a ideálně přispěla k ochraně finančních zájmů Unie, a odkazuje v tomto ohledu na doporučení uvedená v usnesení Parlamentu ze dne 18. června 2025 o zprávě Komise o právním státě za rok 2024;</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97 – podbod iii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iii )</w:t>
            </w:r>
            <w:r>
              <w:tab/>
            </w:r>
            <w:r>
              <w:rPr>
                <w:b/>
                <w:i/>
              </w:rPr>
              <w:t>připomíná, že Komise musí dodržovat evropské Smlouvy, které vymezují pravomoci členských států a Komise;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97 – podbod v </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w:t>
            </w:r>
            <w:r>
              <w:tab/>
            </w:r>
            <w:r>
              <w:rPr>
                <w:b/>
                <w:i/>
              </w:rPr>
              <w:t>více sladila zprávu o právním státu s nařízením o podmíněnosti a podrobněji informovala o případech porušování zásad právního státu, které lze použít jako podnět k aktivaci opatření podle nařízení o podmíněnosti;</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Eero Heinäluoma, Jens Geier, José Cepeda, 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97 – podbod v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w:t>
            </w:r>
            <w:r>
              <w:tab/>
            </w:r>
            <w:r>
              <w:rPr>
                <w:b/>
                <w:i/>
              </w:rPr>
              <w:t>využila svého práva iniciativy a navrhla opatření k odstranění veškerých stávajících mezer v legislativním rámci Unie, které mohou vládám umožnit převádět finanční prostředky pozastavené z důvodu porušení jejich povinností v oblasti právního státu nebo Listiny základních práv, a aby zajistila, že veškeré budoucí nástroje financování budou chráněny před obcházením;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Virginie Joron, Ondřej Knotek,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97 – podbod 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vi)</w:t>
            </w:r>
            <w:r>
              <w:tab/>
            </w:r>
            <w:r>
              <w:rPr>
                <w:b/>
                <w:i/>
              </w:rPr>
              <w:t>urychleně přehodnotila a řešila zhoršení stavu právního státu a rizika pro rozpočet Unie v Maďarsku a přijala veškerá nezbytná opatření v souladu s nařízením o podmíněnosti a dalšími dostupnými nástroji, včetně úplného pozastavení vyplácení finančních prostředků Unie;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Olivier Chastel,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97 – podbod 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vi)</w:t>
            </w:r>
            <w:r>
              <w:tab/>
            </w:r>
            <w:r>
              <w:t xml:space="preserve">urychleně přehodnotila a řešila zhoršení stavu právního státu a rizika pro rozpočet Unie v Maďarsku a přijala veškerá nezbytná opatření v souladu s nařízením o podmíněnosti a dalšími dostupnými nástroji, včetně </w:t>
            </w:r>
            <w:r>
              <w:rPr>
                <w:b/>
                <w:i/>
              </w:rPr>
              <w:t>úplného</w:t>
            </w:r>
            <w:r>
              <w:t xml:space="preserve"> pozastavení vyplácení finančních prostředků Unie;</w:t>
            </w:r>
          </w:p>
        </w:tc>
        <w:tc>
          <w:tcPr>
            <w:tcW w:w="4876" w:type="dxa"/>
            <w:tcBorders>
              <w:top w:val="nil"/>
              <w:left w:val="nil"/>
              <w:bottom w:val="nil"/>
              <w:right w:val="nil"/>
            </w:tcBorders>
          </w:tcPr>
          <w:p>
            <w:pPr>
              <w:pStyle w:val="Normal6a"/>
            </w:pPr>
            <w:r>
              <w:t>vi)</w:t>
            </w:r>
            <w:r>
              <w:tab/>
            </w:r>
            <w:r>
              <w:t>urychleně přehodnotila a řešila zhoršení stavu právního státu a rizika pro rozpočet Unie v Maďarsku a přijala veškerá nezbytná opatření v souladu s nařízením o podmíněnosti a dalšími dostupnými nástroji, včetně pozastavení vyplácení finančních prostředků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97 – podbod vi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via)</w:t>
            </w:r>
            <w:r>
              <w:tab/>
            </w:r>
            <w:r>
              <w:rPr>
                <w:b/>
                <w:i/>
              </w:rPr>
              <w:t>zdůrazňuje, že veškeré výdaje Unie musí plně respektovat zásady subsidiarity a proporcionality a zajistit, aby si vlády členských států zachovaly právo určovat své vlastní finanční priority bez zbytečných zásahů ze strany Bruselu;</w:t>
            </w:r>
            <w:r>
              <w:t xml:space="preserve"> </w:t>
            </w:r>
            <w:r>
              <w:rPr>
                <w:b/>
                <w:i/>
              </w:rPr>
              <w:t>požaduje, aby se Komise vyvarovala využívání svých rozpočtových pravomocí k nátlaku na členské státy, aby dodržovaly centrálně diktované politiky, které zasahují do jejich svrchovanosti;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97 – podbod vi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via)</w:t>
            </w:r>
            <w:r>
              <w:tab/>
            </w:r>
            <w:r>
              <w:rPr>
                <w:b/>
                <w:i/>
              </w:rPr>
              <w:t>provedla následné hodnocení finančního dopadu změn politiky soudržnosti na východní příhraniční regiony, zejména finančních prostředků z EFRR původně vyčleněných na přeshraniční spolupráci s Ruskem a Běloruskem, jakož i finančních prostředků přerozdělených v rámci přezkumu soudržnosti v polovině období v roce 2025, sdílela své hodnocení s orgánem příslušným k udělení absolutoria a urychleně navrhla cílenou finanční podporu pro tyto regiony s cílem čelit nepřiměřenému dopadu ruské útočné války, včetně nápravy ztrát vzniklých v důsledku změn během stávajícího programového období;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97 – podbod vi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via)</w:t>
            </w:r>
            <w:r>
              <w:tab/>
            </w:r>
            <w:r>
              <w:rPr>
                <w:b/>
                <w:i/>
              </w:rPr>
              <w:t>znovu zvážila přístup jednotného auditu, dokud nebudou vyřešeny nedostatky zjištěné v řídících a auditních orgánech v členských státech;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97 – podbod vi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vib)</w:t>
            </w:r>
            <w:r>
              <w:tab/>
            </w:r>
            <w:r>
              <w:rPr>
                <w:b/>
                <w:i/>
              </w:rPr>
              <w:t>urychleně obnovila granty na provozní náklady pro nevládní organizace občanské společnosti působící v oblasti zdraví, které odstranila z pracovního programu EU4Health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Virginie Joron, Tamás Deutsch, 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100a.</w:t>
            </w:r>
            <w:r>
              <w:tab/>
            </w:r>
            <w:r>
              <w:rPr>
                <w:b/>
                <w:i/>
              </w:rPr>
              <w:t>vyjadřuje politování nad nedostatky Evropského zemědělského fondu pro rozvoj venkova a nad zpožděním plateb zemědělcům v nejvzdálenějších regionech Francie, někdy až o dva roky;</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Eero Heinäluoma, Jens Geier, 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105.</w:t>
            </w:r>
            <w:r>
              <w:tab/>
            </w:r>
            <w:r>
              <w:t>připomíná, že v rámci modelu SZP na období 2023–2027 založeného na výkonnosti členské státy stanoví pravidla, která musí koneční příjemci dodržovat v souladu s obecným rámcem Unie, zatímco Komise se zaměřuje na výsledky výkonnosti a fungování systémů, které členské státy zavedly, aby zajistily dodržování těchto podmínek, a nikoli již na jednotlivé transakce; dále připomíná, že v rámci SZP na období 2023–2027 jsou členské státy v souladu s tím povinny podávat Komisi zprávy o ukazatelích výstupů a výsledků souvisejících s výkonností politiky, a nikoli o kontrolních statistikách;</w:t>
            </w:r>
          </w:p>
        </w:tc>
        <w:tc>
          <w:tcPr>
            <w:tcW w:w="4876" w:type="dxa"/>
            <w:tcBorders>
              <w:top w:val="nil"/>
              <w:left w:val="nil"/>
              <w:bottom w:val="nil"/>
              <w:right w:val="nil"/>
            </w:tcBorders>
          </w:tcPr>
          <w:p>
            <w:pPr>
              <w:pStyle w:val="Normal6a"/>
            </w:pPr>
            <w:r>
              <w:t>105.</w:t>
            </w:r>
            <w:r>
              <w:tab/>
            </w:r>
            <w:r>
              <w:t xml:space="preserve">připomíná, že v rámci modelu SZP na období 2023–2027 založeného na výkonnosti členské státy stanoví pravidla, která musí koneční příjemci dodržovat v souladu s obecným rámcem Unie, zatímco Komise se zaměřuje na výsledky výkonnosti a fungování systémů, které členské státy zavedly, aby zajistily dodržování těchto podmínek, a nikoli již na jednotlivé transakce; dále připomíná, že v rámci SZP na období 2023–2027 jsou členské státy v souladu s tím povinny podávat Komisi zprávy o ukazatelích výstupů a výsledků souvisejících s výkonností politiky, a nikoli o kontrolních statistikách; </w:t>
            </w:r>
            <w:r>
              <w:rPr>
                <w:b/>
                <w:i/>
              </w:rPr>
              <w:t>bere na vědomí připomínku Účetního dvora, že zpětné získávání prostředků týkajících se zemědělských výdajů bylo poměrně úspěšné, což se částečně připisuje tzv. pravidlu 50/50, které motivovalo členské státy ke zpětnému získání finančních prostředků;</w:t>
            </w:r>
            <w:r>
              <w:t xml:space="preserve"> </w:t>
            </w:r>
            <w:r>
              <w:rPr>
                <w:b/>
                <w:i/>
              </w:rPr>
              <w:t>konstatuje, že toto pravidlo nebylo v SZP na období 2023–2027 zachováno a že Účetní dvůr upozorňuje, že by to mohlo vést ke zhoršení míry zpětného získávání výdajů na zemědělství;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111.</w:t>
            </w:r>
            <w:r>
              <w:tab/>
            </w:r>
            <w:r>
              <w:t xml:space="preserve">připomíná, že SZP na období 2023–2027 je </w:t>
            </w:r>
            <w:r>
              <w:rPr>
                <w:b/>
                <w:i/>
              </w:rPr>
              <w:t>postavena na</w:t>
            </w:r>
            <w:r>
              <w:t xml:space="preserve"> deseti klíčových </w:t>
            </w:r>
            <w:r>
              <w:rPr>
                <w:b/>
                <w:i/>
              </w:rPr>
              <w:t>cílech</w:t>
            </w:r>
            <w:r>
              <w:t>, včetně zajištění spravedlivého příjmu pro zemědělce</w:t>
            </w:r>
            <w:r>
              <w:rPr>
                <w:b/>
                <w:i/>
              </w:rPr>
              <w:t>;</w:t>
            </w:r>
            <w:r>
              <w:t xml:space="preserve"> </w:t>
            </w:r>
            <w:r>
              <w:rPr>
                <w:b/>
                <w:i/>
              </w:rPr>
              <w:t>domnívá se, že přímá podpora příjmů v rámci SZP by měla být poskytována pouze aktivním zemědělcům, jejichž hlavní činností je zemědělství, se zvláštním zaměřením na ty, kteří to nejvíce potřebují, jako jsou rodinné a malé zemědělské podniky, zemědělské podniky</w:t>
            </w:r>
            <w:r>
              <w:t xml:space="preserve"> v oblastech s přírodními </w:t>
            </w:r>
            <w:r>
              <w:rPr>
                <w:b/>
                <w:i/>
              </w:rPr>
              <w:t>nebo jinými specifickými problémy, mladí zemědělci a ženy;</w:t>
            </w:r>
            <w:r>
              <w:t xml:space="preserve"> </w:t>
            </w:r>
            <w:r>
              <w:rPr>
                <w:b/>
                <w:i/>
              </w:rPr>
              <w:t>domnívá se, že Komise by měla přijmout opatření ke zvýšení účinnosti</w:t>
            </w:r>
            <w:r>
              <w:t xml:space="preserve"> zemědělských fondů Unie a </w:t>
            </w:r>
            <w:r>
              <w:rPr>
                <w:b/>
                <w:i/>
              </w:rPr>
              <w:t>zajistit, aby přímou podporu příjmů dostávali pouze aktivní zemědělci, a nikoli vlastníci půdy</w:t>
            </w:r>
            <w:r>
              <w:t>;</w:t>
            </w:r>
          </w:p>
        </w:tc>
        <w:tc>
          <w:tcPr>
            <w:tcW w:w="4876" w:type="dxa"/>
            <w:tcBorders>
              <w:top w:val="nil"/>
              <w:left w:val="nil"/>
              <w:bottom w:val="nil"/>
              <w:right w:val="nil"/>
            </w:tcBorders>
          </w:tcPr>
          <w:p>
            <w:pPr>
              <w:pStyle w:val="Normal6a"/>
            </w:pPr>
            <w:r>
              <w:t>111.</w:t>
            </w:r>
            <w:r>
              <w:tab/>
            </w:r>
            <w:r>
              <w:t xml:space="preserve">připomíná, že SZP na období 2023–2027 je </w:t>
            </w:r>
            <w:r>
              <w:rPr>
                <w:b/>
                <w:i/>
              </w:rPr>
              <w:t>strukturována kolem</w:t>
            </w:r>
            <w:r>
              <w:t xml:space="preserve"> deseti klíčových </w:t>
            </w:r>
            <w:r>
              <w:rPr>
                <w:b/>
                <w:i/>
              </w:rPr>
              <w:t>cílů</w:t>
            </w:r>
            <w:r>
              <w:t xml:space="preserve">, včetně zajištění spravedlivého </w:t>
            </w:r>
            <w:r>
              <w:rPr>
                <w:b/>
                <w:i/>
              </w:rPr>
              <w:t>a stabilního</w:t>
            </w:r>
            <w:r>
              <w:t xml:space="preserve"> příjmu pro zemědělce</w:t>
            </w:r>
            <w:r>
              <w:rPr>
                <w:b/>
                <w:i/>
              </w:rPr>
              <w:t>, zajištění potravinového zabezpečení a posílení odolnosti zemědělského odvětví;</w:t>
            </w:r>
            <w:r>
              <w:t xml:space="preserve"> </w:t>
            </w:r>
            <w:r>
              <w:rPr>
                <w:b/>
                <w:i/>
              </w:rPr>
              <w:t>zdůrazňuje, že přímé příjmy by měly i nadále podporovat aktivní zemědělce a zároveň zachovat právní jistotu a zabránit nadměrným administrativním omezením;</w:t>
            </w:r>
            <w:r>
              <w:t xml:space="preserve"> </w:t>
            </w:r>
            <w:r>
              <w:rPr>
                <w:b/>
                <w:i/>
              </w:rPr>
              <w:t>zdůrazňuje zejména význam podpory rodinných zemědělských podniků, mladých zemědělců, zemědělkyň a zemědělských podniků nacházejících se</w:t>
            </w:r>
            <w:r>
              <w:t xml:space="preserve"> v oblastech s přírodními </w:t>
            </w:r>
            <w:r>
              <w:rPr>
                <w:b/>
                <w:i/>
              </w:rPr>
              <w:t>omezeními;</w:t>
            </w:r>
            <w:r>
              <w:t xml:space="preserve"> </w:t>
            </w:r>
            <w:r>
              <w:rPr>
                <w:b/>
                <w:i/>
              </w:rPr>
              <w:t>vyzývá Komisi, aby zlepšila účinnost a zacílení</w:t>
            </w:r>
            <w:r>
              <w:t xml:space="preserve"> zemědělských fondů Unie a </w:t>
            </w:r>
            <w:r>
              <w:rPr>
                <w:b/>
                <w:i/>
              </w:rPr>
              <w:t>zároveň respektovala rozmanitost vnitrostátních zemědělských struktur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784.512</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158</w:t>
    </w:r>
    <w:r>
      <w:fldChar w:fldCharType="end"/>
    </w:r>
    <w:r>
      <w:t>/</w:t>
    </w:r>
    <w:r>
      <w:fldChar w:fldCharType="begin"/>
    </w:r>
    <w:r>
      <w:instrText xml:space="preserve"> NUMPAGES </w:instrText>
    </w:r>
    <w:r>
      <w:fldChar w:fldCharType="separate"/>
    </w:r>
    <w:r>
      <w:t>159</w:t>
    </w:r>
    <w:r>
      <w:fldChar w:fldCharType="end"/>
    </w:r>
    <w:r>
      <w:tab/>
    </w:r>
    <w:r>
      <w:rPr>
        <w:rStyle w:val="HideTWBExt"/>
      </w:rPr>
      <w:t>&lt;PathFdR&gt;</w:t>
    </w:r>
    <w:r>
      <w:t>AM\1337950CS.docx</w:t>
    </w:r>
    <w:r>
      <w:rPr>
        <w:rStyle w:val="HideTWBExt"/>
      </w:rPr>
      <w:t>&lt;/PathFdR&gt;</w:t>
    </w:r>
  </w:p>
  <w:p>
    <w:pPr>
      <w:pStyle w:val="EPFooter2"/>
    </w:pPr>
    <w:r>
      <w:t>CS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AM\1337950CS.docx</w:t>
    </w:r>
    <w:r>
      <w:rPr>
        <w:rStyle w:val="HideTWBExt"/>
      </w:rPr>
      <w:t>&lt;/PathFdR&gt;</w:t>
    </w:r>
    <w:r>
      <w:tab/>
    </w:r>
    <w:r>
      <w:fldChar w:fldCharType="begin"/>
    </w:r>
    <w:r>
      <w:instrText xml:space="preserve"> PAGE </w:instrText>
    </w:r>
    <w:r>
      <w:fldChar w:fldCharType="separate"/>
    </w:r>
    <w:r>
      <w:t>159</w:t>
    </w:r>
    <w:r>
      <w:fldChar w:fldCharType="end"/>
    </w:r>
    <w:r>
      <w:t>/</w:t>
    </w:r>
    <w:r>
      <w:fldChar w:fldCharType="begin"/>
    </w:r>
    <w:r>
      <w:instrText xml:space="preserve"> NUMPAGES </w:instrText>
    </w:r>
    <w:r>
      <w:fldChar w:fldCharType="separate"/>
    </w:r>
    <w:r>
      <w:t>159</w:t>
    </w:r>
    <w:r>
      <w:fldChar w:fldCharType="end"/>
    </w:r>
    <w:r>
      <w:tab/>
    </w:r>
    <w:r>
      <w:t>PE</w:t>
    </w:r>
    <w:r>
      <w:rPr>
        <w:rStyle w:val="HideTWBExt"/>
      </w:rPr>
      <w:t>&lt;NoPE&gt;</w:t>
    </w:r>
    <w:r>
      <w:t>784.512</w:t>
    </w:r>
    <w:r>
      <w:rPr>
        <w:rStyle w:val="HideTWBExt"/>
      </w:rPr>
      <w:t>&lt;/NoPE&gt;</w:t>
    </w:r>
    <w:r>
      <w:rPr>
        <w:rStyle w:val="HideTWBExt"/>
      </w:rPr>
      <w:t>&lt;Version&gt;</w:t>
    </w:r>
    <w:r>
      <w:t>v01-00</w:t>
    </w:r>
    <w:r>
      <w:rPr>
        <w:rStyle w:val="HideTWBExt"/>
      </w:rPr>
      <w:t>&lt;/Version&gt;</w:t>
    </w:r>
  </w:p>
  <w:p>
    <w:pPr>
      <w:pStyle w:val="EPFooter2"/>
    </w:pPr>
    <w:r>
      <w:tab/>
    </w:r>
    <w:r>
      <w:tab/>
    </w:r>
    <w:r>
      <w:t>CS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AM\1337950CS.docx</w:t>
    </w:r>
    <w:r>
      <w:rPr>
        <w:rStyle w:val="HideTWBExt"/>
      </w:rPr>
      <w:t>&lt;/PathFdR&gt;</w:t>
    </w:r>
    <w:r>
      <w:tab/>
    </w:r>
    <w:r>
      <w:tab/>
    </w:r>
    <w:r>
      <w:t>PE</w:t>
    </w:r>
    <w:r>
      <w:rPr>
        <w:rStyle w:val="HideTWBExt"/>
      </w:rPr>
      <w:t>&lt;NoPE&gt;</w:t>
    </w:r>
    <w:r>
      <w:t>784.512</w:t>
    </w:r>
    <w:r>
      <w:rPr>
        <w:rStyle w:val="HideTWBExt"/>
      </w:rPr>
      <w:t>&lt;/NoPE&gt;</w:t>
    </w:r>
    <w:r>
      <w:rPr>
        <w:rStyle w:val="HideTWBExt"/>
      </w:rPr>
      <w:t>&lt;Version&gt;</w:t>
    </w:r>
    <w:r>
      <w:t>v01-00</w:t>
    </w:r>
    <w:r>
      <w:rPr>
        <w:rStyle w:val="HideTWBExt"/>
      </w:rPr>
      <w:t>&lt;/Version&gt;</w:t>
    </w:r>
  </w:p>
  <w:p>
    <w:pPr>
      <w:pStyle w:val="EPFooter2"/>
    </w:pPr>
    <w:r>
      <w:t>CS</w:t>
    </w:r>
    <w:r>
      <w:tab/>
    </w:r>
    <w:r>
      <w:rPr>
        <w:rStyle w:val="EPFooter2Motto"/>
      </w:rPr>
      <w:t>Jednotná v rozmanitosti</w:t>
    </w:r>
    <w:r>
      <w:tab/>
    </w:r>
    <w:r>
      <w:t>CS</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159</Pages>
  <Words>39531</Words>
  <Characters>240883</Characters>
  <Application>Microsoft Office Word</Application>
  <DocSecurity>0</DocSecurity>
  <Lines>1</Lines>
  <Paragraphs>2228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1337950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407695</vt:lpwstr>
  </property>
  <property fmtid="{D5CDD505-2E9C-101B-9397-08002B2CF9AE}" pid="7" name="dmxml.render.traceId">
    <vt:lpwstr>69b01ac19c54436afa12556d9f52d870</vt:lpwstr>
  </property>
  <property fmtid="{D5CDD505-2E9C-101B-9397-08002B2CF9AE}" pid="8" name="FooterPath">
    <vt:lpwstr>AM\1337950CS.docx</vt:lpwstr>
  </property>
  <property fmtid="{D5CDD505-2E9C-101B-9397-08002B2CF9AE}" pid="9" name="PE Number">
    <vt:lpwstr>784.512</vt:lpwstr>
  </property>
  <property fmtid="{D5CDD505-2E9C-101B-9397-08002B2CF9AE}" pid="10" name="UID">
    <vt:lpwstr>eu.europa.europarl-DIN1-2026-0000041766_01.00-cs-01.00_text-xml</vt:lpwstr>
  </property>
</Properties>
</file>